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42493">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CC27F59">
      <w:pPr>
        <w:tabs>
          <w:tab w:val="left" w:pos="315"/>
          <w:tab w:val="left" w:pos="8820"/>
        </w:tabs>
        <w:spacing w:line="500" w:lineRule="exact"/>
        <w:ind w:right="267" w:rightChars="127"/>
        <w:jc w:val="center"/>
        <w:rPr>
          <w:rFonts w:ascii="仿宋_GB2312" w:eastAsia="仿宋_GB2312"/>
          <w:b/>
          <w:bCs/>
          <w:sz w:val="48"/>
        </w:rPr>
      </w:pPr>
    </w:p>
    <w:p w14:paraId="4C511055">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331C5C0">
      <w:pPr>
        <w:tabs>
          <w:tab w:val="left" w:pos="315"/>
          <w:tab w:val="left" w:pos="8820"/>
        </w:tabs>
        <w:spacing w:line="500" w:lineRule="exact"/>
        <w:ind w:right="267" w:rightChars="127"/>
        <w:jc w:val="center"/>
        <w:rPr>
          <w:rFonts w:ascii="仿宋_GB2312" w:eastAsia="仿宋_GB2312"/>
          <w:sz w:val="44"/>
        </w:rPr>
      </w:pPr>
    </w:p>
    <w:p w14:paraId="603E3945">
      <w:pPr>
        <w:tabs>
          <w:tab w:val="left" w:pos="315"/>
          <w:tab w:val="left" w:pos="8820"/>
        </w:tabs>
        <w:ind w:right="267" w:rightChars="127"/>
        <w:rPr>
          <w:rFonts w:ascii="仿宋_GB2312" w:eastAsia="仿宋_GB2312"/>
          <w:sz w:val="44"/>
        </w:rPr>
      </w:pPr>
    </w:p>
    <w:p w14:paraId="31EF9756">
      <w:pPr>
        <w:tabs>
          <w:tab w:val="left" w:pos="315"/>
          <w:tab w:val="left" w:pos="8820"/>
        </w:tabs>
        <w:spacing w:line="500" w:lineRule="exact"/>
        <w:ind w:right="267" w:rightChars="127"/>
        <w:rPr>
          <w:rFonts w:ascii="仿宋_GB2312" w:eastAsia="仿宋_GB2312"/>
          <w:b/>
          <w:bCs/>
          <w:sz w:val="36"/>
        </w:rPr>
      </w:pPr>
    </w:p>
    <w:p w14:paraId="25169BC0">
      <w:pPr>
        <w:tabs>
          <w:tab w:val="left" w:pos="315"/>
          <w:tab w:val="left" w:pos="8820"/>
        </w:tabs>
        <w:spacing w:line="500" w:lineRule="exact"/>
        <w:ind w:right="267" w:rightChars="127"/>
        <w:rPr>
          <w:rFonts w:ascii="仿宋_GB2312" w:eastAsia="仿宋_GB2312"/>
          <w:b/>
          <w:bCs/>
          <w:sz w:val="36"/>
        </w:rPr>
      </w:pPr>
    </w:p>
    <w:p w14:paraId="60F71D72">
      <w:pPr>
        <w:tabs>
          <w:tab w:val="left" w:pos="315"/>
          <w:tab w:val="left" w:pos="8820"/>
        </w:tabs>
        <w:spacing w:line="500" w:lineRule="exact"/>
        <w:ind w:right="267" w:rightChars="127"/>
        <w:jc w:val="center"/>
        <w:rPr>
          <w:rFonts w:ascii="宋体" w:hAnsi="宋体"/>
          <w:sz w:val="32"/>
        </w:rPr>
      </w:pPr>
    </w:p>
    <w:p w14:paraId="2AF4F34F">
      <w:pPr>
        <w:tabs>
          <w:tab w:val="left" w:pos="315"/>
          <w:tab w:val="left" w:pos="8820"/>
        </w:tabs>
        <w:spacing w:line="500" w:lineRule="exact"/>
        <w:ind w:right="267" w:rightChars="127"/>
        <w:jc w:val="center"/>
        <w:rPr>
          <w:rFonts w:ascii="微软简标宋" w:eastAsia="黑体"/>
          <w:b/>
          <w:bCs/>
          <w:sz w:val="52"/>
        </w:rPr>
      </w:pPr>
    </w:p>
    <w:p w14:paraId="36B5AD82">
      <w:pPr>
        <w:tabs>
          <w:tab w:val="left" w:pos="315"/>
          <w:tab w:val="left" w:pos="8820"/>
        </w:tabs>
        <w:spacing w:line="600" w:lineRule="exact"/>
        <w:ind w:right="267" w:rightChars="127"/>
        <w:jc w:val="left"/>
        <w:rPr>
          <w:rFonts w:hint="eastAsia" w:ascii="微软简标宋" w:eastAsia="黑体"/>
          <w:b/>
          <w:bCs/>
          <w:sz w:val="30"/>
          <w:szCs w:val="30"/>
        </w:rPr>
      </w:pPr>
      <w:r>
        <w:rPr>
          <w:rFonts w:hint="eastAsia" w:ascii="微软简标宋" w:eastAsia="黑体"/>
          <w:b/>
          <w:bCs/>
          <w:sz w:val="30"/>
          <w:szCs w:val="30"/>
        </w:rPr>
        <w:t>项目名称: 周口职业技术学院护理专业教学资源库建设项目</w:t>
      </w:r>
    </w:p>
    <w:p w14:paraId="6CF34FB0">
      <w:pPr>
        <w:tabs>
          <w:tab w:val="left" w:pos="315"/>
          <w:tab w:val="left" w:pos="8820"/>
        </w:tabs>
        <w:spacing w:line="600" w:lineRule="exact"/>
        <w:ind w:right="267" w:rightChars="127"/>
        <w:jc w:val="left"/>
        <w:rPr>
          <w:rFonts w:hint="eastAsia" w:ascii="微软简标宋" w:eastAsia="黑体"/>
          <w:b/>
          <w:bCs/>
          <w:sz w:val="30"/>
          <w:szCs w:val="30"/>
        </w:rPr>
      </w:pPr>
      <w:r>
        <w:rPr>
          <w:rFonts w:hint="eastAsia" w:ascii="微软简标宋" w:eastAsia="黑体"/>
          <w:b/>
          <w:bCs/>
          <w:sz w:val="30"/>
          <w:szCs w:val="30"/>
        </w:rPr>
        <w:t>编号: 周财磋商采购-2024-162</w:t>
      </w:r>
    </w:p>
    <w:p w14:paraId="03D7A222">
      <w:pPr>
        <w:pStyle w:val="8"/>
        <w:rPr>
          <w:rFonts w:ascii="微软简标宋" w:eastAsia="黑体"/>
          <w:b/>
          <w:bCs/>
          <w:sz w:val="52"/>
          <w:szCs w:val="24"/>
        </w:rPr>
      </w:pPr>
    </w:p>
    <w:p w14:paraId="14239FDE">
      <w:pPr>
        <w:pStyle w:val="8"/>
        <w:rPr>
          <w:rFonts w:ascii="宋体" w:hAnsi="宋体"/>
          <w:b/>
          <w:sz w:val="32"/>
        </w:rPr>
      </w:pPr>
    </w:p>
    <w:p w14:paraId="6E817056">
      <w:pPr>
        <w:pStyle w:val="8"/>
        <w:rPr>
          <w:rFonts w:ascii="宋体" w:hAnsi="宋体"/>
          <w:b/>
          <w:sz w:val="32"/>
        </w:rPr>
      </w:pPr>
    </w:p>
    <w:p w14:paraId="68A000EE">
      <w:pPr>
        <w:pStyle w:val="8"/>
        <w:jc w:val="center"/>
        <w:rPr>
          <w:rFonts w:hint="eastAsia" w:ascii="宋体" w:hAnsi="宋体"/>
          <w:b/>
          <w:sz w:val="32"/>
        </w:rPr>
      </w:pPr>
      <w:r>
        <w:rPr>
          <w:rFonts w:hint="eastAsia" w:ascii="宋体" w:hAnsi="宋体"/>
          <w:b/>
          <w:sz w:val="32"/>
          <w:lang w:val="en-US" w:eastAsia="zh-CN"/>
        </w:rPr>
        <w:t>2024</w:t>
      </w:r>
      <w:r>
        <w:rPr>
          <w:rFonts w:hint="eastAsia" w:ascii="宋体" w:hAnsi="宋体"/>
          <w:b/>
          <w:sz w:val="32"/>
        </w:rPr>
        <w:t>年</w:t>
      </w:r>
      <w:r>
        <w:rPr>
          <w:rFonts w:hint="eastAsia" w:ascii="宋体" w:hAnsi="宋体"/>
          <w:b/>
          <w:sz w:val="32"/>
          <w:lang w:val="en-US" w:eastAsia="zh-CN"/>
        </w:rPr>
        <w:t>12</w:t>
      </w:r>
      <w:r>
        <w:rPr>
          <w:rFonts w:hint="eastAsia" w:ascii="宋体" w:hAnsi="宋体"/>
          <w:b/>
          <w:sz w:val="32"/>
        </w:rPr>
        <w:t>月</w:t>
      </w:r>
      <w:r>
        <w:rPr>
          <w:rFonts w:hint="eastAsia" w:ascii="宋体" w:hAnsi="宋体"/>
          <w:b/>
          <w:sz w:val="32"/>
          <w:lang w:val="en-US" w:eastAsia="zh-CN"/>
        </w:rPr>
        <w:t>17</w:t>
      </w:r>
      <w:r>
        <w:rPr>
          <w:rFonts w:hint="eastAsia" w:ascii="宋体" w:hAnsi="宋体"/>
          <w:b/>
          <w:sz w:val="32"/>
        </w:rPr>
        <w:t>日</w:t>
      </w:r>
    </w:p>
    <w:p w14:paraId="15C02E38">
      <w:pPr>
        <w:pStyle w:val="8"/>
        <w:jc w:val="center"/>
        <w:rPr>
          <w:rFonts w:ascii="宋体" w:hAnsi="宋体"/>
          <w:b/>
          <w:sz w:val="32"/>
        </w:rPr>
      </w:pPr>
    </w:p>
    <w:p w14:paraId="77037108">
      <w:pPr>
        <w:rPr>
          <w:rFonts w:ascii="仿宋_GB2312" w:eastAsia="仿宋_GB2312"/>
          <w:b/>
          <w:sz w:val="30"/>
          <w:szCs w:val="30"/>
        </w:rPr>
      </w:pPr>
    </w:p>
    <w:p w14:paraId="5A3B5F98">
      <w:pPr>
        <w:pStyle w:val="25"/>
        <w:ind w:firstLine="210"/>
      </w:pPr>
    </w:p>
    <w:p w14:paraId="34C5360B">
      <w:pPr>
        <w:pStyle w:val="25"/>
        <w:ind w:firstLine="210"/>
      </w:pPr>
    </w:p>
    <w:p w14:paraId="054E44C9">
      <w:pPr>
        <w:spacing w:line="560" w:lineRule="exact"/>
        <w:jc w:val="center"/>
        <w:rPr>
          <w:rFonts w:ascii="宋体" w:hAnsi="宋体" w:cs="宋体"/>
          <w:b/>
          <w:sz w:val="32"/>
          <w:szCs w:val="32"/>
        </w:rPr>
      </w:pPr>
      <w:r>
        <w:rPr>
          <w:rFonts w:hint="eastAsia" w:ascii="宋体" w:hAnsi="宋体" w:cs="宋体"/>
          <w:b/>
          <w:sz w:val="32"/>
          <w:szCs w:val="32"/>
        </w:rPr>
        <w:t>目     录</w:t>
      </w:r>
    </w:p>
    <w:p w14:paraId="33043D7A">
      <w:pPr>
        <w:rPr>
          <w:rFonts w:ascii="宋体" w:hAnsi="宋体" w:cs="宋体"/>
          <w:b/>
          <w:sz w:val="32"/>
          <w:szCs w:val="32"/>
        </w:rPr>
      </w:pPr>
    </w:p>
    <w:p w14:paraId="36D0194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069DDC0A">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53E0FF1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158A5108">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72D1ACC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346FFA6A">
      <w:pPr>
        <w:spacing w:line="800" w:lineRule="exact"/>
        <w:ind w:firstLine="2249" w:firstLineChars="700"/>
        <w:rPr>
          <w:rFonts w:hint="eastAsia" w:ascii="宋体" w:hAnsi="宋体" w:cs="宋体"/>
          <w:b/>
          <w:sz w:val="32"/>
          <w:szCs w:val="32"/>
          <w:lang w:eastAsia="zh-CN"/>
        </w:rPr>
      </w:pPr>
    </w:p>
    <w:p w14:paraId="4968599F">
      <w:pPr>
        <w:spacing w:line="800" w:lineRule="exact"/>
        <w:ind w:firstLine="2249" w:firstLineChars="700"/>
        <w:rPr>
          <w:rFonts w:hint="eastAsia" w:ascii="宋体" w:hAnsi="宋体" w:cs="宋体"/>
          <w:b/>
          <w:sz w:val="32"/>
          <w:szCs w:val="32"/>
          <w:lang w:val="en-US" w:eastAsia="zh-CN"/>
        </w:rPr>
      </w:pPr>
    </w:p>
    <w:p w14:paraId="616F357C">
      <w:pPr>
        <w:spacing w:line="800" w:lineRule="exact"/>
        <w:ind w:firstLine="2249" w:firstLineChars="700"/>
        <w:rPr>
          <w:rFonts w:hint="eastAsia" w:ascii="宋体" w:hAnsi="宋体" w:cs="宋体"/>
          <w:b/>
          <w:sz w:val="32"/>
          <w:szCs w:val="32"/>
        </w:rPr>
      </w:pPr>
    </w:p>
    <w:p w14:paraId="6D12E7EB">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F285D84">
      <w:pPr>
        <w:pStyle w:val="37"/>
      </w:pPr>
    </w:p>
    <w:p w14:paraId="0157EE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58C7F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(项目名称) 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01</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02</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BE262B6">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798"/>
      <w:bookmarkStart w:id="1" w:name="_Toc35393629"/>
      <w:bookmarkStart w:id="2" w:name="_Toc28359089"/>
      <w:bookmarkStart w:id="3"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34D438D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项目编号：周财磋商采购-2024-162</w:t>
      </w:r>
    </w:p>
    <w:p w14:paraId="5E82AA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项目名称：周口职业技术学院护理专业教学资源库建设项目</w:t>
      </w:r>
    </w:p>
    <w:p w14:paraId="7D4C44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2C77E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1465000.00元</w:t>
      </w:r>
    </w:p>
    <w:p w14:paraId="5DD050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1465000.00元</w:t>
      </w:r>
    </w:p>
    <w:p w14:paraId="527BF9D0">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2</w:t>
      </w:r>
      <w:r>
        <w:rPr>
          <w:rFonts w:hint="eastAsia" w:cs="宋体"/>
          <w:color w:val="000000"/>
        </w:rPr>
        <w:t>个</w:t>
      </w:r>
      <w:r>
        <w:rPr>
          <w:rFonts w:hint="eastAsia" w:cs="宋体"/>
          <w:color w:val="000000"/>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7B13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7232D1CC">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2274" w:type="dxa"/>
            <w:vAlign w:val="center"/>
          </w:tcPr>
          <w:p w14:paraId="2E513DAB">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275" w:type="dxa"/>
            <w:vAlign w:val="center"/>
          </w:tcPr>
          <w:p w14:paraId="4FAAF25D">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72F6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8" w:hRule="atLeast"/>
        </w:trPr>
        <w:tc>
          <w:tcPr>
            <w:tcW w:w="2255" w:type="dxa"/>
            <w:vAlign w:val="center"/>
          </w:tcPr>
          <w:p w14:paraId="07CA9ABD">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2274" w:type="dxa"/>
            <w:vAlign w:val="center"/>
          </w:tcPr>
          <w:p w14:paraId="5F82A204">
            <w:pPr>
              <w:adjustRightInd w:val="0"/>
              <w:snapToGrid w:val="0"/>
              <w:spacing w:line="360" w:lineRule="auto"/>
              <w:rPr>
                <w:rFonts w:hint="eastAsia"/>
                <w:vertAlign w:val="baseline"/>
              </w:rPr>
            </w:pPr>
            <w:r>
              <w:rPr>
                <w:rFonts w:hint="eastAsia" w:cs="宋体" w:asciiTheme="minorEastAsia" w:hAnsiTheme="minorEastAsia" w:eastAsiaTheme="minorEastAsia"/>
                <w:sz w:val="24"/>
              </w:rPr>
              <w:t>护理专业群教学资源库建设</w:t>
            </w:r>
          </w:p>
        </w:tc>
        <w:tc>
          <w:tcPr>
            <w:tcW w:w="2275" w:type="dxa"/>
            <w:vAlign w:val="center"/>
          </w:tcPr>
          <w:p w14:paraId="4DEE4A38">
            <w:pPr>
              <w:adjustRightInd w:val="0"/>
              <w:snapToGrid w:val="0"/>
              <w:spacing w:line="360" w:lineRule="auto"/>
              <w:rPr>
                <w:rFonts w:hint="eastAsia"/>
                <w:vertAlign w:val="baseline"/>
              </w:rPr>
            </w:pPr>
            <w:r>
              <w:rPr>
                <w:rFonts w:hint="eastAsia" w:cs="宋体" w:asciiTheme="minorEastAsia" w:hAnsiTheme="minorEastAsia" w:eastAsiaTheme="minorEastAsia"/>
                <w:kern w:val="2"/>
                <w:szCs w:val="24"/>
              </w:rPr>
              <w:t>95.9</w:t>
            </w:r>
          </w:p>
        </w:tc>
      </w:tr>
      <w:tr w14:paraId="6E8C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255" w:type="dxa"/>
            <w:vAlign w:val="center"/>
          </w:tcPr>
          <w:p w14:paraId="58FA679D">
            <w:pPr>
              <w:pStyle w:val="24"/>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2</w:t>
            </w:r>
          </w:p>
        </w:tc>
        <w:tc>
          <w:tcPr>
            <w:tcW w:w="2274" w:type="dxa"/>
            <w:vAlign w:val="center"/>
          </w:tcPr>
          <w:p w14:paraId="7F00FE44">
            <w:pPr>
              <w:adjustRightInd w:val="0"/>
              <w:snapToGrid w:val="0"/>
              <w:spacing w:line="360" w:lineRule="auto"/>
              <w:rPr>
                <w:rFonts w:hint="eastAsia"/>
                <w:vertAlign w:val="baseline"/>
              </w:rPr>
            </w:pPr>
            <w:r>
              <w:rPr>
                <w:rFonts w:hint="eastAsia" w:cs="宋体" w:asciiTheme="minorEastAsia" w:hAnsiTheme="minorEastAsia" w:eastAsiaTheme="minorEastAsia"/>
                <w:kern w:val="2"/>
                <w:szCs w:val="24"/>
                <w:lang w:val="en-US" w:eastAsia="zh-CN"/>
              </w:rPr>
              <w:t>护理专业群在线虚拟仿真实训中心</w:t>
            </w:r>
          </w:p>
        </w:tc>
        <w:tc>
          <w:tcPr>
            <w:tcW w:w="2275" w:type="dxa"/>
            <w:vAlign w:val="center"/>
          </w:tcPr>
          <w:p w14:paraId="355BC774">
            <w:pPr>
              <w:adjustRightInd w:val="0"/>
              <w:snapToGrid w:val="0"/>
              <w:spacing w:line="360" w:lineRule="auto"/>
              <w:rPr>
                <w:rFonts w:hint="eastAsia"/>
                <w:vertAlign w:val="baseline"/>
              </w:rPr>
            </w:pPr>
            <w:r>
              <w:rPr>
                <w:rFonts w:hint="eastAsia" w:cs="宋体" w:asciiTheme="minorEastAsia" w:hAnsiTheme="minorEastAsia" w:eastAsiaTheme="minorEastAsia"/>
                <w:kern w:val="2"/>
                <w:szCs w:val="24"/>
              </w:rPr>
              <w:t>50.6</w:t>
            </w:r>
          </w:p>
        </w:tc>
      </w:tr>
    </w:tbl>
    <w:p w14:paraId="61A5E2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采购需求：详见采购文件</w:t>
      </w:r>
    </w:p>
    <w:p w14:paraId="5BD7AED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color w:val="auto"/>
          <w:sz w:val="24"/>
          <w:szCs w:val="24"/>
        </w:rPr>
        <w:t>：</w:t>
      </w:r>
      <w:r>
        <w:rPr>
          <w:rFonts w:hint="eastAsia" w:asciiTheme="minorEastAsia" w:hAnsiTheme="minorEastAsia" w:eastAsiaTheme="minorEastAsia" w:cstheme="minorEastAsia"/>
          <w:color w:val="auto"/>
          <w:sz w:val="24"/>
        </w:rPr>
        <w:t>自合同签订之日起120日历天</w:t>
      </w:r>
    </w:p>
    <w:p w14:paraId="1AF0BC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28359090"/>
      <w:bookmarkStart w:id="5" w:name="_Toc35393630"/>
      <w:bookmarkStart w:id="6" w:name="_Toc28359013"/>
      <w:bookmarkStart w:id="7" w:name="_Toc35393799"/>
      <w:r>
        <w:rPr>
          <w:rFonts w:hint="eastAsia" w:ascii="宋体" w:hAnsi="宋体" w:eastAsia="宋体" w:cs="宋体"/>
          <w:i w:val="0"/>
          <w:iCs w:val="0"/>
          <w:color w:val="auto"/>
          <w:sz w:val="24"/>
          <w:szCs w:val="24"/>
        </w:rPr>
        <w:t>是否接受进口产品：否</w:t>
      </w:r>
    </w:p>
    <w:p w14:paraId="615D42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342DE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否</w:t>
      </w:r>
    </w:p>
    <w:p w14:paraId="00DF85D5">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3BE409A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71126136">
      <w:pPr>
        <w:adjustRightInd w:val="0"/>
        <w:snapToGrid w:val="0"/>
        <w:spacing w:line="360" w:lineRule="auto"/>
        <w:ind w:firstLine="480" w:firstLineChars="200"/>
        <w:rPr>
          <w:sz w:val="24"/>
        </w:rPr>
      </w:pPr>
      <w:r>
        <w:rPr>
          <w:rFonts w:hint="eastAsia"/>
          <w:sz w:val="24"/>
        </w:rPr>
        <w:t xml:space="preserve">（1）具有独立承担民事责任的能力； </w:t>
      </w:r>
    </w:p>
    <w:p w14:paraId="47CE33B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F55B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2562616">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4F61710">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466B306">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CBCF0F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45B03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53E133BC">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38020D1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12</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25</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u w:val="single"/>
          <w:lang w:val="en-US" w:eastAsia="zh-CN"/>
        </w:rPr>
        <w:t>23:59</w:t>
      </w:r>
      <w:r>
        <w:rPr>
          <w:rFonts w:hint="eastAsia" w:asciiTheme="minorEastAsia" w:hAnsiTheme="minorEastAsia" w:eastAsiaTheme="minorEastAsia" w:cstheme="minorEastAsia"/>
          <w:i w:val="0"/>
          <w:iCs w:val="0"/>
          <w:sz w:val="24"/>
          <w:szCs w:val="24"/>
        </w:rPr>
        <w:t>（北京时间，法定节假日除外 ）</w:t>
      </w:r>
    </w:p>
    <w:p w14:paraId="6688F7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8A447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479E481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21BCF510">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4F7A6F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rPr>
        <w:t>2025年01月02日10点00分</w:t>
      </w:r>
      <w:r>
        <w:rPr>
          <w:rFonts w:hint="eastAsia" w:asciiTheme="minorEastAsia" w:hAnsiTheme="minorEastAsia" w:eastAsiaTheme="minorEastAsia" w:cstheme="minorEastAsia"/>
          <w:bCs/>
          <w:i w:val="0"/>
          <w:iCs w:val="0"/>
          <w:sz w:val="24"/>
          <w:szCs w:val="24"/>
        </w:rPr>
        <w:t>（北京时间）</w:t>
      </w:r>
    </w:p>
    <w:p w14:paraId="6D0BC8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64EF1E27">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52D042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2025年01月02日10点00分</w:t>
      </w:r>
      <w:r>
        <w:rPr>
          <w:rFonts w:hint="eastAsia" w:asciiTheme="minorEastAsia" w:hAnsiTheme="minorEastAsia" w:eastAsiaTheme="minorEastAsia" w:cstheme="minorEastAsia"/>
          <w:bCs/>
          <w:sz w:val="24"/>
          <w:szCs w:val="24"/>
        </w:rPr>
        <w:t>（北京时间）</w:t>
      </w:r>
    </w:p>
    <w:p w14:paraId="14CEC9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EFA674D">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4"/>
      <w:bookmarkStart w:id="21" w:name="_Toc28359017"/>
      <w:bookmarkStart w:id="22" w:name="_Toc28359094"/>
      <w:bookmarkStart w:id="23" w:name="_Toc35393803"/>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6D6141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5D513FA2">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七、其他补充事宜</w:t>
      </w:r>
      <w:bookmarkEnd w:id="24"/>
      <w:bookmarkEnd w:id="25"/>
    </w:p>
    <w:p w14:paraId="6D6C9709">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53A9E4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2CF2C93C">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称：周口职业技术学院　　　　　　　　　　　</w:t>
      </w:r>
    </w:p>
    <w:p w14:paraId="0ECAB64A">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地址：　周口市开元大道西段　　　　　　　　　　　</w:t>
      </w:r>
    </w:p>
    <w:p w14:paraId="33FA4593">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 xml:space="preserve">项目联系人：李一川     联系方式：0394-8691933　　　　　　　　　　　 </w:t>
      </w:r>
    </w:p>
    <w:p w14:paraId="7E17F8FB">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p>
    <w:p w14:paraId="3B662533">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548D9F3A">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址：周口市光明路与政通路交叉口向北100米路东</w:t>
      </w:r>
    </w:p>
    <w:p w14:paraId="191BD137">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曹晨阳</w:t>
      </w:r>
      <w:r>
        <w:rPr>
          <w:rFonts w:hint="eastAsia" w:ascii="宋体" w:hAnsi="宋体" w:eastAsia="宋体" w:cs="宋体"/>
          <w:i w:val="0"/>
          <w:iCs w:val="0"/>
          <w:sz w:val="24"/>
          <w:szCs w:val="24"/>
        </w:rPr>
        <w:t xml:space="preserve">     联系方式：</w:t>
      </w:r>
      <w:r>
        <w:rPr>
          <w:rFonts w:hint="eastAsia" w:ascii="宋体" w:hAnsi="宋体" w:cs="宋体"/>
          <w:i w:val="0"/>
          <w:iCs w:val="0"/>
          <w:sz w:val="24"/>
          <w:szCs w:val="24"/>
          <w:lang w:val="en-US" w:eastAsia="zh-CN"/>
        </w:rPr>
        <w:t>0394-8106517 19013990816</w:t>
      </w:r>
      <w:r>
        <w:rPr>
          <w:rFonts w:hint="eastAsia" w:ascii="宋体" w:hAnsi="宋体" w:eastAsia="宋体" w:cs="宋体"/>
          <w:i w:val="0"/>
          <w:iCs w:val="0"/>
          <w:sz w:val="24"/>
          <w:szCs w:val="24"/>
        </w:rPr>
        <w:t>　　　　　　　　</w:t>
      </w:r>
    </w:p>
    <w:p w14:paraId="5D0E1E91">
      <w:pPr>
        <w:pStyle w:val="35"/>
        <w:numPr>
          <w:ilvl w:val="0"/>
          <w:numId w:val="0"/>
        </w:numPr>
        <w:rPr>
          <w:rFonts w:hint="eastAsia" w:ascii="宋体" w:hAnsi="宋体" w:eastAsia="宋体" w:cs="宋体"/>
          <w:i w:val="0"/>
          <w:iCs w:val="0"/>
          <w:sz w:val="24"/>
          <w:szCs w:val="24"/>
        </w:rPr>
      </w:pPr>
      <w:r>
        <w:rPr>
          <w:rFonts w:hint="eastAsia" w:ascii="宋体" w:hAnsi="宋体" w:eastAsia="宋体" w:cs="宋体"/>
          <w:i w:val="0"/>
          <w:iCs w:val="0"/>
          <w:sz w:val="24"/>
          <w:szCs w:val="24"/>
        </w:rPr>
        <w:t>3.监督单位：周口市财政局政府采购监督管理科</w:t>
      </w:r>
    </w:p>
    <w:p w14:paraId="2598B70D">
      <w:pPr>
        <w:pStyle w:val="35"/>
        <w:numPr>
          <w:ilvl w:val="0"/>
          <w:numId w:val="0"/>
        </w:numPr>
        <w:rPr>
          <w:rFonts w:hint="default"/>
          <w:lang w:val="en-US" w:eastAsia="zh-CN"/>
        </w:rPr>
      </w:pPr>
      <w:r>
        <w:rPr>
          <w:rFonts w:hint="eastAsia" w:ascii="宋体" w:hAnsi="宋体" w:eastAsia="宋体" w:cs="宋体"/>
          <w:i w:val="0"/>
          <w:iCs w:val="0"/>
          <w:sz w:val="24"/>
          <w:szCs w:val="24"/>
        </w:rPr>
        <w:t xml:space="preserve">联系方式： 0394-8319709     </w:t>
      </w:r>
    </w:p>
    <w:p w14:paraId="54E8B36F">
      <w:pPr>
        <w:pStyle w:val="35"/>
        <w:numPr>
          <w:ilvl w:val="0"/>
          <w:numId w:val="0"/>
        </w:numPr>
        <w:rPr>
          <w:rFonts w:hint="default"/>
          <w:lang w:val="en-US" w:eastAsia="zh-CN"/>
        </w:rPr>
      </w:pPr>
    </w:p>
    <w:p w14:paraId="4C86A7F5">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54E75AD6">
      <w:pPr>
        <w:pStyle w:val="21"/>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2024</w:t>
      </w:r>
      <w:r>
        <w:rPr>
          <w:rFonts w:hint="eastAsia" w:ascii="宋体" w:hAnsi="宋体" w:eastAsia="宋体" w:cs="宋体"/>
          <w:sz w:val="24"/>
          <w:szCs w:val="24"/>
        </w:rPr>
        <w:t>年</w:t>
      </w:r>
      <w:r>
        <w:rPr>
          <w:rFonts w:hint="eastAsia" w:ascii="宋体" w:hAnsi="宋体" w:cs="宋体"/>
          <w:sz w:val="24"/>
          <w:szCs w:val="24"/>
          <w:lang w:val="en-US" w:eastAsia="zh-CN"/>
        </w:rPr>
        <w:t>12</w:t>
      </w:r>
      <w:r>
        <w:rPr>
          <w:rFonts w:hint="eastAsia" w:ascii="宋体" w:hAnsi="宋体" w:eastAsia="宋体" w:cs="宋体"/>
          <w:sz w:val="24"/>
          <w:szCs w:val="24"/>
        </w:rPr>
        <w:t>月</w:t>
      </w:r>
      <w:r>
        <w:rPr>
          <w:rFonts w:hint="eastAsia" w:ascii="宋体" w:hAnsi="宋体" w:cs="宋体"/>
          <w:sz w:val="24"/>
          <w:szCs w:val="24"/>
          <w:lang w:val="en-US" w:eastAsia="zh-CN"/>
        </w:rPr>
        <w:t>18</w:t>
      </w:r>
      <w:bookmarkStart w:id="46" w:name="_GoBack"/>
      <w:bookmarkEnd w:id="46"/>
      <w:r>
        <w:rPr>
          <w:rFonts w:hint="eastAsia" w:ascii="宋体" w:hAnsi="宋体" w:eastAsia="宋体" w:cs="宋体"/>
          <w:sz w:val="24"/>
          <w:szCs w:val="24"/>
        </w:rPr>
        <w:t>日</w:t>
      </w:r>
      <w:r>
        <w:rPr>
          <w:rFonts w:hint="eastAsia" w:ascii="宋体" w:hAnsi="宋体" w:eastAsia="宋体" w:cs="宋体"/>
          <w:i w:val="0"/>
          <w:iCs w:val="0"/>
          <w:sz w:val="24"/>
          <w:szCs w:val="24"/>
        </w:rPr>
        <w:t>　　</w:t>
      </w:r>
    </w:p>
    <w:p w14:paraId="2218648A">
      <w:pPr>
        <w:pStyle w:val="26"/>
        <w:adjustRightInd w:val="0"/>
        <w:snapToGrid w:val="0"/>
        <w:spacing w:line="360" w:lineRule="auto"/>
        <w:ind w:firstLine="0" w:firstLineChars="0"/>
      </w:pPr>
    </w:p>
    <w:p w14:paraId="18CF087B">
      <w:pPr>
        <w:pStyle w:val="26"/>
        <w:ind w:firstLine="0" w:firstLineChars="0"/>
      </w:pPr>
    </w:p>
    <w:p w14:paraId="4BF4F381">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51E76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DCCE472">
            <w:pPr>
              <w:jc w:val="center"/>
              <w:rPr>
                <w:rFonts w:ascii="宋体" w:hAnsi="宋体"/>
                <w:szCs w:val="21"/>
              </w:rPr>
            </w:pPr>
            <w:r>
              <w:rPr>
                <w:rFonts w:hint="eastAsia" w:ascii="宋体" w:hAnsi="宋体" w:cs="楷体_GB2312"/>
                <w:sz w:val="32"/>
                <w:szCs w:val="32"/>
              </w:rPr>
              <w:t>供应商须知前附表</w:t>
            </w:r>
          </w:p>
        </w:tc>
      </w:tr>
      <w:tr w14:paraId="1822E5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9CA8C97">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333EAE6C">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574B2824">
            <w:pPr>
              <w:rPr>
                <w:rFonts w:ascii="宋体" w:hAnsi="宋体" w:cs="宋体"/>
                <w:sz w:val="24"/>
              </w:rPr>
            </w:pPr>
            <w:r>
              <w:rPr>
                <w:rFonts w:hint="eastAsia" w:ascii="宋体" w:hAnsi="宋体" w:cs="宋体"/>
                <w:sz w:val="24"/>
              </w:rPr>
              <w:t>内  容</w:t>
            </w:r>
          </w:p>
        </w:tc>
      </w:tr>
      <w:tr w14:paraId="619575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C652767">
            <w:pPr>
              <w:numPr>
                <w:ilvl w:val="0"/>
                <w:numId w:val="1"/>
              </w:numPr>
              <w:spacing w:beforeLines="50"/>
              <w:jc w:val="center"/>
              <w:rPr>
                <w:rFonts w:ascii="宋体" w:hAnsi="宋体" w:cs="宋体"/>
                <w:sz w:val="24"/>
              </w:rPr>
            </w:pPr>
          </w:p>
        </w:tc>
        <w:tc>
          <w:tcPr>
            <w:tcW w:w="1995" w:type="dxa"/>
            <w:vAlign w:val="center"/>
          </w:tcPr>
          <w:p w14:paraId="151F1F15">
            <w:pPr>
              <w:jc w:val="center"/>
              <w:rPr>
                <w:rFonts w:ascii="宋体" w:hAnsi="宋体" w:cs="宋体"/>
                <w:sz w:val="24"/>
              </w:rPr>
            </w:pPr>
            <w:r>
              <w:rPr>
                <w:rFonts w:hint="eastAsia" w:ascii="宋体" w:hAnsi="宋体" w:cs="宋体"/>
                <w:sz w:val="24"/>
              </w:rPr>
              <w:t>项目概况</w:t>
            </w:r>
          </w:p>
        </w:tc>
        <w:tc>
          <w:tcPr>
            <w:tcW w:w="6615" w:type="dxa"/>
            <w:vAlign w:val="center"/>
          </w:tcPr>
          <w:p w14:paraId="18212DF1">
            <w:pPr>
              <w:rPr>
                <w:rFonts w:hint="eastAsia" w:ascii="宋体" w:hAnsi="宋体" w:cs="宋体"/>
                <w:color w:val="000000"/>
                <w:sz w:val="24"/>
              </w:rPr>
            </w:pPr>
            <w:r>
              <w:rPr>
                <w:rFonts w:hint="eastAsia" w:ascii="宋体" w:hAnsi="宋体" w:cs="宋体"/>
                <w:color w:val="000000"/>
                <w:sz w:val="24"/>
              </w:rPr>
              <w:t>项目名称：周口职业技术学院护理专业教学资源库建设项目</w:t>
            </w:r>
          </w:p>
          <w:p w14:paraId="685F9EA0">
            <w:pPr>
              <w:rPr>
                <w:rFonts w:ascii="宋体" w:hAnsi="宋体" w:cs="宋体"/>
                <w:color w:val="000000"/>
                <w:sz w:val="24"/>
              </w:rPr>
            </w:pPr>
            <w:r>
              <w:rPr>
                <w:rFonts w:hint="eastAsia" w:ascii="宋体" w:hAnsi="宋体" w:cs="宋体"/>
                <w:color w:val="000000"/>
                <w:sz w:val="24"/>
              </w:rPr>
              <w:t>采购内容：详见采购文件</w:t>
            </w:r>
          </w:p>
          <w:p w14:paraId="2A96B861">
            <w:pPr>
              <w:rPr>
                <w:rFonts w:ascii="宋体" w:hAnsi="宋体" w:cs="宋体"/>
                <w:color w:val="000000"/>
                <w:sz w:val="24"/>
              </w:rPr>
            </w:pPr>
            <w:r>
              <w:rPr>
                <w:rFonts w:ascii="宋体" w:hAnsi="宋体" w:cs="宋体"/>
                <w:color w:val="000000"/>
                <w:sz w:val="24"/>
              </w:rPr>
              <w:t>3）采购人：</w:t>
            </w:r>
            <w:r>
              <w:rPr>
                <w:rFonts w:hint="eastAsia" w:ascii="宋体" w:hAnsi="宋体" w:cs="宋体"/>
                <w:color w:val="000000"/>
                <w:sz w:val="24"/>
              </w:rPr>
              <w:t>周口职业技术学院</w:t>
            </w:r>
          </w:p>
          <w:p w14:paraId="19661762">
            <w:pPr>
              <w:rPr>
                <w:rFonts w:ascii="宋体" w:hAnsi="宋体" w:cs="宋体"/>
                <w:color w:val="000000"/>
                <w:sz w:val="24"/>
                <w:highlight w:val="yellow"/>
              </w:rPr>
            </w:pPr>
            <w:r>
              <w:rPr>
                <w:rFonts w:hint="eastAsia" w:ascii="宋体" w:hAnsi="宋体" w:cs="宋体"/>
                <w:color w:val="000000"/>
                <w:sz w:val="24"/>
              </w:rPr>
              <w:t>采购代理机构：</w:t>
            </w:r>
            <w:r>
              <w:rPr>
                <w:rFonts w:ascii="宋体" w:hAnsi="宋体" w:eastAsia="宋体" w:cs="宋体"/>
                <w:color w:val="000000"/>
                <w:spacing w:val="0"/>
                <w:position w:val="0"/>
                <w:sz w:val="24"/>
                <w:shd w:val="clear" w:fill="auto"/>
              </w:rPr>
              <w:t>周口市公共资源交易中心政府采购中心</w:t>
            </w:r>
          </w:p>
        </w:tc>
      </w:tr>
      <w:tr w14:paraId="23CC7E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DAC9067">
            <w:pPr>
              <w:numPr>
                <w:ilvl w:val="0"/>
                <w:numId w:val="1"/>
              </w:numPr>
              <w:spacing w:beforeLines="50"/>
              <w:jc w:val="center"/>
              <w:rPr>
                <w:rFonts w:ascii="宋体" w:hAnsi="宋体" w:cs="宋体"/>
                <w:sz w:val="24"/>
              </w:rPr>
            </w:pPr>
          </w:p>
        </w:tc>
        <w:tc>
          <w:tcPr>
            <w:tcW w:w="1995" w:type="dxa"/>
            <w:vAlign w:val="center"/>
          </w:tcPr>
          <w:p w14:paraId="24476176">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74059ECF">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5DF734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839EF0">
            <w:pPr>
              <w:numPr>
                <w:ilvl w:val="0"/>
                <w:numId w:val="1"/>
              </w:numPr>
              <w:spacing w:beforeLines="50"/>
              <w:jc w:val="center"/>
              <w:rPr>
                <w:rFonts w:ascii="宋体" w:hAnsi="宋体" w:cs="宋体"/>
                <w:sz w:val="24"/>
              </w:rPr>
            </w:pPr>
          </w:p>
        </w:tc>
        <w:tc>
          <w:tcPr>
            <w:tcW w:w="1995" w:type="dxa"/>
            <w:vAlign w:val="center"/>
          </w:tcPr>
          <w:p w14:paraId="53B0E52D">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73C125AB">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2F3599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E2D8227">
            <w:pPr>
              <w:numPr>
                <w:ilvl w:val="0"/>
                <w:numId w:val="1"/>
              </w:numPr>
              <w:spacing w:beforeLines="50"/>
              <w:rPr>
                <w:rFonts w:ascii="宋体" w:hAnsi="宋体" w:cs="宋体"/>
                <w:sz w:val="24"/>
              </w:rPr>
            </w:pPr>
          </w:p>
        </w:tc>
        <w:tc>
          <w:tcPr>
            <w:tcW w:w="1995" w:type="dxa"/>
            <w:vAlign w:val="center"/>
          </w:tcPr>
          <w:p w14:paraId="4919C72F">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0503D422">
            <w:pPr>
              <w:snapToGrid w:val="0"/>
              <w:rPr>
                <w:rFonts w:ascii="宋体" w:hAnsi="宋体" w:cs="宋体"/>
                <w:sz w:val="24"/>
              </w:rPr>
            </w:pPr>
            <w:r>
              <w:rPr>
                <w:rFonts w:hint="eastAsia" w:ascii="宋体" w:hAnsi="宋体" w:cs="宋体"/>
                <w:sz w:val="24"/>
              </w:rPr>
              <w:t>中文</w:t>
            </w:r>
          </w:p>
        </w:tc>
      </w:tr>
      <w:tr w14:paraId="084F1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572E66">
            <w:pPr>
              <w:numPr>
                <w:ilvl w:val="0"/>
                <w:numId w:val="1"/>
              </w:numPr>
              <w:spacing w:beforeLines="50"/>
              <w:rPr>
                <w:rFonts w:ascii="宋体" w:hAnsi="宋体" w:cs="宋体"/>
                <w:sz w:val="24"/>
              </w:rPr>
            </w:pPr>
          </w:p>
        </w:tc>
        <w:tc>
          <w:tcPr>
            <w:tcW w:w="1995" w:type="dxa"/>
            <w:vAlign w:val="center"/>
          </w:tcPr>
          <w:p w14:paraId="793EB41C">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2BF2E643">
            <w:pPr>
              <w:rPr>
                <w:rFonts w:ascii="宋体" w:hAnsi="宋体" w:cs="宋体"/>
                <w:sz w:val="24"/>
              </w:rPr>
            </w:pPr>
            <w:r>
              <w:rPr>
                <w:rFonts w:hint="eastAsia" w:ascii="宋体" w:hAnsi="宋体" w:cs="宋体"/>
                <w:sz w:val="24"/>
              </w:rPr>
              <w:t>人民币</w:t>
            </w:r>
          </w:p>
        </w:tc>
      </w:tr>
      <w:tr w14:paraId="724358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C9ABDCE">
            <w:pPr>
              <w:numPr>
                <w:ilvl w:val="0"/>
                <w:numId w:val="1"/>
              </w:numPr>
              <w:spacing w:beforeLines="50"/>
              <w:jc w:val="center"/>
              <w:rPr>
                <w:rFonts w:ascii="宋体" w:hAnsi="宋体" w:cs="宋体"/>
                <w:sz w:val="24"/>
              </w:rPr>
            </w:pPr>
          </w:p>
        </w:tc>
        <w:tc>
          <w:tcPr>
            <w:tcW w:w="1995" w:type="dxa"/>
            <w:vAlign w:val="center"/>
          </w:tcPr>
          <w:p w14:paraId="269084C1">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6195B269">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00C312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8B681C2">
            <w:pPr>
              <w:numPr>
                <w:ilvl w:val="0"/>
                <w:numId w:val="1"/>
              </w:numPr>
              <w:spacing w:beforeLines="50"/>
              <w:jc w:val="center"/>
              <w:rPr>
                <w:rFonts w:ascii="宋体" w:hAnsi="宋体" w:cs="宋体"/>
                <w:sz w:val="24"/>
              </w:rPr>
            </w:pPr>
          </w:p>
        </w:tc>
        <w:tc>
          <w:tcPr>
            <w:tcW w:w="1995" w:type="dxa"/>
            <w:vAlign w:val="center"/>
          </w:tcPr>
          <w:p w14:paraId="139F0CD1">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5EDABA0">
            <w:pPr>
              <w:rPr>
                <w:rFonts w:ascii="宋体" w:hAnsi="宋体" w:cs="宋体"/>
                <w:sz w:val="24"/>
              </w:rPr>
            </w:pPr>
            <w:r>
              <w:rPr>
                <w:rFonts w:hint="eastAsia" w:ascii="宋体" w:hAnsi="宋体" w:cs="宋体"/>
                <w:sz w:val="24"/>
              </w:rPr>
              <w:t>响应文件递交截止期后60日内有效</w:t>
            </w:r>
          </w:p>
        </w:tc>
      </w:tr>
      <w:tr w14:paraId="2F2DCE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FCCC473">
            <w:pPr>
              <w:numPr>
                <w:ilvl w:val="0"/>
                <w:numId w:val="1"/>
              </w:numPr>
              <w:spacing w:beforeLines="50"/>
              <w:jc w:val="center"/>
              <w:rPr>
                <w:rFonts w:ascii="宋体" w:hAnsi="宋体" w:cs="宋体"/>
                <w:sz w:val="24"/>
              </w:rPr>
            </w:pPr>
          </w:p>
        </w:tc>
        <w:tc>
          <w:tcPr>
            <w:tcW w:w="1995" w:type="dxa"/>
            <w:vAlign w:val="center"/>
          </w:tcPr>
          <w:p w14:paraId="03CBC6B4">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4A06737D">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B7A0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F4B790">
            <w:pPr>
              <w:numPr>
                <w:ilvl w:val="0"/>
                <w:numId w:val="1"/>
              </w:numPr>
              <w:spacing w:beforeLines="50"/>
              <w:jc w:val="center"/>
              <w:rPr>
                <w:rFonts w:ascii="宋体" w:hAnsi="宋体" w:cs="宋体"/>
                <w:sz w:val="24"/>
              </w:rPr>
            </w:pPr>
          </w:p>
        </w:tc>
        <w:tc>
          <w:tcPr>
            <w:tcW w:w="1995" w:type="dxa"/>
            <w:vAlign w:val="center"/>
          </w:tcPr>
          <w:p w14:paraId="0B9A48B7">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38E597C4">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1A8903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E09A7AA">
            <w:pPr>
              <w:numPr>
                <w:ilvl w:val="0"/>
                <w:numId w:val="1"/>
              </w:numPr>
              <w:spacing w:beforeLines="50"/>
              <w:jc w:val="center"/>
              <w:rPr>
                <w:rFonts w:ascii="宋体" w:hAnsi="宋体" w:cs="宋体"/>
                <w:sz w:val="24"/>
              </w:rPr>
            </w:pPr>
          </w:p>
        </w:tc>
        <w:tc>
          <w:tcPr>
            <w:tcW w:w="1995" w:type="dxa"/>
            <w:vAlign w:val="center"/>
          </w:tcPr>
          <w:p w14:paraId="66A24415">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3E4C6A2">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B9C8E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8E8A20">
            <w:pPr>
              <w:numPr>
                <w:ilvl w:val="0"/>
                <w:numId w:val="1"/>
              </w:numPr>
              <w:spacing w:beforeLines="50"/>
              <w:jc w:val="center"/>
              <w:rPr>
                <w:rFonts w:ascii="宋体" w:hAnsi="宋体" w:cs="宋体"/>
                <w:sz w:val="24"/>
              </w:rPr>
            </w:pPr>
          </w:p>
        </w:tc>
        <w:tc>
          <w:tcPr>
            <w:tcW w:w="1995" w:type="dxa"/>
            <w:vAlign w:val="center"/>
          </w:tcPr>
          <w:p w14:paraId="4CE0ECE0">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0FB4E0E">
            <w:pPr>
              <w:rPr>
                <w:rFonts w:ascii="宋体" w:hAnsi="宋体" w:cs="宋体"/>
                <w:sz w:val="24"/>
              </w:rPr>
            </w:pPr>
            <w:r>
              <w:rPr>
                <w:rFonts w:hint="eastAsia" w:ascii="宋体" w:hAnsi="宋体" w:cs="宋体"/>
                <w:sz w:val="24"/>
              </w:rPr>
              <w:t>无</w:t>
            </w:r>
          </w:p>
        </w:tc>
      </w:tr>
      <w:tr w14:paraId="15EFFA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7C7580">
            <w:pPr>
              <w:numPr>
                <w:ilvl w:val="0"/>
                <w:numId w:val="1"/>
              </w:numPr>
              <w:spacing w:beforeLines="50"/>
              <w:jc w:val="center"/>
              <w:rPr>
                <w:rFonts w:ascii="宋体" w:hAnsi="宋体" w:cs="宋体"/>
                <w:sz w:val="24"/>
              </w:rPr>
            </w:pPr>
          </w:p>
        </w:tc>
        <w:tc>
          <w:tcPr>
            <w:tcW w:w="1995" w:type="dxa"/>
            <w:vAlign w:val="center"/>
          </w:tcPr>
          <w:p w14:paraId="4889D6B2">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145AFE8F">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338C86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09D6AAF">
            <w:pPr>
              <w:numPr>
                <w:ilvl w:val="0"/>
                <w:numId w:val="1"/>
              </w:numPr>
              <w:spacing w:beforeLines="50"/>
              <w:jc w:val="center"/>
              <w:rPr>
                <w:rFonts w:ascii="宋体" w:hAnsi="宋体" w:cs="宋体"/>
                <w:sz w:val="24"/>
              </w:rPr>
            </w:pPr>
          </w:p>
        </w:tc>
        <w:tc>
          <w:tcPr>
            <w:tcW w:w="1995" w:type="dxa"/>
            <w:vAlign w:val="center"/>
          </w:tcPr>
          <w:p w14:paraId="6C3FADD9">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966322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5D26A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DCE1184">
            <w:pPr>
              <w:numPr>
                <w:ilvl w:val="0"/>
                <w:numId w:val="1"/>
              </w:numPr>
              <w:spacing w:beforeLines="50"/>
              <w:jc w:val="center"/>
              <w:rPr>
                <w:rFonts w:ascii="宋体" w:hAnsi="宋体" w:cs="宋体"/>
                <w:sz w:val="24"/>
              </w:rPr>
            </w:pPr>
          </w:p>
        </w:tc>
        <w:tc>
          <w:tcPr>
            <w:tcW w:w="1995" w:type="dxa"/>
            <w:vAlign w:val="center"/>
          </w:tcPr>
          <w:p w14:paraId="54E07D4B">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002E989">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772E0304">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03E7AFEA">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6869DB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EE29C2">
            <w:pPr>
              <w:numPr>
                <w:ilvl w:val="0"/>
                <w:numId w:val="1"/>
              </w:numPr>
              <w:spacing w:beforeLines="50"/>
              <w:jc w:val="center"/>
              <w:rPr>
                <w:rFonts w:ascii="宋体" w:hAnsi="宋体" w:cs="宋体"/>
                <w:sz w:val="24"/>
              </w:rPr>
            </w:pPr>
          </w:p>
        </w:tc>
        <w:tc>
          <w:tcPr>
            <w:tcW w:w="1995" w:type="dxa"/>
            <w:vAlign w:val="center"/>
          </w:tcPr>
          <w:p w14:paraId="3ED99C41">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713EB2E6">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2AF804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9ACBD8A">
            <w:pPr>
              <w:numPr>
                <w:ilvl w:val="0"/>
                <w:numId w:val="1"/>
              </w:numPr>
              <w:spacing w:beforeLines="50"/>
              <w:jc w:val="center"/>
              <w:rPr>
                <w:rFonts w:ascii="宋体" w:hAnsi="宋体" w:cs="宋体"/>
                <w:sz w:val="24"/>
              </w:rPr>
            </w:pPr>
          </w:p>
        </w:tc>
        <w:tc>
          <w:tcPr>
            <w:tcW w:w="1995" w:type="dxa"/>
            <w:vAlign w:val="center"/>
          </w:tcPr>
          <w:p w14:paraId="7581BC44">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8669228">
            <w:pPr>
              <w:tabs>
                <w:tab w:val="left" w:pos="8640"/>
              </w:tabs>
              <w:rPr>
                <w:rFonts w:ascii="宋体" w:hAnsi="宋体" w:cs="宋体"/>
                <w:sz w:val="24"/>
              </w:rPr>
            </w:pPr>
            <w:r>
              <w:rPr>
                <w:rFonts w:hint="eastAsia" w:ascii="宋体" w:hAnsi="宋体" w:cs="宋体"/>
                <w:sz w:val="24"/>
              </w:rPr>
              <w:t>详见磋商文件第二章</w:t>
            </w:r>
          </w:p>
        </w:tc>
      </w:tr>
      <w:tr w14:paraId="1F3058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628E665">
            <w:pPr>
              <w:numPr>
                <w:ilvl w:val="0"/>
                <w:numId w:val="1"/>
              </w:numPr>
              <w:spacing w:beforeLines="50"/>
              <w:jc w:val="center"/>
              <w:rPr>
                <w:rFonts w:ascii="宋体" w:hAnsi="宋体" w:cs="宋体"/>
                <w:sz w:val="24"/>
              </w:rPr>
            </w:pPr>
          </w:p>
        </w:tc>
        <w:tc>
          <w:tcPr>
            <w:tcW w:w="1995" w:type="dxa"/>
            <w:vAlign w:val="center"/>
          </w:tcPr>
          <w:p w14:paraId="0C68B1D1">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40D92B31">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86FBB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F648741">
            <w:pPr>
              <w:numPr>
                <w:ilvl w:val="0"/>
                <w:numId w:val="1"/>
              </w:numPr>
              <w:spacing w:beforeLines="50"/>
              <w:jc w:val="center"/>
              <w:rPr>
                <w:rFonts w:ascii="宋体" w:hAnsi="宋体" w:cs="宋体"/>
                <w:sz w:val="24"/>
              </w:rPr>
            </w:pPr>
          </w:p>
        </w:tc>
        <w:tc>
          <w:tcPr>
            <w:tcW w:w="1995" w:type="dxa"/>
            <w:vAlign w:val="center"/>
          </w:tcPr>
          <w:p w14:paraId="341ABD2C">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1AF4F3B6">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48D12B64">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5589C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806C44E">
            <w:pPr>
              <w:numPr>
                <w:ilvl w:val="0"/>
                <w:numId w:val="1"/>
              </w:numPr>
              <w:spacing w:beforeLines="50"/>
              <w:jc w:val="center"/>
              <w:rPr>
                <w:rFonts w:ascii="宋体" w:hAnsi="宋体" w:cs="宋体"/>
                <w:sz w:val="24"/>
              </w:rPr>
            </w:pPr>
          </w:p>
        </w:tc>
        <w:tc>
          <w:tcPr>
            <w:tcW w:w="1995" w:type="dxa"/>
            <w:vAlign w:val="center"/>
          </w:tcPr>
          <w:p w14:paraId="526F7D4F">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6D72CD2">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04FD8C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EB66133">
            <w:pPr>
              <w:numPr>
                <w:ilvl w:val="0"/>
                <w:numId w:val="1"/>
              </w:numPr>
              <w:spacing w:beforeLines="50"/>
              <w:jc w:val="center"/>
              <w:rPr>
                <w:rFonts w:ascii="宋体" w:hAnsi="宋体" w:cs="宋体"/>
                <w:sz w:val="24"/>
              </w:rPr>
            </w:pPr>
          </w:p>
        </w:tc>
        <w:tc>
          <w:tcPr>
            <w:tcW w:w="1995" w:type="dxa"/>
            <w:vAlign w:val="center"/>
          </w:tcPr>
          <w:p w14:paraId="0F303373">
            <w:pPr>
              <w:jc w:val="center"/>
              <w:rPr>
                <w:rFonts w:ascii="宋体" w:hAnsi="宋体" w:cs="宋体"/>
                <w:sz w:val="24"/>
              </w:rPr>
            </w:pPr>
            <w:r>
              <w:rPr>
                <w:rFonts w:hint="eastAsia" w:ascii="宋体" w:hAnsi="宋体" w:cs="宋体"/>
                <w:sz w:val="24"/>
              </w:rPr>
              <w:t>服务期限</w:t>
            </w:r>
          </w:p>
        </w:tc>
        <w:tc>
          <w:tcPr>
            <w:tcW w:w="6615" w:type="dxa"/>
            <w:vAlign w:val="center"/>
          </w:tcPr>
          <w:p w14:paraId="3C6ECDBB">
            <w:pPr>
              <w:jc w:val="left"/>
              <w:rPr>
                <w:rFonts w:ascii="宋体" w:hAnsi="宋体" w:cs="宋体"/>
                <w:color w:val="auto"/>
                <w:sz w:val="24"/>
              </w:rPr>
            </w:pPr>
            <w:r>
              <w:rPr>
                <w:rFonts w:hint="eastAsia" w:ascii="宋体" w:hAnsi="宋体" w:cs="宋体"/>
                <w:color w:val="auto"/>
                <w:sz w:val="24"/>
              </w:rPr>
              <w:t>合同签订后120日历天</w:t>
            </w:r>
          </w:p>
        </w:tc>
      </w:tr>
      <w:tr w14:paraId="3C38D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DAF3AB8">
            <w:pPr>
              <w:numPr>
                <w:ilvl w:val="0"/>
                <w:numId w:val="1"/>
              </w:numPr>
              <w:spacing w:beforeLines="50"/>
              <w:jc w:val="center"/>
              <w:rPr>
                <w:rFonts w:ascii="宋体" w:hAnsi="宋体" w:cs="宋体"/>
                <w:sz w:val="24"/>
              </w:rPr>
            </w:pPr>
          </w:p>
        </w:tc>
        <w:tc>
          <w:tcPr>
            <w:tcW w:w="1995" w:type="dxa"/>
            <w:vAlign w:val="center"/>
          </w:tcPr>
          <w:p w14:paraId="12B04A2E">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02F1AC8A">
            <w:pPr>
              <w:jc w:val="left"/>
              <w:rPr>
                <w:rFonts w:hint="eastAsia" w:ascii="宋体" w:hAnsi="宋体" w:cs="宋体"/>
                <w:color w:val="auto"/>
                <w:sz w:val="24"/>
                <w:lang w:val="en-US" w:eastAsia="zh-CN"/>
              </w:rPr>
            </w:pPr>
            <w:r>
              <w:rPr>
                <w:rFonts w:hint="eastAsia" w:ascii="宋体" w:hAnsi="宋体" w:cs="宋体"/>
                <w:color w:val="auto"/>
                <w:sz w:val="24"/>
                <w:lang w:val="en-US" w:eastAsia="zh-CN"/>
              </w:rPr>
              <w:t>1.合同签订后，支付合同额50%预付款；</w:t>
            </w:r>
          </w:p>
          <w:p w14:paraId="0591410F">
            <w:pPr>
              <w:jc w:val="left"/>
              <w:rPr>
                <w:rFonts w:ascii="方正仿宋_GBK" w:hAnsi="方正仿宋_GBK" w:eastAsia="方正仿宋_GBK"/>
                <w:color w:val="auto"/>
                <w:sz w:val="32"/>
                <w:szCs w:val="24"/>
              </w:rPr>
            </w:pPr>
            <w:r>
              <w:rPr>
                <w:rFonts w:hint="eastAsia" w:ascii="宋体" w:hAnsi="宋体" w:cs="宋体"/>
                <w:color w:val="auto"/>
                <w:sz w:val="24"/>
                <w:lang w:val="en-US" w:eastAsia="zh-CN"/>
              </w:rPr>
              <w:t>2.项目验收合格后，支付合同额的50%；</w:t>
            </w:r>
          </w:p>
          <w:p w14:paraId="10FFFDC1">
            <w:pPr>
              <w:tabs>
                <w:tab w:val="left" w:pos="8640"/>
              </w:tabs>
              <w:jc w:val="left"/>
              <w:rPr>
                <w:rFonts w:ascii="宋体" w:hAnsi="宋体" w:cs="宋体"/>
                <w:color w:val="auto"/>
                <w:sz w:val="24"/>
              </w:rPr>
            </w:pPr>
          </w:p>
        </w:tc>
      </w:tr>
      <w:tr w14:paraId="116D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0F23390">
            <w:pPr>
              <w:numPr>
                <w:ilvl w:val="0"/>
                <w:numId w:val="1"/>
              </w:numPr>
              <w:spacing w:beforeLines="50"/>
              <w:jc w:val="center"/>
              <w:rPr>
                <w:rFonts w:ascii="宋体" w:hAnsi="宋体" w:cs="宋体"/>
                <w:sz w:val="24"/>
              </w:rPr>
            </w:pPr>
          </w:p>
        </w:tc>
        <w:tc>
          <w:tcPr>
            <w:tcW w:w="1995" w:type="dxa"/>
            <w:vAlign w:val="center"/>
          </w:tcPr>
          <w:p w14:paraId="364AF094">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37BF4506">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rPr>
              <w:t xml:space="preserve"> 否</w:t>
            </w:r>
          </w:p>
        </w:tc>
      </w:tr>
      <w:tr w14:paraId="4EA373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3F3F7BB">
            <w:pPr>
              <w:numPr>
                <w:ilvl w:val="0"/>
                <w:numId w:val="1"/>
              </w:numPr>
              <w:spacing w:beforeLines="50"/>
              <w:jc w:val="center"/>
              <w:rPr>
                <w:rFonts w:ascii="宋体" w:hAnsi="宋体" w:cs="宋体"/>
                <w:sz w:val="24"/>
              </w:rPr>
            </w:pPr>
          </w:p>
        </w:tc>
        <w:tc>
          <w:tcPr>
            <w:tcW w:w="1995" w:type="dxa"/>
            <w:vAlign w:val="center"/>
          </w:tcPr>
          <w:p w14:paraId="2AD02C56">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041E4C01">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rPr>
              <w:t>一次报价</w:t>
            </w:r>
          </w:p>
        </w:tc>
      </w:tr>
      <w:tr w14:paraId="39632F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0CADBB3">
            <w:pPr>
              <w:numPr>
                <w:ilvl w:val="0"/>
                <w:numId w:val="1"/>
              </w:numPr>
              <w:spacing w:beforeLines="50"/>
              <w:jc w:val="center"/>
              <w:rPr>
                <w:rFonts w:ascii="宋体" w:hAnsi="宋体" w:cs="宋体"/>
                <w:sz w:val="24"/>
              </w:rPr>
            </w:pPr>
          </w:p>
        </w:tc>
        <w:tc>
          <w:tcPr>
            <w:tcW w:w="1995" w:type="dxa"/>
            <w:vAlign w:val="center"/>
          </w:tcPr>
          <w:p w14:paraId="7E51EE7B">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项目所属行业</w:t>
            </w:r>
          </w:p>
        </w:tc>
        <w:tc>
          <w:tcPr>
            <w:tcW w:w="6615" w:type="dxa"/>
            <w:vAlign w:val="center"/>
          </w:tcPr>
          <w:p w14:paraId="33825CBE">
            <w:pPr>
              <w:tabs>
                <w:tab w:val="left" w:pos="8640"/>
              </w:tabs>
              <w:jc w:val="left"/>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软件和信息技术服务业</w:t>
            </w:r>
          </w:p>
        </w:tc>
      </w:tr>
    </w:tbl>
    <w:p w14:paraId="16B7B685">
      <w:pPr>
        <w:pStyle w:val="26"/>
        <w:ind w:firstLine="0" w:firstLineChars="0"/>
        <w:rPr>
          <w:rFonts w:ascii="宋体" w:hAnsi="宋体" w:cs="宋体"/>
          <w:b/>
          <w:sz w:val="30"/>
          <w:szCs w:val="30"/>
        </w:rPr>
      </w:pPr>
    </w:p>
    <w:p w14:paraId="28862F3B">
      <w:pPr>
        <w:spacing w:line="720" w:lineRule="auto"/>
        <w:jc w:val="center"/>
        <w:rPr>
          <w:rFonts w:ascii="宋体" w:hAnsi="宋体" w:cs="宋体"/>
          <w:b/>
          <w:sz w:val="30"/>
          <w:szCs w:val="30"/>
        </w:rPr>
      </w:pPr>
    </w:p>
    <w:p w14:paraId="7EECE1D4">
      <w:pPr>
        <w:spacing w:line="720" w:lineRule="auto"/>
        <w:jc w:val="center"/>
        <w:rPr>
          <w:rFonts w:ascii="宋体" w:hAnsi="宋体" w:cs="宋体"/>
          <w:b/>
          <w:sz w:val="30"/>
          <w:szCs w:val="30"/>
        </w:rPr>
      </w:pPr>
    </w:p>
    <w:p w14:paraId="07B934ED">
      <w:pPr>
        <w:pStyle w:val="35"/>
        <w:rPr>
          <w:rFonts w:ascii="宋体" w:hAnsi="宋体" w:cs="宋体"/>
          <w:b/>
          <w:sz w:val="30"/>
          <w:szCs w:val="30"/>
        </w:rPr>
      </w:pPr>
    </w:p>
    <w:p w14:paraId="53AA27B0">
      <w:pPr>
        <w:spacing w:line="720" w:lineRule="auto"/>
        <w:jc w:val="both"/>
        <w:rPr>
          <w:rFonts w:ascii="宋体" w:hAnsi="宋体" w:cs="宋体"/>
          <w:b/>
          <w:sz w:val="30"/>
          <w:szCs w:val="30"/>
        </w:rPr>
      </w:pPr>
    </w:p>
    <w:p w14:paraId="3F07854A">
      <w:pPr>
        <w:spacing w:line="720" w:lineRule="auto"/>
        <w:jc w:val="center"/>
        <w:rPr>
          <w:rFonts w:ascii="宋体" w:hAnsi="宋体" w:cs="宋体"/>
          <w:b/>
          <w:sz w:val="30"/>
          <w:szCs w:val="30"/>
        </w:rPr>
      </w:pPr>
      <w:r>
        <w:rPr>
          <w:rFonts w:hint="eastAsia" w:ascii="宋体" w:hAnsi="宋体" w:cs="宋体"/>
          <w:b/>
          <w:sz w:val="30"/>
          <w:szCs w:val="30"/>
        </w:rPr>
        <w:t>一、总则</w:t>
      </w:r>
    </w:p>
    <w:p w14:paraId="68525798">
      <w:pPr>
        <w:spacing w:line="560" w:lineRule="exact"/>
        <w:ind w:firstLine="482" w:firstLineChars="200"/>
        <w:rPr>
          <w:rFonts w:ascii="宋体" w:hAnsi="宋体" w:cs="宋体"/>
          <w:sz w:val="24"/>
        </w:rPr>
      </w:pPr>
      <w:r>
        <w:rPr>
          <w:rFonts w:hint="eastAsia" w:ascii="宋体" w:hAnsi="宋体" w:cs="宋体"/>
          <w:b/>
          <w:sz w:val="24"/>
        </w:rPr>
        <w:t>1．适用范围</w:t>
      </w:r>
    </w:p>
    <w:p w14:paraId="6FCD9077">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774061B">
      <w:pPr>
        <w:spacing w:line="560" w:lineRule="exact"/>
        <w:ind w:firstLine="482" w:firstLineChars="200"/>
        <w:rPr>
          <w:rFonts w:ascii="宋体" w:hAnsi="宋体" w:cs="宋体"/>
          <w:b/>
          <w:sz w:val="24"/>
        </w:rPr>
      </w:pPr>
      <w:r>
        <w:rPr>
          <w:rFonts w:hint="eastAsia" w:ascii="宋体" w:hAnsi="宋体" w:cs="宋体"/>
          <w:b/>
          <w:sz w:val="24"/>
        </w:rPr>
        <w:t>2．定义</w:t>
      </w:r>
    </w:p>
    <w:p w14:paraId="23954EA6">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3C3716D1">
      <w:pPr>
        <w:tabs>
          <w:tab w:val="left" w:pos="0"/>
        </w:tabs>
        <w:spacing w:line="560" w:lineRule="exact"/>
        <w:ind w:firstLine="480" w:firstLineChars="200"/>
        <w:rPr>
          <w:rFonts w:hint="eastAsia"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周口职业技术学院</w:t>
      </w:r>
    </w:p>
    <w:p w14:paraId="44CE37F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38E375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99EA947">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63EEB866">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27E633E">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A75A90E">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43A01D62">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A7474EA">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20D00B7">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448756D4">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C700F9F">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07A8E605">
      <w:pPr>
        <w:spacing w:line="560" w:lineRule="exact"/>
        <w:ind w:firstLine="482" w:firstLineChars="200"/>
        <w:rPr>
          <w:rFonts w:ascii="宋体" w:hAnsi="宋体" w:cs="宋体"/>
          <w:b/>
          <w:sz w:val="24"/>
        </w:rPr>
      </w:pPr>
      <w:r>
        <w:rPr>
          <w:rFonts w:hint="eastAsia" w:ascii="宋体" w:hAnsi="宋体" w:cs="宋体"/>
          <w:b/>
          <w:sz w:val="24"/>
        </w:rPr>
        <w:t>3.采购预算</w:t>
      </w:r>
    </w:p>
    <w:p w14:paraId="6D143A4E">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7448BC6">
      <w:pPr>
        <w:spacing w:line="560" w:lineRule="exact"/>
        <w:ind w:firstLine="482" w:firstLineChars="200"/>
        <w:rPr>
          <w:rFonts w:ascii="宋体" w:hAnsi="宋体" w:cs="宋体"/>
          <w:b/>
          <w:sz w:val="24"/>
        </w:rPr>
      </w:pPr>
      <w:r>
        <w:rPr>
          <w:rFonts w:hint="eastAsia" w:ascii="宋体" w:hAnsi="宋体" w:cs="宋体"/>
          <w:b/>
          <w:sz w:val="24"/>
        </w:rPr>
        <w:t>4.合格的供应商</w:t>
      </w:r>
    </w:p>
    <w:p w14:paraId="1344ACDA">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71D5A93B">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74F0079">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D232A9F">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248F03FB">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65B81E89">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36105F5C">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22667929">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2977CE4F">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65B17982">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6282460E">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766EB2AF">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A4F16A">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280D8C22">
      <w:pPr>
        <w:pStyle w:val="26"/>
        <w:ind w:firstLine="480"/>
        <w:rPr>
          <w:rFonts w:ascii="宋体" w:hAnsi="宋体" w:eastAsia="宋体" w:cs="宋体"/>
          <w:sz w:val="24"/>
        </w:rPr>
      </w:pPr>
    </w:p>
    <w:p w14:paraId="4FE3A4AC">
      <w:pPr>
        <w:spacing w:line="720" w:lineRule="auto"/>
        <w:jc w:val="center"/>
        <w:rPr>
          <w:rFonts w:ascii="宋体" w:hAnsi="宋体" w:cs="宋体"/>
          <w:b/>
          <w:sz w:val="24"/>
        </w:rPr>
      </w:pPr>
      <w:r>
        <w:rPr>
          <w:rFonts w:hint="eastAsia" w:ascii="宋体" w:hAnsi="宋体" w:cs="宋体"/>
          <w:b/>
          <w:sz w:val="24"/>
        </w:rPr>
        <w:t>二、竞争性磋商文件</w:t>
      </w:r>
    </w:p>
    <w:p w14:paraId="01B50581">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3AD9A8D0">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929F3CC">
      <w:pPr>
        <w:spacing w:line="560" w:lineRule="exact"/>
        <w:ind w:firstLine="480" w:firstLineChars="200"/>
        <w:rPr>
          <w:rFonts w:ascii="宋体" w:hAnsi="宋体" w:cs="宋体"/>
          <w:sz w:val="24"/>
        </w:rPr>
      </w:pPr>
      <w:r>
        <w:rPr>
          <w:rFonts w:hint="eastAsia" w:ascii="宋体" w:hAnsi="宋体" w:cs="宋体"/>
          <w:sz w:val="24"/>
        </w:rPr>
        <w:t>（1）竞争性磋商邀请函；</w:t>
      </w:r>
    </w:p>
    <w:p w14:paraId="6FE4C701">
      <w:pPr>
        <w:spacing w:line="560" w:lineRule="exact"/>
        <w:ind w:firstLine="480" w:firstLineChars="200"/>
        <w:rPr>
          <w:rFonts w:ascii="宋体" w:hAnsi="宋体" w:cs="宋体"/>
          <w:sz w:val="24"/>
        </w:rPr>
      </w:pPr>
      <w:r>
        <w:rPr>
          <w:rFonts w:hint="eastAsia" w:ascii="宋体" w:hAnsi="宋体" w:cs="宋体"/>
          <w:sz w:val="24"/>
        </w:rPr>
        <w:t>（2）供应商须知；</w:t>
      </w:r>
    </w:p>
    <w:p w14:paraId="5A6C21DE">
      <w:pPr>
        <w:spacing w:line="560" w:lineRule="exact"/>
        <w:ind w:firstLine="480" w:firstLineChars="200"/>
        <w:rPr>
          <w:rFonts w:ascii="宋体" w:hAnsi="宋体" w:cs="宋体"/>
          <w:sz w:val="24"/>
        </w:rPr>
      </w:pPr>
      <w:r>
        <w:rPr>
          <w:rFonts w:hint="eastAsia" w:ascii="宋体" w:hAnsi="宋体" w:cs="宋体"/>
          <w:sz w:val="24"/>
        </w:rPr>
        <w:t>（3）采购需求；</w:t>
      </w:r>
    </w:p>
    <w:p w14:paraId="6FC45361">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CBFE6A2">
      <w:pPr>
        <w:spacing w:line="560" w:lineRule="exact"/>
        <w:ind w:firstLine="480" w:firstLineChars="200"/>
        <w:rPr>
          <w:rFonts w:ascii="宋体" w:hAnsi="宋体" w:cs="宋体"/>
          <w:sz w:val="24"/>
        </w:rPr>
      </w:pPr>
      <w:r>
        <w:rPr>
          <w:rFonts w:hint="eastAsia" w:ascii="宋体" w:hAnsi="宋体" w:cs="宋体"/>
          <w:sz w:val="24"/>
        </w:rPr>
        <w:t>（5）合同主要条款。</w:t>
      </w:r>
    </w:p>
    <w:p w14:paraId="184EA968">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87BAE9A">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38CA688">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153FBFD0">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6F4FCFD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A5E56F">
      <w:pPr>
        <w:spacing w:line="720" w:lineRule="auto"/>
        <w:jc w:val="center"/>
        <w:rPr>
          <w:rFonts w:ascii="宋体" w:hAnsi="宋体" w:cs="宋体"/>
          <w:b/>
          <w:sz w:val="24"/>
        </w:rPr>
      </w:pPr>
      <w:r>
        <w:rPr>
          <w:rFonts w:hint="eastAsia" w:ascii="宋体" w:hAnsi="宋体" w:cs="宋体"/>
          <w:b/>
          <w:sz w:val="24"/>
        </w:rPr>
        <w:t>三、响应性文件的编制</w:t>
      </w:r>
    </w:p>
    <w:p w14:paraId="4F15C475">
      <w:pPr>
        <w:spacing w:line="560" w:lineRule="exact"/>
        <w:ind w:firstLine="482" w:firstLineChars="200"/>
        <w:rPr>
          <w:rFonts w:ascii="宋体" w:hAnsi="宋体" w:cs="宋体"/>
          <w:b/>
          <w:bCs/>
          <w:sz w:val="24"/>
        </w:rPr>
      </w:pPr>
      <w:r>
        <w:rPr>
          <w:rFonts w:hint="eastAsia" w:ascii="宋体" w:hAnsi="宋体" w:cs="宋体"/>
          <w:b/>
          <w:bCs/>
          <w:sz w:val="24"/>
        </w:rPr>
        <w:t>8.要求</w:t>
      </w:r>
    </w:p>
    <w:p w14:paraId="7258DD09">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FD5E3EF">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7ED82DF">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3DE70E8F">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13757C62">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E8BAA18">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4012604">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86BE25E">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0E7236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0F7B386">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3B77D91A">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4F0C7F23">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FBC7F3F">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32CBF98B">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224F438">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3981EE19">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4D43EC5">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12E19582">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4C4615C">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2EB0D3F2">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DA71D73">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7FF2139">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08E43EF">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D295D97">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1A8B548">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5FED78F4">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2D00D3EF">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56C4FA96">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16836FC2">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52BC60F7">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1BFC5C6B">
      <w:pPr>
        <w:spacing w:line="560" w:lineRule="exact"/>
        <w:rPr>
          <w:rFonts w:ascii="宋体" w:hAnsi="宋体" w:cs="宋体"/>
          <w:b/>
          <w:sz w:val="24"/>
        </w:rPr>
      </w:pPr>
      <w:r>
        <w:rPr>
          <w:rFonts w:hint="eastAsia" w:ascii="宋体" w:hAnsi="宋体" w:cs="宋体"/>
          <w:b/>
          <w:sz w:val="24"/>
        </w:rPr>
        <w:t>16.响应性文件的递交</w:t>
      </w:r>
    </w:p>
    <w:p w14:paraId="7E14893A">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7558AC01">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617F471A">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527BA3B7">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84F230D">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F403E12">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0EF3E8A">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5C7A4806">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0BCD81FC">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43D8C273">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27425312">
      <w:pPr>
        <w:spacing w:line="720" w:lineRule="auto"/>
        <w:jc w:val="center"/>
        <w:rPr>
          <w:rFonts w:ascii="宋体" w:hAnsi="宋体" w:cs="宋体"/>
          <w:b/>
          <w:sz w:val="24"/>
        </w:rPr>
      </w:pPr>
      <w:r>
        <w:rPr>
          <w:rFonts w:hint="eastAsia" w:ascii="宋体" w:hAnsi="宋体" w:cs="宋体"/>
          <w:b/>
          <w:sz w:val="24"/>
        </w:rPr>
        <w:t>五、竞争性磋商</w:t>
      </w:r>
    </w:p>
    <w:p w14:paraId="20225F10">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F833488">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BFE31C7">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72F1607D">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21615EEC">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E0A8682">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AFBFC2B">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30027F7">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D4E3839">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CA298A1">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46AC12C">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180F4243">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E18002B">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213C7C6">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A9F75A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21B09">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4C900C8">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FEC16AE">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84433A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5C3925F">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161D7DFD">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7B89C604">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404756C5">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63B73F39">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5A8A8BAF">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68A21E1">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58FE948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033C8FD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4EAF2BB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539AC12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0DCD918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43C1F00D">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0F7FAE8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3CE804B">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4F10EDEE">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0DEE7EAC">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52A8044E">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0C1B75DB">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3BB8DF7">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25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0AA2621">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E9E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04D2C05">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272EA6E">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150346E">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348D77B">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38A9D61">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3A36F8C">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0B148A66">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5D0F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9B9C1E7">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D7D76CD">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0248AF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968EE99">
            <w:pPr>
              <w:adjustRightInd w:val="0"/>
              <w:snapToGrid w:val="0"/>
              <w:spacing w:line="360" w:lineRule="auto"/>
              <w:ind w:right="-10"/>
              <w:rPr>
                <w:rFonts w:ascii="宋体" w:hAnsi="宋体" w:cs="宋体"/>
                <w:sz w:val="24"/>
              </w:rPr>
            </w:pPr>
          </w:p>
        </w:tc>
        <w:tc>
          <w:tcPr>
            <w:tcW w:w="2371" w:type="dxa"/>
            <w:vAlign w:val="center"/>
          </w:tcPr>
          <w:p w14:paraId="7CDF119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10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BB0126">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EC753A7">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267AA70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D29D063">
            <w:pPr>
              <w:adjustRightInd w:val="0"/>
              <w:snapToGrid w:val="0"/>
              <w:spacing w:line="360" w:lineRule="auto"/>
              <w:ind w:right="-10"/>
              <w:rPr>
                <w:rFonts w:ascii="宋体" w:hAnsi="宋体" w:cs="宋体"/>
                <w:sz w:val="24"/>
              </w:rPr>
            </w:pPr>
          </w:p>
        </w:tc>
        <w:tc>
          <w:tcPr>
            <w:tcW w:w="2371" w:type="dxa"/>
            <w:vAlign w:val="center"/>
          </w:tcPr>
          <w:p w14:paraId="1F71DEC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DEB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A7AEF9E">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320DFCA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1A208D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A5A70C9">
            <w:pPr>
              <w:adjustRightInd w:val="0"/>
              <w:snapToGrid w:val="0"/>
              <w:spacing w:line="360" w:lineRule="auto"/>
              <w:ind w:right="-10"/>
              <w:rPr>
                <w:rFonts w:ascii="宋体" w:hAnsi="宋体" w:cs="宋体"/>
                <w:sz w:val="24"/>
              </w:rPr>
            </w:pPr>
          </w:p>
        </w:tc>
        <w:tc>
          <w:tcPr>
            <w:tcW w:w="2371" w:type="dxa"/>
            <w:vAlign w:val="center"/>
          </w:tcPr>
          <w:p w14:paraId="1A9B97A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B8B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7D0B9E1">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48E8F2F">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2DB3FD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D8265BA">
            <w:pPr>
              <w:adjustRightInd w:val="0"/>
              <w:snapToGrid w:val="0"/>
              <w:spacing w:line="360" w:lineRule="auto"/>
              <w:ind w:right="-10"/>
              <w:rPr>
                <w:rFonts w:ascii="宋体" w:hAnsi="宋体" w:cs="宋体"/>
                <w:sz w:val="24"/>
              </w:rPr>
            </w:pPr>
          </w:p>
        </w:tc>
        <w:tc>
          <w:tcPr>
            <w:tcW w:w="2371" w:type="dxa"/>
            <w:vAlign w:val="center"/>
          </w:tcPr>
          <w:p w14:paraId="49DC576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BD0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DA0AED5">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EF320AE">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457EB5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BE16C4D">
            <w:pPr>
              <w:adjustRightInd w:val="0"/>
              <w:snapToGrid w:val="0"/>
              <w:spacing w:line="360" w:lineRule="auto"/>
              <w:ind w:right="-10"/>
              <w:rPr>
                <w:rFonts w:ascii="宋体" w:hAnsi="宋体" w:cs="宋体"/>
                <w:sz w:val="24"/>
              </w:rPr>
            </w:pPr>
          </w:p>
        </w:tc>
        <w:tc>
          <w:tcPr>
            <w:tcW w:w="2371" w:type="dxa"/>
            <w:vAlign w:val="center"/>
          </w:tcPr>
          <w:p w14:paraId="7A7C013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D9B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398E981">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7B07F98C">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3A145A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7F77883">
            <w:pPr>
              <w:adjustRightInd w:val="0"/>
              <w:snapToGrid w:val="0"/>
              <w:spacing w:line="360" w:lineRule="auto"/>
              <w:ind w:right="-10"/>
              <w:rPr>
                <w:rFonts w:ascii="宋体" w:hAnsi="宋体" w:cs="宋体"/>
                <w:sz w:val="24"/>
              </w:rPr>
            </w:pPr>
          </w:p>
        </w:tc>
        <w:tc>
          <w:tcPr>
            <w:tcW w:w="2371" w:type="dxa"/>
            <w:vAlign w:val="center"/>
          </w:tcPr>
          <w:p w14:paraId="429C795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888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1235A59">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D558910">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CDDEEF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4AA131D">
            <w:pPr>
              <w:adjustRightInd w:val="0"/>
              <w:snapToGrid w:val="0"/>
              <w:spacing w:line="360" w:lineRule="auto"/>
              <w:ind w:right="-10"/>
              <w:rPr>
                <w:rFonts w:ascii="宋体" w:hAnsi="宋体" w:cs="宋体"/>
                <w:sz w:val="24"/>
              </w:rPr>
            </w:pPr>
          </w:p>
        </w:tc>
        <w:tc>
          <w:tcPr>
            <w:tcW w:w="2371" w:type="dxa"/>
            <w:vAlign w:val="center"/>
          </w:tcPr>
          <w:p w14:paraId="3B34158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192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488978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DCBE3ED">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6023A25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698CC3B">
            <w:pPr>
              <w:adjustRightInd w:val="0"/>
              <w:snapToGrid w:val="0"/>
              <w:spacing w:line="360" w:lineRule="auto"/>
              <w:ind w:right="-10"/>
              <w:rPr>
                <w:rFonts w:ascii="宋体" w:hAnsi="宋体" w:cs="宋体"/>
                <w:sz w:val="24"/>
              </w:rPr>
            </w:pPr>
          </w:p>
        </w:tc>
        <w:tc>
          <w:tcPr>
            <w:tcW w:w="2371" w:type="dxa"/>
            <w:vAlign w:val="center"/>
          </w:tcPr>
          <w:p w14:paraId="23CF88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2BD1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3C7823E">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0E2006E7">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A922FB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D323B37">
            <w:pPr>
              <w:adjustRightInd w:val="0"/>
              <w:snapToGrid w:val="0"/>
              <w:spacing w:line="360" w:lineRule="auto"/>
              <w:ind w:right="-10"/>
              <w:rPr>
                <w:rFonts w:ascii="宋体" w:hAnsi="宋体" w:cs="宋体"/>
                <w:sz w:val="24"/>
              </w:rPr>
            </w:pPr>
          </w:p>
        </w:tc>
        <w:tc>
          <w:tcPr>
            <w:tcW w:w="2371" w:type="dxa"/>
            <w:vAlign w:val="center"/>
          </w:tcPr>
          <w:p w14:paraId="110E8F8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526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72FB939">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2E5645D6">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A27360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699D955">
            <w:pPr>
              <w:adjustRightInd w:val="0"/>
              <w:snapToGrid w:val="0"/>
              <w:spacing w:line="360" w:lineRule="auto"/>
              <w:ind w:right="-10"/>
              <w:rPr>
                <w:rFonts w:ascii="宋体" w:hAnsi="宋体" w:cs="宋体"/>
                <w:sz w:val="24"/>
              </w:rPr>
            </w:pPr>
          </w:p>
        </w:tc>
        <w:tc>
          <w:tcPr>
            <w:tcW w:w="2371" w:type="dxa"/>
            <w:vAlign w:val="center"/>
          </w:tcPr>
          <w:p w14:paraId="7E768EA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6C3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AED7A48">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B7E04D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E3A387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A3ABF5">
            <w:pPr>
              <w:adjustRightInd w:val="0"/>
              <w:snapToGrid w:val="0"/>
              <w:spacing w:line="360" w:lineRule="auto"/>
              <w:ind w:right="-10"/>
              <w:rPr>
                <w:rFonts w:ascii="宋体" w:hAnsi="宋体" w:cs="宋体"/>
                <w:sz w:val="24"/>
              </w:rPr>
            </w:pPr>
          </w:p>
        </w:tc>
        <w:tc>
          <w:tcPr>
            <w:tcW w:w="2371" w:type="dxa"/>
            <w:vAlign w:val="center"/>
          </w:tcPr>
          <w:p w14:paraId="16C94B3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D29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9CC938C">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83FB504">
            <w:pPr>
              <w:spacing w:after="50" w:line="360" w:lineRule="auto"/>
              <w:ind w:right="-10"/>
              <w:jc w:val="center"/>
              <w:rPr>
                <w:rFonts w:ascii="宋体" w:hAnsi="宋体" w:cs="宋体"/>
                <w:bCs/>
                <w:sz w:val="24"/>
              </w:rPr>
            </w:pPr>
          </w:p>
        </w:tc>
        <w:tc>
          <w:tcPr>
            <w:tcW w:w="1937" w:type="dxa"/>
            <w:vAlign w:val="center"/>
          </w:tcPr>
          <w:p w14:paraId="2C4CAE87">
            <w:pPr>
              <w:spacing w:after="50" w:line="360" w:lineRule="auto"/>
              <w:ind w:right="-10"/>
              <w:jc w:val="center"/>
              <w:rPr>
                <w:rFonts w:ascii="宋体" w:hAnsi="宋体" w:cs="宋体"/>
                <w:sz w:val="24"/>
              </w:rPr>
            </w:pPr>
          </w:p>
        </w:tc>
        <w:tc>
          <w:tcPr>
            <w:tcW w:w="825" w:type="dxa"/>
            <w:vAlign w:val="center"/>
          </w:tcPr>
          <w:p w14:paraId="20477C02">
            <w:pPr>
              <w:adjustRightInd w:val="0"/>
              <w:snapToGrid w:val="0"/>
              <w:spacing w:line="360" w:lineRule="auto"/>
              <w:ind w:right="-10"/>
              <w:rPr>
                <w:rFonts w:ascii="宋体" w:hAnsi="宋体" w:cs="宋体"/>
                <w:sz w:val="24"/>
              </w:rPr>
            </w:pPr>
          </w:p>
        </w:tc>
        <w:tc>
          <w:tcPr>
            <w:tcW w:w="2371" w:type="dxa"/>
            <w:vAlign w:val="center"/>
          </w:tcPr>
          <w:p w14:paraId="529DCAE6">
            <w:pPr>
              <w:adjustRightInd w:val="0"/>
              <w:snapToGrid w:val="0"/>
              <w:spacing w:line="360" w:lineRule="auto"/>
              <w:ind w:right="-10"/>
              <w:jc w:val="center"/>
              <w:rPr>
                <w:rFonts w:ascii="宋体" w:hAnsi="宋体" w:cs="宋体"/>
                <w:sz w:val="24"/>
              </w:rPr>
            </w:pPr>
          </w:p>
        </w:tc>
      </w:tr>
      <w:tr w14:paraId="1808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B0CDD4E">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D16D4F5">
            <w:pPr>
              <w:spacing w:after="50" w:line="360" w:lineRule="auto"/>
              <w:ind w:right="-10"/>
              <w:jc w:val="center"/>
              <w:rPr>
                <w:rFonts w:ascii="宋体" w:hAnsi="宋体" w:cs="宋体"/>
                <w:sz w:val="24"/>
              </w:rPr>
            </w:pPr>
          </w:p>
        </w:tc>
        <w:tc>
          <w:tcPr>
            <w:tcW w:w="1937" w:type="dxa"/>
            <w:vAlign w:val="center"/>
          </w:tcPr>
          <w:p w14:paraId="770A4A2D">
            <w:pPr>
              <w:spacing w:after="50" w:line="360" w:lineRule="auto"/>
              <w:ind w:right="-10"/>
              <w:jc w:val="center"/>
              <w:rPr>
                <w:rFonts w:ascii="宋体" w:hAnsi="宋体" w:cs="宋体"/>
                <w:sz w:val="24"/>
              </w:rPr>
            </w:pPr>
          </w:p>
        </w:tc>
        <w:tc>
          <w:tcPr>
            <w:tcW w:w="825" w:type="dxa"/>
            <w:vAlign w:val="center"/>
          </w:tcPr>
          <w:p w14:paraId="530ECC12">
            <w:pPr>
              <w:adjustRightInd w:val="0"/>
              <w:snapToGrid w:val="0"/>
              <w:spacing w:line="360" w:lineRule="auto"/>
              <w:ind w:right="-10"/>
              <w:rPr>
                <w:rFonts w:ascii="宋体" w:hAnsi="宋体" w:cs="宋体"/>
                <w:sz w:val="24"/>
              </w:rPr>
            </w:pPr>
          </w:p>
        </w:tc>
        <w:tc>
          <w:tcPr>
            <w:tcW w:w="2371" w:type="dxa"/>
            <w:vAlign w:val="center"/>
          </w:tcPr>
          <w:p w14:paraId="0B2C0296">
            <w:pPr>
              <w:adjustRightInd w:val="0"/>
              <w:snapToGrid w:val="0"/>
              <w:spacing w:line="360" w:lineRule="auto"/>
              <w:ind w:right="-10"/>
              <w:jc w:val="center"/>
              <w:rPr>
                <w:rFonts w:ascii="宋体" w:hAnsi="宋体" w:cs="宋体"/>
                <w:sz w:val="24"/>
              </w:rPr>
            </w:pPr>
          </w:p>
        </w:tc>
      </w:tr>
      <w:tr w14:paraId="0342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7CF4E24">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7FBD5DE7">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9D73A6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2FB6526">
      <w:pPr>
        <w:pStyle w:val="37"/>
        <w:rPr>
          <w:rFonts w:ascii="宋体" w:hAnsi="宋体" w:cs="宋体"/>
          <w:sz w:val="24"/>
          <w:szCs w:val="24"/>
        </w:rPr>
      </w:pPr>
    </w:p>
    <w:p w14:paraId="23FD5C7B">
      <w:pPr>
        <w:pStyle w:val="37"/>
        <w:rPr>
          <w:rFonts w:ascii="宋体" w:hAnsi="宋体" w:cs="宋体"/>
          <w:sz w:val="24"/>
          <w:szCs w:val="24"/>
        </w:rPr>
      </w:pPr>
    </w:p>
    <w:p w14:paraId="234D0DF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3B81657E">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707CD1">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39FBDD0">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FAF49CB">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40E8C2A1">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2D6123F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53E88E8F">
      <w:pPr>
        <w:spacing w:line="560" w:lineRule="exact"/>
        <w:ind w:firstLine="482" w:firstLineChars="200"/>
        <w:rPr>
          <w:rFonts w:ascii="宋体" w:hAnsi="宋体" w:cs="宋体"/>
          <w:b/>
          <w:sz w:val="24"/>
        </w:rPr>
      </w:pPr>
      <w:r>
        <w:rPr>
          <w:rFonts w:hint="eastAsia" w:ascii="宋体" w:hAnsi="宋体" w:cs="宋体"/>
          <w:b/>
          <w:sz w:val="24"/>
        </w:rPr>
        <w:t>21.竞争性磋商</w:t>
      </w:r>
    </w:p>
    <w:p w14:paraId="141D58B6">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563F1D1">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7ADA25A">
      <w:pPr>
        <w:spacing w:line="560" w:lineRule="exact"/>
        <w:ind w:firstLine="480" w:firstLineChars="200"/>
        <w:rPr>
          <w:rFonts w:ascii="宋体" w:hAnsi="宋体" w:cs="宋体"/>
          <w:sz w:val="24"/>
        </w:rPr>
      </w:pPr>
      <w:r>
        <w:rPr>
          <w:rFonts w:hint="eastAsia" w:ascii="宋体" w:hAnsi="宋体" w:cs="宋体"/>
          <w:sz w:val="24"/>
        </w:rPr>
        <w:t>21.3磋商内容包括：</w:t>
      </w:r>
    </w:p>
    <w:p w14:paraId="5DD804F7">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5197507">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A4B6151">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7B31864">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6BA3455">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E2FEEE1">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1C632B0">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3EFC939E">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lang w:val="zh-CN"/>
        </w:rPr>
        <w:t>21.5报价</w:t>
      </w:r>
    </w:p>
    <w:p w14:paraId="7C4F3648">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1</w:t>
      </w:r>
      <w:r>
        <w:rPr>
          <w:rFonts w:hint="eastAsia" w:ascii="宋体" w:hAnsi="宋体" w:eastAsia="宋体" w:cs="宋体"/>
          <w:color w:val="FF0000"/>
          <w:sz w:val="24"/>
          <w:lang w:val="zh-CN"/>
        </w:rPr>
        <w:t>一次报价依据</w:t>
      </w:r>
      <w:r>
        <w:rPr>
          <w:rFonts w:hint="eastAsia" w:ascii="宋体" w:hAnsi="宋体" w:eastAsia="宋体" w:cs="宋体"/>
          <w:color w:val="FF0000"/>
          <w:sz w:val="24"/>
          <w:lang w:val="en-US" w:eastAsia="zh-CN"/>
        </w:rPr>
        <w:t>是</w:t>
      </w:r>
      <w:r>
        <w:rPr>
          <w:rFonts w:hint="eastAsia" w:ascii="宋体" w:hAnsi="宋体" w:eastAsia="宋体" w:cs="宋体"/>
          <w:color w:val="FF0000"/>
          <w:sz w:val="24"/>
          <w:lang w:val="zh-CN"/>
        </w:rPr>
        <w:t>供应商的投标函和开标记。</w:t>
      </w:r>
    </w:p>
    <w:p w14:paraId="34BE9FE1">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如有多次报价，</w:t>
      </w:r>
      <w:r>
        <w:rPr>
          <w:rFonts w:hint="eastAsia" w:ascii="宋体" w:hAnsi="宋体" w:eastAsia="宋体" w:cs="宋体"/>
          <w:color w:val="FF0000"/>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FF0000"/>
          <w:sz w:val="24"/>
          <w:lang w:val="en-US" w:eastAsia="zh-CN"/>
        </w:rPr>
        <w:t>报价次数见供应商须知前附表。</w:t>
      </w:r>
    </w:p>
    <w:p w14:paraId="3A9B6EB4">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0BC3CCBB">
      <w:pPr>
        <w:pStyle w:val="35"/>
        <w:rPr>
          <w:rFonts w:hint="default" w:ascii="宋体" w:hAnsi="宋体" w:eastAsia="宋体" w:cs="宋体"/>
          <w:color w:val="FF0000"/>
          <w:kern w:val="2"/>
          <w:sz w:val="24"/>
          <w:szCs w:val="24"/>
          <w:lang w:val="en-US" w:eastAsia="zh-CN" w:bidi="ar-SA"/>
        </w:rPr>
      </w:pPr>
    </w:p>
    <w:p w14:paraId="5FB0A635">
      <w:pPr>
        <w:pStyle w:val="35"/>
        <w:rPr>
          <w:rFonts w:hint="default" w:ascii="宋体" w:hAnsi="宋体" w:eastAsia="宋体" w:cs="宋体"/>
          <w:color w:val="FF0000"/>
          <w:kern w:val="2"/>
          <w:sz w:val="24"/>
          <w:szCs w:val="24"/>
          <w:lang w:val="en-US" w:eastAsia="zh-CN" w:bidi="ar-SA"/>
        </w:rPr>
      </w:pPr>
    </w:p>
    <w:p w14:paraId="0F802FEC">
      <w:pPr>
        <w:spacing w:line="720" w:lineRule="auto"/>
        <w:jc w:val="center"/>
        <w:rPr>
          <w:rFonts w:ascii="宋体" w:hAnsi="宋体" w:cs="宋体"/>
          <w:b/>
          <w:sz w:val="24"/>
        </w:rPr>
      </w:pPr>
      <w:r>
        <w:rPr>
          <w:rFonts w:hint="eastAsia" w:ascii="宋体" w:hAnsi="宋体" w:cs="宋体"/>
          <w:b/>
          <w:sz w:val="24"/>
        </w:rPr>
        <w:t>六、评定标准</w:t>
      </w:r>
    </w:p>
    <w:p w14:paraId="57C4719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302D77C3">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51D7035">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0F3CB1B0">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21F5E70A">
      <w:pPr>
        <w:spacing w:line="360" w:lineRule="auto"/>
        <w:ind w:right="-92" w:rightChars="-44"/>
        <w:rPr>
          <w:rFonts w:ascii="宋体" w:hAnsi="宋体" w:cs="宋体"/>
          <w:sz w:val="24"/>
        </w:rPr>
      </w:pPr>
      <w:r>
        <w:rPr>
          <w:rFonts w:hint="eastAsia" w:ascii="宋体" w:hAnsi="宋体" w:cs="宋体"/>
          <w:sz w:val="24"/>
        </w:rPr>
        <w:t>评标方法：</w:t>
      </w:r>
    </w:p>
    <w:p w14:paraId="1495D30B">
      <w:pPr>
        <w:spacing w:line="360" w:lineRule="auto"/>
        <w:ind w:right="-92" w:rightChars="-44"/>
        <w:rPr>
          <w:rFonts w:ascii="宋体" w:hAnsi="宋体" w:eastAsia="宋体" w:cs="宋体"/>
          <w:b/>
          <w:bCs/>
          <w:sz w:val="28"/>
          <w:szCs w:val="28"/>
        </w:rPr>
      </w:pPr>
      <w:r>
        <w:rPr>
          <w:rFonts w:hint="eastAsia" w:ascii="宋体" w:hAnsi="宋体" w:eastAsia="宋体" w:cs="宋体"/>
          <w:b/>
          <w:bCs/>
          <w:sz w:val="28"/>
          <w:szCs w:val="28"/>
        </w:rPr>
        <w:t>包1：护理专业群教学资源库建设</w:t>
      </w:r>
    </w:p>
    <w:tbl>
      <w:tblPr>
        <w:tblStyle w:val="27"/>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995"/>
        <w:gridCol w:w="4348"/>
        <w:gridCol w:w="2566"/>
      </w:tblGrid>
      <w:tr w14:paraId="40EE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13" w:type="dxa"/>
            <w:vAlign w:val="center"/>
          </w:tcPr>
          <w:p w14:paraId="5D4648C3">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995" w:type="dxa"/>
            <w:vAlign w:val="center"/>
          </w:tcPr>
          <w:p w14:paraId="496C8A2C">
            <w:pPr>
              <w:widowControl/>
              <w:jc w:val="center"/>
              <w:rPr>
                <w:rFonts w:ascii="宋体" w:hAnsi="宋体" w:cs="宋体"/>
                <w:b/>
                <w:bCs/>
                <w:color w:val="000000"/>
                <w:sz w:val="24"/>
              </w:rPr>
            </w:pPr>
            <w:r>
              <w:rPr>
                <w:rFonts w:hint="eastAsia" w:ascii="宋体" w:hAnsi="宋体" w:cs="宋体"/>
                <w:b/>
                <w:bCs/>
                <w:color w:val="000000"/>
                <w:sz w:val="24"/>
              </w:rPr>
              <w:t>分值</w:t>
            </w:r>
          </w:p>
        </w:tc>
        <w:tc>
          <w:tcPr>
            <w:tcW w:w="4348" w:type="dxa"/>
            <w:vAlign w:val="center"/>
          </w:tcPr>
          <w:p w14:paraId="2E7484AF">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vAlign w:val="center"/>
          </w:tcPr>
          <w:p w14:paraId="12D6E61D">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564B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113" w:type="dxa"/>
            <w:vAlign w:val="center"/>
          </w:tcPr>
          <w:p w14:paraId="535B8228">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报价得分（30分）</w:t>
            </w:r>
          </w:p>
        </w:tc>
        <w:tc>
          <w:tcPr>
            <w:tcW w:w="995" w:type="dxa"/>
            <w:vAlign w:val="center"/>
          </w:tcPr>
          <w:p w14:paraId="1BFF472A">
            <w:pPr>
              <w:widowControl/>
              <w:jc w:val="center"/>
              <w:rPr>
                <w:rFonts w:ascii="宋体" w:hAnsi="宋体" w:cs="宋体"/>
                <w:color w:val="000000" w:themeColor="text1"/>
                <w:sz w:val="24"/>
              </w:rPr>
            </w:pPr>
            <w:r>
              <w:rPr>
                <w:rFonts w:hint="eastAsia" w:ascii="宋体" w:hAnsi="宋体" w:cs="宋体"/>
                <w:b/>
                <w:bCs/>
                <w:color w:val="000000" w:themeColor="text1"/>
                <w:sz w:val="24"/>
              </w:rPr>
              <w:t>30分</w:t>
            </w:r>
          </w:p>
        </w:tc>
        <w:tc>
          <w:tcPr>
            <w:tcW w:w="6914" w:type="dxa"/>
            <w:gridSpan w:val="2"/>
            <w:vAlign w:val="center"/>
          </w:tcPr>
          <w:p w14:paraId="5E085123">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280A6632">
            <w:pPr>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磋商报价得分=（磋商基准价/最后磋商报价）×价格权值×100</w:t>
            </w:r>
          </w:p>
          <w:p w14:paraId="055D1786">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7ADA4C9E">
            <w:pPr>
              <w:pStyle w:val="25"/>
              <w:ind w:right="-21" w:firstLine="0" w:firstLineChars="0"/>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3A9783DB">
            <w:pPr>
              <w:pStyle w:val="25"/>
              <w:ind w:right="-21" w:firstLine="0" w:firstLineChars="0"/>
              <w:rPr>
                <w:rFonts w:ascii="宋体" w:hAnsi="宋体" w:cs="宋体"/>
                <w:bCs/>
                <w:sz w:val="24"/>
                <w:szCs w:val="20"/>
              </w:rPr>
            </w:pPr>
            <w:r>
              <w:rPr>
                <w:rFonts w:hint="eastAsia" w:ascii="宋体" w:hAnsi="宋体" w:cs="宋体"/>
                <w:bCs/>
                <w:sz w:val="24"/>
                <w:szCs w:val="20"/>
              </w:rPr>
              <w:t>（1）对小微企业报价给予20%扣除，请按照《政府采购促进中小企业发展管理办法》要求提供中小企业声明函。</w:t>
            </w:r>
          </w:p>
          <w:p w14:paraId="7E58D43A">
            <w:pPr>
              <w:pStyle w:val="25"/>
              <w:ind w:right="-21" w:firstLine="0" w:firstLineChars="0"/>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71735AB8">
            <w:pPr>
              <w:pStyle w:val="25"/>
              <w:ind w:right="-21" w:firstLine="0" w:firstLineChars="0"/>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500A6001">
            <w:pPr>
              <w:widowControl/>
              <w:snapToGrid w:val="0"/>
              <w:spacing w:line="276" w:lineRule="auto"/>
              <w:jc w:val="left"/>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14:paraId="04A6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jc w:val="center"/>
        </w:trPr>
        <w:tc>
          <w:tcPr>
            <w:tcW w:w="2113" w:type="dxa"/>
            <w:vAlign w:val="center"/>
          </w:tcPr>
          <w:p w14:paraId="23ABE165">
            <w:pPr>
              <w:widowControl/>
              <w:jc w:val="left"/>
              <w:rPr>
                <w:rFonts w:ascii="宋体" w:hAnsi="宋体" w:cs="宋体"/>
                <w:sz w:val="24"/>
              </w:rPr>
            </w:pPr>
            <w:r>
              <w:rPr>
                <w:rFonts w:hint="eastAsia" w:ascii="宋体" w:hAnsi="宋体" w:cs="宋体"/>
                <w:color w:val="auto"/>
                <w:sz w:val="24"/>
              </w:rPr>
              <w:t>技术方案</w:t>
            </w:r>
            <w:r>
              <w:rPr>
                <w:rFonts w:hint="eastAsia" w:ascii="宋体" w:hAnsi="宋体" w:cs="宋体"/>
                <w:sz w:val="24"/>
              </w:rPr>
              <w:t>(4</w:t>
            </w:r>
            <w:r>
              <w:rPr>
                <w:rFonts w:hint="eastAsia" w:ascii="宋体" w:hAnsi="宋体" w:cs="宋体"/>
                <w:sz w:val="24"/>
                <w:lang w:val="en-US" w:eastAsia="zh-CN"/>
              </w:rPr>
              <w:t>5</w:t>
            </w:r>
            <w:r>
              <w:rPr>
                <w:rFonts w:hint="eastAsia" w:ascii="宋体" w:hAnsi="宋体" w:cs="宋体"/>
                <w:sz w:val="24"/>
              </w:rPr>
              <w:t>分)</w:t>
            </w:r>
          </w:p>
          <w:p w14:paraId="55D09E48">
            <w:pPr>
              <w:jc w:val="center"/>
              <w:rPr>
                <w:rFonts w:ascii="宋体" w:hAnsi="宋体" w:cs="宋体"/>
                <w:color w:val="4F81BD" w:themeColor="accent1"/>
                <w:sz w:val="24"/>
              </w:rPr>
            </w:pPr>
          </w:p>
        </w:tc>
        <w:tc>
          <w:tcPr>
            <w:tcW w:w="995" w:type="dxa"/>
            <w:vAlign w:val="center"/>
          </w:tcPr>
          <w:p w14:paraId="3F55232C">
            <w:pPr>
              <w:widowControl/>
              <w:jc w:val="center"/>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lang w:val="en-US" w:eastAsia="zh-CN"/>
              </w:rPr>
              <w:t>45</w:t>
            </w:r>
            <w:r>
              <w:rPr>
                <w:rFonts w:hint="eastAsia" w:cs="宋体" w:asciiTheme="minorEastAsia" w:hAnsiTheme="minorEastAsia" w:eastAsiaTheme="minorEastAsia"/>
                <w:color w:val="000000"/>
                <w:sz w:val="24"/>
              </w:rPr>
              <w:t>分</w:t>
            </w:r>
          </w:p>
        </w:tc>
        <w:tc>
          <w:tcPr>
            <w:tcW w:w="6914" w:type="dxa"/>
            <w:gridSpan w:val="2"/>
            <w:vAlign w:val="center"/>
          </w:tcPr>
          <w:p w14:paraId="403321DB">
            <w:pPr>
              <w:pStyle w:val="25"/>
              <w:ind w:right="-21" w:firstLine="0" w:firstLineChars="0"/>
              <w:rPr>
                <w:rFonts w:hint="eastAsia" w:ascii="宋体" w:hAnsi="宋体" w:eastAsia="宋体" w:cs="宋体"/>
                <w:bCs/>
                <w:sz w:val="24"/>
                <w:szCs w:val="20"/>
              </w:rPr>
            </w:pPr>
            <w:r>
              <w:rPr>
                <w:rFonts w:hint="eastAsia" w:ascii="宋体" w:hAnsi="宋体" w:eastAsia="宋体" w:cs="宋体"/>
                <w:bCs/>
                <w:sz w:val="24"/>
                <w:szCs w:val="20"/>
              </w:rPr>
              <w:t>技术参数及要求完全符合招标文件要求的，得45分。技术参数中凡以“▲”标记开头的项每有一项不满足扣</w:t>
            </w:r>
            <w:r>
              <w:rPr>
                <w:rFonts w:hint="eastAsia" w:ascii="宋体" w:hAnsi="宋体" w:eastAsia="宋体" w:cs="宋体"/>
                <w:bCs/>
                <w:sz w:val="24"/>
                <w:szCs w:val="20"/>
                <w:lang w:val="en-US" w:eastAsia="zh-CN"/>
              </w:rPr>
              <w:t>3</w:t>
            </w:r>
            <w:r>
              <w:rPr>
                <w:rFonts w:hint="eastAsia" w:ascii="宋体" w:hAnsi="宋体" w:eastAsia="宋体" w:cs="宋体"/>
                <w:bCs/>
                <w:sz w:val="24"/>
                <w:szCs w:val="20"/>
              </w:rPr>
              <w:t>分，未以“▲”标记开头的项，每有一项不满足扣</w:t>
            </w:r>
            <w:r>
              <w:rPr>
                <w:rFonts w:hint="eastAsia" w:ascii="宋体" w:hAnsi="宋体" w:eastAsia="宋体" w:cs="宋体"/>
                <w:bCs/>
                <w:sz w:val="24"/>
                <w:szCs w:val="20"/>
                <w:lang w:val="en-US" w:eastAsia="zh-CN"/>
              </w:rPr>
              <w:t>1</w:t>
            </w:r>
            <w:r>
              <w:rPr>
                <w:rFonts w:hint="eastAsia" w:ascii="宋体" w:hAnsi="宋体" w:eastAsia="宋体" w:cs="宋体"/>
                <w:bCs/>
                <w:sz w:val="24"/>
                <w:szCs w:val="20"/>
              </w:rPr>
              <w:t>分，依次类推，扣完为止。投标人必须按照招标文件的具体要求提供技术参数中需要出具的相应有效技术证明文件，以证明技术参数及功能的有效性，未按相应要求提供有效技术证明文件的视为此参数项不满足。</w:t>
            </w:r>
          </w:p>
        </w:tc>
      </w:tr>
      <w:tr w14:paraId="2CF6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13" w:type="dxa"/>
            <w:vAlign w:val="center"/>
          </w:tcPr>
          <w:p w14:paraId="6E7B05BD">
            <w:pPr>
              <w:rPr>
                <w:rFonts w:ascii="宋体" w:hAnsi="宋体" w:cs="宋体"/>
                <w:sz w:val="24"/>
              </w:rPr>
            </w:pPr>
            <w:r>
              <w:rPr>
                <w:rFonts w:hint="eastAsia" w:ascii="宋体" w:hAnsi="宋体" w:cs="宋体"/>
                <w:color w:val="auto"/>
                <w:sz w:val="24"/>
              </w:rPr>
              <w:t>综合</w:t>
            </w:r>
            <w:r>
              <w:rPr>
                <w:rFonts w:hint="eastAsia" w:cs="宋体" w:asciiTheme="minorEastAsia" w:hAnsiTheme="minorEastAsia" w:eastAsiaTheme="minorEastAsia"/>
                <w:color w:val="auto"/>
                <w:sz w:val="24"/>
              </w:rPr>
              <w:t>（</w:t>
            </w:r>
            <w:r>
              <w:rPr>
                <w:rFonts w:hint="eastAsia" w:cs="仿宋" w:asciiTheme="minorEastAsia" w:hAnsiTheme="minorEastAsia" w:eastAsiaTheme="minorEastAsia"/>
                <w:sz w:val="24"/>
                <w:lang w:val="en-US" w:eastAsia="zh-CN"/>
              </w:rPr>
              <w:t>25分</w:t>
            </w:r>
            <w:r>
              <w:rPr>
                <w:rFonts w:hint="eastAsia" w:cs="宋体" w:asciiTheme="minorEastAsia" w:hAnsiTheme="minorEastAsia" w:eastAsiaTheme="minorEastAsia"/>
                <w:sz w:val="24"/>
              </w:rPr>
              <w:t>）</w:t>
            </w:r>
          </w:p>
          <w:p w14:paraId="3BB62D06">
            <w:pPr>
              <w:rPr>
                <w:rFonts w:ascii="宋体" w:hAnsi="宋体" w:cs="宋体"/>
                <w:sz w:val="24"/>
              </w:rPr>
            </w:pPr>
          </w:p>
        </w:tc>
        <w:tc>
          <w:tcPr>
            <w:tcW w:w="995" w:type="dxa"/>
            <w:vAlign w:val="center"/>
          </w:tcPr>
          <w:p w14:paraId="418F8E46">
            <w:pPr>
              <w:widowControl/>
              <w:jc w:val="center"/>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lang w:val="en-US" w:eastAsia="zh-CN"/>
              </w:rPr>
              <w:t>25</w:t>
            </w:r>
            <w:r>
              <w:rPr>
                <w:rFonts w:hint="eastAsia" w:cs="宋体" w:asciiTheme="minorEastAsia" w:hAnsiTheme="minorEastAsia" w:eastAsiaTheme="minorEastAsia"/>
                <w:color w:val="000000"/>
                <w:sz w:val="24"/>
              </w:rPr>
              <w:t>分</w:t>
            </w:r>
          </w:p>
        </w:tc>
        <w:tc>
          <w:tcPr>
            <w:tcW w:w="6914" w:type="dxa"/>
            <w:gridSpan w:val="2"/>
            <w:vAlign w:val="center"/>
          </w:tcPr>
          <w:p w14:paraId="72373B75">
            <w:pPr>
              <w:pStyle w:val="25"/>
              <w:ind w:right="-21" w:firstLine="0" w:firstLineChars="0"/>
              <w:rPr>
                <w:rFonts w:hint="eastAsia" w:ascii="宋体" w:hAnsi="宋体" w:eastAsia="宋体" w:cs="宋体"/>
                <w:bCs/>
                <w:sz w:val="24"/>
                <w:szCs w:val="20"/>
                <w:lang w:val="en-US" w:eastAsia="zh-CN"/>
              </w:rPr>
            </w:pPr>
            <w:r>
              <w:rPr>
                <w:rFonts w:hint="eastAsia" w:ascii="宋体" w:hAnsi="宋体" w:eastAsia="宋体" w:cs="宋体"/>
                <w:bCs/>
                <w:sz w:val="24"/>
                <w:szCs w:val="20"/>
                <w:lang w:val="en-US" w:eastAsia="zh-CN"/>
              </w:rPr>
              <w:t>1.供应商具有ISO9001质量管理体系认证证书、ISO14001环境管理体系认证证书、ISO45001职业健康安全管理体系认证证书，每提供1份证书得1分，最高得3分，没有提供不得分。</w:t>
            </w:r>
          </w:p>
          <w:p w14:paraId="742DEBDC">
            <w:pPr>
              <w:pStyle w:val="25"/>
              <w:ind w:right="-21" w:firstLine="0" w:firstLineChars="0"/>
              <w:rPr>
                <w:rFonts w:hint="eastAsia" w:ascii="宋体" w:hAnsi="宋体" w:eastAsia="宋体" w:cs="宋体"/>
                <w:bCs/>
                <w:sz w:val="24"/>
                <w:szCs w:val="20"/>
                <w:lang w:val="en-US" w:eastAsia="zh-CN"/>
              </w:rPr>
            </w:pPr>
            <w:r>
              <w:rPr>
                <w:rFonts w:hint="eastAsia" w:ascii="宋体" w:hAnsi="宋体" w:eastAsia="宋体" w:cs="宋体"/>
                <w:bCs/>
                <w:sz w:val="24"/>
                <w:szCs w:val="20"/>
                <w:lang w:val="en-US" w:eastAsia="zh-CN"/>
              </w:rPr>
              <w:t>2.供应商提供2019年1月1日以来已完成的类似项目有效业绩合同，每提供1份得1分，最高得3分，没有提供不得分。</w:t>
            </w:r>
          </w:p>
          <w:p w14:paraId="3719E9D4">
            <w:pPr>
              <w:pStyle w:val="25"/>
              <w:ind w:right="-21" w:firstLine="0" w:firstLineChars="0"/>
              <w:rPr>
                <w:rFonts w:hint="eastAsia" w:ascii="宋体" w:hAnsi="宋体" w:eastAsia="宋体" w:cs="宋体"/>
                <w:bCs/>
                <w:sz w:val="24"/>
                <w:szCs w:val="20"/>
                <w:lang w:val="zh-CN" w:eastAsia="zh-CN"/>
              </w:rPr>
            </w:pPr>
            <w:r>
              <w:rPr>
                <w:rFonts w:hint="eastAsia" w:ascii="宋体" w:hAnsi="宋体" w:eastAsia="宋体" w:cs="宋体"/>
                <w:bCs/>
                <w:sz w:val="24"/>
                <w:szCs w:val="20"/>
                <w:lang w:val="en-US" w:eastAsia="zh-CN"/>
              </w:rPr>
              <w:t>3.</w:t>
            </w:r>
            <w:r>
              <w:rPr>
                <w:rFonts w:hint="eastAsia" w:ascii="宋体" w:hAnsi="宋体" w:eastAsia="宋体" w:cs="宋体"/>
                <w:bCs/>
                <w:sz w:val="24"/>
                <w:szCs w:val="20"/>
                <w:lang w:val="zh-CN" w:eastAsia="zh-CN"/>
              </w:rPr>
              <w:t>供应商具有在线课件与二维三维动画制作编辑系统</w:t>
            </w:r>
            <w:r>
              <w:rPr>
                <w:rFonts w:hint="eastAsia" w:ascii="宋体" w:hAnsi="宋体" w:eastAsia="宋体" w:cs="宋体"/>
                <w:bCs/>
                <w:sz w:val="24"/>
                <w:szCs w:val="20"/>
                <w:lang w:val="en-US" w:eastAsia="zh-CN"/>
              </w:rPr>
              <w:t>计算机</w:t>
            </w:r>
            <w:r>
              <w:rPr>
                <w:rFonts w:hint="eastAsia" w:ascii="宋体" w:hAnsi="宋体" w:eastAsia="宋体" w:cs="宋体"/>
                <w:bCs/>
                <w:sz w:val="24"/>
                <w:szCs w:val="20"/>
                <w:lang w:val="zh-CN" w:eastAsia="zh-CN"/>
              </w:rPr>
              <w:t>软件著作权登记证书得</w:t>
            </w:r>
            <w:r>
              <w:rPr>
                <w:rFonts w:hint="eastAsia" w:ascii="宋体" w:hAnsi="宋体" w:eastAsia="宋体" w:cs="宋体"/>
                <w:bCs/>
                <w:sz w:val="24"/>
                <w:szCs w:val="20"/>
                <w:lang w:val="en-US" w:eastAsia="zh-CN"/>
              </w:rPr>
              <w:t>3</w:t>
            </w:r>
            <w:r>
              <w:rPr>
                <w:rFonts w:hint="eastAsia" w:ascii="宋体" w:hAnsi="宋体" w:eastAsia="宋体" w:cs="宋体"/>
                <w:bCs/>
                <w:sz w:val="24"/>
                <w:szCs w:val="20"/>
                <w:lang w:val="zh-CN" w:eastAsia="zh-CN"/>
              </w:rPr>
              <w:t>分；</w:t>
            </w:r>
          </w:p>
          <w:p w14:paraId="6D547E15">
            <w:pPr>
              <w:pStyle w:val="25"/>
              <w:ind w:right="-21" w:firstLine="0" w:firstLineChars="0"/>
              <w:rPr>
                <w:rFonts w:hint="eastAsia" w:ascii="宋体" w:hAnsi="宋体" w:eastAsia="宋体" w:cs="宋体"/>
                <w:bCs/>
                <w:sz w:val="24"/>
                <w:szCs w:val="20"/>
                <w:lang w:val="zh-CN" w:eastAsia="zh-CN"/>
              </w:rPr>
            </w:pPr>
            <w:r>
              <w:rPr>
                <w:rFonts w:hint="eastAsia" w:ascii="宋体" w:hAnsi="宋体" w:eastAsia="宋体" w:cs="宋体"/>
                <w:bCs/>
                <w:sz w:val="24"/>
                <w:szCs w:val="20"/>
                <w:lang w:val="en-US" w:eastAsia="zh-CN"/>
              </w:rPr>
              <w:t>4</w:t>
            </w:r>
            <w:r>
              <w:rPr>
                <w:rFonts w:hint="eastAsia" w:ascii="宋体" w:hAnsi="宋体" w:eastAsia="宋体" w:cs="宋体"/>
                <w:bCs/>
                <w:sz w:val="24"/>
                <w:szCs w:val="20"/>
                <w:lang w:val="zh-CN" w:eastAsia="zh-CN"/>
              </w:rPr>
              <w:t>.供应商具有课程视频资源在线编辑制作</w:t>
            </w:r>
            <w:r>
              <w:rPr>
                <w:rFonts w:hint="eastAsia" w:ascii="宋体" w:hAnsi="宋体" w:eastAsia="宋体" w:cs="宋体"/>
                <w:bCs/>
                <w:sz w:val="24"/>
                <w:szCs w:val="20"/>
                <w:lang w:val="en-US" w:eastAsia="zh-CN"/>
              </w:rPr>
              <w:t>软件</w:t>
            </w:r>
            <w:r>
              <w:rPr>
                <w:rFonts w:hint="eastAsia" w:ascii="宋体" w:hAnsi="宋体" w:eastAsia="宋体" w:cs="宋体"/>
                <w:bCs/>
                <w:sz w:val="24"/>
                <w:szCs w:val="20"/>
                <w:lang w:val="zh-CN" w:eastAsia="zh-CN"/>
              </w:rPr>
              <w:t>计算机软件著作权登记证书得3分；</w:t>
            </w:r>
          </w:p>
          <w:p w14:paraId="63714468">
            <w:pPr>
              <w:pStyle w:val="25"/>
              <w:ind w:right="-21" w:firstLine="0" w:firstLineChars="0"/>
              <w:rPr>
                <w:rFonts w:hint="eastAsia" w:ascii="宋体" w:hAnsi="宋体" w:eastAsia="宋体" w:cs="宋体"/>
                <w:bCs/>
                <w:sz w:val="24"/>
                <w:szCs w:val="20"/>
                <w:lang w:val="zh-CN" w:eastAsia="zh-CN"/>
              </w:rPr>
            </w:pPr>
            <w:r>
              <w:rPr>
                <w:rFonts w:hint="eastAsia" w:ascii="宋体" w:hAnsi="宋体" w:eastAsia="宋体" w:cs="宋体"/>
                <w:bCs/>
                <w:sz w:val="24"/>
                <w:szCs w:val="20"/>
                <w:lang w:val="en-US" w:eastAsia="zh-CN"/>
              </w:rPr>
              <w:t>5</w:t>
            </w:r>
            <w:r>
              <w:rPr>
                <w:rFonts w:hint="eastAsia" w:ascii="宋体" w:hAnsi="宋体" w:eastAsia="宋体" w:cs="宋体"/>
                <w:bCs/>
                <w:sz w:val="24"/>
                <w:szCs w:val="20"/>
                <w:lang w:val="zh-CN" w:eastAsia="zh-CN"/>
              </w:rPr>
              <w:t>.供应商具有知识图谱课程系统计算机软件著作权登记证书得3分；</w:t>
            </w:r>
          </w:p>
          <w:p w14:paraId="53939458">
            <w:pPr>
              <w:pStyle w:val="25"/>
              <w:ind w:right="-21" w:firstLine="0" w:firstLineChars="0"/>
              <w:rPr>
                <w:rFonts w:hint="eastAsia" w:ascii="宋体" w:hAnsi="宋体" w:eastAsia="宋体" w:cs="宋体"/>
                <w:bCs/>
                <w:sz w:val="24"/>
                <w:szCs w:val="20"/>
                <w:lang w:val="zh-CN" w:eastAsia="zh-CN"/>
              </w:rPr>
            </w:pPr>
            <w:r>
              <w:rPr>
                <w:rFonts w:hint="eastAsia" w:ascii="宋体" w:hAnsi="宋体" w:eastAsia="宋体" w:cs="宋体"/>
                <w:bCs/>
                <w:sz w:val="24"/>
                <w:szCs w:val="20"/>
                <w:lang w:val="en-US" w:eastAsia="zh-CN"/>
              </w:rPr>
              <w:t>6</w:t>
            </w:r>
            <w:r>
              <w:rPr>
                <w:rFonts w:hint="eastAsia" w:ascii="宋体" w:hAnsi="宋体" w:eastAsia="宋体" w:cs="宋体"/>
                <w:bCs/>
                <w:sz w:val="24"/>
                <w:szCs w:val="20"/>
                <w:lang w:val="zh-CN" w:eastAsia="zh-CN"/>
              </w:rPr>
              <w:t>.供应商具有在线课程及SPOC联盟共建共享平台计算机软件著作权登记证书得3分；</w:t>
            </w:r>
          </w:p>
          <w:p w14:paraId="14686981">
            <w:pPr>
              <w:pStyle w:val="25"/>
              <w:ind w:right="-21" w:firstLine="0" w:firstLineChars="0"/>
              <w:rPr>
                <w:rFonts w:hint="eastAsia" w:ascii="宋体" w:hAnsi="宋体" w:eastAsia="宋体" w:cs="宋体"/>
                <w:bCs/>
                <w:sz w:val="24"/>
                <w:szCs w:val="20"/>
                <w:lang w:val="zh-CN" w:eastAsia="zh-CN"/>
              </w:rPr>
            </w:pPr>
            <w:r>
              <w:rPr>
                <w:rFonts w:hint="eastAsia" w:ascii="宋体" w:hAnsi="宋体" w:eastAsia="宋体" w:cs="宋体"/>
                <w:bCs/>
                <w:sz w:val="24"/>
                <w:szCs w:val="20"/>
                <w:lang w:val="en-US" w:eastAsia="zh-CN"/>
              </w:rPr>
              <w:t>7</w:t>
            </w:r>
            <w:r>
              <w:rPr>
                <w:rFonts w:hint="eastAsia" w:ascii="宋体" w:hAnsi="宋体" w:eastAsia="宋体" w:cs="宋体"/>
                <w:bCs/>
                <w:sz w:val="24"/>
                <w:szCs w:val="20"/>
                <w:lang w:val="zh-CN" w:eastAsia="zh-CN"/>
              </w:rPr>
              <w:t>.供应商具有立体化教材资源制作系统计算机软件著作权登记证书得3分；</w:t>
            </w:r>
          </w:p>
          <w:p w14:paraId="74AF7A0D">
            <w:pPr>
              <w:pStyle w:val="25"/>
              <w:ind w:right="-21" w:firstLine="0" w:firstLineChars="0"/>
              <w:rPr>
                <w:rFonts w:hint="eastAsia" w:ascii="宋体" w:hAnsi="宋体" w:eastAsia="宋体" w:cs="宋体"/>
                <w:bCs/>
                <w:sz w:val="24"/>
                <w:szCs w:val="20"/>
                <w:lang w:val="en-US" w:eastAsia="zh-CN"/>
              </w:rPr>
            </w:pPr>
            <w:r>
              <w:rPr>
                <w:rFonts w:hint="eastAsia" w:ascii="宋体" w:hAnsi="宋体" w:eastAsia="宋体" w:cs="宋体"/>
                <w:bCs/>
                <w:sz w:val="24"/>
                <w:szCs w:val="20"/>
                <w:lang w:val="en-US" w:eastAsia="zh-CN"/>
              </w:rPr>
              <w:t>8.供应商提供专业资源库平台与学校现有在线课堂对接有效证明文件的得2分，未提供或提供不全的均不得分。</w:t>
            </w:r>
          </w:p>
          <w:p w14:paraId="2FA6397E">
            <w:pPr>
              <w:pStyle w:val="25"/>
              <w:ind w:right="-21" w:firstLine="0" w:firstLineChars="0"/>
              <w:rPr>
                <w:rFonts w:hint="eastAsia" w:ascii="宋体" w:hAnsi="宋体" w:eastAsia="宋体" w:cs="宋体"/>
                <w:bCs/>
                <w:sz w:val="24"/>
                <w:szCs w:val="20"/>
              </w:rPr>
            </w:pPr>
            <w:r>
              <w:rPr>
                <w:rFonts w:hint="eastAsia" w:ascii="宋体" w:hAnsi="宋体" w:eastAsia="宋体" w:cs="宋体"/>
                <w:bCs/>
                <w:sz w:val="24"/>
                <w:szCs w:val="20"/>
                <w:lang w:val="en-US" w:eastAsia="zh-CN"/>
              </w:rPr>
              <w:t>9.承诺接到用户咨询电话后2小时内响应，24小时内解决问题的得2分，未提供或提供不全的均不得分。</w:t>
            </w:r>
          </w:p>
        </w:tc>
      </w:tr>
    </w:tbl>
    <w:p w14:paraId="5B0B18C7">
      <w:pPr>
        <w:pStyle w:val="26"/>
        <w:ind w:firstLine="480"/>
        <w:rPr>
          <w:rFonts w:ascii="宋体" w:hAnsi="宋体" w:eastAsia="宋体" w:cs="宋体"/>
          <w:sz w:val="24"/>
        </w:rPr>
      </w:pPr>
    </w:p>
    <w:p w14:paraId="20FBEBBC">
      <w:pPr>
        <w:spacing w:line="560" w:lineRule="exact"/>
        <w:rPr>
          <w:rFonts w:hint="eastAsia"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6B9D9B08">
      <w:pPr>
        <w:spacing w:line="360" w:lineRule="auto"/>
        <w:ind w:right="-92" w:rightChars="-44"/>
        <w:rPr>
          <w:rFonts w:hint="eastAsia" w:ascii="宋体" w:hAnsi="宋体" w:eastAsia="宋体" w:cs="宋体"/>
          <w:b/>
          <w:bCs/>
          <w:sz w:val="28"/>
          <w:szCs w:val="28"/>
          <w:lang w:val="en-US" w:eastAsia="zh-CN"/>
        </w:rPr>
      </w:pPr>
    </w:p>
    <w:p w14:paraId="3BF3E41A">
      <w:pPr>
        <w:spacing w:line="360" w:lineRule="auto"/>
        <w:ind w:right="-92" w:rightChars="-44"/>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包2：护理专业群在线虚拟仿真实训中心</w:t>
      </w:r>
    </w:p>
    <w:tbl>
      <w:tblPr>
        <w:tblStyle w:val="27"/>
        <w:tblW w:w="10022" w:type="dxa"/>
        <w:jc w:val="center"/>
        <w:tblLayout w:type="fixed"/>
        <w:tblCellMar>
          <w:top w:w="0" w:type="dxa"/>
          <w:left w:w="108" w:type="dxa"/>
          <w:bottom w:w="0" w:type="dxa"/>
          <w:right w:w="108" w:type="dxa"/>
        </w:tblCellMar>
      </w:tblPr>
      <w:tblGrid>
        <w:gridCol w:w="2113"/>
        <w:gridCol w:w="789"/>
        <w:gridCol w:w="4554"/>
        <w:gridCol w:w="2566"/>
      </w:tblGrid>
      <w:tr w14:paraId="4441A5E0">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AACF8F3">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789" w:type="dxa"/>
            <w:tcBorders>
              <w:top w:val="single" w:color="auto" w:sz="4" w:space="0"/>
              <w:left w:val="single" w:color="auto" w:sz="4" w:space="0"/>
              <w:bottom w:val="single" w:color="auto" w:sz="4" w:space="0"/>
              <w:right w:val="single" w:color="auto" w:sz="4" w:space="0"/>
            </w:tcBorders>
            <w:vAlign w:val="center"/>
          </w:tcPr>
          <w:p w14:paraId="7393CE3E">
            <w:pPr>
              <w:widowControl/>
              <w:jc w:val="center"/>
              <w:rPr>
                <w:rFonts w:ascii="宋体" w:hAnsi="宋体" w:cs="宋体"/>
                <w:b/>
                <w:bCs/>
                <w:color w:val="000000"/>
                <w:sz w:val="24"/>
              </w:rPr>
            </w:pPr>
            <w:r>
              <w:rPr>
                <w:rFonts w:hint="eastAsia" w:ascii="宋体" w:hAnsi="宋体" w:cs="宋体"/>
                <w:b/>
                <w:bCs/>
                <w:color w:val="000000"/>
                <w:sz w:val="24"/>
              </w:rPr>
              <w:t>分值</w:t>
            </w:r>
          </w:p>
        </w:tc>
        <w:tc>
          <w:tcPr>
            <w:tcW w:w="4554" w:type="dxa"/>
            <w:tcBorders>
              <w:top w:val="single" w:color="auto" w:sz="4" w:space="0"/>
              <w:left w:val="single" w:color="auto" w:sz="4" w:space="0"/>
              <w:bottom w:val="single" w:color="auto" w:sz="4" w:space="0"/>
              <w:right w:val="single" w:color="auto" w:sz="4" w:space="0"/>
            </w:tcBorders>
            <w:vAlign w:val="center"/>
          </w:tcPr>
          <w:p w14:paraId="4529FBBF">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48AC90F6">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70CA81CB">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1FFCE2FF">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报价得分（30分）</w:t>
            </w:r>
          </w:p>
        </w:tc>
        <w:tc>
          <w:tcPr>
            <w:tcW w:w="789" w:type="dxa"/>
            <w:tcBorders>
              <w:top w:val="single" w:color="auto" w:sz="4" w:space="0"/>
              <w:left w:val="single" w:color="auto" w:sz="4" w:space="0"/>
              <w:bottom w:val="single" w:color="auto" w:sz="4" w:space="0"/>
              <w:right w:val="single" w:color="auto" w:sz="4" w:space="0"/>
            </w:tcBorders>
            <w:vAlign w:val="center"/>
          </w:tcPr>
          <w:p w14:paraId="4C3B6052">
            <w:pPr>
              <w:widowControl/>
              <w:jc w:val="center"/>
              <w:rPr>
                <w:rFonts w:ascii="宋体" w:hAnsi="宋体" w:cs="宋体"/>
                <w:color w:val="000000" w:themeColor="text1"/>
                <w:sz w:val="24"/>
              </w:rPr>
            </w:pPr>
            <w:r>
              <w:rPr>
                <w:rFonts w:hint="eastAsia" w:ascii="宋体" w:hAnsi="宋体" w:cs="宋体"/>
                <w:b/>
                <w:bCs/>
                <w:color w:val="000000" w:themeColor="text1"/>
                <w:sz w:val="24"/>
              </w:rPr>
              <w:t>30分</w:t>
            </w:r>
          </w:p>
        </w:tc>
        <w:tc>
          <w:tcPr>
            <w:tcW w:w="7120" w:type="dxa"/>
            <w:gridSpan w:val="2"/>
            <w:tcBorders>
              <w:top w:val="single" w:color="auto" w:sz="4" w:space="0"/>
              <w:left w:val="single" w:color="auto" w:sz="4" w:space="0"/>
              <w:bottom w:val="single" w:color="auto" w:sz="4" w:space="0"/>
              <w:right w:val="single" w:color="auto" w:sz="4" w:space="0"/>
            </w:tcBorders>
            <w:vAlign w:val="center"/>
          </w:tcPr>
          <w:p w14:paraId="68802CD4">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494107C8">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7757043F">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300E19C1">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419F30F6">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auto"/>
                <w:kern w:val="2"/>
                <w:sz w:val="24"/>
                <w:szCs w:val="20"/>
                <w:lang w:val="en-US" w:eastAsia="zh-CN" w:bidi="ar-SA"/>
              </w:rPr>
              <w:t>20</w:t>
            </w:r>
            <w:r>
              <w:rPr>
                <w:rFonts w:hint="eastAsia" w:ascii="宋体" w:hAnsi="宋体" w:eastAsia="宋体" w:cs="宋体"/>
                <w:bCs/>
                <w:color w:val="auto"/>
                <w:kern w:val="2"/>
                <w:sz w:val="24"/>
                <w:szCs w:val="20"/>
                <w:lang w:val="en-US" w:eastAsia="zh-CN" w:bidi="ar-SA"/>
              </w:rPr>
              <w:t>%</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3CC5D935">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708D57ED">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33DD3B5">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7850F7FA">
        <w:tblPrEx>
          <w:tblCellMar>
            <w:top w:w="0" w:type="dxa"/>
            <w:left w:w="108" w:type="dxa"/>
            <w:bottom w:w="0" w:type="dxa"/>
            <w:right w:w="108" w:type="dxa"/>
          </w:tblCellMar>
        </w:tblPrEx>
        <w:trPr>
          <w:trHeight w:val="2026" w:hRule="atLeast"/>
          <w:jc w:val="center"/>
        </w:trPr>
        <w:tc>
          <w:tcPr>
            <w:tcW w:w="2113" w:type="dxa"/>
            <w:tcBorders>
              <w:top w:val="single" w:color="auto" w:sz="4" w:space="0"/>
              <w:left w:val="single" w:color="auto" w:sz="4" w:space="0"/>
              <w:right w:val="single" w:color="auto" w:sz="4" w:space="0"/>
            </w:tcBorders>
            <w:vAlign w:val="center"/>
          </w:tcPr>
          <w:p w14:paraId="7EB2F6EB">
            <w:pPr>
              <w:widowControl/>
              <w:jc w:val="left"/>
              <w:rPr>
                <w:rFonts w:ascii="宋体" w:hAnsi="宋体" w:cs="宋体"/>
                <w:sz w:val="24"/>
              </w:rPr>
            </w:pPr>
            <w:r>
              <w:rPr>
                <w:rFonts w:hint="eastAsia" w:ascii="宋体" w:hAnsi="宋体" w:cs="宋体"/>
                <w:color w:val="auto"/>
                <w:sz w:val="24"/>
              </w:rPr>
              <w:t>技术方案</w:t>
            </w:r>
            <w:r>
              <w:rPr>
                <w:rFonts w:hint="eastAsia" w:ascii="宋体" w:hAnsi="宋体" w:cs="宋体"/>
                <w:sz w:val="24"/>
              </w:rPr>
              <w:t>(</w:t>
            </w:r>
            <w:r>
              <w:rPr>
                <w:rFonts w:hint="eastAsia" w:ascii="宋体" w:hAnsi="宋体" w:cs="宋体"/>
                <w:sz w:val="24"/>
                <w:lang w:val="en-US" w:eastAsia="zh-CN"/>
              </w:rPr>
              <w:t>45</w:t>
            </w:r>
            <w:r>
              <w:rPr>
                <w:rFonts w:hint="eastAsia" w:ascii="宋体" w:hAnsi="宋体" w:cs="宋体"/>
                <w:sz w:val="24"/>
              </w:rPr>
              <w:t>分)</w:t>
            </w:r>
          </w:p>
          <w:p w14:paraId="06A9D2D3">
            <w:pPr>
              <w:jc w:val="center"/>
              <w:rPr>
                <w:rFonts w:ascii="宋体" w:hAnsi="宋体" w:cs="宋体"/>
                <w:sz w:val="24"/>
              </w:rPr>
            </w:pPr>
          </w:p>
        </w:tc>
        <w:tc>
          <w:tcPr>
            <w:tcW w:w="789" w:type="dxa"/>
            <w:tcBorders>
              <w:top w:val="single" w:color="auto" w:sz="4" w:space="0"/>
              <w:left w:val="single" w:color="auto" w:sz="4" w:space="0"/>
              <w:bottom w:val="single" w:color="auto" w:sz="4" w:space="0"/>
              <w:right w:val="single" w:color="auto" w:sz="4" w:space="0"/>
            </w:tcBorders>
            <w:vAlign w:val="center"/>
          </w:tcPr>
          <w:p w14:paraId="72F179A2">
            <w:pPr>
              <w:widowControl/>
              <w:jc w:val="center"/>
              <w:rPr>
                <w:rFonts w:ascii="宋体" w:hAnsi="宋体" w:cs="宋体"/>
                <w:sz w:val="24"/>
              </w:rPr>
            </w:pPr>
            <w:r>
              <w:rPr>
                <w:rFonts w:hint="eastAsia" w:ascii="宋体" w:hAnsi="宋体" w:cs="宋体"/>
                <w:b/>
                <w:bCs/>
                <w:color w:val="000000"/>
                <w:sz w:val="24"/>
                <w:lang w:val="en-US" w:eastAsia="zh-CN"/>
              </w:rPr>
              <w:t>45</w:t>
            </w:r>
            <w:r>
              <w:rPr>
                <w:rFonts w:hint="eastAsia" w:ascii="宋体" w:hAnsi="宋体" w:cs="宋体"/>
                <w:b/>
                <w:bCs/>
                <w:color w:val="000000"/>
                <w:sz w:val="24"/>
              </w:rPr>
              <w:t>分</w:t>
            </w:r>
          </w:p>
        </w:tc>
        <w:tc>
          <w:tcPr>
            <w:tcW w:w="7120" w:type="dxa"/>
            <w:gridSpan w:val="2"/>
            <w:tcBorders>
              <w:top w:val="single" w:color="auto" w:sz="4" w:space="0"/>
              <w:left w:val="single" w:color="auto" w:sz="4" w:space="0"/>
              <w:right w:val="single" w:color="auto" w:sz="4" w:space="0"/>
            </w:tcBorders>
            <w:vAlign w:val="center"/>
          </w:tcPr>
          <w:p w14:paraId="3C7C0A8A">
            <w:pPr>
              <w:pStyle w:val="25"/>
              <w:numPr>
                <w:ilvl w:val="0"/>
                <w:numId w:val="0"/>
              </w:numPr>
              <w:ind w:right="-21" w:rightChars="0"/>
              <w:rPr>
                <w:rFonts w:hint="eastAsia" w:ascii="宋体" w:hAnsi="宋体" w:eastAsia="宋体" w:cs="宋体"/>
                <w:b/>
                <w:bCs w:val="0"/>
                <w:kern w:val="2"/>
                <w:sz w:val="24"/>
                <w:szCs w:val="20"/>
                <w:lang w:val="en-US" w:eastAsia="zh-CN" w:bidi="ar-SA"/>
              </w:rPr>
            </w:pPr>
            <w:r>
              <w:rPr>
                <w:rFonts w:hint="eastAsia" w:ascii="宋体" w:hAnsi="宋体" w:eastAsia="宋体" w:cs="宋体"/>
                <w:b/>
                <w:bCs w:val="0"/>
                <w:kern w:val="2"/>
                <w:sz w:val="24"/>
                <w:szCs w:val="20"/>
                <w:lang w:val="en-US" w:eastAsia="zh-CN" w:bidi="ar-SA"/>
              </w:rPr>
              <w:t>1.无偏差：</w:t>
            </w:r>
          </w:p>
          <w:p w14:paraId="5ED1D6CB">
            <w:pPr>
              <w:pStyle w:val="25"/>
              <w:numPr>
                <w:ilvl w:val="0"/>
                <w:numId w:val="0"/>
              </w:numPr>
              <w:ind w:right="-21" w:right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指响应文件（含证明文件）描述的响应磋商文件采购需求，未出现的负偏差，磋商小组会按</w:t>
            </w:r>
            <w:r>
              <w:rPr>
                <w:rFonts w:hint="eastAsia" w:ascii="宋体" w:hAnsi="宋体" w:cs="宋体"/>
                <w:bCs/>
                <w:kern w:val="2"/>
                <w:sz w:val="24"/>
                <w:szCs w:val="20"/>
                <w:lang w:val="en-US" w:eastAsia="zh-CN" w:bidi="ar-SA"/>
              </w:rPr>
              <w:t>45</w:t>
            </w:r>
            <w:r>
              <w:rPr>
                <w:rFonts w:hint="eastAsia" w:ascii="宋体" w:hAnsi="宋体" w:eastAsia="宋体" w:cs="宋体"/>
                <w:bCs/>
                <w:kern w:val="2"/>
                <w:sz w:val="24"/>
                <w:szCs w:val="20"/>
                <w:lang w:val="en-US" w:eastAsia="zh-CN" w:bidi="ar-SA"/>
              </w:rPr>
              <w:t>分给予计入。</w:t>
            </w:r>
          </w:p>
          <w:p w14:paraId="585EE3C6">
            <w:pPr>
              <w:pStyle w:val="25"/>
              <w:numPr>
                <w:ilvl w:val="0"/>
                <w:numId w:val="0"/>
              </w:numPr>
              <w:ind w:right="-21" w:rightChars="0"/>
              <w:rPr>
                <w:rFonts w:hint="eastAsia" w:ascii="宋体" w:hAnsi="宋体" w:eastAsia="宋体" w:cs="宋体"/>
                <w:b/>
                <w:bCs w:val="0"/>
                <w:kern w:val="2"/>
                <w:sz w:val="24"/>
                <w:szCs w:val="20"/>
                <w:lang w:val="en-US" w:eastAsia="zh-CN" w:bidi="ar-SA"/>
              </w:rPr>
            </w:pPr>
            <w:r>
              <w:rPr>
                <w:rFonts w:hint="eastAsia" w:ascii="宋体" w:hAnsi="宋体" w:cs="宋体"/>
                <w:b/>
                <w:bCs w:val="0"/>
                <w:kern w:val="2"/>
                <w:sz w:val="24"/>
                <w:szCs w:val="20"/>
                <w:lang w:val="en-US" w:eastAsia="zh-CN" w:bidi="ar-SA"/>
              </w:rPr>
              <w:t>2.</w:t>
            </w:r>
            <w:r>
              <w:rPr>
                <w:rFonts w:hint="eastAsia" w:ascii="宋体" w:hAnsi="宋体" w:eastAsia="宋体" w:cs="宋体"/>
                <w:b/>
                <w:bCs w:val="0"/>
                <w:kern w:val="2"/>
                <w:sz w:val="24"/>
                <w:szCs w:val="20"/>
                <w:lang w:val="en-US" w:eastAsia="zh-CN" w:bidi="ar-SA"/>
              </w:rPr>
              <w:t>有偏差：</w:t>
            </w:r>
          </w:p>
          <w:p w14:paraId="09C507ED">
            <w:pPr>
              <w:pStyle w:val="25"/>
              <w:numPr>
                <w:ilvl w:val="0"/>
                <w:numId w:val="0"/>
              </w:numPr>
              <w:ind w:right="-21" w:right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指响应文件（含证明文件）描述的不响应磋商文件采购需求所出现的负偏差，磋商小组会按下述原则予以评审：</w:t>
            </w:r>
          </w:p>
          <w:p w14:paraId="1F3ADE30">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 w:val="0"/>
                <w:bCs/>
                <w:kern w:val="2"/>
                <w:sz w:val="24"/>
                <w:szCs w:val="20"/>
                <w:lang w:val="en-US" w:eastAsia="zh-CN" w:bidi="ar-SA"/>
              </w:rPr>
              <w:t>①带*号的负偏差：</w:t>
            </w:r>
            <w:r>
              <w:rPr>
                <w:rFonts w:hint="eastAsia" w:ascii="宋体" w:hAnsi="宋体" w:eastAsia="宋体" w:cs="宋体"/>
                <w:bCs/>
                <w:kern w:val="2"/>
                <w:sz w:val="24"/>
                <w:szCs w:val="20"/>
                <w:lang w:val="en-US" w:eastAsia="zh-CN" w:bidi="ar-SA"/>
              </w:rPr>
              <w:t>带*号的技术参数或功能</w:t>
            </w:r>
            <w:r>
              <w:rPr>
                <w:rFonts w:hint="eastAsia" w:ascii="宋体" w:hAnsi="宋体" w:cs="宋体"/>
                <w:bCs/>
                <w:kern w:val="2"/>
                <w:sz w:val="24"/>
                <w:szCs w:val="20"/>
                <w:lang w:val="en-US" w:eastAsia="zh-CN" w:bidi="ar-SA"/>
              </w:rPr>
              <w:t>，</w:t>
            </w:r>
            <w:r>
              <w:rPr>
                <w:rFonts w:hint="eastAsia" w:ascii="宋体" w:hAnsi="宋体" w:eastAsia="宋体" w:cs="宋体"/>
                <w:bCs/>
                <w:kern w:val="2"/>
                <w:sz w:val="24"/>
                <w:szCs w:val="20"/>
                <w:lang w:val="en-US" w:eastAsia="zh-CN" w:bidi="ar-SA"/>
              </w:rPr>
              <w:t>完全满足的得</w:t>
            </w:r>
            <w:r>
              <w:rPr>
                <w:rFonts w:hint="eastAsia" w:ascii="宋体" w:hAnsi="宋体" w:cs="宋体"/>
                <w:bCs/>
                <w:kern w:val="2"/>
                <w:sz w:val="24"/>
                <w:szCs w:val="20"/>
                <w:lang w:val="en-US" w:eastAsia="zh-CN" w:bidi="ar-SA"/>
              </w:rPr>
              <w:t>20</w:t>
            </w:r>
            <w:r>
              <w:rPr>
                <w:rFonts w:hint="eastAsia" w:ascii="宋体" w:hAnsi="宋体" w:eastAsia="宋体" w:cs="宋体"/>
                <w:bCs/>
                <w:kern w:val="2"/>
                <w:sz w:val="24"/>
                <w:szCs w:val="20"/>
                <w:lang w:val="en-US" w:eastAsia="zh-CN" w:bidi="ar-SA"/>
              </w:rPr>
              <w:t>分，有一项负偏离的扣2分；超过3项不满足的，该项部分（</w:t>
            </w:r>
            <w:r>
              <w:rPr>
                <w:rFonts w:hint="eastAsia" w:ascii="宋体" w:hAnsi="宋体" w:cs="宋体"/>
                <w:bCs/>
                <w:kern w:val="2"/>
                <w:sz w:val="24"/>
                <w:szCs w:val="20"/>
                <w:lang w:val="en-US" w:eastAsia="zh-CN" w:bidi="ar-SA"/>
              </w:rPr>
              <w:t>20</w:t>
            </w:r>
            <w:r>
              <w:rPr>
                <w:rFonts w:hint="eastAsia" w:ascii="宋体" w:hAnsi="宋体" w:eastAsia="宋体" w:cs="宋体"/>
                <w:bCs/>
                <w:kern w:val="2"/>
                <w:sz w:val="24"/>
                <w:szCs w:val="20"/>
                <w:lang w:val="en-US" w:eastAsia="zh-CN" w:bidi="ar-SA"/>
              </w:rPr>
              <w:t>分）得0分。</w:t>
            </w:r>
          </w:p>
          <w:p w14:paraId="519FF13B">
            <w:pPr>
              <w:pStyle w:val="25"/>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 w:val="0"/>
                <w:bCs/>
                <w:kern w:val="2"/>
                <w:sz w:val="24"/>
                <w:szCs w:val="20"/>
                <w:lang w:val="en-US" w:eastAsia="zh-CN" w:bidi="ar-SA"/>
              </w:rPr>
              <w:t>②非带*号的负偏差：</w:t>
            </w:r>
            <w:r>
              <w:rPr>
                <w:rFonts w:hint="eastAsia" w:ascii="宋体" w:hAnsi="宋体" w:eastAsia="宋体" w:cs="宋体"/>
                <w:bCs/>
                <w:kern w:val="2"/>
                <w:sz w:val="24"/>
                <w:szCs w:val="20"/>
                <w:lang w:val="en-US" w:eastAsia="zh-CN" w:bidi="ar-SA"/>
              </w:rPr>
              <w:t>非带*号的技术参数或功能完全满足的得25分，有一项负偏离的扣 1 分，超过 20项不满足的，该项部分（25分）得 0 分。</w:t>
            </w:r>
          </w:p>
          <w:p w14:paraId="73835ADC">
            <w:pPr>
              <w:pStyle w:val="25"/>
              <w:ind w:right="-21" w:firstLine="0" w:firstLineChars="0"/>
              <w:rPr>
                <w:rFonts w:ascii="宋体" w:hAnsi="宋体" w:cs="宋体"/>
                <w:sz w:val="24"/>
              </w:rPr>
            </w:pPr>
            <w:r>
              <w:rPr>
                <w:rFonts w:hint="eastAsia" w:ascii="宋体" w:hAnsi="宋体" w:eastAsia="宋体" w:cs="宋体"/>
                <w:bCs/>
                <w:kern w:val="2"/>
                <w:sz w:val="24"/>
                <w:szCs w:val="20"/>
                <w:lang w:val="en-US" w:eastAsia="zh-CN" w:bidi="ar-SA"/>
              </w:rPr>
              <w:t>注：投标文件参数中有要求提供(加盖厂家公章的实物图片或软件截图、检测报告、证明文件）的，供应商均应如实提供，以此作为磋商小组评审依据，未如实或者提供的材料不能正确响应参数要求的视为本条参数不满足。且供应商提供的证明材料将作为后期验收时重要的验收依据，如提供虚假材料谋求中标，将不予验收并按照相关法律法规中标无效。</w:t>
            </w:r>
          </w:p>
        </w:tc>
      </w:tr>
      <w:tr w14:paraId="3396A546">
        <w:tblPrEx>
          <w:tblCellMar>
            <w:top w:w="0" w:type="dxa"/>
            <w:left w:w="108" w:type="dxa"/>
            <w:bottom w:w="0" w:type="dxa"/>
            <w:right w:w="108" w:type="dxa"/>
          </w:tblCellMar>
        </w:tblPrEx>
        <w:trPr>
          <w:trHeight w:val="53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1B989F07">
            <w:pPr>
              <w:rPr>
                <w:rFonts w:ascii="宋体" w:hAnsi="宋体" w:cs="宋体"/>
                <w:sz w:val="24"/>
              </w:rPr>
            </w:pPr>
            <w:r>
              <w:rPr>
                <w:rFonts w:hint="eastAsia" w:ascii="宋体" w:hAnsi="宋体" w:cs="宋体"/>
                <w:color w:val="auto"/>
                <w:sz w:val="24"/>
              </w:rPr>
              <w:t>综合</w:t>
            </w:r>
            <w:r>
              <w:rPr>
                <w:rFonts w:hint="eastAsia" w:ascii="宋体" w:hAnsi="宋体" w:cs="宋体"/>
                <w:sz w:val="24"/>
              </w:rPr>
              <w:t>（</w:t>
            </w:r>
            <w:r>
              <w:rPr>
                <w:rFonts w:hint="eastAsia" w:ascii="宋体" w:hAnsi="宋体" w:cs="宋体"/>
                <w:sz w:val="24"/>
                <w:lang w:val="en-US" w:eastAsia="zh-CN"/>
              </w:rPr>
              <w:t>25</w:t>
            </w:r>
            <w:r>
              <w:rPr>
                <w:rFonts w:hint="eastAsia" w:ascii="宋体" w:hAnsi="宋体" w:cs="宋体"/>
                <w:sz w:val="24"/>
              </w:rPr>
              <w:t>分）</w:t>
            </w:r>
          </w:p>
          <w:p w14:paraId="5DEF1B13">
            <w:pPr>
              <w:rPr>
                <w:rFonts w:ascii="宋体" w:hAnsi="宋体" w:cs="宋体"/>
                <w:sz w:val="24"/>
              </w:rPr>
            </w:pPr>
          </w:p>
        </w:tc>
        <w:tc>
          <w:tcPr>
            <w:tcW w:w="789" w:type="dxa"/>
            <w:tcBorders>
              <w:top w:val="single" w:color="auto" w:sz="4" w:space="0"/>
              <w:left w:val="single" w:color="auto" w:sz="4" w:space="0"/>
              <w:bottom w:val="single" w:color="auto" w:sz="4" w:space="0"/>
              <w:right w:val="single" w:color="auto" w:sz="4" w:space="0"/>
            </w:tcBorders>
            <w:vAlign w:val="center"/>
          </w:tcPr>
          <w:p w14:paraId="1230F521">
            <w:pPr>
              <w:widowControl/>
              <w:rPr>
                <w:rFonts w:ascii="宋体" w:hAnsi="宋体" w:cs="宋体"/>
                <w:color w:val="000000"/>
                <w:sz w:val="24"/>
              </w:rPr>
            </w:pPr>
            <w:r>
              <w:rPr>
                <w:rFonts w:hint="eastAsia" w:ascii="宋体" w:hAnsi="宋体" w:cs="宋体"/>
                <w:b/>
                <w:bCs/>
                <w:color w:val="000000"/>
                <w:sz w:val="24"/>
                <w:lang w:val="en-US" w:eastAsia="zh-CN"/>
              </w:rPr>
              <w:t>25</w:t>
            </w:r>
            <w:r>
              <w:rPr>
                <w:rFonts w:hint="eastAsia" w:ascii="宋体" w:hAnsi="宋体" w:cs="宋体"/>
                <w:b/>
                <w:bCs/>
                <w:color w:val="000000"/>
                <w:sz w:val="24"/>
              </w:rPr>
              <w:t>分</w:t>
            </w:r>
          </w:p>
        </w:tc>
        <w:tc>
          <w:tcPr>
            <w:tcW w:w="7120" w:type="dxa"/>
            <w:gridSpan w:val="2"/>
            <w:tcBorders>
              <w:top w:val="single" w:color="auto" w:sz="4" w:space="0"/>
              <w:left w:val="single" w:color="auto" w:sz="4" w:space="0"/>
              <w:bottom w:val="single" w:color="auto" w:sz="4" w:space="0"/>
              <w:right w:val="single" w:color="auto" w:sz="4" w:space="0"/>
            </w:tcBorders>
            <w:vAlign w:val="center"/>
          </w:tcPr>
          <w:p w14:paraId="2B1B7F41">
            <w:pPr>
              <w:pStyle w:val="25"/>
              <w:numPr>
                <w:ilvl w:val="0"/>
                <w:numId w:val="0"/>
              </w:numPr>
              <w:ind w:right="-21" w:right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1.供应商具有ISO9001质量管理体系认证证书、ISO14001环境管理体系认证证书、ISO45001职业健康安全管理体系认证证书，每提供1份证书得1分，最高得3分，未提供不得分。</w:t>
            </w:r>
          </w:p>
          <w:p w14:paraId="50193A9C">
            <w:pPr>
              <w:pStyle w:val="25"/>
              <w:numPr>
                <w:ilvl w:val="0"/>
                <w:numId w:val="0"/>
              </w:numPr>
              <w:ind w:right="-21" w:rightChars="0"/>
              <w:rPr>
                <w:rFonts w:hint="eastAsia" w:ascii="宋体" w:hAnsi="宋体" w:cs="宋体"/>
                <w:bCs/>
                <w:kern w:val="2"/>
                <w:sz w:val="24"/>
                <w:szCs w:val="20"/>
                <w:lang w:val="en-US" w:eastAsia="zh-CN" w:bidi="ar-SA"/>
              </w:rPr>
            </w:pPr>
            <w:r>
              <w:rPr>
                <w:rFonts w:hint="eastAsia" w:ascii="宋体" w:hAnsi="宋体" w:cs="宋体"/>
                <w:bCs/>
                <w:kern w:val="2"/>
                <w:sz w:val="24"/>
                <w:szCs w:val="20"/>
                <w:lang w:val="en-US" w:eastAsia="zh-CN" w:bidi="ar-SA"/>
              </w:rPr>
              <w:t>2.供应商提供基础护理虚拟现实仿真系统软件计算机软件著作权登记证书得3分</w:t>
            </w:r>
            <w:r>
              <w:rPr>
                <w:rFonts w:hint="eastAsia" w:ascii="宋体" w:hAnsi="宋体" w:eastAsia="宋体" w:cs="宋体"/>
                <w:bCs/>
                <w:kern w:val="2"/>
                <w:sz w:val="24"/>
                <w:szCs w:val="20"/>
                <w:lang w:val="en-US" w:eastAsia="zh-CN" w:bidi="ar-SA"/>
              </w:rPr>
              <w:t>，未提供不得分</w:t>
            </w:r>
            <w:r>
              <w:rPr>
                <w:rFonts w:hint="eastAsia" w:ascii="宋体" w:hAnsi="宋体" w:cs="宋体"/>
                <w:bCs/>
                <w:kern w:val="2"/>
                <w:sz w:val="24"/>
                <w:szCs w:val="20"/>
                <w:lang w:val="en-US" w:eastAsia="zh-CN" w:bidi="ar-SA"/>
              </w:rPr>
              <w:t>；</w:t>
            </w:r>
          </w:p>
          <w:p w14:paraId="5564DA04">
            <w:pPr>
              <w:pStyle w:val="25"/>
              <w:numPr>
                <w:ilvl w:val="0"/>
                <w:numId w:val="0"/>
              </w:numPr>
              <w:ind w:right="-21" w:rightChars="0"/>
              <w:rPr>
                <w:rFonts w:hint="eastAsia" w:ascii="宋体" w:hAnsi="宋体" w:cs="宋体"/>
                <w:bCs/>
                <w:kern w:val="2"/>
                <w:sz w:val="24"/>
                <w:szCs w:val="20"/>
                <w:lang w:val="en-US" w:eastAsia="zh-CN" w:bidi="ar-SA"/>
              </w:rPr>
            </w:pPr>
            <w:r>
              <w:rPr>
                <w:rFonts w:hint="eastAsia" w:ascii="宋体" w:hAnsi="宋体" w:cs="宋体"/>
                <w:bCs/>
                <w:kern w:val="2"/>
                <w:sz w:val="24"/>
                <w:szCs w:val="20"/>
                <w:lang w:val="en-US" w:eastAsia="zh-CN" w:bidi="ar-SA"/>
              </w:rPr>
              <w:t>3.供应商提供产科护理虚拟现实VR交互系统软件计算机软件著作权登记证书得3分</w:t>
            </w:r>
            <w:r>
              <w:rPr>
                <w:rFonts w:hint="eastAsia" w:ascii="宋体" w:hAnsi="宋体" w:eastAsia="宋体" w:cs="宋体"/>
                <w:bCs/>
                <w:kern w:val="2"/>
                <w:sz w:val="24"/>
                <w:szCs w:val="20"/>
                <w:lang w:val="en-US" w:eastAsia="zh-CN" w:bidi="ar-SA"/>
              </w:rPr>
              <w:t>，未提供不得分</w:t>
            </w:r>
            <w:r>
              <w:rPr>
                <w:rFonts w:hint="eastAsia" w:ascii="宋体" w:hAnsi="宋体" w:cs="宋体"/>
                <w:bCs/>
                <w:kern w:val="2"/>
                <w:sz w:val="24"/>
                <w:szCs w:val="20"/>
                <w:lang w:val="en-US" w:eastAsia="zh-CN" w:bidi="ar-SA"/>
              </w:rPr>
              <w:t>；</w:t>
            </w:r>
          </w:p>
          <w:p w14:paraId="3F97316F">
            <w:pPr>
              <w:pStyle w:val="25"/>
              <w:numPr>
                <w:ilvl w:val="0"/>
                <w:numId w:val="0"/>
              </w:numPr>
              <w:ind w:right="-21" w:rightChars="0"/>
              <w:rPr>
                <w:rFonts w:hint="default" w:ascii="宋体" w:hAnsi="宋体" w:cs="宋体"/>
                <w:bCs/>
                <w:kern w:val="2"/>
                <w:sz w:val="24"/>
                <w:szCs w:val="20"/>
                <w:lang w:val="en-US" w:eastAsia="zh-CN" w:bidi="ar-SA"/>
              </w:rPr>
            </w:pPr>
            <w:r>
              <w:rPr>
                <w:rFonts w:hint="eastAsia" w:ascii="宋体" w:hAnsi="宋体" w:cs="宋体"/>
                <w:bCs/>
                <w:kern w:val="2"/>
                <w:sz w:val="24"/>
                <w:szCs w:val="20"/>
                <w:lang w:val="en-US" w:eastAsia="zh-CN" w:bidi="ar-SA"/>
              </w:rPr>
              <w:t>4.供应商提供理实一体护理技能竞赛训练系统软件计算机软件著作权登记证书得3分</w:t>
            </w:r>
            <w:r>
              <w:rPr>
                <w:rFonts w:hint="eastAsia" w:ascii="宋体" w:hAnsi="宋体" w:eastAsia="宋体" w:cs="宋体"/>
                <w:bCs/>
                <w:kern w:val="2"/>
                <w:sz w:val="24"/>
                <w:szCs w:val="20"/>
                <w:lang w:val="en-US" w:eastAsia="zh-CN" w:bidi="ar-SA"/>
              </w:rPr>
              <w:t>，未提供不得分</w:t>
            </w:r>
            <w:r>
              <w:rPr>
                <w:rFonts w:hint="eastAsia" w:ascii="宋体" w:hAnsi="宋体" w:cs="宋体"/>
                <w:bCs/>
                <w:kern w:val="2"/>
                <w:sz w:val="24"/>
                <w:szCs w:val="20"/>
                <w:lang w:val="en-US" w:eastAsia="zh-CN" w:bidi="ar-SA"/>
              </w:rPr>
              <w:t>；</w:t>
            </w:r>
          </w:p>
          <w:p w14:paraId="44AC9F77">
            <w:pPr>
              <w:pStyle w:val="25"/>
              <w:numPr>
                <w:ilvl w:val="0"/>
                <w:numId w:val="0"/>
              </w:numPr>
              <w:ind w:right="-21" w:rightChars="0"/>
              <w:rPr>
                <w:rFonts w:hint="eastAsia" w:ascii="宋体" w:hAnsi="宋体" w:eastAsia="宋体" w:cs="宋体"/>
                <w:bCs/>
                <w:kern w:val="2"/>
                <w:sz w:val="24"/>
                <w:szCs w:val="20"/>
                <w:lang w:val="en-US" w:eastAsia="zh-CN" w:bidi="ar-SA"/>
              </w:rPr>
            </w:pPr>
            <w:r>
              <w:rPr>
                <w:rFonts w:hint="eastAsia" w:ascii="宋体" w:hAnsi="宋体" w:cs="宋体"/>
                <w:bCs/>
                <w:kern w:val="2"/>
                <w:sz w:val="24"/>
                <w:szCs w:val="20"/>
                <w:lang w:val="en-US" w:eastAsia="zh-CN" w:bidi="ar-SA"/>
              </w:rPr>
              <w:t>5.供应商提供软件类</w:t>
            </w:r>
            <w:r>
              <w:rPr>
                <w:rFonts w:hint="eastAsia" w:ascii="宋体" w:hAnsi="宋体" w:eastAsia="宋体" w:cs="宋体"/>
                <w:bCs/>
                <w:kern w:val="2"/>
                <w:sz w:val="24"/>
                <w:szCs w:val="20"/>
                <w:lang w:val="en-US" w:eastAsia="zh-CN" w:bidi="ar-SA"/>
              </w:rPr>
              <w:t>产品生产厂家信息系统安全等级保护备案（二级及以上）的得</w:t>
            </w:r>
            <w:r>
              <w:rPr>
                <w:rFonts w:hint="eastAsia" w:ascii="宋体" w:hAnsi="宋体" w:cs="宋体"/>
                <w:bCs/>
                <w:kern w:val="2"/>
                <w:sz w:val="24"/>
                <w:szCs w:val="20"/>
                <w:lang w:val="en-US" w:eastAsia="zh-CN" w:bidi="ar-SA"/>
              </w:rPr>
              <w:t>3</w:t>
            </w:r>
            <w:r>
              <w:rPr>
                <w:rFonts w:hint="eastAsia" w:ascii="宋体" w:hAnsi="宋体" w:eastAsia="宋体" w:cs="宋体"/>
                <w:bCs/>
                <w:kern w:val="2"/>
                <w:sz w:val="24"/>
                <w:szCs w:val="20"/>
                <w:lang w:val="en-US" w:eastAsia="zh-CN" w:bidi="ar-SA"/>
              </w:rPr>
              <w:t>分，未提供不得分；</w:t>
            </w:r>
          </w:p>
          <w:p w14:paraId="60119B2B">
            <w:pPr>
              <w:pStyle w:val="25"/>
              <w:numPr>
                <w:ilvl w:val="0"/>
                <w:numId w:val="0"/>
              </w:numPr>
              <w:ind w:right="-21" w:rightChars="0"/>
              <w:rPr>
                <w:rFonts w:hint="eastAsia" w:ascii="宋体" w:hAnsi="宋体" w:eastAsia="宋体" w:cs="宋体"/>
                <w:bCs/>
                <w:kern w:val="2"/>
                <w:sz w:val="24"/>
                <w:szCs w:val="20"/>
                <w:lang w:val="en-US" w:eastAsia="zh-CN" w:bidi="ar-SA"/>
              </w:rPr>
            </w:pPr>
            <w:r>
              <w:rPr>
                <w:rFonts w:hint="eastAsia" w:ascii="宋体" w:hAnsi="宋体" w:cs="宋体"/>
                <w:bCs/>
                <w:kern w:val="2"/>
                <w:sz w:val="24"/>
                <w:szCs w:val="20"/>
                <w:lang w:val="en-US" w:eastAsia="zh-CN" w:bidi="ar-SA"/>
              </w:rPr>
              <w:t>6.供应商提供软件类产品生产厂家</w:t>
            </w:r>
            <w:r>
              <w:rPr>
                <w:rFonts w:hint="eastAsia" w:ascii="宋体" w:hAnsi="宋体" w:eastAsia="宋体" w:cs="宋体"/>
                <w:bCs/>
                <w:kern w:val="2"/>
                <w:sz w:val="24"/>
                <w:szCs w:val="20"/>
                <w:lang w:val="en-US" w:eastAsia="zh-CN" w:bidi="ar-SA"/>
              </w:rPr>
              <w:t>CMMI 5级证书的得</w:t>
            </w:r>
            <w:r>
              <w:rPr>
                <w:rFonts w:hint="eastAsia" w:ascii="宋体" w:hAnsi="宋体" w:cs="宋体"/>
                <w:bCs/>
                <w:kern w:val="2"/>
                <w:sz w:val="24"/>
                <w:szCs w:val="20"/>
                <w:lang w:val="en-US" w:eastAsia="zh-CN" w:bidi="ar-SA"/>
              </w:rPr>
              <w:t>3</w:t>
            </w:r>
            <w:r>
              <w:rPr>
                <w:rFonts w:hint="eastAsia" w:ascii="宋体" w:hAnsi="宋体" w:eastAsia="宋体" w:cs="宋体"/>
                <w:bCs/>
                <w:kern w:val="2"/>
                <w:sz w:val="24"/>
                <w:szCs w:val="20"/>
                <w:lang w:val="en-US" w:eastAsia="zh-CN" w:bidi="ar-SA"/>
              </w:rPr>
              <w:t>分，未提供不得分；</w:t>
            </w:r>
          </w:p>
          <w:p w14:paraId="3F65E920">
            <w:pPr>
              <w:pStyle w:val="25"/>
              <w:numPr>
                <w:ilvl w:val="0"/>
                <w:numId w:val="0"/>
              </w:numPr>
              <w:ind w:right="-21" w:rightChars="0"/>
              <w:rPr>
                <w:rFonts w:hint="default" w:ascii="宋体" w:hAnsi="宋体" w:eastAsia="宋体" w:cs="宋体"/>
                <w:bCs/>
                <w:kern w:val="2"/>
                <w:sz w:val="24"/>
                <w:szCs w:val="20"/>
                <w:lang w:val="en-US" w:eastAsia="zh-CN" w:bidi="ar-SA"/>
              </w:rPr>
            </w:pPr>
            <w:r>
              <w:rPr>
                <w:rFonts w:hint="eastAsia" w:ascii="宋体" w:hAnsi="宋体" w:cs="宋体"/>
                <w:bCs/>
                <w:kern w:val="2"/>
                <w:sz w:val="24"/>
                <w:szCs w:val="20"/>
                <w:lang w:val="en-US" w:eastAsia="zh-CN" w:bidi="ar-SA"/>
              </w:rPr>
              <w:t>7</w:t>
            </w:r>
            <w:r>
              <w:rPr>
                <w:rFonts w:hint="eastAsia" w:ascii="宋体" w:hAnsi="宋体" w:eastAsia="宋体" w:cs="宋体"/>
                <w:bCs/>
                <w:kern w:val="2"/>
                <w:sz w:val="24"/>
                <w:szCs w:val="20"/>
                <w:lang w:val="en-US" w:eastAsia="zh-CN" w:bidi="ar-SA"/>
              </w:rPr>
              <w:t>.售后服务（5分）：根据投标人售后服务计划、是否有售后服务电话、地址；是否有专门的售后服务人员、上门服务流程、上门服务回访制度等进行综合评价，方案内容具体、完整、详细、全面的计5分；未提供或提供不全的均不得分。</w:t>
            </w:r>
          </w:p>
          <w:p w14:paraId="135884E8">
            <w:pPr>
              <w:pStyle w:val="25"/>
              <w:numPr>
                <w:ilvl w:val="0"/>
                <w:numId w:val="0"/>
              </w:numPr>
              <w:ind w:right="-21" w:rightChars="0"/>
              <w:rPr>
                <w:rFonts w:hint="eastAsia" w:ascii="宋体" w:hAnsi="宋体" w:eastAsia="宋体" w:cs="宋体"/>
                <w:bCs/>
                <w:kern w:val="2"/>
                <w:sz w:val="24"/>
                <w:szCs w:val="20"/>
                <w:lang w:val="en-US" w:eastAsia="zh-CN" w:bidi="ar-SA"/>
              </w:rPr>
            </w:pPr>
            <w:r>
              <w:rPr>
                <w:rFonts w:hint="eastAsia" w:ascii="宋体" w:hAnsi="宋体" w:cs="宋体"/>
                <w:bCs/>
                <w:kern w:val="2"/>
                <w:sz w:val="24"/>
                <w:szCs w:val="20"/>
                <w:lang w:val="en-US" w:eastAsia="zh-CN" w:bidi="ar-SA"/>
              </w:rPr>
              <w:t>8</w:t>
            </w:r>
            <w:r>
              <w:rPr>
                <w:rFonts w:hint="eastAsia" w:ascii="宋体" w:hAnsi="宋体" w:eastAsia="宋体" w:cs="宋体"/>
                <w:bCs/>
                <w:kern w:val="2"/>
                <w:sz w:val="24"/>
                <w:szCs w:val="20"/>
                <w:lang w:val="en-US" w:eastAsia="zh-CN" w:bidi="ar-SA"/>
              </w:rPr>
              <w:t>.承诺接到用户咨询电话后</w:t>
            </w:r>
            <w:r>
              <w:rPr>
                <w:rFonts w:hint="eastAsia" w:ascii="宋体" w:hAnsi="宋体" w:cs="宋体"/>
                <w:bCs/>
                <w:kern w:val="2"/>
                <w:sz w:val="24"/>
                <w:szCs w:val="20"/>
                <w:lang w:val="en-US" w:eastAsia="zh-CN" w:bidi="ar-SA"/>
              </w:rPr>
              <w:t>立即</w:t>
            </w:r>
            <w:r>
              <w:rPr>
                <w:rFonts w:hint="eastAsia" w:ascii="宋体" w:hAnsi="宋体" w:eastAsia="宋体" w:cs="宋体"/>
                <w:bCs/>
                <w:kern w:val="2"/>
                <w:sz w:val="24"/>
                <w:szCs w:val="20"/>
                <w:lang w:val="en-US" w:eastAsia="zh-CN" w:bidi="ar-SA"/>
              </w:rPr>
              <w:t>响应</w:t>
            </w:r>
            <w:r>
              <w:rPr>
                <w:rFonts w:hint="eastAsia" w:ascii="宋体" w:hAnsi="宋体" w:cs="宋体"/>
                <w:bCs/>
                <w:kern w:val="2"/>
                <w:sz w:val="24"/>
                <w:szCs w:val="20"/>
                <w:lang w:val="en-US" w:eastAsia="zh-CN" w:bidi="ar-SA"/>
              </w:rPr>
              <w:t>、必要时4小时内到达现场、</w:t>
            </w:r>
            <w:r>
              <w:rPr>
                <w:rFonts w:hint="eastAsia" w:ascii="宋体" w:hAnsi="宋体" w:eastAsia="宋体" w:cs="宋体"/>
                <w:bCs/>
                <w:kern w:val="2"/>
                <w:sz w:val="24"/>
                <w:szCs w:val="20"/>
                <w:lang w:val="en-US" w:eastAsia="zh-CN" w:bidi="ar-SA"/>
              </w:rPr>
              <w:t>24小时内解决问题的得2分，未提供或提供不全的均不得分。</w:t>
            </w:r>
          </w:p>
        </w:tc>
      </w:tr>
    </w:tbl>
    <w:p w14:paraId="3D75BE2C">
      <w:pPr>
        <w:pStyle w:val="26"/>
        <w:ind w:firstLine="480"/>
        <w:rPr>
          <w:rFonts w:ascii="宋体" w:hAnsi="宋体" w:eastAsia="宋体" w:cs="宋体"/>
          <w:sz w:val="24"/>
        </w:rPr>
      </w:pPr>
    </w:p>
    <w:p w14:paraId="45BAD962">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B6D0A7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29BB82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235FEA">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BE08E86">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A64EE4">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14DE45E">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5CC05200">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92DFA20">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268281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0558F0DE">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69E8C66B">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33952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4D8B6E6">
      <w:pPr>
        <w:spacing w:line="720" w:lineRule="auto"/>
        <w:jc w:val="center"/>
        <w:rPr>
          <w:rFonts w:ascii="宋体" w:hAnsi="宋体" w:cs="宋体"/>
          <w:b/>
          <w:sz w:val="24"/>
        </w:rPr>
      </w:pPr>
      <w:r>
        <w:rPr>
          <w:rFonts w:hint="eastAsia" w:ascii="宋体" w:hAnsi="宋体" w:cs="宋体"/>
          <w:b/>
          <w:sz w:val="24"/>
        </w:rPr>
        <w:t>七、成交通知</w:t>
      </w:r>
    </w:p>
    <w:p w14:paraId="063237D5">
      <w:pPr>
        <w:spacing w:line="560" w:lineRule="exact"/>
        <w:ind w:firstLine="482" w:firstLineChars="200"/>
        <w:rPr>
          <w:rFonts w:ascii="宋体" w:hAnsi="宋体" w:cs="宋体"/>
          <w:b/>
          <w:sz w:val="24"/>
        </w:rPr>
      </w:pPr>
      <w:r>
        <w:rPr>
          <w:rFonts w:hint="eastAsia" w:ascii="宋体" w:hAnsi="宋体" w:cs="宋体"/>
          <w:b/>
          <w:sz w:val="24"/>
        </w:rPr>
        <w:t>24.成交通知</w:t>
      </w:r>
    </w:p>
    <w:p w14:paraId="74D77CB3">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7B86B35">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179BF19">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537C3668">
      <w:pPr>
        <w:spacing w:line="720" w:lineRule="auto"/>
        <w:jc w:val="center"/>
        <w:rPr>
          <w:rFonts w:ascii="宋体" w:hAnsi="宋体" w:cs="宋体"/>
          <w:sz w:val="24"/>
        </w:rPr>
      </w:pPr>
      <w:r>
        <w:rPr>
          <w:rFonts w:hint="eastAsia" w:ascii="宋体" w:hAnsi="宋体" w:cs="宋体"/>
          <w:b/>
          <w:sz w:val="24"/>
        </w:rPr>
        <w:t>八、合同授予</w:t>
      </w:r>
    </w:p>
    <w:p w14:paraId="698A0EB8">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1FE1E72C">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65600B26">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B138494">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EBD730">
      <w:pPr>
        <w:spacing w:line="720" w:lineRule="auto"/>
        <w:jc w:val="center"/>
        <w:rPr>
          <w:rFonts w:ascii="宋体" w:hAnsi="宋体" w:cs="宋体"/>
          <w:b/>
          <w:sz w:val="24"/>
        </w:rPr>
      </w:pPr>
      <w:r>
        <w:rPr>
          <w:rFonts w:hint="eastAsia" w:ascii="宋体" w:hAnsi="宋体" w:cs="宋体"/>
          <w:b/>
          <w:sz w:val="24"/>
        </w:rPr>
        <w:t>九、质疑处理</w:t>
      </w:r>
    </w:p>
    <w:p w14:paraId="47F1B9C0">
      <w:pPr>
        <w:pStyle w:val="2"/>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4F25140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DEF9CBA">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F598AC9">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D1F2F15">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498A801">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0CFD92BD">
      <w:pPr>
        <w:jc w:val="center"/>
        <w:rPr>
          <w:rFonts w:ascii="宋体" w:hAnsi="宋体" w:cs="宋体"/>
          <w:b/>
          <w:sz w:val="24"/>
        </w:rPr>
      </w:pPr>
      <w:r>
        <w:rPr>
          <w:rFonts w:hint="eastAsia" w:ascii="宋体" w:hAnsi="宋体" w:cs="宋体"/>
          <w:b/>
          <w:sz w:val="24"/>
        </w:rPr>
        <w:t>第三章 采购项目内容及要求</w:t>
      </w:r>
    </w:p>
    <w:p w14:paraId="3B609C78">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49062DB5">
      <w:pPr>
        <w:spacing w:line="480" w:lineRule="auto"/>
        <w:ind w:left="350"/>
        <w:rPr>
          <w:rStyle w:val="66"/>
          <w:rFonts w:hint="eastAsia" w:ascii="宋体" w:hAnsi="宋体" w:cs="宋体"/>
          <w:b/>
          <w:bCs/>
          <w:color w:val="000000"/>
          <w:sz w:val="28"/>
          <w:szCs w:val="28"/>
          <w:lang w:val="en-US" w:eastAsia="zh-CN"/>
        </w:rPr>
      </w:pPr>
      <w:r>
        <w:rPr>
          <w:rStyle w:val="66"/>
          <w:rFonts w:hint="eastAsia" w:ascii="宋体" w:hAnsi="宋体" w:cs="宋体"/>
          <w:b/>
          <w:bCs/>
          <w:color w:val="000000"/>
          <w:sz w:val="28"/>
          <w:szCs w:val="28"/>
          <w:lang w:val="en-US" w:eastAsia="zh-CN"/>
        </w:rPr>
        <w:t>包1：护理专业群教学资源库建设</w:t>
      </w:r>
    </w:p>
    <w:tbl>
      <w:tblPr>
        <w:tblStyle w:val="27"/>
        <w:tblW w:w="497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446"/>
        <w:gridCol w:w="745"/>
        <w:gridCol w:w="6101"/>
        <w:gridCol w:w="596"/>
        <w:gridCol w:w="446"/>
      </w:tblGrid>
      <w:tr w14:paraId="774C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9" w:hRule="atLeast"/>
        </w:trPr>
        <w:tc>
          <w:tcPr>
            <w:tcW w:w="315" w:type="pct"/>
            <w:vAlign w:val="center"/>
          </w:tcPr>
          <w:p w14:paraId="1CD518B5">
            <w:pPr>
              <w:jc w:val="center"/>
              <w:rPr>
                <w:rFonts w:ascii="宋体" w:hAnsi="宋体" w:cs="宋体"/>
                <w:b/>
                <w:bCs/>
                <w:color w:val="000000" w:themeColor="text1"/>
                <w:sz w:val="24"/>
              </w:rPr>
            </w:pPr>
            <w:r>
              <w:rPr>
                <w:rFonts w:hint="eastAsia" w:ascii="宋体" w:hAnsi="宋体" w:cs="宋体"/>
                <w:b/>
                <w:bCs/>
                <w:color w:val="000000" w:themeColor="text1"/>
                <w:sz w:val="24"/>
              </w:rPr>
              <w:t>序号</w:t>
            </w:r>
          </w:p>
        </w:tc>
        <w:tc>
          <w:tcPr>
            <w:tcW w:w="251" w:type="pct"/>
            <w:vAlign w:val="center"/>
          </w:tcPr>
          <w:p w14:paraId="362193C6">
            <w:pPr>
              <w:jc w:val="center"/>
              <w:rPr>
                <w:rFonts w:ascii="宋体" w:hAnsi="宋体" w:cs="宋体"/>
                <w:b/>
                <w:bCs/>
                <w:color w:val="000000" w:themeColor="text1"/>
                <w:sz w:val="24"/>
              </w:rPr>
            </w:pPr>
            <w:r>
              <w:rPr>
                <w:rFonts w:hint="eastAsia" w:ascii="宋体" w:hAnsi="宋体" w:cs="宋体"/>
                <w:b/>
                <w:bCs/>
                <w:color w:val="000000" w:themeColor="text1"/>
                <w:sz w:val="24"/>
              </w:rPr>
              <w:t>项目名称</w:t>
            </w:r>
          </w:p>
        </w:tc>
        <w:tc>
          <w:tcPr>
            <w:tcW w:w="419" w:type="pct"/>
            <w:vAlign w:val="center"/>
          </w:tcPr>
          <w:p w14:paraId="412ED95D">
            <w:pPr>
              <w:jc w:val="center"/>
              <w:rPr>
                <w:rFonts w:ascii="宋体" w:hAnsi="宋体" w:cs="宋体"/>
                <w:b/>
                <w:bCs/>
                <w:color w:val="000000" w:themeColor="text1"/>
                <w:sz w:val="24"/>
              </w:rPr>
            </w:pPr>
            <w:r>
              <w:rPr>
                <w:rFonts w:hint="eastAsia" w:ascii="宋体" w:hAnsi="宋体" w:cs="宋体"/>
                <w:b/>
                <w:bCs/>
                <w:color w:val="000000" w:themeColor="text1"/>
                <w:sz w:val="24"/>
              </w:rPr>
              <w:t>资源类型</w:t>
            </w:r>
          </w:p>
        </w:tc>
        <w:tc>
          <w:tcPr>
            <w:tcW w:w="3429" w:type="pct"/>
            <w:vAlign w:val="center"/>
          </w:tcPr>
          <w:p w14:paraId="3D5594BC">
            <w:pPr>
              <w:jc w:val="center"/>
              <w:rPr>
                <w:rFonts w:ascii="宋体" w:hAnsi="宋体" w:cs="宋体"/>
                <w:b/>
                <w:bCs/>
                <w:color w:val="000000" w:themeColor="text1"/>
                <w:sz w:val="24"/>
              </w:rPr>
            </w:pPr>
            <w:r>
              <w:rPr>
                <w:rFonts w:hint="eastAsia" w:ascii="宋体" w:hAnsi="宋体" w:cs="宋体"/>
                <w:b/>
                <w:bCs/>
                <w:color w:val="000000" w:themeColor="text1"/>
                <w:sz w:val="24"/>
              </w:rPr>
              <w:t>规格概述</w:t>
            </w:r>
          </w:p>
        </w:tc>
        <w:tc>
          <w:tcPr>
            <w:tcW w:w="335" w:type="pct"/>
            <w:vAlign w:val="center"/>
          </w:tcPr>
          <w:p w14:paraId="1737C2DF">
            <w:pPr>
              <w:jc w:val="center"/>
              <w:rPr>
                <w:rFonts w:ascii="宋体" w:hAnsi="宋体" w:cs="宋体"/>
                <w:b/>
                <w:bCs/>
                <w:color w:val="000000" w:themeColor="text1"/>
                <w:sz w:val="24"/>
              </w:rPr>
            </w:pPr>
            <w:r>
              <w:rPr>
                <w:rFonts w:hint="eastAsia" w:ascii="宋体" w:hAnsi="宋体" w:cs="宋体"/>
                <w:b/>
                <w:bCs/>
                <w:color w:val="000000" w:themeColor="text1"/>
                <w:sz w:val="24"/>
              </w:rPr>
              <w:t>单位</w:t>
            </w:r>
          </w:p>
        </w:tc>
        <w:tc>
          <w:tcPr>
            <w:tcW w:w="251" w:type="pct"/>
            <w:vAlign w:val="center"/>
          </w:tcPr>
          <w:p w14:paraId="513B9EEE">
            <w:pPr>
              <w:jc w:val="center"/>
              <w:rPr>
                <w:rFonts w:ascii="宋体" w:hAnsi="宋体" w:cs="宋体"/>
                <w:b/>
                <w:bCs/>
                <w:color w:val="000000" w:themeColor="text1"/>
                <w:sz w:val="24"/>
              </w:rPr>
            </w:pPr>
            <w:r>
              <w:rPr>
                <w:rFonts w:hint="eastAsia" w:ascii="宋体" w:hAnsi="宋体" w:cs="宋体"/>
                <w:b/>
                <w:bCs/>
                <w:color w:val="000000" w:themeColor="text1"/>
                <w:sz w:val="24"/>
              </w:rPr>
              <w:t>数量</w:t>
            </w:r>
          </w:p>
        </w:tc>
      </w:tr>
      <w:tr w14:paraId="76B8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15" w:type="pct"/>
            <w:vMerge w:val="restart"/>
            <w:vAlign w:val="center"/>
          </w:tcPr>
          <w:p w14:paraId="5F1E229D">
            <w:pPr>
              <w:jc w:val="center"/>
              <w:rPr>
                <w:rFonts w:ascii="宋体" w:hAnsi="宋体" w:cs="宋体"/>
                <w:color w:val="000000" w:themeColor="text1"/>
                <w:sz w:val="24"/>
              </w:rPr>
            </w:pPr>
            <w:r>
              <w:rPr>
                <w:rFonts w:hint="eastAsia" w:ascii="宋体" w:hAnsi="宋体" w:cs="宋体"/>
                <w:color w:val="000000" w:themeColor="text1"/>
                <w:sz w:val="24"/>
              </w:rPr>
              <w:t>1</w:t>
            </w:r>
          </w:p>
        </w:tc>
        <w:tc>
          <w:tcPr>
            <w:tcW w:w="251" w:type="pct"/>
            <w:vMerge w:val="restart"/>
            <w:vAlign w:val="center"/>
          </w:tcPr>
          <w:p w14:paraId="2222CF8E">
            <w:pPr>
              <w:rPr>
                <w:rFonts w:ascii="宋体" w:hAnsi="宋体" w:cs="宋体"/>
                <w:color w:val="000000" w:themeColor="text1"/>
                <w:sz w:val="24"/>
              </w:rPr>
            </w:pPr>
            <w:r>
              <w:rPr>
                <w:rFonts w:hint="eastAsia" w:ascii="宋体" w:hAnsi="宋体" w:cs="宋体"/>
                <w:color w:val="000000" w:themeColor="text1"/>
                <w:sz w:val="24"/>
              </w:rPr>
              <w:t>专业核心课程</w:t>
            </w:r>
          </w:p>
        </w:tc>
        <w:tc>
          <w:tcPr>
            <w:tcW w:w="419" w:type="pct"/>
            <w:vAlign w:val="center"/>
          </w:tcPr>
          <w:p w14:paraId="2C81515B">
            <w:pPr>
              <w:rPr>
                <w:color w:val="000000" w:themeColor="text1"/>
                <w:szCs w:val="21"/>
              </w:rPr>
            </w:pPr>
            <w:r>
              <w:rPr>
                <w:rFonts w:hint="eastAsia" w:ascii="宋体" w:hAnsi="宋体" w:cs="宋体"/>
                <w:color w:val="000000" w:themeColor="text1"/>
                <w:sz w:val="24"/>
              </w:rPr>
              <w:t>1.1微课视频</w:t>
            </w:r>
          </w:p>
        </w:tc>
        <w:tc>
          <w:tcPr>
            <w:tcW w:w="3429" w:type="pct"/>
            <w:vAlign w:val="center"/>
          </w:tcPr>
          <w:p w14:paraId="781AD092">
            <w:pPr>
              <w:rPr>
                <w:rFonts w:ascii="宋体" w:hAnsi="宋体" w:cs="宋体"/>
                <w:b/>
                <w:bCs/>
                <w:color w:val="000000" w:themeColor="text1"/>
                <w:sz w:val="24"/>
              </w:rPr>
            </w:pPr>
            <w:r>
              <w:rPr>
                <w:rFonts w:hint="eastAsia" w:ascii="宋体" w:hAnsi="宋体" w:cs="宋体"/>
                <w:b/>
                <w:bCs/>
                <w:color w:val="000000" w:themeColor="text1"/>
                <w:sz w:val="24"/>
              </w:rPr>
              <w:t>总体要求：</w:t>
            </w:r>
          </w:p>
          <w:p w14:paraId="37C059F1">
            <w:pPr>
              <w:widowControl/>
              <w:rPr>
                <w:color w:val="000000" w:themeColor="text1"/>
                <w:szCs w:val="21"/>
              </w:rPr>
            </w:pPr>
            <w:r>
              <w:rPr>
                <w:color w:val="000000" w:themeColor="text1"/>
                <w:szCs w:val="21"/>
              </w:rPr>
              <w:t>1.投标人提供教学资源库建设服务，按混合式模型提供课程建设咨询服务。组织辅导主讲教师进行教学目标、教学大纲梳理，定制视频拍摄脚本并拍摄，编辑碎片化</w:t>
            </w:r>
            <w:r>
              <w:rPr>
                <w:rFonts w:hint="eastAsia"/>
                <w:color w:val="000000" w:themeColor="text1"/>
                <w:szCs w:val="21"/>
              </w:rPr>
              <w:t>微课</w:t>
            </w:r>
            <w:r>
              <w:rPr>
                <w:color w:val="000000" w:themeColor="text1"/>
                <w:szCs w:val="21"/>
              </w:rPr>
              <w:t>视频。</w:t>
            </w:r>
          </w:p>
          <w:p w14:paraId="6947316A">
            <w:pPr>
              <w:widowControl/>
              <w:rPr>
                <w:color w:val="000000" w:themeColor="text1"/>
                <w:szCs w:val="21"/>
              </w:rPr>
            </w:pPr>
            <w:r>
              <w:rPr>
                <w:rFonts w:hint="eastAsia"/>
                <w:color w:val="000000" w:themeColor="text1"/>
                <w:szCs w:val="21"/>
              </w:rPr>
              <w:t>2</w:t>
            </w:r>
            <w:r>
              <w:rPr>
                <w:color w:val="000000" w:themeColor="text1"/>
                <w:szCs w:val="21"/>
              </w:rPr>
              <w:t>.投标人应严格按照采购人的制作要求进行制作，保证课程视频资源品质及技术质量达到国家级精品在线开放课程建设标准。完成后的其他各类资源，其技术指标不低于国家级教学资源库所确定的标准。</w:t>
            </w:r>
          </w:p>
          <w:p w14:paraId="6B3F988E">
            <w:pPr>
              <w:rPr>
                <w:color w:val="000000" w:themeColor="text1"/>
                <w:szCs w:val="21"/>
              </w:rPr>
            </w:pPr>
            <w:r>
              <w:rPr>
                <w:rFonts w:hint="eastAsia"/>
                <w:color w:val="000000" w:themeColor="text1"/>
                <w:szCs w:val="21"/>
              </w:rPr>
              <w:t>▲3</w:t>
            </w:r>
            <w:r>
              <w:rPr>
                <w:color w:val="000000" w:themeColor="text1"/>
                <w:szCs w:val="21"/>
              </w:rPr>
              <w:t>.投标人保证制作内容版权合法（其中包括：画面、音乐、配音、及演员肖像权等）。</w:t>
            </w:r>
          </w:p>
          <w:p w14:paraId="01CC72C1">
            <w:pPr>
              <w:widowControl/>
              <w:rPr>
                <w:color w:val="000000" w:themeColor="text1"/>
                <w:szCs w:val="21"/>
              </w:rPr>
            </w:pPr>
            <w:r>
              <w:rPr>
                <w:rFonts w:hint="eastAsia"/>
                <w:color w:val="000000" w:themeColor="text1"/>
                <w:szCs w:val="21"/>
              </w:rPr>
              <w:t>4</w:t>
            </w:r>
            <w:r>
              <w:rPr>
                <w:color w:val="000000" w:themeColor="text1"/>
                <w:szCs w:val="21"/>
              </w:rPr>
              <w:t>.中标人负责保存原始录制素材与成片文件至少三年。</w:t>
            </w:r>
          </w:p>
          <w:p w14:paraId="1B5B10A3">
            <w:pPr>
              <w:widowControl/>
              <w:rPr>
                <w:color w:val="000000" w:themeColor="text1"/>
                <w:szCs w:val="21"/>
              </w:rPr>
            </w:pPr>
            <w:r>
              <w:rPr>
                <w:rFonts w:hint="eastAsia"/>
                <w:color w:val="000000" w:themeColor="text1"/>
                <w:szCs w:val="21"/>
              </w:rPr>
              <w:t>5</w:t>
            </w:r>
            <w:r>
              <w:rPr>
                <w:color w:val="000000" w:themeColor="text1"/>
                <w:szCs w:val="21"/>
              </w:rPr>
              <w:t>.拍摄素材及成片版权归属采购人所有，中标人不得进行任何私自处置。中标人在制作时需注意成片中所使用的图片、音视频等素材的版权问题。如出现版权纠纷，一切后果由中标人承担。中标人对授课案例中的当事人肖像权、隐私等采取适当技术手段处理。如出现侵权纠纷，一切后果由中标人承担。</w:t>
            </w:r>
          </w:p>
          <w:p w14:paraId="0F99EB60">
            <w:pPr>
              <w:widowControl/>
              <w:rPr>
                <w:color w:val="000000" w:themeColor="text1"/>
                <w:szCs w:val="21"/>
              </w:rPr>
            </w:pPr>
            <w:r>
              <w:rPr>
                <w:rFonts w:hint="eastAsia"/>
                <w:color w:val="000000" w:themeColor="text1"/>
                <w:szCs w:val="21"/>
              </w:rPr>
              <w:t>6</w:t>
            </w:r>
            <w:r>
              <w:rPr>
                <w:color w:val="000000" w:themeColor="text1"/>
                <w:szCs w:val="21"/>
              </w:rPr>
              <w:t>.驻校服务：在项目建设期间，中标人需派专业技术人员提供驻校服务，便于与专业教师沟通交流，领会教师资源开发意图，中标人到场与教师面对面进行沟通、制作、修改。</w:t>
            </w:r>
          </w:p>
          <w:p w14:paraId="1EE78829">
            <w:pPr>
              <w:rPr>
                <w:color w:val="000000" w:themeColor="text1"/>
                <w:szCs w:val="21"/>
              </w:rPr>
            </w:pPr>
            <w:r>
              <w:rPr>
                <w:rFonts w:hint="eastAsia"/>
                <w:color w:val="000000" w:themeColor="text1"/>
                <w:szCs w:val="21"/>
              </w:rPr>
              <w:t>▲7</w:t>
            </w:r>
            <w:r>
              <w:rPr>
                <w:color w:val="000000" w:themeColor="text1"/>
                <w:szCs w:val="21"/>
              </w:rPr>
              <w:t>.投标人需承诺，在三年售后服务期内，根据采购人要求，免费提供不超过视频总时长5%的视频更新服务。</w:t>
            </w:r>
          </w:p>
          <w:p w14:paraId="335F4EE8">
            <w:pPr>
              <w:rPr>
                <w:b/>
                <w:bCs/>
                <w:color w:val="000000" w:themeColor="text1"/>
                <w:sz w:val="24"/>
              </w:rPr>
            </w:pPr>
            <w:r>
              <w:rPr>
                <w:b/>
                <w:bCs/>
                <w:color w:val="000000" w:themeColor="text1"/>
                <w:sz w:val="24"/>
              </w:rPr>
              <w:t>团队要求</w:t>
            </w:r>
            <w:r>
              <w:rPr>
                <w:rFonts w:hint="eastAsia"/>
                <w:b/>
                <w:bCs/>
                <w:color w:val="000000" w:themeColor="text1"/>
                <w:sz w:val="24"/>
              </w:rPr>
              <w:t>：</w:t>
            </w:r>
          </w:p>
          <w:p w14:paraId="6A62F518">
            <w:pPr>
              <w:widowControl/>
              <w:rPr>
                <w:color w:val="000000" w:themeColor="text1"/>
                <w:szCs w:val="21"/>
              </w:rPr>
            </w:pPr>
            <w:r>
              <w:rPr>
                <w:rFonts w:hint="eastAsia"/>
                <w:color w:val="000000" w:themeColor="text1"/>
                <w:szCs w:val="21"/>
              </w:rPr>
              <w:t>▲8</w:t>
            </w:r>
            <w:r>
              <w:rPr>
                <w:color w:val="000000" w:themeColor="text1"/>
                <w:szCs w:val="21"/>
              </w:rPr>
              <w:t>.课程顾问</w:t>
            </w:r>
            <w:r>
              <w:rPr>
                <w:rFonts w:hint="eastAsia"/>
                <w:color w:val="000000" w:themeColor="text1"/>
                <w:szCs w:val="21"/>
              </w:rPr>
              <w:t>：</w:t>
            </w:r>
            <w:r>
              <w:rPr>
                <w:color w:val="000000" w:themeColor="text1"/>
                <w:szCs w:val="21"/>
              </w:rPr>
              <w:t>3年以上长期从事教育视频开发和建设工作；和课程负责人沟通，多角度了解、熟悉课程，帮助课程负责人、主讲教师等进行合理的任务分工；课程整体设计，协助主讲教师对知识点进行梳理，提升课程整体教学质量，优化教学效果；知识点设计，根据单个知识点的教学目标，帮助老师对知识点结构、教学方式调整；创意设计，增加课程创意，并将创意设计和脚本撰写的技巧教授给主讲老师（</w:t>
            </w:r>
            <w:r>
              <w:rPr>
                <w:rFonts w:ascii="宋体" w:hAnsi="宋体" w:cs="宋体"/>
                <w:color w:val="000000" w:themeColor="text1"/>
                <w:kern w:val="0"/>
                <w:szCs w:val="21"/>
              </w:rPr>
              <w:t>课程顾问团队至少3人获得过河南省高教处或河南职称教教育服务中心颁发的优秀课程顾问证书需加盖公章</w:t>
            </w:r>
            <w:r>
              <w:rPr>
                <w:color w:val="000000" w:themeColor="text1"/>
                <w:szCs w:val="21"/>
              </w:rPr>
              <w:t>）。</w:t>
            </w:r>
            <w:r>
              <w:rPr>
                <w:color w:val="000000" w:themeColor="text1"/>
                <w:szCs w:val="21"/>
              </w:rPr>
              <w:br w:type="textWrapping"/>
            </w:r>
            <w:r>
              <w:rPr>
                <w:rFonts w:hint="eastAsia"/>
                <w:color w:val="000000" w:themeColor="text1"/>
                <w:szCs w:val="21"/>
              </w:rPr>
              <w:t>9</w:t>
            </w:r>
            <w:r>
              <w:rPr>
                <w:color w:val="000000" w:themeColor="text1"/>
                <w:szCs w:val="21"/>
              </w:rPr>
              <w:t>.摄像师</w:t>
            </w:r>
            <w:r>
              <w:rPr>
                <w:rFonts w:hint="eastAsia"/>
                <w:color w:val="000000" w:themeColor="text1"/>
                <w:szCs w:val="21"/>
              </w:rPr>
              <w:t>：</w:t>
            </w:r>
            <w:r>
              <w:rPr>
                <w:color w:val="000000" w:themeColor="text1"/>
                <w:szCs w:val="21"/>
              </w:rPr>
              <w:t>有3年以上摄像从业经历的资深摄像师。</w:t>
            </w:r>
            <w:r>
              <w:rPr>
                <w:color w:val="000000" w:themeColor="text1"/>
                <w:szCs w:val="21"/>
              </w:rPr>
              <w:br w:type="textWrapping"/>
            </w:r>
            <w:r>
              <w:rPr>
                <w:rFonts w:hint="eastAsia"/>
                <w:color w:val="000000" w:themeColor="text1"/>
                <w:szCs w:val="21"/>
              </w:rPr>
              <w:t>10</w:t>
            </w:r>
            <w:r>
              <w:rPr>
                <w:color w:val="000000" w:themeColor="text1"/>
                <w:szCs w:val="21"/>
              </w:rPr>
              <w:t>.摄像助理</w:t>
            </w:r>
            <w:r>
              <w:rPr>
                <w:rFonts w:hint="eastAsia"/>
                <w:color w:val="000000" w:themeColor="text1"/>
                <w:szCs w:val="21"/>
              </w:rPr>
              <w:t>：</w:t>
            </w:r>
            <w:r>
              <w:rPr>
                <w:color w:val="000000" w:themeColor="text1"/>
                <w:szCs w:val="21"/>
              </w:rPr>
              <w:t>进行拍摄前的白平衡调试、机位的摆放、音频设备的测试。</w:t>
            </w:r>
            <w:r>
              <w:rPr>
                <w:color w:val="000000" w:themeColor="text1"/>
                <w:szCs w:val="21"/>
              </w:rPr>
              <w:br w:type="textWrapping"/>
            </w:r>
            <w:r>
              <w:rPr>
                <w:rFonts w:hint="eastAsia"/>
                <w:color w:val="000000" w:themeColor="text1"/>
                <w:szCs w:val="21"/>
              </w:rPr>
              <w:t>11</w:t>
            </w:r>
            <w:r>
              <w:rPr>
                <w:color w:val="000000" w:themeColor="text1"/>
                <w:szCs w:val="21"/>
              </w:rPr>
              <w:t>.灯光师</w:t>
            </w:r>
            <w:r>
              <w:rPr>
                <w:rFonts w:hint="eastAsia"/>
                <w:color w:val="000000" w:themeColor="text1"/>
                <w:szCs w:val="21"/>
              </w:rPr>
              <w:t>：</w:t>
            </w:r>
            <w:r>
              <w:rPr>
                <w:color w:val="000000" w:themeColor="text1"/>
                <w:szCs w:val="21"/>
              </w:rPr>
              <w:t>负责现场灯光的调试。</w:t>
            </w:r>
            <w:r>
              <w:rPr>
                <w:color w:val="000000" w:themeColor="text1"/>
                <w:szCs w:val="21"/>
              </w:rPr>
              <w:br w:type="textWrapping"/>
            </w:r>
            <w:r>
              <w:rPr>
                <w:rFonts w:hint="eastAsia"/>
                <w:color w:val="000000" w:themeColor="text1"/>
                <w:szCs w:val="21"/>
              </w:rPr>
              <w:t>12</w:t>
            </w:r>
            <w:r>
              <w:rPr>
                <w:color w:val="000000" w:themeColor="text1"/>
                <w:szCs w:val="21"/>
              </w:rPr>
              <w:t>.视频工程师</w:t>
            </w:r>
            <w:r>
              <w:rPr>
                <w:rFonts w:hint="eastAsia"/>
                <w:color w:val="000000" w:themeColor="text1"/>
                <w:szCs w:val="21"/>
              </w:rPr>
              <w:t>：</w:t>
            </w:r>
            <w:r>
              <w:rPr>
                <w:color w:val="000000" w:themeColor="text1"/>
                <w:szCs w:val="21"/>
              </w:rPr>
              <w:t>非线编剪辑人员，对拍摄的视频能够进行精准剪辑。</w:t>
            </w:r>
          </w:p>
          <w:p w14:paraId="71617940">
            <w:pPr>
              <w:widowControl/>
              <w:rPr>
                <w:color w:val="000000" w:themeColor="text1"/>
                <w:szCs w:val="21"/>
              </w:rPr>
            </w:pPr>
            <w:r>
              <w:rPr>
                <w:rFonts w:hint="eastAsia"/>
                <w:color w:val="000000" w:themeColor="text1"/>
                <w:szCs w:val="21"/>
              </w:rPr>
              <w:t>13</w:t>
            </w:r>
            <w:r>
              <w:rPr>
                <w:color w:val="000000" w:themeColor="text1"/>
                <w:szCs w:val="21"/>
              </w:rPr>
              <w:t>.动画师：根据课程需要制作动画。</w:t>
            </w:r>
          </w:p>
          <w:p w14:paraId="43757CCB">
            <w:pPr>
              <w:widowControl/>
              <w:rPr>
                <w:color w:val="000000" w:themeColor="text1"/>
                <w:szCs w:val="21"/>
              </w:rPr>
            </w:pPr>
            <w:r>
              <w:rPr>
                <w:rFonts w:hint="eastAsia"/>
                <w:color w:val="000000" w:themeColor="text1"/>
                <w:szCs w:val="21"/>
              </w:rPr>
              <w:t>14</w:t>
            </w:r>
            <w:r>
              <w:rPr>
                <w:color w:val="000000" w:themeColor="text1"/>
                <w:szCs w:val="21"/>
              </w:rPr>
              <w:t>.平面设计师：根据课程需要对图片和PPT课件进行美化制作。</w:t>
            </w:r>
          </w:p>
          <w:p w14:paraId="0D414AFF">
            <w:pPr>
              <w:rPr>
                <w:color w:val="000000" w:themeColor="text1"/>
                <w:szCs w:val="21"/>
              </w:rPr>
            </w:pPr>
            <w:r>
              <w:rPr>
                <w:rFonts w:hint="eastAsia"/>
                <w:color w:val="000000" w:themeColor="text1"/>
                <w:szCs w:val="21"/>
              </w:rPr>
              <w:t>15</w:t>
            </w:r>
            <w:r>
              <w:rPr>
                <w:color w:val="000000" w:themeColor="text1"/>
                <w:szCs w:val="21"/>
              </w:rPr>
              <w:t>.化妆师：为有需要的主讲教师提供现场化妆服务。</w:t>
            </w:r>
          </w:p>
          <w:p w14:paraId="1CE6C48C">
            <w:pPr>
              <w:widowControl/>
              <w:rPr>
                <w:b/>
                <w:bCs/>
                <w:color w:val="000000" w:themeColor="text1"/>
                <w:sz w:val="24"/>
              </w:rPr>
            </w:pPr>
            <w:r>
              <w:rPr>
                <w:rFonts w:hint="eastAsia"/>
                <w:b/>
                <w:bCs/>
                <w:color w:val="000000" w:themeColor="text1"/>
                <w:sz w:val="24"/>
              </w:rPr>
              <w:t>课程设计要求：</w:t>
            </w:r>
          </w:p>
          <w:p w14:paraId="5C0EF344">
            <w:pPr>
              <w:widowControl/>
              <w:rPr>
                <w:color w:val="000000" w:themeColor="text1"/>
                <w:szCs w:val="21"/>
              </w:rPr>
            </w:pPr>
            <w:r>
              <w:rPr>
                <w:color w:val="000000" w:themeColor="text1"/>
                <w:szCs w:val="21"/>
              </w:rPr>
              <w:t>1</w:t>
            </w:r>
            <w:r>
              <w:rPr>
                <w:rFonts w:hint="eastAsia"/>
                <w:color w:val="000000" w:themeColor="text1"/>
                <w:szCs w:val="21"/>
              </w:rPr>
              <w:t>6</w:t>
            </w:r>
            <w:r>
              <w:rPr>
                <w:color w:val="000000" w:themeColor="text1"/>
                <w:szCs w:val="21"/>
              </w:rPr>
              <w:t>.课程顾问同每位主讲教师沟通项目总体需求和建设目标，协助设计及规划每位教师的授课内容、内容结构和呈现方式，每个视频内容为5-8分钟。</w:t>
            </w:r>
            <w:r>
              <w:rPr>
                <w:color w:val="000000" w:themeColor="text1"/>
                <w:szCs w:val="21"/>
              </w:rPr>
              <w:br w:type="textWrapping"/>
            </w:r>
            <w:r>
              <w:rPr>
                <w:rFonts w:hint="eastAsia"/>
                <w:color w:val="000000" w:themeColor="text1"/>
                <w:szCs w:val="21"/>
              </w:rPr>
              <w:t>17</w:t>
            </w:r>
            <w:r>
              <w:rPr>
                <w:color w:val="000000" w:themeColor="text1"/>
                <w:szCs w:val="21"/>
              </w:rPr>
              <w:t>.课程顾问与主讲教师按课程知识点，收集材料如：PPT、视频、文档、主讲教师资料以及一些辅助课程的拓展资料。</w:t>
            </w:r>
            <w:r>
              <w:rPr>
                <w:color w:val="000000" w:themeColor="text1"/>
                <w:szCs w:val="21"/>
              </w:rPr>
              <w:br w:type="textWrapping"/>
            </w:r>
            <w:r>
              <w:rPr>
                <w:rFonts w:hint="eastAsia"/>
                <w:color w:val="000000" w:themeColor="text1"/>
                <w:szCs w:val="21"/>
              </w:rPr>
              <w:t>18</w:t>
            </w:r>
            <w:r>
              <w:rPr>
                <w:color w:val="000000" w:themeColor="text1"/>
                <w:szCs w:val="21"/>
              </w:rPr>
              <w:t>.课程顾问与主讲教师确定知识点，根据知识点内容进行策划制作效果，选择场地、服装搭配，协调拍摄注意事项等问题。</w:t>
            </w:r>
            <w:r>
              <w:rPr>
                <w:color w:val="000000" w:themeColor="text1"/>
                <w:szCs w:val="21"/>
              </w:rPr>
              <w:br w:type="textWrapping"/>
            </w:r>
            <w:r>
              <w:rPr>
                <w:rFonts w:hint="eastAsia"/>
                <w:color w:val="000000" w:themeColor="text1"/>
                <w:szCs w:val="21"/>
              </w:rPr>
              <w:t>19</w:t>
            </w:r>
            <w:r>
              <w:rPr>
                <w:color w:val="000000" w:themeColor="text1"/>
                <w:szCs w:val="21"/>
              </w:rPr>
              <w:t>.课程LOGO：能够体现课程特色，形式新颖，具有医学元素以及适当的音乐。</w:t>
            </w:r>
          </w:p>
          <w:p w14:paraId="449771B0">
            <w:pPr>
              <w:rPr>
                <w:color w:val="000000" w:themeColor="text1"/>
                <w:szCs w:val="21"/>
              </w:rPr>
            </w:pPr>
            <w:r>
              <w:rPr>
                <w:rFonts w:hint="eastAsia"/>
                <w:color w:val="000000" w:themeColor="text1"/>
                <w:szCs w:val="21"/>
              </w:rPr>
              <w:t>20</w:t>
            </w:r>
            <w:r>
              <w:rPr>
                <w:color w:val="000000" w:themeColor="text1"/>
                <w:szCs w:val="21"/>
              </w:rPr>
              <w:t>.每门课程整体包装设计，单门课程所有视频保持一致的整体风格，设计内容包括：片头、片尾、背景、版式、风格、校标、课标、姓名条等。</w:t>
            </w:r>
          </w:p>
          <w:p w14:paraId="00F13BB1">
            <w:pPr>
              <w:widowControl/>
              <w:rPr>
                <w:b/>
                <w:bCs/>
                <w:color w:val="000000" w:themeColor="text1"/>
                <w:sz w:val="24"/>
              </w:rPr>
            </w:pPr>
            <w:r>
              <w:rPr>
                <w:rFonts w:hint="eastAsia"/>
                <w:b/>
                <w:bCs/>
                <w:color w:val="000000" w:themeColor="text1"/>
                <w:sz w:val="24"/>
              </w:rPr>
              <w:t>拍摄</w:t>
            </w:r>
            <w:r>
              <w:rPr>
                <w:b/>
                <w:bCs/>
                <w:color w:val="000000" w:themeColor="text1"/>
                <w:sz w:val="24"/>
              </w:rPr>
              <w:t>场地要求：</w:t>
            </w:r>
          </w:p>
          <w:p w14:paraId="418BA51B">
            <w:pPr>
              <w:widowControl/>
              <w:rPr>
                <w:color w:val="000000" w:themeColor="text1"/>
                <w:szCs w:val="21"/>
              </w:rPr>
            </w:pPr>
            <w:r>
              <w:rPr>
                <w:rFonts w:hint="eastAsia"/>
                <w:color w:val="000000" w:themeColor="text1"/>
                <w:szCs w:val="21"/>
              </w:rPr>
              <w:t>2</w:t>
            </w:r>
            <w:r>
              <w:rPr>
                <w:color w:val="000000" w:themeColor="text1"/>
                <w:szCs w:val="21"/>
              </w:rPr>
              <w:t>1.投标人需在采购方要求的区域内具备专业的视频拍摄场地，满足视频拍摄需求，以及提供与主讲教师进行日常课程设计沟通的场所。</w:t>
            </w:r>
          </w:p>
          <w:p w14:paraId="2549D24E">
            <w:pPr>
              <w:widowControl/>
              <w:rPr>
                <w:color w:val="000000" w:themeColor="text1"/>
                <w:szCs w:val="21"/>
              </w:rPr>
            </w:pPr>
            <w:r>
              <w:rPr>
                <w:color w:val="000000" w:themeColor="text1"/>
                <w:szCs w:val="21"/>
              </w:rPr>
              <w:t>2</w:t>
            </w:r>
            <w:r>
              <w:rPr>
                <w:rFonts w:hint="eastAsia"/>
                <w:color w:val="000000" w:themeColor="text1"/>
                <w:szCs w:val="21"/>
              </w:rPr>
              <w:t>2</w:t>
            </w:r>
            <w:r>
              <w:rPr>
                <w:color w:val="000000" w:themeColor="text1"/>
                <w:szCs w:val="21"/>
              </w:rPr>
              <w:t>.投标人支持在主讲教师所在地根据拍摄内容的不同，搭建适合的拍摄场景。</w:t>
            </w:r>
          </w:p>
          <w:p w14:paraId="1C15C2F2">
            <w:pPr>
              <w:widowControl/>
              <w:rPr>
                <w:b/>
                <w:bCs/>
                <w:color w:val="000000" w:themeColor="text1"/>
                <w:sz w:val="24"/>
              </w:rPr>
            </w:pPr>
            <w:r>
              <w:rPr>
                <w:rFonts w:hint="eastAsia"/>
                <w:b/>
                <w:bCs/>
                <w:color w:val="000000" w:themeColor="text1"/>
                <w:sz w:val="24"/>
              </w:rPr>
              <w:t>拍摄</w:t>
            </w:r>
            <w:r>
              <w:rPr>
                <w:b/>
                <w:bCs/>
                <w:color w:val="000000" w:themeColor="text1"/>
                <w:sz w:val="24"/>
              </w:rPr>
              <w:t>设备要求：</w:t>
            </w:r>
          </w:p>
          <w:p w14:paraId="09E471C5">
            <w:pPr>
              <w:widowControl/>
              <w:rPr>
                <w:color w:val="000000" w:themeColor="text1"/>
                <w:szCs w:val="21"/>
              </w:rPr>
            </w:pPr>
            <w:r>
              <w:rPr>
                <w:rFonts w:hint="eastAsia"/>
                <w:color w:val="000000" w:themeColor="text1"/>
                <w:szCs w:val="21"/>
              </w:rPr>
              <w:t>23</w:t>
            </w:r>
            <w:r>
              <w:rPr>
                <w:color w:val="000000" w:themeColor="text1"/>
                <w:szCs w:val="21"/>
              </w:rPr>
              <w:t>.拍摄设备</w:t>
            </w:r>
            <w:r>
              <w:rPr>
                <w:rFonts w:hint="eastAsia"/>
                <w:color w:val="000000" w:themeColor="text1"/>
                <w:szCs w:val="21"/>
              </w:rPr>
              <w:t>：</w:t>
            </w:r>
            <w:r>
              <w:rPr>
                <w:color w:val="000000" w:themeColor="text1"/>
                <w:szCs w:val="21"/>
              </w:rPr>
              <w:t>现场摄像机要求使用专业级数字高清设备。</w:t>
            </w:r>
            <w:r>
              <w:rPr>
                <w:color w:val="000000" w:themeColor="text1"/>
                <w:szCs w:val="21"/>
              </w:rPr>
              <w:br w:type="textWrapping"/>
            </w:r>
            <w:r>
              <w:rPr>
                <w:color w:val="000000" w:themeColor="text1"/>
                <w:szCs w:val="21"/>
              </w:rPr>
              <w:t>2</w:t>
            </w:r>
            <w:r>
              <w:rPr>
                <w:rFonts w:hint="eastAsia"/>
                <w:color w:val="000000" w:themeColor="text1"/>
                <w:szCs w:val="21"/>
              </w:rPr>
              <w:t>4</w:t>
            </w:r>
            <w:r>
              <w:rPr>
                <w:color w:val="000000" w:themeColor="text1"/>
                <w:szCs w:val="21"/>
              </w:rPr>
              <w:t>.音频设备：现场录制要求使用专业级音频设备，保证教师和学生发言的录音质量。</w:t>
            </w:r>
            <w:r>
              <w:rPr>
                <w:color w:val="000000" w:themeColor="text1"/>
                <w:szCs w:val="21"/>
              </w:rPr>
              <w:br w:type="textWrapping"/>
            </w:r>
            <w:r>
              <w:rPr>
                <w:rFonts w:hint="eastAsia"/>
                <w:color w:val="000000" w:themeColor="text1"/>
                <w:szCs w:val="21"/>
              </w:rPr>
              <w:t>25</w:t>
            </w:r>
            <w:r>
              <w:rPr>
                <w:color w:val="000000" w:themeColor="text1"/>
                <w:szCs w:val="21"/>
              </w:rPr>
              <w:t>.灯光设备：专业影视摄影镝灯，LED面光灯等。</w:t>
            </w:r>
            <w:r>
              <w:rPr>
                <w:color w:val="000000" w:themeColor="text1"/>
                <w:szCs w:val="21"/>
              </w:rPr>
              <w:br w:type="textWrapping"/>
            </w:r>
            <w:r>
              <w:rPr>
                <w:rFonts w:hint="eastAsia"/>
                <w:color w:val="000000" w:themeColor="text1"/>
                <w:szCs w:val="21"/>
              </w:rPr>
              <w:t>26</w:t>
            </w:r>
            <w:r>
              <w:rPr>
                <w:color w:val="000000" w:themeColor="text1"/>
                <w:szCs w:val="21"/>
              </w:rPr>
              <w:t>.辅助记忆设备：提供提词器。</w:t>
            </w:r>
            <w:r>
              <w:rPr>
                <w:color w:val="000000" w:themeColor="text1"/>
                <w:szCs w:val="21"/>
              </w:rPr>
              <w:br w:type="textWrapping"/>
            </w:r>
            <w:r>
              <w:rPr>
                <w:rFonts w:hint="eastAsia"/>
                <w:color w:val="000000" w:themeColor="text1"/>
                <w:szCs w:val="21"/>
              </w:rPr>
              <w:t>27</w:t>
            </w:r>
            <w:r>
              <w:rPr>
                <w:color w:val="000000" w:themeColor="text1"/>
                <w:szCs w:val="21"/>
              </w:rPr>
              <w:t>.存储设备：设备及有效容量应能保证正常完成拍摄任务。</w:t>
            </w:r>
            <w:r>
              <w:rPr>
                <w:color w:val="000000" w:themeColor="text1"/>
                <w:szCs w:val="21"/>
              </w:rPr>
              <w:br w:type="textWrapping"/>
            </w:r>
            <w:r>
              <w:rPr>
                <w:rFonts w:hint="eastAsia"/>
                <w:color w:val="000000" w:themeColor="text1"/>
                <w:szCs w:val="21"/>
              </w:rPr>
              <w:t>28</w:t>
            </w:r>
            <w:r>
              <w:rPr>
                <w:color w:val="000000" w:themeColor="text1"/>
                <w:szCs w:val="21"/>
              </w:rPr>
              <w:t>.后期制作设备：专业的非线性编辑系统。</w:t>
            </w:r>
            <w:r>
              <w:rPr>
                <w:color w:val="000000" w:themeColor="text1"/>
                <w:szCs w:val="21"/>
              </w:rPr>
              <w:br w:type="textWrapping"/>
            </w:r>
            <w:r>
              <w:rPr>
                <w:rFonts w:hint="eastAsia"/>
                <w:color w:val="000000" w:themeColor="text1"/>
                <w:szCs w:val="21"/>
              </w:rPr>
              <w:t>29</w:t>
            </w:r>
            <w:r>
              <w:rPr>
                <w:color w:val="000000" w:themeColor="text1"/>
                <w:szCs w:val="21"/>
              </w:rPr>
              <w:t>.监听设备：监听耳机2副。</w:t>
            </w:r>
          </w:p>
          <w:p w14:paraId="1BED3A5B">
            <w:pPr>
              <w:widowControl/>
              <w:rPr>
                <w:b/>
                <w:bCs/>
                <w:color w:val="000000" w:themeColor="text1"/>
                <w:sz w:val="24"/>
              </w:rPr>
            </w:pPr>
            <w:r>
              <w:rPr>
                <w:b/>
                <w:bCs/>
                <w:color w:val="000000" w:themeColor="text1"/>
                <w:sz w:val="24"/>
              </w:rPr>
              <w:t>后期制作要求</w:t>
            </w:r>
            <w:r>
              <w:rPr>
                <w:rFonts w:hint="eastAsia"/>
                <w:b/>
                <w:bCs/>
                <w:color w:val="000000" w:themeColor="text1"/>
                <w:sz w:val="24"/>
              </w:rPr>
              <w:t>：</w:t>
            </w:r>
          </w:p>
          <w:p w14:paraId="76E479D7">
            <w:pPr>
              <w:widowControl/>
              <w:rPr>
                <w:color w:val="000000" w:themeColor="text1"/>
                <w:szCs w:val="21"/>
              </w:rPr>
            </w:pPr>
            <w:r>
              <w:rPr>
                <w:rFonts w:hint="eastAsia"/>
                <w:color w:val="000000" w:themeColor="text1"/>
                <w:szCs w:val="21"/>
              </w:rPr>
              <w:t>30.</w:t>
            </w:r>
            <w:r>
              <w:rPr>
                <w:color w:val="000000" w:themeColor="text1"/>
                <w:szCs w:val="21"/>
              </w:rPr>
              <w:t>剪辑点：根据主讲教师的特定要求剪去不需要的时间段。如主讲教师重复的语句、长时间的停顿（10秒以上不讲话）、与课程内容无关的动作、授课过程中被某些原因打断授课的都可视情况剪去，剪辑后需要保证前后讲话内容的完整性，衔接要流畅。</w:t>
            </w:r>
            <w:r>
              <w:rPr>
                <w:color w:val="000000" w:themeColor="text1"/>
                <w:szCs w:val="21"/>
              </w:rPr>
              <w:br w:type="textWrapping"/>
            </w:r>
            <w:r>
              <w:rPr>
                <w:rFonts w:hint="eastAsia"/>
                <w:color w:val="000000" w:themeColor="text1"/>
                <w:szCs w:val="21"/>
              </w:rPr>
              <w:t>31.</w:t>
            </w:r>
            <w:r>
              <w:rPr>
                <w:color w:val="000000" w:themeColor="text1"/>
                <w:szCs w:val="21"/>
              </w:rPr>
              <w:t>转场：课程剪辑的转场出现在剪辑点、机位切换或PPT展示处。转场效果若不是特殊要求，使用硬切换或者淡入淡出即可。</w:t>
            </w:r>
          </w:p>
          <w:p w14:paraId="36232391">
            <w:pPr>
              <w:widowControl/>
              <w:rPr>
                <w:color w:val="000000" w:themeColor="text1"/>
                <w:szCs w:val="21"/>
              </w:rPr>
            </w:pPr>
            <w:r>
              <w:rPr>
                <w:rFonts w:hint="eastAsia"/>
                <w:color w:val="000000" w:themeColor="text1"/>
                <w:szCs w:val="21"/>
              </w:rPr>
              <w:t>32.</w:t>
            </w:r>
            <w:r>
              <w:rPr>
                <w:color w:val="000000" w:themeColor="text1"/>
                <w:szCs w:val="21"/>
              </w:rPr>
              <w:t>视频压缩采用H.264/AVC</w:t>
            </w:r>
            <w:r>
              <w:rPr>
                <w:rFonts w:hint="eastAsia" w:ascii="宋体" w:hAnsi="宋体" w:cs="宋体"/>
                <w:color w:val="000000" w:themeColor="text1"/>
                <w:szCs w:val="21"/>
              </w:rPr>
              <w:t>(</w:t>
            </w:r>
            <w:r>
              <w:rPr>
                <w:color w:val="000000" w:themeColor="text1"/>
                <w:szCs w:val="21"/>
              </w:rPr>
              <w:t>MPEG-4Part10</w:t>
            </w:r>
            <w:r>
              <w:rPr>
                <w:rFonts w:hint="eastAsia" w:ascii="宋体" w:hAnsi="宋体" w:cs="宋体"/>
                <w:color w:val="000000" w:themeColor="text1"/>
                <w:szCs w:val="21"/>
              </w:rPr>
              <w:t>)</w:t>
            </w:r>
            <w:r>
              <w:rPr>
                <w:color w:val="000000" w:themeColor="text1"/>
                <w:szCs w:val="21"/>
              </w:rPr>
              <w:t>编码、使用二次编码、不包含字幕的MP4格式。单个视频文件小于200MB。</w:t>
            </w:r>
          </w:p>
          <w:p w14:paraId="7D185241">
            <w:pPr>
              <w:widowControl/>
              <w:rPr>
                <w:color w:val="000000" w:themeColor="text1"/>
                <w:szCs w:val="21"/>
              </w:rPr>
            </w:pPr>
            <w:r>
              <w:rPr>
                <w:rFonts w:hint="eastAsia"/>
                <w:color w:val="000000" w:themeColor="text1"/>
                <w:szCs w:val="21"/>
              </w:rPr>
              <w:t>33.</w:t>
            </w:r>
            <w:r>
              <w:rPr>
                <w:color w:val="000000" w:themeColor="text1"/>
                <w:szCs w:val="21"/>
              </w:rPr>
              <w:t>视频码流率不低于1024Kbps。</w:t>
            </w:r>
          </w:p>
          <w:p w14:paraId="29188CFD">
            <w:pPr>
              <w:widowControl/>
              <w:rPr>
                <w:color w:val="000000" w:themeColor="text1"/>
                <w:szCs w:val="21"/>
              </w:rPr>
            </w:pPr>
            <w:r>
              <w:rPr>
                <w:color w:val="000000" w:themeColor="text1"/>
                <w:szCs w:val="21"/>
              </w:rPr>
              <w:t>3</w:t>
            </w:r>
            <w:r>
              <w:rPr>
                <w:rFonts w:hint="eastAsia"/>
                <w:color w:val="000000" w:themeColor="text1"/>
                <w:szCs w:val="21"/>
              </w:rPr>
              <w:t>4.</w:t>
            </w:r>
            <w:r>
              <w:rPr>
                <w:color w:val="000000" w:themeColor="text1"/>
                <w:szCs w:val="21"/>
              </w:rPr>
              <w:t>视频分辨率统一设定为1280×720。</w:t>
            </w:r>
          </w:p>
          <w:p w14:paraId="2DE585AD">
            <w:pPr>
              <w:widowControl/>
              <w:rPr>
                <w:color w:val="000000" w:themeColor="text1"/>
                <w:szCs w:val="21"/>
              </w:rPr>
            </w:pPr>
            <w:r>
              <w:rPr>
                <w:rFonts w:hint="eastAsia"/>
                <w:color w:val="000000" w:themeColor="text1"/>
                <w:szCs w:val="21"/>
              </w:rPr>
              <w:t>35.</w:t>
            </w:r>
            <w:r>
              <w:rPr>
                <w:color w:val="000000" w:themeColor="text1"/>
                <w:szCs w:val="21"/>
              </w:rPr>
              <w:t>视频画幅宽高比统一设定为16</w:t>
            </w:r>
            <w:r>
              <w:rPr>
                <w:rFonts w:hint="eastAsia"/>
                <w:color w:val="000000" w:themeColor="text1"/>
                <w:szCs w:val="21"/>
              </w:rPr>
              <w:t>：</w:t>
            </w:r>
            <w:r>
              <w:rPr>
                <w:color w:val="000000" w:themeColor="text1"/>
                <w:szCs w:val="21"/>
              </w:rPr>
              <w:t>9。</w:t>
            </w:r>
          </w:p>
          <w:p w14:paraId="5946076D">
            <w:pPr>
              <w:widowControl/>
              <w:rPr>
                <w:color w:val="000000" w:themeColor="text1"/>
                <w:szCs w:val="21"/>
              </w:rPr>
            </w:pPr>
            <w:r>
              <w:rPr>
                <w:rFonts w:hint="eastAsia"/>
                <w:color w:val="000000" w:themeColor="text1"/>
                <w:szCs w:val="21"/>
              </w:rPr>
              <w:t>36.</w:t>
            </w:r>
            <w:r>
              <w:rPr>
                <w:color w:val="000000" w:themeColor="text1"/>
                <w:szCs w:val="21"/>
              </w:rPr>
              <w:t>视频帧率为25帧/秒，PAL制式。</w:t>
            </w:r>
          </w:p>
          <w:p w14:paraId="6E97C8AC">
            <w:pPr>
              <w:rPr>
                <w:color w:val="000000" w:themeColor="text1"/>
                <w:szCs w:val="21"/>
              </w:rPr>
            </w:pPr>
            <w:r>
              <w:rPr>
                <w:rFonts w:hint="eastAsia"/>
                <w:color w:val="000000" w:themeColor="text1"/>
                <w:szCs w:val="21"/>
              </w:rPr>
              <w:t>37.</w:t>
            </w:r>
            <w:r>
              <w:rPr>
                <w:color w:val="000000" w:themeColor="text1"/>
                <w:szCs w:val="21"/>
              </w:rPr>
              <w:t>音频压缩采用AAC(MPEG4Part3)格式。</w:t>
            </w:r>
            <w:r>
              <w:rPr>
                <w:color w:val="000000" w:themeColor="text1"/>
                <w:szCs w:val="21"/>
              </w:rPr>
              <w:br w:type="textWrapping"/>
            </w:r>
            <w:r>
              <w:rPr>
                <w:rFonts w:hint="eastAsia"/>
                <w:color w:val="000000" w:themeColor="text1"/>
                <w:szCs w:val="21"/>
              </w:rPr>
              <w:t>38.</w:t>
            </w:r>
            <w:r>
              <w:rPr>
                <w:color w:val="000000" w:themeColor="text1"/>
                <w:szCs w:val="21"/>
              </w:rPr>
              <w:t>采样率48KHz。</w:t>
            </w:r>
            <w:r>
              <w:rPr>
                <w:color w:val="000000" w:themeColor="text1"/>
                <w:szCs w:val="21"/>
              </w:rPr>
              <w:br w:type="textWrapping"/>
            </w:r>
            <w:r>
              <w:rPr>
                <w:rFonts w:hint="eastAsia"/>
                <w:color w:val="000000" w:themeColor="text1"/>
                <w:szCs w:val="21"/>
              </w:rPr>
              <w:t>39.</w:t>
            </w:r>
            <w:r>
              <w:rPr>
                <w:color w:val="000000" w:themeColor="text1"/>
                <w:szCs w:val="21"/>
              </w:rPr>
              <w:t>音频码流率128Kbps。</w:t>
            </w:r>
            <w:r>
              <w:rPr>
                <w:color w:val="000000" w:themeColor="text1"/>
                <w:szCs w:val="21"/>
              </w:rPr>
              <w:br w:type="textWrapping"/>
            </w:r>
            <w:r>
              <w:rPr>
                <w:rFonts w:hint="eastAsia"/>
                <w:color w:val="000000" w:themeColor="text1"/>
                <w:szCs w:val="21"/>
              </w:rPr>
              <w:t>40.</w:t>
            </w:r>
            <w:r>
              <w:rPr>
                <w:color w:val="000000" w:themeColor="text1"/>
                <w:szCs w:val="21"/>
              </w:rPr>
              <w:t>音频位数：0bits。</w:t>
            </w:r>
            <w:r>
              <w:rPr>
                <w:color w:val="000000" w:themeColor="text1"/>
                <w:szCs w:val="21"/>
              </w:rPr>
              <w:br w:type="textWrapping"/>
            </w:r>
            <w:r>
              <w:rPr>
                <w:rFonts w:hint="eastAsia"/>
                <w:color w:val="000000" w:themeColor="text1"/>
                <w:szCs w:val="21"/>
              </w:rPr>
              <w:t>41.</w:t>
            </w:r>
            <w:r>
              <w:rPr>
                <w:color w:val="000000" w:themeColor="text1"/>
                <w:szCs w:val="21"/>
              </w:rPr>
              <w:t>声道数：2channels。</w:t>
            </w:r>
          </w:p>
          <w:p w14:paraId="4FFA53C9">
            <w:pPr>
              <w:rPr>
                <w:b/>
                <w:bCs/>
                <w:color w:val="000000" w:themeColor="text1"/>
                <w:sz w:val="24"/>
              </w:rPr>
            </w:pPr>
            <w:r>
              <w:rPr>
                <w:rFonts w:hint="eastAsia"/>
                <w:b/>
                <w:bCs/>
                <w:color w:val="000000" w:themeColor="text1"/>
                <w:sz w:val="24"/>
              </w:rPr>
              <w:t>视频成片要求：</w:t>
            </w:r>
          </w:p>
          <w:p w14:paraId="516D3609">
            <w:pPr>
              <w:widowControl/>
              <w:rPr>
                <w:color w:val="000000" w:themeColor="text1"/>
                <w:szCs w:val="21"/>
              </w:rPr>
            </w:pPr>
            <w:r>
              <w:rPr>
                <w:rFonts w:hint="eastAsia"/>
                <w:color w:val="000000" w:themeColor="text1"/>
                <w:szCs w:val="21"/>
              </w:rPr>
              <w:t>42</w:t>
            </w:r>
            <w:r>
              <w:rPr>
                <w:color w:val="000000" w:themeColor="text1"/>
                <w:szCs w:val="21"/>
              </w:rPr>
              <w:t>.片头与片尾</w:t>
            </w:r>
            <w:r>
              <w:rPr>
                <w:color w:val="000000" w:themeColor="text1"/>
                <w:szCs w:val="21"/>
              </w:rPr>
              <w:br w:type="textWrapping"/>
            </w:r>
            <w:r>
              <w:rPr>
                <w:color w:val="000000" w:themeColor="text1"/>
                <w:szCs w:val="21"/>
              </w:rPr>
              <w:t>（1）根据课程特色，设计片头片尾，片头应包括：学校LOGO、课程名称、讲次、标题、主讲教师姓名、专业技术职务、学校等信息。</w:t>
            </w:r>
          </w:p>
          <w:p w14:paraId="65BEE650">
            <w:pPr>
              <w:widowControl/>
              <w:rPr>
                <w:color w:val="000000" w:themeColor="text1"/>
                <w:szCs w:val="21"/>
              </w:rPr>
            </w:pPr>
            <w:r>
              <w:rPr>
                <w:color w:val="000000" w:themeColor="text1"/>
                <w:szCs w:val="21"/>
              </w:rPr>
              <w:t>（2）LOGO在画面左上角，课程名称、讲次和标题在画面居中呈现，讲师职务与讲次内容右对齐，学校信息在画面正下方。</w:t>
            </w:r>
            <w:r>
              <w:rPr>
                <w:color w:val="000000" w:themeColor="text1"/>
                <w:szCs w:val="21"/>
              </w:rPr>
              <w:br w:type="textWrapping"/>
            </w:r>
            <w:r>
              <w:rPr>
                <w:rFonts w:hint="eastAsia"/>
                <w:color w:val="000000" w:themeColor="text1"/>
                <w:szCs w:val="21"/>
              </w:rPr>
              <w:t>43.</w:t>
            </w:r>
            <w:r>
              <w:rPr>
                <w:color w:val="000000" w:themeColor="text1"/>
                <w:szCs w:val="21"/>
              </w:rPr>
              <w:t>全片课件内容</w:t>
            </w:r>
            <w:r>
              <w:rPr>
                <w:color w:val="000000" w:themeColor="text1"/>
                <w:szCs w:val="21"/>
              </w:rPr>
              <w:br w:type="textWrapping"/>
            </w:r>
            <w:r>
              <w:rPr>
                <w:color w:val="000000" w:themeColor="text1"/>
                <w:szCs w:val="21"/>
              </w:rPr>
              <w:t>（1）全片中学校、课程和讲师名称循环出现在画面左上角，间隔3分钟，即00:11-03:10出现学校名称，03：11-6:10出现课程名称，6:11-8:10出现讲师名称，依此类推。</w:t>
            </w:r>
            <w:r>
              <w:rPr>
                <w:color w:val="000000" w:themeColor="text1"/>
                <w:szCs w:val="21"/>
              </w:rPr>
              <w:br w:type="textWrapping"/>
            </w:r>
            <w:r>
              <w:rPr>
                <w:color w:val="000000" w:themeColor="text1"/>
                <w:szCs w:val="21"/>
              </w:rPr>
              <w:t>（2）画面以讲师的授课为主，适当插入课件素材。</w:t>
            </w:r>
            <w:r>
              <w:rPr>
                <w:color w:val="000000" w:themeColor="text1"/>
                <w:szCs w:val="21"/>
              </w:rPr>
              <w:br w:type="textWrapping"/>
            </w:r>
            <w:r>
              <w:rPr>
                <w:color w:val="000000" w:themeColor="text1"/>
                <w:szCs w:val="21"/>
              </w:rPr>
              <w:t>（3）讲师应完整地出现在画面中，当拍摄讲师特写时，应居中于画面，不能出现半个身子或半个头的情况。</w:t>
            </w:r>
            <w:r>
              <w:rPr>
                <w:color w:val="000000" w:themeColor="text1"/>
                <w:szCs w:val="21"/>
              </w:rPr>
              <w:br w:type="textWrapping"/>
            </w:r>
            <w:r>
              <w:rPr>
                <w:color w:val="000000" w:themeColor="text1"/>
                <w:szCs w:val="21"/>
              </w:rPr>
              <w:t>（4）当讲师指向PPT时，应在3秒内切换成含PPT在内的全景、PPT特写或插入PPT。</w:t>
            </w:r>
            <w:r>
              <w:rPr>
                <w:color w:val="000000" w:themeColor="text1"/>
                <w:szCs w:val="21"/>
              </w:rPr>
              <w:br w:type="textWrapping"/>
            </w:r>
            <w:r>
              <w:rPr>
                <w:color w:val="000000" w:themeColor="text1"/>
                <w:szCs w:val="21"/>
              </w:rPr>
              <w:t>（5）插入的PPT应与授课内容吻合，且插入时长控制在5-8秒。</w:t>
            </w:r>
            <w:r>
              <w:rPr>
                <w:color w:val="000000" w:themeColor="text1"/>
                <w:szCs w:val="21"/>
              </w:rPr>
              <w:br w:type="textWrapping"/>
            </w:r>
            <w:r>
              <w:rPr>
                <w:color w:val="000000" w:themeColor="text1"/>
                <w:szCs w:val="21"/>
              </w:rPr>
              <w:t>（6）编辑点处不同机位的镜头切换应使用叠画，画面衔接处应无明显色差。</w:t>
            </w:r>
            <w:r>
              <w:rPr>
                <w:color w:val="000000" w:themeColor="text1"/>
                <w:szCs w:val="21"/>
              </w:rPr>
              <w:br w:type="textWrapping"/>
            </w:r>
            <w:r>
              <w:rPr>
                <w:color w:val="000000" w:themeColor="text1"/>
                <w:szCs w:val="21"/>
              </w:rPr>
              <w:t>（7）镜头无抖动、无穿帮，远近切时应缓推，速度均匀，不能忽快忽慢，。</w:t>
            </w:r>
            <w:r>
              <w:rPr>
                <w:color w:val="000000" w:themeColor="text1"/>
                <w:szCs w:val="21"/>
              </w:rPr>
              <w:br w:type="textWrapping"/>
            </w:r>
            <w:r>
              <w:rPr>
                <w:color w:val="000000" w:themeColor="text1"/>
                <w:szCs w:val="21"/>
              </w:rPr>
              <w:t>（8）唇音同步，音质清晰、饱满、圆润，无失真、忽大忽小、忽远忽近现象。</w:t>
            </w:r>
            <w:r>
              <w:rPr>
                <w:color w:val="000000" w:themeColor="text1"/>
                <w:szCs w:val="21"/>
              </w:rPr>
              <w:br w:type="textWrapping"/>
            </w:r>
            <w:r>
              <w:rPr>
                <w:color w:val="000000" w:themeColor="text1"/>
                <w:szCs w:val="21"/>
              </w:rPr>
              <w:t>（9）无交流声、噪声或其它杂音。</w:t>
            </w:r>
            <w:r>
              <w:rPr>
                <w:color w:val="000000" w:themeColor="text1"/>
                <w:szCs w:val="21"/>
              </w:rPr>
              <w:br w:type="textWrapping"/>
            </w:r>
            <w:r>
              <w:rPr>
                <w:color w:val="000000" w:themeColor="text1"/>
                <w:szCs w:val="21"/>
              </w:rPr>
              <w:t>（10）全片内容前后衔接，应删除与授课无关的内容。</w:t>
            </w:r>
            <w:r>
              <w:rPr>
                <w:color w:val="000000" w:themeColor="text1"/>
                <w:szCs w:val="21"/>
              </w:rPr>
              <w:br w:type="textWrapping"/>
            </w:r>
            <w:r>
              <w:rPr>
                <w:rFonts w:hint="eastAsia"/>
                <w:color w:val="000000" w:themeColor="text1"/>
                <w:szCs w:val="21"/>
              </w:rPr>
              <w:t>44</w:t>
            </w:r>
            <w:r>
              <w:rPr>
                <w:color w:val="000000" w:themeColor="text1"/>
                <w:szCs w:val="21"/>
              </w:rPr>
              <w:t>.视频信号源：</w:t>
            </w:r>
          </w:p>
          <w:p w14:paraId="67966C3E">
            <w:pPr>
              <w:widowControl/>
              <w:rPr>
                <w:color w:val="000000" w:themeColor="text1"/>
                <w:szCs w:val="21"/>
              </w:rPr>
            </w:pPr>
            <w:r>
              <w:rPr>
                <w:color w:val="000000" w:themeColor="text1"/>
                <w:szCs w:val="21"/>
              </w:rPr>
              <w:t>（1）全片图像同步性能稳定，无失步现象，图像无抖动跳跃，色彩无突变，编辑点处图像稳定；</w:t>
            </w:r>
          </w:p>
          <w:p w14:paraId="10C376EB">
            <w:pPr>
              <w:widowControl/>
              <w:rPr>
                <w:color w:val="000000" w:themeColor="text1"/>
                <w:szCs w:val="21"/>
              </w:rPr>
            </w:pPr>
            <w:r>
              <w:rPr>
                <w:color w:val="000000" w:themeColor="text1"/>
                <w:szCs w:val="21"/>
              </w:rPr>
              <w:t>（2）白平衡正确，无明显偏色，多机拍摄的镜头衔接处无明显色差。</w:t>
            </w:r>
            <w:r>
              <w:rPr>
                <w:color w:val="000000" w:themeColor="text1"/>
                <w:szCs w:val="21"/>
              </w:rPr>
              <w:br w:type="textWrapping"/>
            </w:r>
            <w:r>
              <w:rPr>
                <w:rFonts w:hint="eastAsia"/>
                <w:color w:val="000000" w:themeColor="text1"/>
                <w:szCs w:val="21"/>
              </w:rPr>
              <w:t>45</w:t>
            </w:r>
            <w:r>
              <w:rPr>
                <w:color w:val="000000" w:themeColor="text1"/>
                <w:szCs w:val="21"/>
              </w:rPr>
              <w:t>.音频信号源：</w:t>
            </w:r>
          </w:p>
          <w:p w14:paraId="35B5DA88">
            <w:pPr>
              <w:widowControl/>
              <w:rPr>
                <w:color w:val="000000" w:themeColor="text1"/>
                <w:szCs w:val="21"/>
              </w:rPr>
            </w:pPr>
            <w:r>
              <w:rPr>
                <w:color w:val="000000" w:themeColor="text1"/>
                <w:szCs w:val="21"/>
              </w:rPr>
              <w:t>（1）声道：中文内容音频信号记录于第1声道，音乐、音效、同期声记录于第2声道，若有其他文字解说记录于第2声道；</w:t>
            </w:r>
          </w:p>
          <w:p w14:paraId="1C8D5FFC">
            <w:pPr>
              <w:widowControl/>
              <w:rPr>
                <w:color w:val="000000" w:themeColor="text1"/>
                <w:szCs w:val="21"/>
              </w:rPr>
            </w:pPr>
            <w:r>
              <w:rPr>
                <w:color w:val="000000" w:themeColor="text1"/>
                <w:szCs w:val="21"/>
              </w:rPr>
              <w:t>（2）电平指标：-2db—-8db声音应无明显失真、放音过冲、过弱；</w:t>
            </w:r>
          </w:p>
          <w:p w14:paraId="76A81272">
            <w:pPr>
              <w:widowControl/>
              <w:rPr>
                <w:color w:val="000000" w:themeColor="text1"/>
                <w:szCs w:val="21"/>
              </w:rPr>
            </w:pPr>
            <w:r>
              <w:rPr>
                <w:color w:val="000000" w:themeColor="text1"/>
                <w:szCs w:val="21"/>
              </w:rPr>
              <w:t>（3）音频信噪比不低于48db；</w:t>
            </w:r>
          </w:p>
          <w:p w14:paraId="28D89FB1">
            <w:pPr>
              <w:widowControl/>
              <w:rPr>
                <w:color w:val="000000" w:themeColor="text1"/>
                <w:szCs w:val="21"/>
              </w:rPr>
            </w:pPr>
            <w:r>
              <w:rPr>
                <w:color w:val="000000" w:themeColor="text1"/>
                <w:szCs w:val="21"/>
              </w:rPr>
              <w:t>（4）声音和画面要求同步，无交流声或其他杂音等缺陷；</w:t>
            </w:r>
          </w:p>
          <w:p w14:paraId="197321F2">
            <w:pPr>
              <w:widowControl/>
              <w:rPr>
                <w:color w:val="000000" w:themeColor="text1"/>
                <w:szCs w:val="21"/>
              </w:rPr>
            </w:pPr>
            <w:r>
              <w:rPr>
                <w:color w:val="000000" w:themeColor="text1"/>
                <w:szCs w:val="21"/>
              </w:rPr>
              <w:t>（5）伴音清晰、饱满、圆润，无失真、噪声杂音干扰、音量忽大忽小现象。解说声与现场声无明显比例失调，解说声与背景音乐无明显比例失调。</w:t>
            </w:r>
          </w:p>
          <w:p w14:paraId="70E9EFD1">
            <w:pPr>
              <w:rPr>
                <w:b/>
                <w:bCs/>
                <w:color w:val="000000" w:themeColor="text1"/>
                <w:sz w:val="24"/>
              </w:rPr>
            </w:pPr>
            <w:r>
              <w:rPr>
                <w:rFonts w:hint="eastAsia"/>
                <w:b/>
                <w:bCs/>
                <w:color w:val="000000" w:themeColor="text1"/>
                <w:sz w:val="24"/>
              </w:rPr>
              <w:t>交付要求：</w:t>
            </w:r>
          </w:p>
          <w:p w14:paraId="59A219E3">
            <w:pPr>
              <w:widowControl/>
              <w:rPr>
                <w:color w:val="000000" w:themeColor="text1"/>
                <w:szCs w:val="21"/>
              </w:rPr>
            </w:pPr>
            <w:r>
              <w:rPr>
                <w:rFonts w:hint="eastAsia"/>
                <w:color w:val="000000" w:themeColor="text1"/>
                <w:szCs w:val="21"/>
              </w:rPr>
              <w:t>46</w:t>
            </w:r>
            <w:r>
              <w:rPr>
                <w:color w:val="000000" w:themeColor="text1"/>
                <w:szCs w:val="21"/>
              </w:rPr>
              <w:t>.所有资源文件存储于移动硬盘内。</w:t>
            </w:r>
          </w:p>
          <w:p w14:paraId="3AC80822">
            <w:pPr>
              <w:widowControl/>
              <w:rPr>
                <w:color w:val="000000" w:themeColor="text1"/>
                <w:szCs w:val="21"/>
              </w:rPr>
            </w:pPr>
            <w:r>
              <w:rPr>
                <w:rFonts w:hint="eastAsia"/>
                <w:color w:val="000000" w:themeColor="text1"/>
                <w:szCs w:val="21"/>
              </w:rPr>
              <w:t>47</w:t>
            </w:r>
            <w:r>
              <w:rPr>
                <w:color w:val="000000" w:themeColor="text1"/>
                <w:szCs w:val="21"/>
              </w:rPr>
              <w:t>.一级文件夹命名规则：课程名称。</w:t>
            </w:r>
          </w:p>
          <w:p w14:paraId="26ECE50F">
            <w:pPr>
              <w:widowControl/>
              <w:rPr>
                <w:color w:val="000000" w:themeColor="text1"/>
                <w:szCs w:val="21"/>
              </w:rPr>
            </w:pPr>
            <w:r>
              <w:rPr>
                <w:rFonts w:hint="eastAsia"/>
                <w:color w:val="000000" w:themeColor="text1"/>
                <w:szCs w:val="21"/>
              </w:rPr>
              <w:t>48</w:t>
            </w:r>
            <w:r>
              <w:rPr>
                <w:color w:val="000000" w:themeColor="text1"/>
                <w:szCs w:val="21"/>
              </w:rPr>
              <w:t>.二级文件夹命名规则：素材类别，如：视频成片、视频原片、工程文件、动画、文本、图片等。</w:t>
            </w:r>
          </w:p>
          <w:p w14:paraId="691C28B8">
            <w:pPr>
              <w:widowControl/>
              <w:rPr>
                <w:color w:val="000000" w:themeColor="text1"/>
                <w:szCs w:val="21"/>
              </w:rPr>
            </w:pPr>
            <w:r>
              <w:rPr>
                <w:rFonts w:hint="eastAsia"/>
                <w:color w:val="000000" w:themeColor="text1"/>
                <w:szCs w:val="21"/>
              </w:rPr>
              <w:t>49</w:t>
            </w:r>
            <w:r>
              <w:rPr>
                <w:color w:val="000000" w:themeColor="text1"/>
                <w:szCs w:val="21"/>
              </w:rPr>
              <w:t>.不同类别的资源放入对应的二级文件夹内，文件命名规则：知识点名称+老师名称+序号。</w:t>
            </w:r>
          </w:p>
          <w:p w14:paraId="7853047D">
            <w:pPr>
              <w:widowControl/>
              <w:rPr>
                <w:color w:val="000000" w:themeColor="text1"/>
                <w:szCs w:val="21"/>
              </w:rPr>
            </w:pPr>
            <w:r>
              <w:rPr>
                <w:rFonts w:hint="eastAsia"/>
                <w:color w:val="000000" w:themeColor="text1"/>
                <w:szCs w:val="21"/>
              </w:rPr>
              <w:t>50</w:t>
            </w:r>
            <w:r>
              <w:rPr>
                <w:color w:val="000000" w:themeColor="text1"/>
                <w:szCs w:val="21"/>
              </w:rPr>
              <w:t>.资源交付时需提交【资源交接明细表】（纸质及电子档）。</w:t>
            </w:r>
          </w:p>
          <w:p w14:paraId="23E033F6">
            <w:pPr>
              <w:rPr>
                <w:b/>
                <w:bCs/>
                <w:color w:val="000000" w:themeColor="text1"/>
                <w:szCs w:val="21"/>
              </w:rPr>
            </w:pPr>
            <w:r>
              <w:rPr>
                <w:rFonts w:hint="eastAsia"/>
                <w:color w:val="000000" w:themeColor="text1"/>
                <w:szCs w:val="21"/>
              </w:rPr>
              <w:t>51</w:t>
            </w:r>
            <w:r>
              <w:rPr>
                <w:color w:val="000000" w:themeColor="text1"/>
                <w:szCs w:val="21"/>
              </w:rPr>
              <w:t>.视频类素材交付包括：视频成片、字幕文件、视频母带、素材源文件、片头源文件等后期编辑源文件及相关管理文档资料。</w:t>
            </w:r>
          </w:p>
        </w:tc>
        <w:tc>
          <w:tcPr>
            <w:tcW w:w="335" w:type="pct"/>
            <w:vAlign w:val="center"/>
          </w:tcPr>
          <w:p w14:paraId="6B362447">
            <w:pPr>
              <w:jc w:val="center"/>
              <w:rPr>
                <w:rFonts w:ascii="宋体" w:hAnsi="宋体" w:cs="宋体"/>
                <w:color w:val="000000" w:themeColor="text1"/>
                <w:sz w:val="24"/>
              </w:rPr>
            </w:pPr>
            <w:r>
              <w:rPr>
                <w:rFonts w:hint="eastAsia" w:ascii="宋体" w:hAnsi="宋体" w:cs="宋体"/>
                <w:color w:val="000000" w:themeColor="text1"/>
                <w:sz w:val="24"/>
              </w:rPr>
              <w:t>个</w:t>
            </w:r>
          </w:p>
        </w:tc>
        <w:tc>
          <w:tcPr>
            <w:tcW w:w="251" w:type="pct"/>
            <w:vAlign w:val="center"/>
          </w:tcPr>
          <w:p w14:paraId="171AB5AD">
            <w:pPr>
              <w:jc w:val="center"/>
              <w:rPr>
                <w:rFonts w:ascii="宋体" w:hAnsi="宋体" w:cs="宋体"/>
                <w:color w:val="000000" w:themeColor="text1"/>
                <w:sz w:val="24"/>
              </w:rPr>
            </w:pPr>
            <w:r>
              <w:rPr>
                <w:rFonts w:hint="eastAsia" w:ascii="宋体" w:hAnsi="宋体" w:cs="宋体"/>
                <w:color w:val="000000" w:themeColor="text1"/>
                <w:sz w:val="24"/>
              </w:rPr>
              <w:t>340</w:t>
            </w:r>
          </w:p>
        </w:tc>
      </w:tr>
      <w:tr w14:paraId="3311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Merge w:val="continue"/>
            <w:vAlign w:val="center"/>
          </w:tcPr>
          <w:p w14:paraId="1B60747B">
            <w:pPr>
              <w:jc w:val="center"/>
              <w:rPr>
                <w:rFonts w:ascii="宋体" w:hAnsi="宋体" w:cs="宋体"/>
                <w:color w:val="000000" w:themeColor="text1"/>
                <w:sz w:val="24"/>
              </w:rPr>
            </w:pPr>
          </w:p>
        </w:tc>
        <w:tc>
          <w:tcPr>
            <w:tcW w:w="251" w:type="pct"/>
            <w:vMerge w:val="continue"/>
            <w:vAlign w:val="center"/>
          </w:tcPr>
          <w:p w14:paraId="5E615571">
            <w:pPr>
              <w:rPr>
                <w:rFonts w:ascii="宋体" w:hAnsi="宋体" w:cs="宋体"/>
                <w:color w:val="000000" w:themeColor="text1"/>
                <w:sz w:val="24"/>
              </w:rPr>
            </w:pPr>
          </w:p>
        </w:tc>
        <w:tc>
          <w:tcPr>
            <w:tcW w:w="419" w:type="pct"/>
            <w:vAlign w:val="center"/>
          </w:tcPr>
          <w:p w14:paraId="5717CA2F">
            <w:pPr>
              <w:rPr>
                <w:rFonts w:ascii="宋体" w:hAnsi="宋体" w:cs="宋体"/>
                <w:color w:val="000000" w:themeColor="text1"/>
                <w:sz w:val="24"/>
              </w:rPr>
            </w:pPr>
            <w:r>
              <w:rPr>
                <w:rFonts w:hint="eastAsia" w:ascii="宋体" w:hAnsi="宋体" w:cs="宋体"/>
                <w:color w:val="000000" w:themeColor="text1"/>
                <w:sz w:val="24"/>
              </w:rPr>
              <w:t>1.2</w:t>
            </w:r>
          </w:p>
          <w:p w14:paraId="46B449C3">
            <w:pPr>
              <w:rPr>
                <w:color w:val="000000" w:themeColor="text1"/>
                <w:szCs w:val="21"/>
              </w:rPr>
            </w:pPr>
            <w:r>
              <w:rPr>
                <w:rFonts w:hint="eastAsia" w:ascii="宋体" w:hAnsi="宋体" w:cs="宋体"/>
                <w:color w:val="000000" w:themeColor="text1"/>
                <w:sz w:val="24"/>
              </w:rPr>
              <w:t>PPT课件</w:t>
            </w:r>
          </w:p>
        </w:tc>
        <w:tc>
          <w:tcPr>
            <w:tcW w:w="3429" w:type="pct"/>
            <w:vAlign w:val="center"/>
          </w:tcPr>
          <w:p w14:paraId="0D7E8BC5">
            <w:pPr>
              <w:rPr>
                <w:color w:val="000000" w:themeColor="text1"/>
                <w:szCs w:val="21"/>
              </w:rPr>
            </w:pPr>
            <w:r>
              <w:rPr>
                <w:color w:val="000000" w:themeColor="text1"/>
                <w:szCs w:val="21"/>
              </w:rPr>
              <w:t>1.制作原则</w:t>
            </w:r>
          </w:p>
          <w:p w14:paraId="4AC4B472">
            <w:pPr>
              <w:rPr>
                <w:color w:val="000000" w:themeColor="text1"/>
                <w:szCs w:val="21"/>
              </w:rPr>
            </w:pPr>
            <w:r>
              <w:rPr>
                <w:color w:val="000000" w:themeColor="text1"/>
                <w:szCs w:val="21"/>
              </w:rPr>
              <w:t>（1）演示文稿（PPT）内容丰富，可集文字、图形、图像、声音以及视频等多种媒体元素于一体；</w:t>
            </w:r>
          </w:p>
          <w:p w14:paraId="774B55DF">
            <w:pPr>
              <w:rPr>
                <w:color w:val="000000" w:themeColor="text1"/>
                <w:szCs w:val="21"/>
              </w:rPr>
            </w:pPr>
            <w:r>
              <w:rPr>
                <w:color w:val="000000" w:themeColor="text1"/>
                <w:szCs w:val="21"/>
              </w:rPr>
              <w:t>（2）页面设置要求符合高清格式比例，幻灯片大小为</w:t>
            </w:r>
            <w:r>
              <w:rPr>
                <w:rFonts w:hint="eastAsia" w:ascii="宋体" w:hAnsi="宋体" w:cs="宋体"/>
                <w:color w:val="000000" w:themeColor="text1"/>
                <w:szCs w:val="21"/>
              </w:rPr>
              <w:t>“</w:t>
            </w:r>
            <w:r>
              <w:rPr>
                <w:color w:val="000000" w:themeColor="text1"/>
                <w:szCs w:val="21"/>
              </w:rPr>
              <w:t>全屏显示16：9</w:t>
            </w:r>
            <w:r>
              <w:rPr>
                <w:rFonts w:hint="eastAsia" w:ascii="宋体" w:hAnsi="宋体" w:cs="宋体"/>
                <w:color w:val="000000" w:themeColor="text1"/>
                <w:szCs w:val="21"/>
              </w:rPr>
              <w:t>”</w:t>
            </w:r>
            <w:r>
              <w:rPr>
                <w:color w:val="000000" w:themeColor="text1"/>
                <w:szCs w:val="21"/>
              </w:rPr>
              <w:t>；</w:t>
            </w:r>
          </w:p>
          <w:p w14:paraId="202A51C3">
            <w:pPr>
              <w:rPr>
                <w:color w:val="000000" w:themeColor="text1"/>
                <w:szCs w:val="21"/>
              </w:rPr>
            </w:pPr>
            <w:r>
              <w:rPr>
                <w:color w:val="000000" w:themeColor="text1"/>
                <w:szCs w:val="21"/>
              </w:rPr>
              <w:t>（3）整体效果应风格统一、色彩协调、美观大方。</w:t>
            </w:r>
          </w:p>
          <w:p w14:paraId="128F6229">
            <w:pPr>
              <w:rPr>
                <w:color w:val="000000" w:themeColor="text1"/>
                <w:szCs w:val="21"/>
              </w:rPr>
            </w:pPr>
            <w:r>
              <w:rPr>
                <w:color w:val="000000" w:themeColor="text1"/>
                <w:szCs w:val="21"/>
              </w:rPr>
              <w:t>（4）完成后的文稿可用于教师现场授课教学。</w:t>
            </w:r>
          </w:p>
          <w:p w14:paraId="21B57AD7">
            <w:pPr>
              <w:rPr>
                <w:color w:val="000000" w:themeColor="text1"/>
                <w:szCs w:val="21"/>
              </w:rPr>
            </w:pPr>
            <w:r>
              <w:rPr>
                <w:color w:val="000000" w:themeColor="text1"/>
                <w:szCs w:val="21"/>
              </w:rPr>
              <w:t>2.字体与字号</w:t>
            </w:r>
            <w:r>
              <w:rPr>
                <w:rFonts w:hint="eastAsia"/>
                <w:color w:val="000000" w:themeColor="text1"/>
                <w:szCs w:val="21"/>
              </w:rPr>
              <w:t>（</w:t>
            </w:r>
            <w:r>
              <w:rPr>
                <w:color w:val="000000" w:themeColor="text1"/>
                <w:szCs w:val="21"/>
              </w:rPr>
              <w:t>字体与字号参照下表</w:t>
            </w:r>
            <w:r>
              <w:rPr>
                <w:rFonts w:hint="eastAsia"/>
                <w:color w:val="000000" w:themeColor="text1"/>
                <w:szCs w:val="21"/>
              </w:rPr>
              <w:t>）</w:t>
            </w:r>
          </w:p>
          <w:tbl>
            <w:tblPr>
              <w:tblStyle w:val="2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891"/>
              <w:gridCol w:w="1098"/>
              <w:gridCol w:w="1060"/>
              <w:gridCol w:w="970"/>
              <w:gridCol w:w="1120"/>
            </w:tblGrid>
            <w:tr w14:paraId="248C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622" w:type="pct"/>
                  <w:tcBorders>
                    <w:top w:val="single" w:color="auto" w:sz="4" w:space="0"/>
                    <w:left w:val="single" w:color="auto" w:sz="4" w:space="0"/>
                    <w:bottom w:val="single" w:color="auto" w:sz="4" w:space="0"/>
                    <w:right w:val="single" w:color="auto" w:sz="4" w:space="0"/>
                  </w:tcBorders>
                  <w:noWrap/>
                  <w:vAlign w:val="center"/>
                </w:tcPr>
                <w:p w14:paraId="4A364992">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类型</w:t>
                  </w:r>
                </w:p>
              </w:tc>
              <w:tc>
                <w:tcPr>
                  <w:tcW w:w="759" w:type="pct"/>
                  <w:tcBorders>
                    <w:top w:val="single" w:color="auto" w:sz="4" w:space="0"/>
                    <w:left w:val="single" w:color="auto" w:sz="4" w:space="0"/>
                    <w:bottom w:val="single" w:color="auto" w:sz="4" w:space="0"/>
                    <w:right w:val="single" w:color="auto" w:sz="4" w:space="0"/>
                  </w:tcBorders>
                  <w:noWrap/>
                  <w:vAlign w:val="center"/>
                </w:tcPr>
                <w:p w14:paraId="1FB13A1C">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大标题</w:t>
                  </w:r>
                </w:p>
              </w:tc>
              <w:tc>
                <w:tcPr>
                  <w:tcW w:w="935" w:type="pct"/>
                  <w:tcBorders>
                    <w:top w:val="single" w:color="auto" w:sz="4" w:space="0"/>
                    <w:left w:val="single" w:color="auto" w:sz="4" w:space="0"/>
                    <w:bottom w:val="single" w:color="auto" w:sz="4" w:space="0"/>
                    <w:right w:val="single" w:color="auto" w:sz="4" w:space="0"/>
                  </w:tcBorders>
                  <w:noWrap/>
                  <w:vAlign w:val="center"/>
                </w:tcPr>
                <w:p w14:paraId="6D0F165E">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主讲信息</w:t>
                  </w:r>
                </w:p>
              </w:tc>
              <w:tc>
                <w:tcPr>
                  <w:tcW w:w="903" w:type="pct"/>
                  <w:tcBorders>
                    <w:top w:val="single" w:color="auto" w:sz="4" w:space="0"/>
                    <w:left w:val="single" w:color="auto" w:sz="4" w:space="0"/>
                    <w:bottom w:val="single" w:color="auto" w:sz="4" w:space="0"/>
                    <w:right w:val="single" w:color="auto" w:sz="4" w:space="0"/>
                  </w:tcBorders>
                  <w:noWrap/>
                  <w:vAlign w:val="center"/>
                </w:tcPr>
                <w:p w14:paraId="76D9F7F3">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一级标题</w:t>
                  </w:r>
                </w:p>
              </w:tc>
              <w:tc>
                <w:tcPr>
                  <w:tcW w:w="826" w:type="pct"/>
                  <w:tcBorders>
                    <w:top w:val="single" w:color="auto" w:sz="4" w:space="0"/>
                    <w:left w:val="single" w:color="auto" w:sz="4" w:space="0"/>
                    <w:bottom w:val="single" w:color="auto" w:sz="4" w:space="0"/>
                    <w:right w:val="single" w:color="auto" w:sz="4" w:space="0"/>
                  </w:tcBorders>
                  <w:noWrap/>
                  <w:vAlign w:val="center"/>
                </w:tcPr>
                <w:p w14:paraId="230A2362">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正文</w:t>
                  </w:r>
                </w:p>
              </w:tc>
              <w:tc>
                <w:tcPr>
                  <w:tcW w:w="952" w:type="pct"/>
                  <w:tcBorders>
                    <w:top w:val="single" w:color="auto" w:sz="4" w:space="0"/>
                    <w:left w:val="single" w:color="auto" w:sz="4" w:space="0"/>
                    <w:bottom w:val="single" w:color="auto" w:sz="4" w:space="0"/>
                    <w:right w:val="single" w:color="auto" w:sz="4" w:space="0"/>
                  </w:tcBorders>
                  <w:noWrap/>
                  <w:vAlign w:val="center"/>
                </w:tcPr>
                <w:p w14:paraId="56FC350D">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字幕</w:t>
                  </w:r>
                </w:p>
              </w:tc>
            </w:tr>
            <w:tr w14:paraId="1152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622" w:type="pct"/>
                  <w:tcBorders>
                    <w:top w:val="single" w:color="auto" w:sz="4" w:space="0"/>
                    <w:left w:val="single" w:color="auto" w:sz="4" w:space="0"/>
                    <w:bottom w:val="single" w:color="auto" w:sz="4" w:space="0"/>
                    <w:right w:val="single" w:color="auto" w:sz="4" w:space="0"/>
                  </w:tcBorders>
                  <w:noWrap/>
                  <w:vAlign w:val="center"/>
                </w:tcPr>
                <w:p w14:paraId="2CF6B338">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字体</w:t>
                  </w:r>
                </w:p>
              </w:tc>
              <w:tc>
                <w:tcPr>
                  <w:tcW w:w="4377" w:type="pct"/>
                  <w:gridSpan w:val="5"/>
                  <w:tcBorders>
                    <w:top w:val="single" w:color="auto" w:sz="4" w:space="0"/>
                    <w:left w:val="single" w:color="auto" w:sz="4" w:space="0"/>
                    <w:bottom w:val="single" w:color="auto" w:sz="4" w:space="0"/>
                    <w:right w:val="single" w:color="auto" w:sz="4" w:space="0"/>
                  </w:tcBorders>
                  <w:noWrap/>
                  <w:vAlign w:val="center"/>
                </w:tcPr>
                <w:p w14:paraId="0F4626FD">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自定，原则以微软雅黑为主。</w:t>
                  </w:r>
                </w:p>
              </w:tc>
            </w:tr>
            <w:tr w14:paraId="37B52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622" w:type="pct"/>
                  <w:tcBorders>
                    <w:top w:val="single" w:color="auto" w:sz="4" w:space="0"/>
                    <w:left w:val="single" w:color="auto" w:sz="4" w:space="0"/>
                    <w:bottom w:val="single" w:color="auto" w:sz="4" w:space="0"/>
                    <w:right w:val="single" w:color="auto" w:sz="4" w:space="0"/>
                  </w:tcBorders>
                  <w:noWrap/>
                  <w:vAlign w:val="center"/>
                </w:tcPr>
                <w:p w14:paraId="254CDFD7">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字号</w:t>
                  </w:r>
                </w:p>
              </w:tc>
              <w:tc>
                <w:tcPr>
                  <w:tcW w:w="759" w:type="pct"/>
                  <w:tcBorders>
                    <w:top w:val="single" w:color="auto" w:sz="4" w:space="0"/>
                    <w:left w:val="single" w:color="auto" w:sz="4" w:space="0"/>
                    <w:bottom w:val="single" w:color="auto" w:sz="4" w:space="0"/>
                    <w:right w:val="single" w:color="auto" w:sz="4" w:space="0"/>
                  </w:tcBorders>
                  <w:noWrap/>
                  <w:vAlign w:val="center"/>
                </w:tcPr>
                <w:p w14:paraId="11340BCE">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50～70磅</w:t>
                  </w:r>
                </w:p>
              </w:tc>
              <w:tc>
                <w:tcPr>
                  <w:tcW w:w="935" w:type="pct"/>
                  <w:tcBorders>
                    <w:top w:val="single" w:color="auto" w:sz="4" w:space="0"/>
                    <w:left w:val="single" w:color="auto" w:sz="4" w:space="0"/>
                    <w:bottom w:val="single" w:color="auto" w:sz="4" w:space="0"/>
                    <w:right w:val="single" w:color="auto" w:sz="4" w:space="0"/>
                  </w:tcBorders>
                  <w:noWrap/>
                  <w:vAlign w:val="center"/>
                </w:tcPr>
                <w:p w14:paraId="14B5A95E">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36～40磅</w:t>
                  </w:r>
                </w:p>
              </w:tc>
              <w:tc>
                <w:tcPr>
                  <w:tcW w:w="903" w:type="pct"/>
                  <w:tcBorders>
                    <w:top w:val="single" w:color="auto" w:sz="4" w:space="0"/>
                    <w:left w:val="single" w:color="auto" w:sz="4" w:space="0"/>
                    <w:bottom w:val="single" w:color="auto" w:sz="4" w:space="0"/>
                    <w:right w:val="single" w:color="auto" w:sz="4" w:space="0"/>
                  </w:tcBorders>
                  <w:noWrap/>
                  <w:vAlign w:val="center"/>
                </w:tcPr>
                <w:p w14:paraId="182F3239">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36～40磅</w:t>
                  </w:r>
                </w:p>
              </w:tc>
              <w:tc>
                <w:tcPr>
                  <w:tcW w:w="826" w:type="pct"/>
                  <w:tcBorders>
                    <w:top w:val="single" w:color="auto" w:sz="4" w:space="0"/>
                    <w:left w:val="single" w:color="auto" w:sz="4" w:space="0"/>
                    <w:bottom w:val="single" w:color="auto" w:sz="4" w:space="0"/>
                    <w:right w:val="single" w:color="auto" w:sz="4" w:space="0"/>
                  </w:tcBorders>
                  <w:noWrap/>
                  <w:vAlign w:val="center"/>
                </w:tcPr>
                <w:p w14:paraId="65A67B96">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24～32磅</w:t>
                  </w:r>
                </w:p>
              </w:tc>
              <w:tc>
                <w:tcPr>
                  <w:tcW w:w="952" w:type="pct"/>
                  <w:tcBorders>
                    <w:top w:val="single" w:color="auto" w:sz="4" w:space="0"/>
                    <w:left w:val="single" w:color="auto" w:sz="4" w:space="0"/>
                    <w:bottom w:val="single" w:color="auto" w:sz="4" w:space="0"/>
                    <w:right w:val="single" w:color="auto" w:sz="4" w:space="0"/>
                  </w:tcBorders>
                  <w:noWrap/>
                  <w:vAlign w:val="center"/>
                </w:tcPr>
                <w:p w14:paraId="3EE02340">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32磅</w:t>
                  </w:r>
                </w:p>
              </w:tc>
            </w:tr>
            <w:tr w14:paraId="79DF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622" w:type="pct"/>
                  <w:tcBorders>
                    <w:top w:val="single" w:color="auto" w:sz="4" w:space="0"/>
                    <w:left w:val="single" w:color="auto" w:sz="4" w:space="0"/>
                    <w:bottom w:val="single" w:color="auto" w:sz="4" w:space="0"/>
                    <w:right w:val="single" w:color="auto" w:sz="4" w:space="0"/>
                  </w:tcBorders>
                  <w:noWrap/>
                  <w:vAlign w:val="center"/>
                </w:tcPr>
                <w:p w14:paraId="3CC42109">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应用</w:t>
                  </w:r>
                </w:p>
              </w:tc>
              <w:tc>
                <w:tcPr>
                  <w:tcW w:w="759" w:type="pct"/>
                  <w:tcBorders>
                    <w:top w:val="single" w:color="auto" w:sz="4" w:space="0"/>
                    <w:left w:val="single" w:color="auto" w:sz="4" w:space="0"/>
                    <w:bottom w:val="single" w:color="auto" w:sz="4" w:space="0"/>
                    <w:right w:val="single" w:color="auto" w:sz="4" w:space="0"/>
                  </w:tcBorders>
                  <w:noWrap/>
                  <w:vAlign w:val="center"/>
                </w:tcPr>
                <w:p w14:paraId="4B342AA3">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上下左右居中</w:t>
                  </w:r>
                </w:p>
              </w:tc>
              <w:tc>
                <w:tcPr>
                  <w:tcW w:w="935" w:type="pct"/>
                  <w:tcBorders>
                    <w:top w:val="single" w:color="auto" w:sz="4" w:space="0"/>
                    <w:left w:val="single" w:color="auto" w:sz="4" w:space="0"/>
                    <w:bottom w:val="single" w:color="auto" w:sz="4" w:space="0"/>
                    <w:right w:val="single" w:color="auto" w:sz="4" w:space="0"/>
                  </w:tcBorders>
                  <w:noWrap/>
                  <w:vAlign w:val="center"/>
                </w:tcPr>
                <w:p w14:paraId="2B549D49">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左右居中</w:t>
                  </w:r>
                </w:p>
              </w:tc>
              <w:tc>
                <w:tcPr>
                  <w:tcW w:w="903" w:type="pct"/>
                  <w:tcBorders>
                    <w:top w:val="single" w:color="auto" w:sz="4" w:space="0"/>
                    <w:left w:val="single" w:color="auto" w:sz="4" w:space="0"/>
                    <w:bottom w:val="single" w:color="auto" w:sz="4" w:space="0"/>
                    <w:right w:val="single" w:color="auto" w:sz="4" w:space="0"/>
                  </w:tcBorders>
                  <w:noWrap/>
                  <w:vAlign w:val="center"/>
                </w:tcPr>
                <w:p w14:paraId="6822CCD6">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左右居中</w:t>
                  </w:r>
                </w:p>
              </w:tc>
              <w:tc>
                <w:tcPr>
                  <w:tcW w:w="826" w:type="pct"/>
                  <w:tcBorders>
                    <w:top w:val="single" w:color="auto" w:sz="4" w:space="0"/>
                    <w:left w:val="single" w:color="auto" w:sz="4" w:space="0"/>
                    <w:bottom w:val="single" w:color="auto" w:sz="4" w:space="0"/>
                    <w:right w:val="single" w:color="auto" w:sz="4" w:space="0"/>
                  </w:tcBorders>
                  <w:noWrap/>
                  <w:vAlign w:val="center"/>
                </w:tcPr>
                <w:p w14:paraId="1A192D59">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左对齐或居中</w:t>
                  </w:r>
                </w:p>
              </w:tc>
              <w:tc>
                <w:tcPr>
                  <w:tcW w:w="952" w:type="pct"/>
                  <w:tcBorders>
                    <w:top w:val="single" w:color="auto" w:sz="4" w:space="0"/>
                    <w:left w:val="single" w:color="auto" w:sz="4" w:space="0"/>
                    <w:bottom w:val="single" w:color="auto" w:sz="4" w:space="0"/>
                    <w:right w:val="single" w:color="auto" w:sz="4" w:space="0"/>
                  </w:tcBorders>
                  <w:noWrap/>
                  <w:vAlign w:val="center"/>
                </w:tcPr>
                <w:p w14:paraId="52ED6F9F">
                  <w:pPr>
                    <w:spacing w:line="120" w:lineRule="auto"/>
                    <w:rPr>
                      <w:rFonts w:ascii="宋体" w:hAnsi="宋体" w:cs="宋体"/>
                      <w:color w:val="000000" w:themeColor="text1"/>
                      <w:sz w:val="15"/>
                      <w:szCs w:val="15"/>
                    </w:rPr>
                  </w:pPr>
                  <w:r>
                    <w:rPr>
                      <w:rFonts w:hint="eastAsia" w:ascii="宋体" w:hAnsi="宋体" w:cs="宋体"/>
                      <w:color w:val="000000" w:themeColor="text1"/>
                      <w:sz w:val="15"/>
                      <w:szCs w:val="15"/>
                    </w:rPr>
                    <w:t>左右居中</w:t>
                  </w:r>
                </w:p>
              </w:tc>
            </w:tr>
          </w:tbl>
          <w:p w14:paraId="20A3AFB5">
            <w:pPr>
              <w:rPr>
                <w:color w:val="000000" w:themeColor="text1"/>
                <w:szCs w:val="21"/>
              </w:rPr>
            </w:pPr>
            <w:r>
              <w:rPr>
                <w:color w:val="000000" w:themeColor="text1"/>
                <w:szCs w:val="21"/>
              </w:rPr>
              <w:t>3.版心与版式</w:t>
            </w:r>
          </w:p>
          <w:p w14:paraId="42987451">
            <w:pPr>
              <w:ind w:firstLine="420" w:firstLineChars="200"/>
              <w:rPr>
                <w:color w:val="000000" w:themeColor="text1"/>
                <w:szCs w:val="21"/>
              </w:rPr>
            </w:pPr>
            <w:r>
              <w:rPr>
                <w:color w:val="000000" w:themeColor="text1"/>
                <w:szCs w:val="21"/>
              </w:rPr>
              <w:t>每页四周留出空白，应避免内容顶到页面边缘，边界安全区域分别为左、右130像素内，上、下90像素内。</w:t>
            </w:r>
          </w:p>
          <w:p w14:paraId="6DB31ECA">
            <w:pPr>
              <w:rPr>
                <w:color w:val="000000" w:themeColor="text1"/>
                <w:szCs w:val="21"/>
              </w:rPr>
            </w:pPr>
            <w:r>
              <w:rPr>
                <w:color w:val="000000" w:themeColor="text1"/>
                <w:szCs w:val="21"/>
              </w:rPr>
              <w:t>4.背景</w:t>
            </w:r>
          </w:p>
          <w:p w14:paraId="0BB123A5">
            <w:pPr>
              <w:rPr>
                <w:color w:val="000000" w:themeColor="text1"/>
                <w:szCs w:val="21"/>
              </w:rPr>
            </w:pPr>
            <w:r>
              <w:rPr>
                <w:color w:val="000000" w:themeColor="text1"/>
                <w:szCs w:val="21"/>
              </w:rPr>
              <w:t>（1）背景色以简洁适中饱和度为主（颜色保持在一至两种色系内）；</w:t>
            </w:r>
          </w:p>
          <w:p w14:paraId="25B138F3">
            <w:pPr>
              <w:rPr>
                <w:color w:val="000000" w:themeColor="text1"/>
                <w:szCs w:val="21"/>
              </w:rPr>
            </w:pPr>
            <w:r>
              <w:rPr>
                <w:color w:val="000000" w:themeColor="text1"/>
                <w:szCs w:val="21"/>
              </w:rPr>
              <w:t>（2）背景和场景不宜变化过多；</w:t>
            </w:r>
          </w:p>
          <w:p w14:paraId="1AE28B1C">
            <w:pPr>
              <w:rPr>
                <w:color w:val="000000" w:themeColor="text1"/>
                <w:szCs w:val="21"/>
              </w:rPr>
            </w:pPr>
            <w:r>
              <w:rPr>
                <w:color w:val="000000" w:themeColor="text1"/>
                <w:szCs w:val="21"/>
              </w:rPr>
              <w:t>（3）文字、图形等内容应与背景对比醒目。</w:t>
            </w:r>
          </w:p>
          <w:p w14:paraId="7FFF79EC">
            <w:pPr>
              <w:rPr>
                <w:color w:val="000000" w:themeColor="text1"/>
                <w:szCs w:val="21"/>
              </w:rPr>
            </w:pPr>
            <w:r>
              <w:rPr>
                <w:color w:val="000000" w:themeColor="text1"/>
                <w:szCs w:val="21"/>
              </w:rPr>
              <w:t>5.色调</w:t>
            </w:r>
          </w:p>
          <w:p w14:paraId="06F56140">
            <w:pPr>
              <w:rPr>
                <w:color w:val="000000" w:themeColor="text1"/>
                <w:szCs w:val="21"/>
              </w:rPr>
            </w:pPr>
            <w:r>
              <w:rPr>
                <w:color w:val="000000" w:themeColor="text1"/>
                <w:szCs w:val="21"/>
              </w:rPr>
              <w:t>（1）色彩的选配应与课程科目相吻合；</w:t>
            </w:r>
          </w:p>
          <w:p w14:paraId="0EA09A50">
            <w:pPr>
              <w:rPr>
                <w:color w:val="000000" w:themeColor="text1"/>
                <w:szCs w:val="21"/>
              </w:rPr>
            </w:pPr>
            <w:r>
              <w:rPr>
                <w:color w:val="000000" w:themeColor="text1"/>
                <w:szCs w:val="21"/>
              </w:rPr>
              <w:t>（2）每一短视频或一系列短视频在配色上应体现出系统性，可选一种主色调再加上一至两种辅助色进行匹配；</w:t>
            </w:r>
          </w:p>
          <w:p w14:paraId="424C9C2B">
            <w:pPr>
              <w:rPr>
                <w:color w:val="000000" w:themeColor="text1"/>
                <w:szCs w:val="21"/>
              </w:rPr>
            </w:pPr>
            <w:r>
              <w:rPr>
                <w:color w:val="000000" w:themeColor="text1"/>
                <w:szCs w:val="21"/>
              </w:rPr>
              <w:t>（3）同一屏里文字不宜超出三种颜色。</w:t>
            </w:r>
          </w:p>
          <w:p w14:paraId="101004CD">
            <w:pPr>
              <w:rPr>
                <w:color w:val="000000" w:themeColor="text1"/>
                <w:szCs w:val="21"/>
              </w:rPr>
            </w:pPr>
            <w:r>
              <w:rPr>
                <w:color w:val="000000" w:themeColor="text1"/>
                <w:szCs w:val="21"/>
              </w:rPr>
              <w:t>6.字距与行距</w:t>
            </w:r>
          </w:p>
          <w:p w14:paraId="5194E485">
            <w:pPr>
              <w:rPr>
                <w:color w:val="000000" w:themeColor="text1"/>
                <w:szCs w:val="21"/>
              </w:rPr>
            </w:pPr>
            <w:r>
              <w:rPr>
                <w:color w:val="000000" w:themeColor="text1"/>
                <w:szCs w:val="21"/>
              </w:rPr>
              <w:t>（1）标题：在文字少的情形下，字距放宽一倍体现舒展性；</w:t>
            </w:r>
          </w:p>
          <w:p w14:paraId="580F970F">
            <w:pPr>
              <w:rPr>
                <w:color w:val="000000" w:themeColor="text1"/>
                <w:szCs w:val="21"/>
              </w:rPr>
            </w:pPr>
            <w:r>
              <w:rPr>
                <w:color w:val="000000" w:themeColor="text1"/>
                <w:szCs w:val="21"/>
              </w:rPr>
              <w:t>（2）正文：行距使用1行或1.5行，便于阅读。</w:t>
            </w:r>
          </w:p>
          <w:p w14:paraId="692304FF">
            <w:pPr>
              <w:rPr>
                <w:color w:val="000000" w:themeColor="text1"/>
                <w:szCs w:val="21"/>
              </w:rPr>
            </w:pPr>
            <w:r>
              <w:rPr>
                <w:color w:val="000000" w:themeColor="text1"/>
                <w:szCs w:val="21"/>
              </w:rPr>
              <w:t>7.配图</w:t>
            </w:r>
          </w:p>
          <w:p w14:paraId="7F838FB6">
            <w:pPr>
              <w:rPr>
                <w:color w:val="000000" w:themeColor="text1"/>
                <w:szCs w:val="21"/>
              </w:rPr>
            </w:pPr>
            <w:r>
              <w:rPr>
                <w:color w:val="000000" w:themeColor="text1"/>
                <w:szCs w:val="21"/>
              </w:rPr>
              <w:t>（1）图像应清晰并能反映出内容主题思想，分辨率应上72dpi以上；</w:t>
            </w:r>
          </w:p>
          <w:p w14:paraId="752D3A97">
            <w:pPr>
              <w:rPr>
                <w:color w:val="000000" w:themeColor="text1"/>
                <w:szCs w:val="21"/>
              </w:rPr>
            </w:pPr>
            <w:r>
              <w:rPr>
                <w:color w:val="000000" w:themeColor="text1"/>
                <w:szCs w:val="21"/>
              </w:rPr>
              <w:t>（2）图片不可加长或压窄，防止变形；</w:t>
            </w:r>
          </w:p>
          <w:p w14:paraId="632DAE43">
            <w:pPr>
              <w:rPr>
                <w:color w:val="000000" w:themeColor="text1"/>
                <w:szCs w:val="21"/>
              </w:rPr>
            </w:pPr>
            <w:r>
              <w:rPr>
                <w:color w:val="000000" w:themeColor="text1"/>
                <w:szCs w:val="21"/>
              </w:rPr>
              <w:t>（3）图形使用应通俗易懂，便于理解。</w:t>
            </w:r>
          </w:p>
          <w:p w14:paraId="6A832078">
            <w:pPr>
              <w:rPr>
                <w:color w:val="000000" w:themeColor="text1"/>
                <w:szCs w:val="21"/>
              </w:rPr>
            </w:pPr>
            <w:r>
              <w:rPr>
                <w:color w:val="000000" w:themeColor="text1"/>
                <w:szCs w:val="21"/>
              </w:rPr>
              <w:t>8.修饰</w:t>
            </w:r>
          </w:p>
          <w:p w14:paraId="43819D85">
            <w:pPr>
              <w:rPr>
                <w:color w:val="000000" w:themeColor="text1"/>
                <w:szCs w:val="21"/>
              </w:rPr>
            </w:pPr>
            <w:r>
              <w:rPr>
                <w:color w:val="000000" w:themeColor="text1"/>
                <w:szCs w:val="21"/>
              </w:rPr>
              <w:t>（1）细线条的运用比粗线条更显精致；</w:t>
            </w:r>
          </w:p>
          <w:p w14:paraId="5E84CFCE">
            <w:pPr>
              <w:rPr>
                <w:color w:val="000000" w:themeColor="text1"/>
                <w:szCs w:val="21"/>
              </w:rPr>
            </w:pPr>
            <w:r>
              <w:rPr>
                <w:color w:val="000000" w:themeColor="text1"/>
                <w:szCs w:val="21"/>
              </w:rPr>
              <w:t>（2）扁平式的装饰更接近时代审美；</w:t>
            </w:r>
          </w:p>
          <w:p w14:paraId="2824FF88">
            <w:pPr>
              <w:rPr>
                <w:color w:val="000000" w:themeColor="text1"/>
                <w:szCs w:val="21"/>
              </w:rPr>
            </w:pPr>
            <w:r>
              <w:rPr>
                <w:color w:val="000000" w:themeColor="text1"/>
                <w:szCs w:val="21"/>
              </w:rPr>
              <w:t>（3）有趣味的装饰通常更能吸引人。</w:t>
            </w:r>
          </w:p>
          <w:p w14:paraId="2E6BDB40">
            <w:pPr>
              <w:rPr>
                <w:color w:val="000000" w:themeColor="text1"/>
                <w:szCs w:val="21"/>
              </w:rPr>
            </w:pPr>
            <w:r>
              <w:rPr>
                <w:color w:val="000000" w:themeColor="text1"/>
                <w:szCs w:val="21"/>
              </w:rPr>
              <w:t>9.版权来源</w:t>
            </w:r>
          </w:p>
          <w:p w14:paraId="7AC6EDBA">
            <w:pPr>
              <w:rPr>
                <w:rFonts w:ascii="宋体" w:hAnsi="宋体" w:cs="宋体"/>
                <w:color w:val="000000" w:themeColor="text1"/>
                <w:sz w:val="24"/>
              </w:rPr>
            </w:pPr>
            <w:r>
              <w:rPr>
                <w:color w:val="000000" w:themeColor="text1"/>
                <w:szCs w:val="21"/>
              </w:rPr>
              <w:t>素材选用注意版权，涉及版权问题须加入</w:t>
            </w:r>
            <w:r>
              <w:rPr>
                <w:rFonts w:hint="eastAsia" w:ascii="宋体" w:hAnsi="宋体" w:cs="宋体"/>
                <w:color w:val="000000" w:themeColor="text1"/>
                <w:szCs w:val="21"/>
              </w:rPr>
              <w:t>“版权来源”</w:t>
            </w:r>
            <w:r>
              <w:rPr>
                <w:color w:val="000000" w:themeColor="text1"/>
                <w:szCs w:val="21"/>
              </w:rPr>
              <w:t>信息。</w:t>
            </w:r>
          </w:p>
        </w:tc>
        <w:tc>
          <w:tcPr>
            <w:tcW w:w="335" w:type="pct"/>
            <w:vAlign w:val="center"/>
          </w:tcPr>
          <w:p w14:paraId="3C9B03B6">
            <w:pPr>
              <w:jc w:val="center"/>
              <w:rPr>
                <w:rFonts w:ascii="宋体" w:hAnsi="宋体" w:cs="宋体"/>
                <w:color w:val="000000" w:themeColor="text1"/>
                <w:sz w:val="24"/>
              </w:rPr>
            </w:pPr>
            <w:r>
              <w:rPr>
                <w:rFonts w:hint="eastAsia" w:ascii="宋体" w:hAnsi="宋体" w:cs="宋体"/>
                <w:color w:val="000000" w:themeColor="text1"/>
                <w:sz w:val="24"/>
              </w:rPr>
              <w:t>个</w:t>
            </w:r>
          </w:p>
        </w:tc>
        <w:tc>
          <w:tcPr>
            <w:tcW w:w="251" w:type="pct"/>
            <w:vAlign w:val="center"/>
          </w:tcPr>
          <w:p w14:paraId="21EA42CC">
            <w:pPr>
              <w:jc w:val="center"/>
              <w:rPr>
                <w:rFonts w:ascii="宋体" w:hAnsi="宋体" w:cs="宋体"/>
                <w:color w:val="000000" w:themeColor="text1"/>
                <w:sz w:val="24"/>
              </w:rPr>
            </w:pPr>
            <w:r>
              <w:rPr>
                <w:rFonts w:hint="eastAsia" w:ascii="宋体" w:hAnsi="宋体" w:cs="宋体"/>
                <w:color w:val="000000" w:themeColor="text1"/>
                <w:sz w:val="24"/>
              </w:rPr>
              <w:t>300</w:t>
            </w:r>
          </w:p>
        </w:tc>
      </w:tr>
      <w:tr w14:paraId="6295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Merge w:val="continue"/>
            <w:vAlign w:val="center"/>
          </w:tcPr>
          <w:p w14:paraId="3A8CEEF6">
            <w:pPr>
              <w:jc w:val="center"/>
              <w:rPr>
                <w:rFonts w:ascii="宋体" w:hAnsi="宋体" w:cs="宋体"/>
                <w:color w:val="000000" w:themeColor="text1"/>
                <w:sz w:val="24"/>
              </w:rPr>
            </w:pPr>
          </w:p>
        </w:tc>
        <w:tc>
          <w:tcPr>
            <w:tcW w:w="251" w:type="pct"/>
            <w:vMerge w:val="continue"/>
            <w:vAlign w:val="center"/>
          </w:tcPr>
          <w:p w14:paraId="4BB8366C">
            <w:pPr>
              <w:rPr>
                <w:rFonts w:ascii="宋体" w:hAnsi="宋体" w:cs="宋体"/>
                <w:color w:val="000000" w:themeColor="text1"/>
                <w:sz w:val="24"/>
              </w:rPr>
            </w:pPr>
          </w:p>
        </w:tc>
        <w:tc>
          <w:tcPr>
            <w:tcW w:w="419" w:type="pct"/>
            <w:vAlign w:val="center"/>
          </w:tcPr>
          <w:p w14:paraId="750CAC04">
            <w:pPr>
              <w:rPr>
                <w:rFonts w:ascii="宋体" w:hAnsi="宋体" w:cs="宋体"/>
                <w:color w:val="000000" w:themeColor="text1"/>
                <w:sz w:val="24"/>
              </w:rPr>
            </w:pPr>
            <w:r>
              <w:rPr>
                <w:rFonts w:hint="eastAsia" w:ascii="宋体" w:hAnsi="宋体" w:cs="宋体"/>
                <w:color w:val="000000" w:themeColor="text1"/>
                <w:sz w:val="24"/>
              </w:rPr>
              <w:t>1.3</w:t>
            </w:r>
          </w:p>
          <w:p w14:paraId="02300D0B">
            <w:pPr>
              <w:rPr>
                <w:color w:val="000000" w:themeColor="text1"/>
                <w:szCs w:val="21"/>
              </w:rPr>
            </w:pPr>
            <w:r>
              <w:rPr>
                <w:rFonts w:hint="eastAsia" w:ascii="宋体" w:hAnsi="宋体" w:cs="宋体"/>
                <w:color w:val="000000" w:themeColor="text1"/>
                <w:sz w:val="24"/>
              </w:rPr>
              <w:t>图片</w:t>
            </w:r>
          </w:p>
        </w:tc>
        <w:tc>
          <w:tcPr>
            <w:tcW w:w="3429" w:type="pct"/>
            <w:vAlign w:val="center"/>
          </w:tcPr>
          <w:p w14:paraId="08710E94">
            <w:pPr>
              <w:rPr>
                <w:color w:val="000000" w:themeColor="text1"/>
                <w:szCs w:val="21"/>
              </w:rPr>
            </w:pPr>
            <w:r>
              <w:rPr>
                <w:color w:val="000000" w:themeColor="text1"/>
                <w:szCs w:val="21"/>
              </w:rPr>
              <w:t>1.彩色图像颜色数不低于真彩（24位色），灰度图像的灰度级不低于256级。</w:t>
            </w:r>
          </w:p>
          <w:p w14:paraId="7449045A">
            <w:pPr>
              <w:rPr>
                <w:color w:val="000000" w:themeColor="text1"/>
                <w:szCs w:val="21"/>
              </w:rPr>
            </w:pPr>
            <w:r>
              <w:rPr>
                <w:color w:val="000000" w:themeColor="text1"/>
                <w:szCs w:val="21"/>
              </w:rPr>
              <w:t>2.图形可以为单色，屏幕分辨率不低于1024×768；扫描图像的扫描分辨率不低于72 dpi，彩色扫描图像的扫描分辨率不低于150dpi。</w:t>
            </w:r>
          </w:p>
          <w:p w14:paraId="3038F78F">
            <w:pPr>
              <w:rPr>
                <w:color w:val="000000" w:themeColor="text1"/>
                <w:szCs w:val="21"/>
              </w:rPr>
            </w:pPr>
            <w:r>
              <w:rPr>
                <w:color w:val="000000" w:themeColor="text1"/>
                <w:szCs w:val="21"/>
              </w:rPr>
              <w:t>3.文件格式：*.jpg</w:t>
            </w:r>
            <w:r>
              <w:rPr>
                <w:rFonts w:hint="eastAsia"/>
                <w:color w:val="000000" w:themeColor="text1"/>
                <w:szCs w:val="21"/>
              </w:rPr>
              <w:t>；</w:t>
            </w:r>
            <w:r>
              <w:rPr>
                <w:color w:val="000000" w:themeColor="text1"/>
                <w:szCs w:val="21"/>
              </w:rPr>
              <w:t>*.png等。</w:t>
            </w:r>
          </w:p>
          <w:p w14:paraId="147DF1DC">
            <w:pPr>
              <w:rPr>
                <w:color w:val="000000" w:themeColor="text1"/>
                <w:szCs w:val="21"/>
              </w:rPr>
            </w:pPr>
            <w:r>
              <w:rPr>
                <w:color w:val="000000" w:themeColor="text1"/>
                <w:szCs w:val="21"/>
              </w:rPr>
              <w:t>4.清晰度：所有图像扫描后，需要使用photoshop或其他图像处理软件进行裁剪、校色等处理。</w:t>
            </w:r>
          </w:p>
          <w:p w14:paraId="3EB42E48">
            <w:pPr>
              <w:rPr>
                <w:rFonts w:ascii="宋体" w:hAnsi="宋体" w:cs="宋体"/>
                <w:color w:val="000000" w:themeColor="text1"/>
                <w:sz w:val="24"/>
              </w:rPr>
            </w:pPr>
            <w:r>
              <w:rPr>
                <w:color w:val="000000" w:themeColor="text1"/>
                <w:szCs w:val="21"/>
              </w:rPr>
              <w:t>5.以清晰为原则，保证视觉效果。</w:t>
            </w:r>
          </w:p>
        </w:tc>
        <w:tc>
          <w:tcPr>
            <w:tcW w:w="335" w:type="pct"/>
            <w:vAlign w:val="center"/>
          </w:tcPr>
          <w:p w14:paraId="21606430">
            <w:pPr>
              <w:jc w:val="center"/>
              <w:rPr>
                <w:rFonts w:ascii="宋体" w:hAnsi="宋体" w:cs="宋体"/>
                <w:color w:val="000000" w:themeColor="text1"/>
                <w:sz w:val="24"/>
              </w:rPr>
            </w:pPr>
            <w:r>
              <w:rPr>
                <w:rFonts w:hint="eastAsia" w:ascii="宋体" w:hAnsi="宋体" w:cs="宋体"/>
                <w:color w:val="000000" w:themeColor="text1"/>
                <w:sz w:val="24"/>
              </w:rPr>
              <w:t>个</w:t>
            </w:r>
          </w:p>
        </w:tc>
        <w:tc>
          <w:tcPr>
            <w:tcW w:w="251" w:type="pct"/>
            <w:vAlign w:val="center"/>
          </w:tcPr>
          <w:p w14:paraId="09F04BB9">
            <w:pPr>
              <w:jc w:val="center"/>
              <w:rPr>
                <w:rFonts w:ascii="宋体" w:hAnsi="宋体" w:cs="宋体"/>
                <w:color w:val="000000" w:themeColor="text1"/>
                <w:sz w:val="24"/>
              </w:rPr>
            </w:pPr>
            <w:r>
              <w:rPr>
                <w:rFonts w:hint="eastAsia" w:ascii="宋体" w:hAnsi="宋体" w:cs="宋体"/>
                <w:color w:val="000000" w:themeColor="text1"/>
                <w:sz w:val="24"/>
              </w:rPr>
              <w:t>576</w:t>
            </w:r>
          </w:p>
        </w:tc>
      </w:tr>
      <w:tr w14:paraId="0E44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Merge w:val="continue"/>
            <w:vAlign w:val="center"/>
          </w:tcPr>
          <w:p w14:paraId="2515D129">
            <w:pPr>
              <w:jc w:val="center"/>
              <w:rPr>
                <w:rFonts w:ascii="宋体" w:hAnsi="宋体" w:cs="宋体"/>
                <w:color w:val="000000" w:themeColor="text1"/>
                <w:sz w:val="24"/>
              </w:rPr>
            </w:pPr>
          </w:p>
        </w:tc>
        <w:tc>
          <w:tcPr>
            <w:tcW w:w="251" w:type="pct"/>
            <w:vMerge w:val="continue"/>
            <w:vAlign w:val="center"/>
          </w:tcPr>
          <w:p w14:paraId="5105CB10">
            <w:pPr>
              <w:rPr>
                <w:rFonts w:ascii="宋体" w:hAnsi="宋体" w:cs="宋体"/>
                <w:color w:val="000000" w:themeColor="text1"/>
                <w:sz w:val="24"/>
              </w:rPr>
            </w:pPr>
          </w:p>
        </w:tc>
        <w:tc>
          <w:tcPr>
            <w:tcW w:w="419" w:type="pct"/>
            <w:vAlign w:val="center"/>
          </w:tcPr>
          <w:p w14:paraId="664C155A">
            <w:pPr>
              <w:rPr>
                <w:color w:val="000000" w:themeColor="text1"/>
                <w:szCs w:val="21"/>
              </w:rPr>
            </w:pPr>
            <w:r>
              <w:rPr>
                <w:rFonts w:hint="eastAsia" w:ascii="宋体" w:hAnsi="宋体" w:cs="宋体"/>
                <w:color w:val="000000" w:themeColor="text1"/>
                <w:sz w:val="24"/>
              </w:rPr>
              <w:t>1.4文本</w:t>
            </w:r>
          </w:p>
        </w:tc>
        <w:tc>
          <w:tcPr>
            <w:tcW w:w="3429" w:type="pct"/>
            <w:vAlign w:val="center"/>
          </w:tcPr>
          <w:p w14:paraId="0FDC1728">
            <w:pPr>
              <w:rPr>
                <w:color w:val="000000" w:themeColor="text1"/>
                <w:szCs w:val="21"/>
              </w:rPr>
            </w:pPr>
            <w:r>
              <w:rPr>
                <w:color w:val="000000" w:themeColor="text1"/>
                <w:szCs w:val="21"/>
              </w:rPr>
              <w:t>1.文本正文应设定文章标题，文章标题放在正文内第一行居中的位置各级标题应设置正确，同一级标题使用同样的样式，文本结构清晰正文字体、字号、颜色、行间距等要美观。</w:t>
            </w:r>
          </w:p>
          <w:p w14:paraId="09711DDF">
            <w:pPr>
              <w:rPr>
                <w:rFonts w:ascii="宋体" w:hAnsi="宋体" w:cs="宋体"/>
                <w:color w:val="000000" w:themeColor="text1"/>
                <w:sz w:val="24"/>
              </w:rPr>
            </w:pPr>
            <w:r>
              <w:rPr>
                <w:color w:val="000000" w:themeColor="text1"/>
                <w:szCs w:val="21"/>
              </w:rPr>
              <w:t>2.纯文本采用UTF-8编码或GB18030编码。采用常见存储格式，如txt、doc、docx、pdf、rtf、htm、html、xml等。</w:t>
            </w:r>
          </w:p>
        </w:tc>
        <w:tc>
          <w:tcPr>
            <w:tcW w:w="335" w:type="pct"/>
            <w:vAlign w:val="center"/>
          </w:tcPr>
          <w:p w14:paraId="53939A4D">
            <w:pPr>
              <w:jc w:val="center"/>
              <w:rPr>
                <w:rFonts w:ascii="宋体" w:hAnsi="宋体" w:cs="宋体"/>
                <w:color w:val="000000" w:themeColor="text1"/>
                <w:sz w:val="24"/>
              </w:rPr>
            </w:pPr>
            <w:r>
              <w:rPr>
                <w:rFonts w:hint="eastAsia" w:ascii="宋体" w:hAnsi="宋体" w:cs="宋体"/>
                <w:color w:val="000000" w:themeColor="text1"/>
                <w:sz w:val="24"/>
              </w:rPr>
              <w:t>个</w:t>
            </w:r>
          </w:p>
        </w:tc>
        <w:tc>
          <w:tcPr>
            <w:tcW w:w="251" w:type="pct"/>
            <w:vAlign w:val="center"/>
          </w:tcPr>
          <w:p w14:paraId="60934ED7">
            <w:pPr>
              <w:jc w:val="center"/>
              <w:rPr>
                <w:rFonts w:ascii="宋体" w:hAnsi="宋体" w:cs="宋体"/>
                <w:color w:val="000000" w:themeColor="text1"/>
                <w:sz w:val="24"/>
              </w:rPr>
            </w:pPr>
            <w:r>
              <w:rPr>
                <w:rFonts w:hint="eastAsia" w:ascii="宋体" w:hAnsi="宋体" w:cs="宋体"/>
                <w:color w:val="000000" w:themeColor="text1"/>
                <w:sz w:val="24"/>
              </w:rPr>
              <w:t>576</w:t>
            </w:r>
          </w:p>
        </w:tc>
      </w:tr>
      <w:tr w14:paraId="6563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Align w:val="center"/>
          </w:tcPr>
          <w:p w14:paraId="7679055A">
            <w:pPr>
              <w:jc w:val="center"/>
              <w:rPr>
                <w:rFonts w:ascii="宋体" w:hAnsi="宋体" w:cs="宋体"/>
                <w:color w:val="000000" w:themeColor="text1"/>
                <w:sz w:val="24"/>
              </w:rPr>
            </w:pPr>
            <w:r>
              <w:rPr>
                <w:rFonts w:hint="eastAsia" w:ascii="宋体" w:hAnsi="宋体" w:cs="宋体"/>
                <w:color w:val="000000" w:themeColor="text1"/>
                <w:sz w:val="24"/>
              </w:rPr>
              <w:t>2</w:t>
            </w:r>
          </w:p>
        </w:tc>
        <w:tc>
          <w:tcPr>
            <w:tcW w:w="670" w:type="pct"/>
            <w:gridSpan w:val="2"/>
            <w:vAlign w:val="center"/>
          </w:tcPr>
          <w:p w14:paraId="1BCF45CF">
            <w:pPr>
              <w:jc w:val="center"/>
              <w:rPr>
                <w:color w:val="000000" w:themeColor="text1"/>
                <w:szCs w:val="21"/>
              </w:rPr>
            </w:pPr>
            <w:r>
              <w:rPr>
                <w:rFonts w:hint="eastAsia" w:ascii="宋体" w:hAnsi="宋体" w:cs="宋体"/>
                <w:color w:val="000000" w:themeColor="text1"/>
                <w:sz w:val="24"/>
              </w:rPr>
              <w:t>课程动画</w:t>
            </w:r>
          </w:p>
        </w:tc>
        <w:tc>
          <w:tcPr>
            <w:tcW w:w="3429" w:type="pct"/>
            <w:vAlign w:val="center"/>
          </w:tcPr>
          <w:p w14:paraId="79B5D044">
            <w:pPr>
              <w:rPr>
                <w:rFonts w:ascii="宋体" w:hAnsi="宋体" w:cs="宋体"/>
                <w:color w:val="000000" w:themeColor="text1"/>
                <w:szCs w:val="21"/>
              </w:rPr>
            </w:pPr>
            <w:r>
              <w:rPr>
                <w:rFonts w:hint="eastAsia" w:ascii="宋体" w:hAnsi="宋体" w:cs="宋体"/>
                <w:color w:val="000000" w:themeColor="text1"/>
                <w:szCs w:val="21"/>
              </w:rPr>
              <w:t>1.单个动画1分钟左右。</w:t>
            </w:r>
          </w:p>
          <w:p w14:paraId="4F03B823">
            <w:pPr>
              <w:rPr>
                <w:rFonts w:ascii="宋体" w:hAnsi="宋体" w:cs="宋体"/>
                <w:color w:val="000000" w:themeColor="text1"/>
                <w:szCs w:val="21"/>
              </w:rPr>
            </w:pPr>
            <w:r>
              <w:rPr>
                <w:rFonts w:hint="eastAsia" w:ascii="宋体" w:hAnsi="宋体" w:cs="宋体"/>
                <w:color w:val="000000" w:themeColor="text1"/>
                <w:szCs w:val="21"/>
              </w:rPr>
              <w:t>2.50个动画总时长不超过50分钟。</w:t>
            </w:r>
          </w:p>
          <w:p w14:paraId="5CBC053C">
            <w:pPr>
              <w:widowControl/>
              <w:rPr>
                <w:color w:val="000000" w:themeColor="text1"/>
                <w:szCs w:val="21"/>
              </w:rPr>
            </w:pPr>
            <w:r>
              <w:rPr>
                <w:rFonts w:hint="eastAsia"/>
                <w:color w:val="000000" w:themeColor="text1"/>
                <w:szCs w:val="21"/>
              </w:rPr>
              <w:t>3.</w:t>
            </w:r>
            <w:r>
              <w:rPr>
                <w:color w:val="000000" w:themeColor="text1"/>
                <w:szCs w:val="21"/>
              </w:rPr>
              <w:t>文件格式：*.flv</w:t>
            </w:r>
            <w:r>
              <w:rPr>
                <w:rFonts w:hint="eastAsia"/>
                <w:color w:val="000000" w:themeColor="text1"/>
                <w:szCs w:val="21"/>
              </w:rPr>
              <w:t>；</w:t>
            </w:r>
            <w:r>
              <w:rPr>
                <w:color w:val="000000" w:themeColor="text1"/>
                <w:szCs w:val="21"/>
              </w:rPr>
              <w:t>*.html</w:t>
            </w:r>
            <w:r>
              <w:rPr>
                <w:rFonts w:hint="eastAsia"/>
                <w:color w:val="000000" w:themeColor="text1"/>
                <w:szCs w:val="21"/>
              </w:rPr>
              <w:t>；</w:t>
            </w:r>
            <w:r>
              <w:rPr>
                <w:color w:val="000000" w:themeColor="text1"/>
                <w:szCs w:val="21"/>
              </w:rPr>
              <w:t>*.gif</w:t>
            </w:r>
            <w:r>
              <w:rPr>
                <w:rFonts w:hint="eastAsia"/>
                <w:color w:val="000000" w:themeColor="text1"/>
                <w:szCs w:val="21"/>
              </w:rPr>
              <w:t>；</w:t>
            </w:r>
            <w:r>
              <w:rPr>
                <w:rFonts w:hint="eastAsia" w:ascii="宋体" w:hAnsi="宋体" w:cs="宋体"/>
                <w:color w:val="000000" w:themeColor="text1"/>
                <w:szCs w:val="21"/>
              </w:rPr>
              <w:t>(</w:t>
            </w:r>
            <w:r>
              <w:rPr>
                <w:color w:val="000000" w:themeColor="text1"/>
                <w:szCs w:val="21"/>
              </w:rPr>
              <w:t>注：移动端 ios 系统不支持 flash 动画</w:t>
            </w:r>
            <w:r>
              <w:rPr>
                <w:rFonts w:hint="eastAsia" w:ascii="宋体" w:hAnsi="宋体" w:cs="宋体"/>
                <w:color w:val="000000" w:themeColor="text1"/>
                <w:szCs w:val="21"/>
              </w:rPr>
              <w:t>)</w:t>
            </w:r>
            <w:r>
              <w:rPr>
                <w:color w:val="000000" w:themeColor="text1"/>
                <w:szCs w:val="21"/>
              </w:rPr>
              <w:t>。</w:t>
            </w:r>
          </w:p>
          <w:p w14:paraId="3421A591">
            <w:pPr>
              <w:widowControl/>
              <w:rPr>
                <w:color w:val="000000" w:themeColor="text1"/>
                <w:szCs w:val="21"/>
              </w:rPr>
            </w:pPr>
            <w:r>
              <w:rPr>
                <w:rFonts w:hint="eastAsia"/>
                <w:color w:val="000000" w:themeColor="text1"/>
                <w:szCs w:val="21"/>
              </w:rPr>
              <w:t>5.</w:t>
            </w:r>
            <w:r>
              <w:rPr>
                <w:color w:val="000000" w:themeColor="text1"/>
                <w:szCs w:val="21"/>
              </w:rPr>
              <w:t>输出尺寸不低于 1280×720。</w:t>
            </w:r>
          </w:p>
          <w:p w14:paraId="09D96C31">
            <w:pPr>
              <w:widowControl/>
              <w:rPr>
                <w:color w:val="000000" w:themeColor="text1"/>
                <w:szCs w:val="21"/>
              </w:rPr>
            </w:pPr>
            <w:r>
              <w:rPr>
                <w:rFonts w:hint="eastAsia"/>
                <w:color w:val="000000" w:themeColor="text1"/>
                <w:szCs w:val="21"/>
              </w:rPr>
              <w:t>6.</w:t>
            </w:r>
            <w:r>
              <w:rPr>
                <w:color w:val="000000" w:themeColor="text1"/>
                <w:szCs w:val="21"/>
              </w:rPr>
              <w:t>文件大小：小于 100M。</w:t>
            </w:r>
          </w:p>
          <w:p w14:paraId="75185656">
            <w:pPr>
              <w:widowControl/>
              <w:rPr>
                <w:color w:val="000000" w:themeColor="text1"/>
                <w:szCs w:val="21"/>
              </w:rPr>
            </w:pPr>
            <w:r>
              <w:rPr>
                <w:rFonts w:hint="eastAsia"/>
                <w:color w:val="000000" w:themeColor="text1"/>
                <w:szCs w:val="21"/>
              </w:rPr>
              <w:t>7.</w:t>
            </w:r>
            <w:r>
              <w:rPr>
                <w:color w:val="000000" w:themeColor="text1"/>
                <w:szCs w:val="21"/>
              </w:rPr>
              <w:t>制作课程选用字体时尽量避免文字残损，字体大小可以根据文字多少进行调节。</w:t>
            </w:r>
          </w:p>
          <w:p w14:paraId="41B50678">
            <w:pPr>
              <w:widowControl/>
              <w:rPr>
                <w:color w:val="000000" w:themeColor="text1"/>
                <w:szCs w:val="21"/>
              </w:rPr>
            </w:pPr>
            <w:r>
              <w:rPr>
                <w:rFonts w:hint="eastAsia"/>
                <w:color w:val="000000" w:themeColor="text1"/>
                <w:szCs w:val="21"/>
              </w:rPr>
              <w:t>8.</w:t>
            </w:r>
            <w:r>
              <w:rPr>
                <w:color w:val="000000" w:themeColor="text1"/>
                <w:szCs w:val="21"/>
              </w:rPr>
              <w:t>制作课程选用文字要醒目，避免使用与背景色相近的颜色。</w:t>
            </w:r>
          </w:p>
          <w:p w14:paraId="58C612B8">
            <w:pPr>
              <w:widowControl/>
              <w:rPr>
                <w:color w:val="000000" w:themeColor="text1"/>
                <w:szCs w:val="21"/>
              </w:rPr>
            </w:pPr>
            <w:r>
              <w:rPr>
                <w:rFonts w:hint="eastAsia"/>
                <w:color w:val="000000" w:themeColor="text1"/>
                <w:szCs w:val="21"/>
              </w:rPr>
              <w:t>9.</w:t>
            </w:r>
            <w:r>
              <w:rPr>
                <w:color w:val="000000" w:themeColor="text1"/>
                <w:szCs w:val="21"/>
              </w:rPr>
              <w:t>根据使用对象的特点来确定整体色彩和色调。</w:t>
            </w:r>
          </w:p>
          <w:p w14:paraId="41C8F09D">
            <w:pPr>
              <w:widowControl/>
              <w:rPr>
                <w:color w:val="000000" w:themeColor="text1"/>
                <w:szCs w:val="21"/>
              </w:rPr>
            </w:pPr>
            <w:r>
              <w:rPr>
                <w:rFonts w:hint="eastAsia"/>
                <w:color w:val="000000" w:themeColor="text1"/>
                <w:szCs w:val="21"/>
              </w:rPr>
              <w:t>10.</w:t>
            </w:r>
            <w:r>
              <w:rPr>
                <w:color w:val="000000" w:themeColor="text1"/>
                <w:szCs w:val="21"/>
              </w:rPr>
              <w:t>画面简洁清晰，界面友好，操作简单。</w:t>
            </w:r>
          </w:p>
          <w:p w14:paraId="54C393B8">
            <w:pPr>
              <w:widowControl/>
              <w:rPr>
                <w:color w:val="000000" w:themeColor="text1"/>
                <w:szCs w:val="21"/>
              </w:rPr>
            </w:pPr>
            <w:r>
              <w:rPr>
                <w:rFonts w:hint="eastAsia"/>
                <w:color w:val="000000" w:themeColor="text1"/>
                <w:szCs w:val="21"/>
              </w:rPr>
              <w:t>11.</w:t>
            </w:r>
            <w:r>
              <w:rPr>
                <w:color w:val="000000" w:themeColor="text1"/>
                <w:szCs w:val="21"/>
              </w:rPr>
              <w:t>动画连续，节奏合适，提供进度控制条。</w:t>
            </w:r>
          </w:p>
          <w:p w14:paraId="6E06EE21">
            <w:pPr>
              <w:rPr>
                <w:color w:val="000000" w:themeColor="text1"/>
                <w:szCs w:val="21"/>
              </w:rPr>
            </w:pPr>
            <w:r>
              <w:rPr>
                <w:rFonts w:hint="eastAsia"/>
                <w:color w:val="000000" w:themeColor="text1"/>
                <w:szCs w:val="21"/>
              </w:rPr>
              <w:t>12.</w:t>
            </w:r>
            <w:r>
              <w:rPr>
                <w:color w:val="000000" w:themeColor="text1"/>
                <w:szCs w:val="21"/>
              </w:rPr>
              <w:t>解说配音应标准，无噪音，快慢适度。</w:t>
            </w:r>
          </w:p>
          <w:p w14:paraId="1AEA6499">
            <w:pPr>
              <w:rPr>
                <w:color w:val="000000" w:themeColor="text1"/>
                <w:szCs w:val="21"/>
              </w:rPr>
            </w:pPr>
            <w:r>
              <w:rPr>
                <w:rFonts w:hint="eastAsia"/>
                <w:color w:val="000000" w:themeColor="text1"/>
                <w:szCs w:val="21"/>
              </w:rPr>
              <w:t>13.</w:t>
            </w:r>
            <w:r>
              <w:rPr>
                <w:color w:val="000000" w:themeColor="text1"/>
                <w:szCs w:val="21"/>
              </w:rPr>
              <w:t>背景音乐的音量不宜过大，音乐与课件内容相符。</w:t>
            </w:r>
          </w:p>
          <w:p w14:paraId="2D21F7C2">
            <w:pPr>
              <w:rPr>
                <w:rFonts w:ascii="宋体" w:hAnsi="宋体" w:cs="宋体"/>
                <w:color w:val="000000" w:themeColor="text1"/>
                <w:sz w:val="24"/>
              </w:rPr>
            </w:pPr>
            <w:r>
              <w:rPr>
                <w:rFonts w:hint="eastAsia"/>
                <w:color w:val="000000" w:themeColor="text1"/>
                <w:szCs w:val="21"/>
              </w:rPr>
              <w:t>14.</w:t>
            </w:r>
            <w:r>
              <w:rPr>
                <w:color w:val="000000" w:themeColor="text1"/>
                <w:szCs w:val="21"/>
              </w:rPr>
              <w:t>帧速度：25～30 帧/秒。</w:t>
            </w:r>
          </w:p>
        </w:tc>
        <w:tc>
          <w:tcPr>
            <w:tcW w:w="335" w:type="pct"/>
            <w:vAlign w:val="center"/>
          </w:tcPr>
          <w:p w14:paraId="0B2A8D78">
            <w:pPr>
              <w:jc w:val="center"/>
              <w:rPr>
                <w:rFonts w:ascii="宋体" w:hAnsi="宋体" w:cs="宋体"/>
                <w:color w:val="000000" w:themeColor="text1"/>
                <w:sz w:val="24"/>
              </w:rPr>
            </w:pPr>
            <w:r>
              <w:rPr>
                <w:rFonts w:hint="eastAsia" w:ascii="宋体" w:hAnsi="宋体" w:cs="宋体"/>
                <w:color w:val="000000" w:themeColor="text1"/>
                <w:sz w:val="24"/>
              </w:rPr>
              <w:t>个</w:t>
            </w:r>
          </w:p>
        </w:tc>
        <w:tc>
          <w:tcPr>
            <w:tcW w:w="251" w:type="pct"/>
            <w:vAlign w:val="center"/>
          </w:tcPr>
          <w:p w14:paraId="7A81ECB6">
            <w:pPr>
              <w:jc w:val="center"/>
              <w:rPr>
                <w:rFonts w:ascii="宋体" w:hAnsi="宋体" w:cs="宋体"/>
                <w:color w:val="000000" w:themeColor="text1"/>
                <w:sz w:val="24"/>
              </w:rPr>
            </w:pPr>
            <w:r>
              <w:rPr>
                <w:rFonts w:hint="eastAsia" w:ascii="宋体" w:hAnsi="宋体" w:cs="宋体"/>
                <w:color w:val="000000" w:themeColor="text1"/>
                <w:sz w:val="24"/>
              </w:rPr>
              <w:t>50</w:t>
            </w:r>
          </w:p>
        </w:tc>
      </w:tr>
      <w:tr w14:paraId="455A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Align w:val="center"/>
          </w:tcPr>
          <w:p w14:paraId="22A4B23B">
            <w:pPr>
              <w:jc w:val="center"/>
              <w:rPr>
                <w:rFonts w:ascii="宋体" w:hAnsi="宋体" w:cs="宋体"/>
                <w:color w:val="000000" w:themeColor="text1"/>
                <w:sz w:val="24"/>
              </w:rPr>
            </w:pPr>
            <w:r>
              <w:rPr>
                <w:rFonts w:hint="eastAsia" w:ascii="宋体" w:hAnsi="宋体" w:cs="宋体"/>
                <w:color w:val="000000" w:themeColor="text1"/>
                <w:sz w:val="24"/>
              </w:rPr>
              <w:t>3</w:t>
            </w:r>
          </w:p>
        </w:tc>
        <w:tc>
          <w:tcPr>
            <w:tcW w:w="670" w:type="pct"/>
            <w:gridSpan w:val="2"/>
            <w:vAlign w:val="center"/>
          </w:tcPr>
          <w:p w14:paraId="23564086">
            <w:pPr>
              <w:rPr>
                <w:color w:val="000000" w:themeColor="text1"/>
                <w:szCs w:val="21"/>
              </w:rPr>
            </w:pPr>
            <w:r>
              <w:rPr>
                <w:rFonts w:hint="eastAsia" w:ascii="宋体" w:hAnsi="宋体" w:cs="宋体"/>
                <w:color w:val="000000" w:themeColor="text1"/>
                <w:kern w:val="0"/>
                <w:szCs w:val="21"/>
              </w:rPr>
              <w:t>专业群教学资源库平台</w:t>
            </w:r>
          </w:p>
        </w:tc>
        <w:tc>
          <w:tcPr>
            <w:tcW w:w="3429" w:type="pct"/>
            <w:vAlign w:val="center"/>
          </w:tcPr>
          <w:p w14:paraId="3EF62C45">
            <w:pPr>
              <w:widowControl/>
              <w:jc w:val="left"/>
              <w:rPr>
                <w:rFonts w:ascii="宋体" w:hAnsi="宋体" w:cs="宋体"/>
                <w:b/>
                <w:bCs/>
                <w:color w:val="000000" w:themeColor="text1"/>
                <w:kern w:val="0"/>
                <w:szCs w:val="21"/>
              </w:rPr>
            </w:pPr>
            <w:bookmarkStart w:id="30" w:name="_Toc49873374"/>
            <w:bookmarkStart w:id="31" w:name="_Toc387155683"/>
            <w:bookmarkStart w:id="32" w:name="_Toc387755924"/>
            <w:bookmarkStart w:id="33" w:name="_Toc387756276"/>
            <w:r>
              <w:rPr>
                <w:rFonts w:hint="eastAsia" w:ascii="Calibri" w:hAnsi="Calibri"/>
                <w:color w:val="000000" w:themeColor="text1"/>
                <w:szCs w:val="22"/>
              </w:rPr>
              <w:t>根据《职业教育专业资源库建设指南》要求，需要突出</w:t>
            </w:r>
            <w:r>
              <w:rPr>
                <w:rFonts w:hint="eastAsia" w:ascii="宋体" w:hAnsi="宋体" w:cs="宋体"/>
                <w:color w:val="000000" w:themeColor="text1"/>
                <w:kern w:val="0"/>
                <w:szCs w:val="21"/>
              </w:rPr>
              <w:t>专业群教学资源库平台</w:t>
            </w:r>
            <w:r>
              <w:rPr>
                <w:rFonts w:hint="eastAsia" w:ascii="Calibri" w:hAnsi="Calibri"/>
                <w:color w:val="000000" w:themeColor="text1"/>
                <w:szCs w:val="22"/>
              </w:rPr>
              <w:t>“能学、辅教、促改”的功能定位。支持职业教育优质教学资源共建共享，提升技术技能人才培养质量，需具有以下功能：</w:t>
            </w:r>
          </w:p>
          <w:p w14:paraId="050D39DF">
            <w:pPr>
              <w:widowControl/>
              <w:jc w:val="left"/>
              <w:rPr>
                <w:rFonts w:ascii="宋体" w:hAnsi="宋体" w:cs="宋体"/>
                <w:b/>
                <w:bCs/>
                <w:color w:val="000000" w:themeColor="text1"/>
                <w:kern w:val="0"/>
                <w:szCs w:val="21"/>
              </w:rPr>
            </w:pPr>
            <w:r>
              <w:rPr>
                <w:rFonts w:hint="eastAsia" w:ascii="宋体" w:hAnsi="宋体" w:cs="宋体"/>
                <w:b/>
                <w:bCs/>
                <w:color w:val="000000" w:themeColor="text1"/>
                <w:kern w:val="0"/>
                <w:szCs w:val="21"/>
              </w:rPr>
              <w:t>一、专业群教学资源库平台搭建</w:t>
            </w:r>
          </w:p>
          <w:p w14:paraId="6771DB94">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▲平台搭建内容体系包含：专业群信息、群内专业信息、专业群平台课、模块课程中心、团队建设、职业技能培训、素材中心、校企合作等子资源库模块框架体系。专业群</w:t>
            </w:r>
            <w:r>
              <w:rPr>
                <w:rFonts w:hint="eastAsia" w:ascii="Calibri" w:hAnsi="Calibri"/>
                <w:color w:val="000000" w:themeColor="text1"/>
                <w:szCs w:val="22"/>
              </w:rPr>
              <w:t>各专业教学资源库达到统一管理，明确资源库建立流程，分工明确支持夸院校共建共享；</w:t>
            </w:r>
            <w:r>
              <w:rPr>
                <w:rFonts w:hint="eastAsia" w:ascii="宋体" w:hAnsi="宋体" w:cs="宋体"/>
                <w:color w:val="000000" w:themeColor="text1"/>
                <w:kern w:val="0"/>
                <w:szCs w:val="21"/>
              </w:rPr>
              <w:t>专业群教学资源库平台</w:t>
            </w:r>
            <w:r>
              <w:rPr>
                <w:rFonts w:hint="eastAsia" w:ascii="Calibri" w:hAnsi="Calibri"/>
                <w:color w:val="000000" w:themeColor="text1"/>
                <w:szCs w:val="22"/>
              </w:rPr>
              <w:t>需要与学校现有在线课堂平台进行整合无缝对接，统一用户管理对于教师用户、企业用户；支持对接国家资源库监测平台，</w:t>
            </w:r>
            <w:r>
              <w:rPr>
                <w:rFonts w:hint="eastAsia" w:ascii="宋体" w:hAnsi="宋体" w:cs="宋体"/>
                <w:color w:val="000000" w:themeColor="text1"/>
                <w:kern w:val="0"/>
                <w:szCs w:val="21"/>
              </w:rPr>
              <w:t>建设效果达到省级、国家级资源库建设要求。</w:t>
            </w:r>
          </w:p>
          <w:p w14:paraId="1601A61E">
            <w:pPr>
              <w:widowControl/>
              <w:jc w:val="left"/>
              <w:rPr>
                <w:rFonts w:ascii="宋体" w:hAnsi="宋体" w:cs="宋体"/>
                <w:b/>
                <w:bCs/>
                <w:color w:val="000000" w:themeColor="text1"/>
                <w:kern w:val="0"/>
                <w:szCs w:val="21"/>
              </w:rPr>
            </w:pPr>
            <w:r>
              <w:rPr>
                <w:rFonts w:hint="eastAsia" w:ascii="宋体" w:hAnsi="宋体" w:cs="宋体"/>
                <w:b/>
                <w:bCs/>
                <w:color w:val="000000" w:themeColor="text1"/>
                <w:kern w:val="0"/>
                <w:szCs w:val="21"/>
              </w:rPr>
              <w:t>1.门户管理</w:t>
            </w:r>
            <w:bookmarkEnd w:id="30"/>
          </w:p>
          <w:p w14:paraId="584E8F35">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平台门户管理：提供充分展示专业资源库特色的门户平台，实现新闻公告动态显示、精品资源推荐、热门资源排行、一站式检索以及学校的教学资源与课程展示。具有资源库代表性的大图片展示区。</w:t>
            </w:r>
          </w:p>
          <w:p w14:paraId="58D8DAF0">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具备信息发布和页面自定义、访问统计分析、统一检索等功能。</w:t>
            </w:r>
          </w:p>
          <w:p w14:paraId="12541E9A">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具备精品资源的展示以及后台推荐控制功能。具备多种资源排行展示，如精品课程排行、课程网站排行、课程资料排行等。可以对专业群资源库资源进行搜索。</w:t>
            </w:r>
          </w:p>
          <w:p w14:paraId="4026C5A0">
            <w:pPr>
              <w:rPr>
                <w:rFonts w:ascii="Calibri" w:hAnsi="Calibri"/>
                <w:color w:val="000000" w:themeColor="text1"/>
                <w:szCs w:val="22"/>
              </w:rPr>
            </w:pPr>
            <w:r>
              <w:rPr>
                <w:rFonts w:hint="eastAsia" w:ascii="宋体" w:hAnsi="宋体" w:cs="宋体"/>
                <w:color w:val="000000" w:themeColor="text1"/>
                <w:kern w:val="0"/>
                <w:szCs w:val="21"/>
              </w:rPr>
              <w:t>▲</w:t>
            </w:r>
            <w:r>
              <w:rPr>
                <w:rFonts w:hint="eastAsia" w:ascii="Calibri" w:hAnsi="Calibri"/>
                <w:color w:val="000000" w:themeColor="text1"/>
                <w:szCs w:val="22"/>
              </w:rPr>
              <w:t>支持查看当前资源库的基础数据。可以自由配置是否门户中显示。包括今日访问量、总访问量、素材总数、课程总数、用户总数、资源存储量、试题总量、视频总时长、企业人数、教师人数、学生人数、社会人数、视频总时长、标准化课程总数、资源活跃率、资源引用率等。</w:t>
            </w:r>
          </w:p>
          <w:p w14:paraId="2A785023">
            <w:pPr>
              <w:widowControl/>
              <w:jc w:val="left"/>
              <w:rPr>
                <w:rFonts w:ascii="宋体" w:hAnsi="宋体" w:cs="宋体"/>
                <w:b/>
                <w:bCs/>
                <w:color w:val="000000" w:themeColor="text1"/>
                <w:kern w:val="0"/>
                <w:szCs w:val="21"/>
              </w:rPr>
            </w:pPr>
            <w:r>
              <w:rPr>
                <w:rFonts w:hint="eastAsia" w:ascii="宋体" w:hAnsi="宋体" w:cs="宋体"/>
                <w:b/>
                <w:bCs/>
                <w:color w:val="000000" w:themeColor="text1"/>
                <w:kern w:val="0"/>
                <w:szCs w:val="21"/>
              </w:rPr>
              <w:t>2.门户网站</w:t>
            </w:r>
          </w:p>
          <w:p w14:paraId="64A70D5A">
            <w:pPr>
              <w:widowControl/>
              <w:jc w:val="left"/>
              <w:rPr>
                <w:rFonts w:ascii="宋体" w:hAnsi="宋体" w:cs="宋体"/>
                <w:color w:val="000000" w:themeColor="text1"/>
                <w:kern w:val="0"/>
                <w:szCs w:val="21"/>
              </w:rPr>
            </w:pPr>
            <w:bookmarkStart w:id="34" w:name="_Toc49873375"/>
            <w:r>
              <w:rPr>
                <w:rFonts w:hint="eastAsia" w:ascii="宋体" w:hAnsi="宋体" w:cs="宋体"/>
                <w:color w:val="000000" w:themeColor="text1"/>
                <w:kern w:val="0"/>
                <w:szCs w:val="21"/>
              </w:rPr>
              <w:t>▲可视化页面设计后台，拖拽式页面布局；提供多种网页模板，选择模板后可快速生新网站；支持自定义网站主题颜色，统一页面上的应用、图标等相关视觉元素，便捷美观；支持网页设置一个或多个背景元素，背景包含：颜色、图片形式，背景图片提供素材库，支持多种裁剪方式选择；支持网页字体的繁简转换；</w:t>
            </w:r>
          </w:p>
          <w:p w14:paraId="77B83033">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门户支持添加和设置应用基础模块，包含图标列表、图文列表、轮播图、多图列表、搜索、文本列表、图表、表格、搜索列表、文本、图片、按钮、视频、搜索条、天气、日期、插件、IP、地图等多种基础模块用以生成网站应用模块和页面，满足绝大部分网站内容的展现形式。</w:t>
            </w:r>
          </w:p>
          <w:p w14:paraId="701E140D">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▲文本、按钮、图片、视频、天气、搜索条、日期、IP基础模块支持设置颜色、形状、粗细等自定义样式；</w:t>
            </w:r>
          </w:p>
          <w:p w14:paraId="4CF43CEB">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支持添加资源展示类型的应用模块时，自动生成资源列表页面和详情页面;</w:t>
            </w:r>
          </w:p>
          <w:p w14:paraId="50D1E97F">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 xml:space="preserve">▲门户支持设置全局模块，包含头部、全局轮播图、底部、飘窗、快捷入口等模块，支持隐藏或开启全局模块； </w:t>
            </w:r>
          </w:p>
          <w:p w14:paraId="1FF79D15">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▲支持调整所有应用模块的布局及排列，更新内容或删除模块，快速更新页面排版；</w:t>
            </w:r>
          </w:p>
          <w:p w14:paraId="7951F056">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▲支持网站内增加、修改、删除新页面。新页面包含所有的编辑功能，可拖拽式编辑的页面、内容页、侧边导航页等，建设多个新页面可快速实现专业、学科分页、分站点等需求；</w:t>
            </w:r>
          </w:p>
          <w:p w14:paraId="577E1EE8">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应用管理模块要求</w:t>
            </w:r>
          </w:p>
          <w:p w14:paraId="1C749A4D">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▲应用模块拥有各自独立的设置后台，可以设置模块的名称、显示样式、次级页面的细节设置、添加数据内容等；</w:t>
            </w:r>
          </w:p>
          <w:p w14:paraId="405044A7">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应用模块提供多种样式展示形式，包含图标列表、图文列表、轮播图、多图列表、搜索、文本列表、图表、表格、搜索列表等9类模块；</w:t>
            </w:r>
          </w:p>
          <w:p w14:paraId="62669BD9">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▲模块数据内容支持对接标准接口规范的外部数据源；</w:t>
            </w:r>
          </w:p>
          <w:p w14:paraId="1575C43A">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提供数据中心用于图标列表、图文列表、多图列表、文本列表、图表、搜索列表类应用，单位根据相关产品使用情况可直接选择数据源生成诸如数据库导航、期刊导航、热词词云、词云排行榜、阅读喜好、阅读测评趋势、活动管理、读者荐购、阅读推荐等应用模块；</w:t>
            </w:r>
          </w:p>
          <w:p w14:paraId="61F5AA3A">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▲本地添加内容自定义编辑器采用富文本编辑器，支持富文本线编辑，支持图片、视频、附件、超链接等上传；支持对接云盘文件；</w:t>
            </w:r>
          </w:p>
          <w:p w14:paraId="28906603">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提供草稿箱存储未保存的内容；</w:t>
            </w:r>
          </w:p>
          <w:p w14:paraId="46A64CFE">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▲提供包含专题和课程的资源库，用于图文列表、多图列表、文本列表、图标列表、轮播图类模块数据的添加；</w:t>
            </w:r>
          </w:p>
          <w:p w14:paraId="74E4862F">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▲搜索应用支持同时对接多个搜索引擎，支持站内资源搜索；</w:t>
            </w:r>
          </w:p>
          <w:p w14:paraId="7DFCB813">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图标列表添加内容提供图标库；</w:t>
            </w:r>
          </w:p>
          <w:p w14:paraId="632EAC9B">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图文列表、多图列表、文本列表三类应用模块，本地数据管理支持批量导入、数据导出、多级分类管理、动态字段、置顶、发布、排序、批量编辑、关键词数据筛选；</w:t>
            </w:r>
          </w:p>
          <w:p w14:paraId="10A0B251">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开启审核的应用模块支持在后台进行数据状态筛选；</w:t>
            </w:r>
          </w:p>
          <w:p w14:paraId="7FE59880">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图表类模块支持上传EXCEL生成柱状图、饼状图、折线图等可视化图形。</w:t>
            </w:r>
          </w:p>
          <w:p w14:paraId="261866DB">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本地添加内容详情，预览支持手机端移动端切换预览；</w:t>
            </w:r>
          </w:p>
          <w:p w14:paraId="112E98E2">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分类数据支持不同分类选择不同外接数据源数据进行展示；</w:t>
            </w:r>
          </w:p>
          <w:bookmarkEnd w:id="34"/>
          <w:p w14:paraId="43ABC7DB">
            <w:pPr>
              <w:widowControl/>
              <w:jc w:val="left"/>
              <w:rPr>
                <w:rFonts w:ascii="宋体" w:hAnsi="宋体" w:cs="宋体"/>
                <w:b/>
                <w:bCs/>
                <w:color w:val="000000" w:themeColor="text1"/>
                <w:kern w:val="0"/>
                <w:szCs w:val="21"/>
              </w:rPr>
            </w:pPr>
            <w:bookmarkStart w:id="35" w:name="_Toc49873376"/>
            <w:r>
              <w:rPr>
                <w:rFonts w:hint="eastAsia" w:ascii="宋体" w:hAnsi="宋体" w:cs="宋体"/>
                <w:b/>
                <w:bCs/>
                <w:color w:val="000000" w:themeColor="text1"/>
                <w:kern w:val="0"/>
                <w:szCs w:val="21"/>
              </w:rPr>
              <w:t>3.专业群管理</w:t>
            </w:r>
          </w:p>
          <w:p w14:paraId="301EE76A">
            <w:pPr>
              <w:rPr>
                <w:rFonts w:ascii="Calibri" w:hAnsi="Calibri"/>
                <w:color w:val="000000" w:themeColor="text1"/>
                <w:szCs w:val="22"/>
              </w:rPr>
            </w:pPr>
            <w:r>
              <w:rPr>
                <w:rFonts w:hint="eastAsia" w:ascii="Calibri" w:hAnsi="Calibri"/>
                <w:color w:val="000000" w:themeColor="text1"/>
                <w:szCs w:val="22"/>
              </w:rPr>
              <w:t>（1）超级管理员和资源库管理员可以新建资源库专业站点，设置或修改站点名称、负责人和封面图，可以删除或查询站点。在同一页面实现对站点的“增删改查”。专业负责人可以在资源库站点管理页面看到所负责的专业站点。</w:t>
            </w:r>
          </w:p>
          <w:p w14:paraId="2CA09298">
            <w:pPr>
              <w:rPr>
                <w:rFonts w:ascii="Calibri" w:hAnsi="Calibri"/>
                <w:color w:val="000000" w:themeColor="text1"/>
                <w:szCs w:val="22"/>
              </w:rPr>
            </w:pPr>
            <w:r>
              <w:rPr>
                <w:rFonts w:hint="eastAsia" w:ascii="Calibri" w:hAnsi="Calibri"/>
                <w:color w:val="000000" w:themeColor="text1"/>
                <w:szCs w:val="22"/>
              </w:rPr>
              <w:t>（2）创建多站点：每个专业教学资源库可拥有独立一个站点，每个站点即一个专业教学资源库，平台下系统管理员登录后台后，可创建多站点，并指定某一专业负责人（教师用户），作为该站点的负责人。专业教学资源库每个站点都是完整的一套网站，在后台管理中，系统管理员可对每个站点样式、导航等信息进行设置管理。</w:t>
            </w:r>
          </w:p>
          <w:p w14:paraId="272496D4">
            <w:pPr>
              <w:rPr>
                <w:rFonts w:ascii="Calibri" w:hAnsi="Calibri"/>
                <w:color w:val="000000" w:themeColor="text1"/>
                <w:szCs w:val="22"/>
              </w:rPr>
            </w:pPr>
            <w:r>
              <w:rPr>
                <w:rFonts w:hint="eastAsia" w:ascii="Calibri" w:hAnsi="Calibri"/>
                <w:color w:val="000000" w:themeColor="text1"/>
                <w:szCs w:val="22"/>
              </w:rPr>
              <w:t>（3）站点导航与栏目：每个站点一套独立导航和栏目管理。专业教学资源库导航栏支持包括导航在内的至少5级栏目建设。</w:t>
            </w:r>
          </w:p>
          <w:p w14:paraId="41BB130A">
            <w:pPr>
              <w:rPr>
                <w:rFonts w:ascii="Calibri" w:hAnsi="Calibri"/>
                <w:color w:val="000000" w:themeColor="text1"/>
                <w:szCs w:val="22"/>
              </w:rPr>
            </w:pPr>
            <w:r>
              <w:rPr>
                <w:rFonts w:hint="eastAsia" w:ascii="Calibri" w:hAnsi="Calibri"/>
                <w:color w:val="000000" w:themeColor="text1"/>
                <w:szCs w:val="22"/>
              </w:rPr>
              <w:t>（4）在资源库管理中可以对教学专业资源库进行专业层次、专业目录、主持单位和参建单位的信息编辑，支持设置所属专业和服务专业，可以进行人才培养方案、专业建设标准、介绍视频和（仅支持m4v、mp4格式的视频）资源库介绍（支持附件上传）的上传和编辑。</w:t>
            </w:r>
          </w:p>
          <w:p w14:paraId="40D6402C">
            <w:pPr>
              <w:rPr>
                <w:rFonts w:ascii="Calibri" w:hAnsi="Calibri"/>
                <w:color w:val="000000" w:themeColor="text1"/>
                <w:szCs w:val="22"/>
              </w:rPr>
            </w:pPr>
            <w:r>
              <w:rPr>
                <w:rFonts w:hint="eastAsia" w:ascii="Calibri" w:hAnsi="Calibri"/>
                <w:color w:val="000000" w:themeColor="text1"/>
                <w:szCs w:val="22"/>
              </w:rPr>
              <w:t>（5）</w:t>
            </w:r>
            <w:r>
              <w:rPr>
                <w:rFonts w:hint="eastAsia" w:ascii="宋体" w:hAnsi="宋体" w:cs="宋体"/>
                <w:color w:val="000000" w:themeColor="text1"/>
                <w:kern w:val="0"/>
                <w:szCs w:val="21"/>
              </w:rPr>
              <w:t>▲</w:t>
            </w:r>
            <w:r>
              <w:rPr>
                <w:rFonts w:hint="eastAsia" w:ascii="Calibri" w:hAnsi="Calibri"/>
                <w:color w:val="000000" w:themeColor="text1"/>
                <w:szCs w:val="22"/>
              </w:rPr>
              <w:t>在专业管理功能中可以对站点中的专业进行管理，支持单独专业站点的形式和添加其他专业进行组群的专业群形式。可以实现在专业群站点对添加进来的组群专业站点的资源管理和数据统计。支持编辑修改专业名称、添加专业群/专业的负责人、设置专业所属大类和专业类、上传专业卡片封面等操作。</w:t>
            </w:r>
          </w:p>
          <w:p w14:paraId="7668B425">
            <w:pPr>
              <w:rPr>
                <w:rFonts w:ascii="Calibri" w:hAnsi="Calibri"/>
                <w:color w:val="000000" w:themeColor="text1"/>
                <w:szCs w:val="22"/>
              </w:rPr>
            </w:pPr>
            <w:r>
              <w:rPr>
                <w:rFonts w:hint="eastAsia" w:ascii="Calibri" w:hAnsi="Calibri"/>
                <w:color w:val="000000" w:themeColor="text1"/>
                <w:szCs w:val="22"/>
              </w:rPr>
              <w:t>（6）</w:t>
            </w:r>
            <w:r>
              <w:rPr>
                <w:rFonts w:hint="eastAsia" w:ascii="宋体" w:hAnsi="宋体" w:cs="宋体"/>
                <w:color w:val="000000" w:themeColor="text1"/>
                <w:kern w:val="0"/>
                <w:szCs w:val="21"/>
              </w:rPr>
              <w:t>▲</w:t>
            </w:r>
            <w:r>
              <w:rPr>
                <w:rFonts w:hint="eastAsia" w:ascii="Calibri" w:hAnsi="Calibri"/>
                <w:color w:val="000000" w:themeColor="text1"/>
                <w:szCs w:val="22"/>
              </w:rPr>
              <w:t>在管理中，可以添加资源库的共建院校和参建单位，实现跨单位资源建设和引用。支持资源库进行跨单位使用和建设。</w:t>
            </w:r>
          </w:p>
          <w:p w14:paraId="29D3D951">
            <w:pPr>
              <w:rPr>
                <w:rFonts w:ascii="Calibri" w:hAnsi="Calibri"/>
                <w:color w:val="000000" w:themeColor="text1"/>
                <w:szCs w:val="22"/>
              </w:rPr>
            </w:pPr>
            <w:r>
              <w:rPr>
                <w:rFonts w:hint="eastAsia" w:ascii="Calibri" w:hAnsi="Calibri"/>
                <w:color w:val="000000" w:themeColor="text1"/>
                <w:szCs w:val="22"/>
              </w:rPr>
              <w:t>（7）</w:t>
            </w:r>
            <w:r>
              <w:rPr>
                <w:rFonts w:hint="eastAsia" w:ascii="宋体" w:hAnsi="宋体" w:cs="宋体"/>
                <w:color w:val="000000" w:themeColor="text1"/>
                <w:kern w:val="0"/>
                <w:szCs w:val="21"/>
              </w:rPr>
              <w:t>▲</w:t>
            </w:r>
            <w:r>
              <w:rPr>
                <w:rFonts w:ascii="Calibri" w:hAnsi="Calibri"/>
                <w:color w:val="000000" w:themeColor="text1"/>
                <w:szCs w:val="22"/>
              </w:rPr>
              <w:t>在用户管理功能中，支持对当前专业资源库的注册用户进行管理。包括四种角色：教师用户、学生用户、企业用户、社会用户等。可实现添加各类用户并对用户信息进行查看、筛选和删除操作。</w:t>
            </w:r>
            <w:r>
              <w:rPr>
                <w:rFonts w:hint="eastAsia" w:ascii="Calibri" w:hAnsi="Calibri"/>
                <w:color w:val="000000" w:themeColor="text1"/>
                <w:szCs w:val="22"/>
              </w:rPr>
              <w:t>支持转化用户，将已毕业的学生批量转化为社会或企业用户。支持添加共建单位用户，支持批量添加或导入。支持导入社会用户及企业用户。</w:t>
            </w:r>
          </w:p>
          <w:p w14:paraId="3F44C53A">
            <w:pPr>
              <w:widowControl/>
              <w:jc w:val="left"/>
              <w:rPr>
                <w:rFonts w:ascii="宋体" w:hAnsi="宋体" w:cs="宋体"/>
                <w:b/>
                <w:bCs/>
                <w:color w:val="000000" w:themeColor="text1"/>
                <w:kern w:val="0"/>
                <w:szCs w:val="21"/>
              </w:rPr>
            </w:pPr>
            <w:r>
              <w:rPr>
                <w:rFonts w:hint="eastAsia" w:ascii="宋体" w:hAnsi="宋体" w:cs="宋体"/>
                <w:b/>
                <w:bCs/>
                <w:color w:val="000000" w:themeColor="text1"/>
                <w:kern w:val="0"/>
                <w:szCs w:val="21"/>
              </w:rPr>
              <w:t>4.资源管理</w:t>
            </w:r>
          </w:p>
          <w:p w14:paraId="4C4F22E1">
            <w:pPr>
              <w:numPr>
                <w:ilvl w:val="0"/>
                <w:numId w:val="3"/>
              </w:numPr>
              <w:rPr>
                <w:rFonts w:ascii="Calibri" w:hAnsi="Calibri"/>
                <w:color w:val="000000" w:themeColor="text1"/>
                <w:szCs w:val="22"/>
              </w:rPr>
            </w:pPr>
            <w:r>
              <w:rPr>
                <w:rFonts w:hint="eastAsia" w:ascii="Calibri" w:hAnsi="Calibri"/>
                <w:color w:val="000000" w:themeColor="text1"/>
                <w:szCs w:val="22"/>
              </w:rPr>
              <w:t>在资源管理功能中，支持对当前专业资源库的课程、素材、题库、试题进行增加、删除、修改、审核通过等管理。</w:t>
            </w:r>
          </w:p>
          <w:p w14:paraId="12F9DF4B">
            <w:pPr>
              <w:numPr>
                <w:ilvl w:val="0"/>
                <w:numId w:val="3"/>
              </w:numPr>
              <w:rPr>
                <w:rFonts w:ascii="Calibri" w:hAnsi="Calibri"/>
                <w:color w:val="000000" w:themeColor="text1"/>
                <w:szCs w:val="22"/>
              </w:rPr>
            </w:pPr>
            <w:r>
              <w:rPr>
                <w:rFonts w:hint="eastAsia" w:ascii="宋体" w:hAnsi="宋体" w:cs="宋体"/>
                <w:color w:val="000000" w:themeColor="text1"/>
                <w:kern w:val="0"/>
                <w:szCs w:val="21"/>
              </w:rPr>
              <w:t>▲</w:t>
            </w:r>
            <w:r>
              <w:rPr>
                <w:rFonts w:hint="eastAsia" w:ascii="Calibri" w:hAnsi="Calibri"/>
                <w:color w:val="000000" w:themeColor="text1"/>
                <w:szCs w:val="22"/>
              </w:rPr>
              <w:t>课程管理中：支持筛选项进行查询不同单位，不同状态，以及是否有知识图谱的课程。选择对应课程分类后，可以通过创建、模板导入、链接添加、课程库导入等方式进行添加课程。支持编辑课程是否标记为课程模板，支持校内其他教师直接进行引用课程创建；支持删除，即将课程进行移除出本资源库；上架/下架是否允许校内其他教师直接引用被标记为课程模板的课程；查看引用，指可以查询被标记为示范教学包的课程引用出去的数据</w:t>
            </w:r>
          </w:p>
          <w:p w14:paraId="16F7F3A6">
            <w:pPr>
              <w:numPr>
                <w:ilvl w:val="0"/>
                <w:numId w:val="3"/>
              </w:numPr>
              <w:rPr>
                <w:rFonts w:ascii="Calibri" w:hAnsi="Calibri"/>
                <w:color w:val="000000" w:themeColor="text1"/>
                <w:szCs w:val="22"/>
              </w:rPr>
            </w:pPr>
            <w:r>
              <w:rPr>
                <w:rFonts w:hint="eastAsia" w:ascii="Calibri" w:hAnsi="Calibri"/>
                <w:color w:val="000000" w:themeColor="text1"/>
                <w:szCs w:val="22"/>
              </w:rPr>
              <w:t>素材管理：支持筛选项进行查询对应条件的素材，支持对素材进行删除、信息和分类修改、素材下架、素材审核。素材可以从本单位课程添加、单独上传、跨单位添加，给素材打不同的标签内容，如知识点、技能点。</w:t>
            </w:r>
          </w:p>
          <w:p w14:paraId="414AF202">
            <w:pPr>
              <w:numPr>
                <w:ilvl w:val="0"/>
                <w:numId w:val="3"/>
              </w:numPr>
              <w:rPr>
                <w:rFonts w:ascii="Calibri" w:hAnsi="Calibri"/>
                <w:color w:val="000000" w:themeColor="text1"/>
                <w:szCs w:val="22"/>
              </w:rPr>
            </w:pPr>
            <w:r>
              <w:rPr>
                <w:rFonts w:hint="eastAsia" w:ascii="Calibri" w:hAnsi="Calibri"/>
                <w:color w:val="000000" w:themeColor="text1"/>
                <w:szCs w:val="22"/>
              </w:rPr>
              <w:t>题库管理：可以根据不同分类创建相应的题库，支持题库多条件筛选；添加方式可以通过单独创建、智能导入、模板导入、课程导入；题库支持批量删除、批量审核、批量移动和导出。</w:t>
            </w:r>
          </w:p>
          <w:p w14:paraId="7333143C">
            <w:pPr>
              <w:rPr>
                <w:rFonts w:ascii="Calibri" w:hAnsi="Calibri"/>
                <w:color w:val="000000" w:themeColor="text1"/>
                <w:szCs w:val="22"/>
              </w:rPr>
            </w:pPr>
            <w:r>
              <w:rPr>
                <w:rFonts w:hint="eastAsia" w:ascii="Calibri" w:hAnsi="Calibri"/>
                <w:color w:val="000000" w:themeColor="text1"/>
                <w:szCs w:val="22"/>
              </w:rPr>
              <w:t>试题管理:支持试题标签，可以通过课程库课程导入和考试系统同步，可以通过不同条件进行筛选，对题目进行删除和上架/下架操作。</w:t>
            </w:r>
          </w:p>
          <w:p w14:paraId="099C3604">
            <w:pPr>
              <w:rPr>
                <w:rFonts w:ascii="Calibri" w:hAnsi="Calibri"/>
                <w:b/>
                <w:bCs/>
                <w:color w:val="000000" w:themeColor="text1"/>
                <w:szCs w:val="22"/>
              </w:rPr>
            </w:pPr>
            <w:r>
              <w:rPr>
                <w:rFonts w:hint="eastAsia" w:ascii="Calibri" w:hAnsi="Calibri"/>
                <w:b/>
                <w:bCs/>
                <w:color w:val="000000" w:themeColor="text1"/>
                <w:szCs w:val="22"/>
              </w:rPr>
              <w:t>5.知识图谱管理</w:t>
            </w:r>
          </w:p>
          <w:p w14:paraId="48D0E070">
            <w:pPr>
              <w:numPr>
                <w:ilvl w:val="0"/>
                <w:numId w:val="4"/>
              </w:numPr>
              <w:rPr>
                <w:rFonts w:ascii="Calibri" w:hAnsi="Calibri"/>
                <w:color w:val="000000" w:themeColor="text1"/>
                <w:szCs w:val="22"/>
              </w:rPr>
            </w:pPr>
            <w:r>
              <w:rPr>
                <w:rFonts w:ascii="宋体" w:hAnsi="宋体" w:cs="宋体"/>
                <w:color w:val="000000" w:themeColor="text1"/>
                <w:sz w:val="24"/>
              </w:rPr>
              <w:t>▲</w:t>
            </w:r>
            <w:r>
              <w:rPr>
                <w:rFonts w:ascii="Calibri" w:hAnsi="Calibri"/>
                <w:color w:val="000000" w:themeColor="text1"/>
                <w:szCs w:val="22"/>
              </w:rPr>
              <w:t>在专业资源库的知识图谱功能中，支持构建基于知识图谱的可视化课程体系框架，明确课程必须掌握的知识点、技能点及对应的职业岗位等。可实现专业课程知识图谱的添加与管理。支持智能导入，用户上传课程大纲、教材等，系统智能识别构建生成知识图谱</w:t>
            </w:r>
            <w:r>
              <w:rPr>
                <w:rFonts w:hint="eastAsia" w:ascii="Calibri" w:hAnsi="Calibri"/>
                <w:color w:val="000000" w:themeColor="text1"/>
                <w:szCs w:val="22"/>
                <w:lang w:eastAsia="zh-CN"/>
              </w:rPr>
              <w:t>。</w:t>
            </w:r>
          </w:p>
          <w:p w14:paraId="103F103E">
            <w:pPr>
              <w:numPr>
                <w:ilvl w:val="0"/>
                <w:numId w:val="4"/>
              </w:numPr>
              <w:rPr>
                <w:rFonts w:ascii="Calibri" w:hAnsi="Calibri"/>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支持添加课程基本信息，并指派课程负责人进行知识图谱的建设。支持手动添加和各种形式的批量导入知识点。支持本地导入xmind格式的思维导图文件，自动读取文件数据，生成课程知识图谱；</w:t>
            </w:r>
          </w:p>
          <w:p w14:paraId="5E5ECF0C">
            <w:pPr>
              <w:numPr>
                <w:ilvl w:val="0"/>
                <w:numId w:val="4"/>
              </w:numPr>
              <w:rPr>
                <w:rFonts w:ascii="Calibri" w:hAnsi="Calibri"/>
                <w:color w:val="000000" w:themeColor="text1"/>
                <w:szCs w:val="22"/>
              </w:rPr>
            </w:pPr>
            <w:r>
              <w:rPr>
                <w:rFonts w:ascii="Calibri" w:hAnsi="Calibri"/>
                <w:color w:val="000000" w:themeColor="text1"/>
                <w:szCs w:val="22"/>
              </w:rPr>
              <w:t>支持设置知识点的前置知识点、后置知识点、关联知识点的关系。</w:t>
            </w:r>
          </w:p>
          <w:p w14:paraId="7639E5DC">
            <w:pPr>
              <w:numPr>
                <w:ilvl w:val="0"/>
                <w:numId w:val="4"/>
              </w:numPr>
              <w:rPr>
                <w:rFonts w:ascii="Calibri" w:hAnsi="Calibri"/>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支持“大纲模式”、“思维导图模式”、“图谱模式”等多种展示形式。并支持按照知识点层级、按知识点掌握率、按知识点完成率等维度记性配色。支持教师对图谱样式进行自定义设置，包含知识点的显示形状、颜色、位置，以及组别位置，适配多种展示场景并设定学生端默认显示方案</w:t>
            </w:r>
          </w:p>
          <w:p w14:paraId="26341558">
            <w:pPr>
              <w:numPr>
                <w:ilvl w:val="0"/>
                <w:numId w:val="4"/>
              </w:numPr>
              <w:rPr>
                <w:rFonts w:ascii="Calibri" w:hAnsi="Calibri"/>
                <w:color w:val="000000" w:themeColor="text1"/>
                <w:szCs w:val="22"/>
              </w:rPr>
            </w:pPr>
            <w:r>
              <w:rPr>
                <w:rFonts w:hint="eastAsia" w:ascii="Calibri" w:hAnsi="Calibri"/>
                <w:color w:val="000000" w:themeColor="text1"/>
                <w:szCs w:val="22"/>
              </w:rPr>
              <w:t>支持给知识点打标签，自定义标签内容，支持同一个支持点标记多个标签；用于标记技能点或职业岗位。支持按照知识点和标签两个维度进行知识点的筛选查看</w:t>
            </w:r>
          </w:p>
          <w:p w14:paraId="3723A484">
            <w:pPr>
              <w:numPr>
                <w:ilvl w:val="0"/>
                <w:numId w:val="4"/>
              </w:numPr>
              <w:rPr>
                <w:rFonts w:ascii="Calibri" w:hAnsi="Calibri"/>
                <w:color w:val="000000" w:themeColor="text1"/>
                <w:szCs w:val="22"/>
              </w:rPr>
            </w:pPr>
            <w:r>
              <w:rPr>
                <w:rFonts w:ascii="Calibri" w:hAnsi="Calibri"/>
                <w:color w:val="000000" w:themeColor="text1"/>
                <w:szCs w:val="22"/>
              </w:rPr>
              <w:t>支持进行跨课知识点关联，实现不同课程自之间知识的聚合联动，关联后可以实现跨课学习并进行专业下多门课程的知识点关联展示应用；支持智能生成学科/专业知识图谱，直观展示课程的点以及跨课程的知识点相关关系帮助交叉学科以及整合课程的发现与规划</w:t>
            </w:r>
          </w:p>
          <w:p w14:paraId="6D6B23BB">
            <w:pPr>
              <w:numPr>
                <w:ilvl w:val="0"/>
                <w:numId w:val="4"/>
              </w:numPr>
              <w:rPr>
                <w:rFonts w:ascii="Calibri" w:hAnsi="Calibri"/>
                <w:color w:val="000000" w:themeColor="text1"/>
                <w:szCs w:val="22"/>
              </w:rPr>
            </w:pPr>
            <w:r>
              <w:rPr>
                <w:rFonts w:hint="eastAsia" w:ascii="Calibri" w:hAnsi="Calibri"/>
                <w:color w:val="000000" w:themeColor="text1"/>
                <w:szCs w:val="22"/>
              </w:rPr>
              <w:t>支持知识图谱形成网状结构，点击对应知识点即可查看知识点的相关资源。</w:t>
            </w:r>
          </w:p>
          <w:p w14:paraId="4246BD96">
            <w:pPr>
              <w:numPr>
                <w:ilvl w:val="0"/>
                <w:numId w:val="4"/>
              </w:numPr>
              <w:rPr>
                <w:rFonts w:ascii="Calibri" w:hAnsi="Calibri"/>
                <w:color w:val="000000" w:themeColor="text1"/>
                <w:szCs w:val="22"/>
              </w:rPr>
            </w:pPr>
            <w:r>
              <w:rPr>
                <w:rFonts w:ascii="Calibri" w:hAnsi="Calibri"/>
                <w:color w:val="000000" w:themeColor="text1"/>
                <w:szCs w:val="22"/>
              </w:rPr>
              <w:t>支持教师对课程章节内容，包括——视频、音频、文档、图书、章节测验等进行知识点标记，作为知识点教学任务进行设置，方便学生按知识点进行任务学习</w:t>
            </w:r>
            <w:r>
              <w:rPr>
                <w:rFonts w:hint="eastAsia" w:ascii="Calibri" w:hAnsi="Calibri"/>
                <w:color w:val="000000" w:themeColor="text1"/>
                <w:szCs w:val="22"/>
              </w:rPr>
              <w:t>。支持批量对课程资料标记知识点。</w:t>
            </w:r>
          </w:p>
          <w:p w14:paraId="2EE3F8B0">
            <w:pPr>
              <w:numPr>
                <w:ilvl w:val="0"/>
                <w:numId w:val="4"/>
              </w:numPr>
              <w:rPr>
                <w:rFonts w:ascii="Calibri" w:hAnsi="Calibri"/>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支持支持系统智能识别视频内容，在视频时间点上自动打知识点标签，教师可以编辑修改；视频播放时学生可以定位到时间点观看对应知识点的视频讲解。</w:t>
            </w:r>
          </w:p>
          <w:p w14:paraId="7AC83F91">
            <w:pPr>
              <w:numPr>
                <w:ilvl w:val="0"/>
                <w:numId w:val="4"/>
              </w:numPr>
              <w:rPr>
                <w:rFonts w:ascii="Calibri" w:hAnsi="Calibri"/>
                <w:color w:val="000000" w:themeColor="text1"/>
                <w:szCs w:val="22"/>
              </w:rPr>
            </w:pPr>
            <w:r>
              <w:rPr>
                <w:rFonts w:hint="eastAsia" w:ascii="Calibri" w:hAnsi="Calibri"/>
                <w:color w:val="000000" w:themeColor="text1"/>
                <w:szCs w:val="22"/>
              </w:rPr>
              <w:t>支持在创建或编辑题目时标记每道题对应的知识点标签，并支持按知识点筛选管理题目，支持批量编辑题目关联知识点。</w:t>
            </w:r>
          </w:p>
          <w:p w14:paraId="6F3B9063">
            <w:pPr>
              <w:numPr>
                <w:ilvl w:val="0"/>
                <w:numId w:val="4"/>
              </w:numPr>
              <w:rPr>
                <w:rFonts w:ascii="Calibri" w:hAnsi="Calibri"/>
                <w:color w:val="000000" w:themeColor="text1"/>
                <w:szCs w:val="22"/>
              </w:rPr>
            </w:pPr>
            <w:r>
              <w:rPr>
                <w:rFonts w:hint="eastAsia" w:ascii="Calibri" w:hAnsi="Calibri"/>
                <w:color w:val="000000" w:themeColor="text1"/>
                <w:szCs w:val="22"/>
              </w:rPr>
              <w:t>支持知识图谱在门户进行展示。</w:t>
            </w:r>
          </w:p>
          <w:p w14:paraId="5B1F29C3">
            <w:pPr>
              <w:rPr>
                <w:rFonts w:ascii="Calibri" w:hAnsi="Calibri"/>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知识图谱统计功能：支持教师查看每个知识点的分析统计，查看知识点平均完成率、平均掌握率、完成率分布和掌握率分布等。支持查看班级下每个学生或某个学生的某个或全部知识点平均完成情况、平均掌握情况、课程资料阅读情况等。支持学生查看本人的知识点统计分析，包括每个知识点的完成情况、掌握情况、课程资料阅读情况等。</w:t>
            </w:r>
          </w:p>
          <w:p w14:paraId="55920B29">
            <w:pPr>
              <w:rPr>
                <w:rFonts w:ascii="Calibri" w:hAnsi="Calibri"/>
                <w:b/>
                <w:bCs/>
                <w:color w:val="000000" w:themeColor="text1"/>
                <w:szCs w:val="22"/>
              </w:rPr>
            </w:pPr>
            <w:r>
              <w:rPr>
                <w:rFonts w:hint="eastAsia" w:ascii="Calibri" w:hAnsi="Calibri"/>
                <w:b/>
                <w:bCs/>
                <w:color w:val="000000" w:themeColor="text1"/>
                <w:szCs w:val="22"/>
              </w:rPr>
              <w:t>6.数据统计</w:t>
            </w:r>
          </w:p>
          <w:p w14:paraId="5EC2FE42">
            <w:pPr>
              <w:ind w:firstLine="420"/>
              <w:rPr>
                <w:rFonts w:ascii="Calibri" w:hAnsi="Calibri"/>
                <w:color w:val="000000" w:themeColor="text1"/>
                <w:szCs w:val="22"/>
              </w:rPr>
            </w:pPr>
            <w:r>
              <w:rPr>
                <w:rFonts w:hint="eastAsia" w:ascii="Calibri" w:hAnsi="Calibri"/>
                <w:color w:val="000000" w:themeColor="text1"/>
                <w:szCs w:val="22"/>
              </w:rPr>
              <w:t>为方便学校管理者对资源建设情况详细了解，从而及时督促工作，平台需提供详细的资源建设情况统计分析功能和课程相关统计分析功能。</w:t>
            </w:r>
          </w:p>
          <w:p w14:paraId="79A1060F">
            <w:pPr>
              <w:rPr>
                <w:rFonts w:ascii="Calibri" w:hAnsi="Calibri"/>
                <w:color w:val="000000" w:themeColor="text1"/>
                <w:szCs w:val="22"/>
                <w:lang w:eastAsia="zh-Hans"/>
              </w:rPr>
            </w:pPr>
            <w:r>
              <w:rPr>
                <w:rFonts w:hint="eastAsia" w:ascii="Calibri" w:hAnsi="Calibri"/>
                <w:color w:val="000000" w:themeColor="text1"/>
                <w:szCs w:val="22"/>
              </w:rPr>
              <w:t>（1）基本数据统计：</w:t>
            </w:r>
            <w:r>
              <w:rPr>
                <w:rFonts w:hint="eastAsia" w:ascii="Calibri" w:hAnsi="Calibri"/>
                <w:color w:val="000000" w:themeColor="text1"/>
                <w:szCs w:val="22"/>
                <w:lang w:eastAsia="zh-Hans"/>
              </w:rPr>
              <w:t>管理员可以查看专业资源库的基本数据统计，包括资源总数、各类型资源分别的个数、</w:t>
            </w:r>
            <w:r>
              <w:rPr>
                <w:rFonts w:hint="eastAsia" w:ascii="Calibri" w:hAnsi="Calibri"/>
                <w:color w:val="000000" w:themeColor="text1"/>
                <w:szCs w:val="22"/>
              </w:rPr>
              <w:t>课程总数、</w:t>
            </w:r>
            <w:r>
              <w:rPr>
                <w:rFonts w:hint="eastAsia" w:ascii="Calibri" w:hAnsi="Calibri"/>
                <w:color w:val="000000" w:themeColor="text1"/>
                <w:szCs w:val="22"/>
                <w:lang w:eastAsia="zh-Hans"/>
              </w:rPr>
              <w:t>存储总量、</w:t>
            </w:r>
            <w:r>
              <w:rPr>
                <w:rFonts w:hint="eastAsia" w:ascii="Calibri" w:hAnsi="Calibri"/>
                <w:color w:val="000000" w:themeColor="text1"/>
                <w:szCs w:val="22"/>
              </w:rPr>
              <w:t>微课总数、</w:t>
            </w:r>
            <w:r>
              <w:rPr>
                <w:rFonts w:hint="eastAsia" w:ascii="Calibri" w:hAnsi="Calibri"/>
                <w:color w:val="000000" w:themeColor="text1"/>
                <w:szCs w:val="22"/>
                <w:lang w:eastAsia="zh-Hans"/>
              </w:rPr>
              <w:t>视频总时长、试题总数等基本数据</w:t>
            </w:r>
            <w:r>
              <w:rPr>
                <w:rFonts w:hint="eastAsia" w:ascii="Calibri" w:hAnsi="Calibri"/>
                <w:color w:val="000000" w:themeColor="text1"/>
                <w:szCs w:val="22"/>
              </w:rPr>
              <w:t>，支持查看</w:t>
            </w:r>
            <w:r>
              <w:rPr>
                <w:rFonts w:hint="eastAsia" w:ascii="Calibri" w:hAnsi="Calibri"/>
                <w:color w:val="000000" w:themeColor="text1"/>
                <w:szCs w:val="22"/>
                <w:lang w:eastAsia="zh-Hans"/>
              </w:rPr>
              <w:t>各个类型的资源上传更新的情况</w:t>
            </w:r>
            <w:r>
              <w:rPr>
                <w:rFonts w:hint="eastAsia" w:ascii="Calibri" w:hAnsi="Calibri"/>
                <w:color w:val="000000" w:themeColor="text1"/>
                <w:szCs w:val="22"/>
              </w:rPr>
              <w:t>及</w:t>
            </w:r>
            <w:r>
              <w:rPr>
                <w:rFonts w:hint="eastAsia" w:ascii="Calibri" w:hAnsi="Calibri"/>
                <w:color w:val="000000" w:themeColor="text1"/>
                <w:szCs w:val="22"/>
                <w:lang w:eastAsia="zh-Hans"/>
              </w:rPr>
              <w:t>终端访问、媒体类型、存储占比、原创资源占比、活跃资源占比、适用对象统计等。</w:t>
            </w:r>
          </w:p>
          <w:p w14:paraId="317276B8">
            <w:pPr>
              <w:rPr>
                <w:rFonts w:ascii="Calibri" w:hAnsi="Calibri"/>
                <w:color w:val="000000" w:themeColor="text1"/>
                <w:szCs w:val="22"/>
              </w:rPr>
            </w:pPr>
            <w:r>
              <w:rPr>
                <w:rFonts w:hint="eastAsia" w:ascii="Calibri" w:hAnsi="Calibri"/>
                <w:color w:val="000000" w:themeColor="text1"/>
                <w:szCs w:val="22"/>
              </w:rPr>
              <w:t>（2）资源使用统计：管理员可查看资源库的素材总数，资源浏览量，资源下载量，资源收藏量，资源评论数、资源使用详情等。</w:t>
            </w:r>
          </w:p>
          <w:p w14:paraId="0F4141B2">
            <w:pPr>
              <w:rPr>
                <w:rFonts w:ascii="Calibri" w:hAnsi="Calibri"/>
                <w:color w:val="000000" w:themeColor="text1"/>
                <w:szCs w:val="22"/>
              </w:rPr>
            </w:pPr>
            <w:r>
              <w:rPr>
                <w:rFonts w:hint="eastAsia" w:ascii="Calibri" w:hAnsi="Calibri"/>
                <w:color w:val="000000" w:themeColor="text1"/>
                <w:szCs w:val="22"/>
              </w:rPr>
              <w:t>（3）资源引用统计：管理员可以查看资源库的资源引用情况，素材总数、引用量、引用次数、组课率等。</w:t>
            </w:r>
          </w:p>
          <w:p w14:paraId="5581FCC4">
            <w:pPr>
              <w:rPr>
                <w:rFonts w:ascii="Calibri" w:hAnsi="Calibri"/>
                <w:color w:val="000000" w:themeColor="text1"/>
                <w:szCs w:val="22"/>
              </w:rPr>
            </w:pPr>
            <w:r>
              <w:rPr>
                <w:rFonts w:hint="eastAsia" w:ascii="Calibri" w:hAnsi="Calibri"/>
                <w:color w:val="000000" w:themeColor="text1"/>
                <w:szCs w:val="22"/>
              </w:rPr>
              <w:t>（4）访问量统计：管理员可以查看资源库的访问量统计数据，包括资源的浏览次数（PV）、访问IP数、点击量、累计使用时长、交流互动次数等。</w:t>
            </w:r>
          </w:p>
          <w:p w14:paraId="76CAC065">
            <w:pPr>
              <w:rPr>
                <w:rFonts w:ascii="Calibri" w:hAnsi="Calibri"/>
                <w:color w:val="000000" w:themeColor="text1"/>
                <w:szCs w:val="22"/>
              </w:rPr>
            </w:pPr>
            <w:r>
              <w:rPr>
                <w:rFonts w:hint="eastAsia" w:ascii="Calibri" w:hAnsi="Calibri"/>
                <w:color w:val="000000" w:themeColor="text1"/>
                <w:szCs w:val="22"/>
              </w:rPr>
              <w:t>（5）用户统计：管理员可以查看资源库的用户使用详情统计，包括用户分布、活跃度，详细信息如收藏资源数、引用资源数、浏览资源数、下载资源数、评论资源数等内容。</w:t>
            </w:r>
          </w:p>
          <w:p w14:paraId="5B43D0AF">
            <w:pPr>
              <w:rPr>
                <w:rFonts w:ascii="Calibri" w:hAnsi="Calibri"/>
                <w:color w:val="000000" w:themeColor="text1"/>
                <w:szCs w:val="22"/>
              </w:rPr>
            </w:pPr>
            <w:r>
              <w:rPr>
                <w:rFonts w:hint="eastAsia" w:ascii="Calibri" w:hAnsi="Calibri"/>
                <w:color w:val="000000" w:themeColor="text1"/>
                <w:szCs w:val="22"/>
              </w:rPr>
              <w:t>（6）</w:t>
            </w:r>
            <w:bookmarkStart w:id="36" w:name="_Toc1565699451"/>
            <w:r>
              <w:rPr>
                <w:rFonts w:hint="eastAsia" w:ascii="Calibri" w:hAnsi="Calibri"/>
                <w:color w:val="000000" w:themeColor="text1"/>
                <w:szCs w:val="22"/>
              </w:rPr>
              <w:t>课程</w:t>
            </w:r>
            <w:r>
              <w:rPr>
                <w:rFonts w:hint="eastAsia" w:ascii="Calibri" w:hAnsi="Calibri"/>
                <w:color w:val="000000" w:themeColor="text1"/>
                <w:szCs w:val="22"/>
                <w:lang w:eastAsia="zh-Hans"/>
              </w:rPr>
              <w:t>排行</w:t>
            </w:r>
            <w:r>
              <w:rPr>
                <w:rFonts w:hint="eastAsia" w:ascii="Calibri" w:hAnsi="Calibri"/>
                <w:color w:val="000000" w:themeColor="text1"/>
                <w:szCs w:val="22"/>
              </w:rPr>
              <w:t>统计</w:t>
            </w:r>
            <w:bookmarkEnd w:id="36"/>
            <w:r>
              <w:rPr>
                <w:rFonts w:hint="eastAsia" w:ascii="Calibri" w:hAnsi="Calibri"/>
                <w:color w:val="000000" w:themeColor="text1"/>
                <w:szCs w:val="22"/>
              </w:rPr>
              <w:t>：课程</w:t>
            </w:r>
            <w:r>
              <w:rPr>
                <w:rFonts w:hint="eastAsia" w:ascii="Calibri" w:hAnsi="Calibri"/>
                <w:color w:val="000000" w:themeColor="text1"/>
                <w:szCs w:val="22"/>
                <w:lang w:eastAsia="zh-Hans"/>
              </w:rPr>
              <w:t>排行</w:t>
            </w:r>
            <w:r>
              <w:rPr>
                <w:rFonts w:hint="eastAsia" w:ascii="Calibri" w:hAnsi="Calibri"/>
                <w:color w:val="000000" w:themeColor="text1"/>
                <w:szCs w:val="22"/>
              </w:rPr>
              <w:t>可以统计出本站点下访问</w:t>
            </w:r>
            <w:r>
              <w:rPr>
                <w:rFonts w:hint="eastAsia" w:ascii="Calibri" w:hAnsi="Calibri"/>
                <w:color w:val="000000" w:themeColor="text1"/>
                <w:szCs w:val="22"/>
                <w:lang w:eastAsia="zh-Hans"/>
              </w:rPr>
              <w:t>数</w:t>
            </w:r>
            <w:r>
              <w:rPr>
                <w:rFonts w:ascii="Calibri" w:hAnsi="Calibri"/>
                <w:color w:val="000000" w:themeColor="text1"/>
                <w:szCs w:val="22"/>
                <w:lang w:eastAsia="zh-Hans"/>
              </w:rPr>
              <w:t>、</w:t>
            </w:r>
            <w:r>
              <w:rPr>
                <w:rFonts w:hint="eastAsia" w:ascii="Calibri" w:hAnsi="Calibri"/>
                <w:color w:val="000000" w:themeColor="text1"/>
                <w:szCs w:val="22"/>
                <w:lang w:eastAsia="zh-Hans"/>
              </w:rPr>
              <w:t>教授学生数</w:t>
            </w:r>
            <w:r>
              <w:rPr>
                <w:rFonts w:ascii="Calibri" w:hAnsi="Calibri"/>
                <w:color w:val="000000" w:themeColor="text1"/>
                <w:szCs w:val="22"/>
                <w:lang w:eastAsia="zh-Hans"/>
              </w:rPr>
              <w:t>、</w:t>
            </w:r>
            <w:r>
              <w:rPr>
                <w:rFonts w:hint="eastAsia" w:ascii="Calibri" w:hAnsi="Calibri"/>
                <w:color w:val="000000" w:themeColor="text1"/>
                <w:szCs w:val="22"/>
                <w:lang w:eastAsia="zh-Hans"/>
              </w:rPr>
              <w:t>发布作业数</w:t>
            </w:r>
            <w:r>
              <w:rPr>
                <w:rFonts w:ascii="Calibri" w:hAnsi="Calibri"/>
                <w:color w:val="000000" w:themeColor="text1"/>
                <w:szCs w:val="22"/>
                <w:lang w:eastAsia="zh-Hans"/>
              </w:rPr>
              <w:t>、</w:t>
            </w:r>
            <w:r>
              <w:rPr>
                <w:rFonts w:hint="eastAsia" w:ascii="Calibri" w:hAnsi="Calibri"/>
                <w:color w:val="000000" w:themeColor="text1"/>
                <w:szCs w:val="22"/>
                <w:lang w:eastAsia="zh-Hans"/>
              </w:rPr>
              <w:t>讨论总数</w:t>
            </w:r>
            <w:r>
              <w:rPr>
                <w:rFonts w:ascii="Calibri" w:hAnsi="Calibri"/>
                <w:color w:val="000000" w:themeColor="text1"/>
                <w:szCs w:val="22"/>
                <w:lang w:eastAsia="zh-Hans"/>
              </w:rPr>
              <w:t>、</w:t>
            </w:r>
            <w:r>
              <w:rPr>
                <w:rFonts w:hint="eastAsia" w:ascii="Calibri" w:hAnsi="Calibri"/>
                <w:color w:val="000000" w:themeColor="text1"/>
                <w:szCs w:val="22"/>
                <w:lang w:eastAsia="zh-Hans"/>
              </w:rPr>
              <w:t>回帖总数</w:t>
            </w:r>
            <w:r>
              <w:rPr>
                <w:rFonts w:ascii="Calibri" w:hAnsi="Calibri"/>
                <w:color w:val="000000" w:themeColor="text1"/>
                <w:szCs w:val="22"/>
                <w:lang w:eastAsia="zh-Hans"/>
              </w:rPr>
              <w:t>、</w:t>
            </w:r>
            <w:r>
              <w:rPr>
                <w:rFonts w:hint="eastAsia" w:ascii="Calibri" w:hAnsi="Calibri"/>
                <w:color w:val="000000" w:themeColor="text1"/>
                <w:szCs w:val="22"/>
                <w:lang w:eastAsia="zh-Hans"/>
              </w:rPr>
              <w:t>资料总数</w:t>
            </w:r>
            <w:r>
              <w:rPr>
                <w:rFonts w:ascii="Calibri" w:hAnsi="Calibri"/>
                <w:color w:val="000000" w:themeColor="text1"/>
                <w:szCs w:val="22"/>
                <w:lang w:eastAsia="zh-Hans"/>
              </w:rPr>
              <w:t>、</w:t>
            </w:r>
            <w:r>
              <w:rPr>
                <w:rFonts w:hint="eastAsia" w:ascii="Calibri" w:hAnsi="Calibri"/>
                <w:color w:val="000000" w:themeColor="text1"/>
                <w:szCs w:val="22"/>
                <w:lang w:eastAsia="zh-Hans"/>
              </w:rPr>
              <w:t>任务点数</w:t>
            </w:r>
            <w:r>
              <w:rPr>
                <w:rFonts w:ascii="Calibri" w:hAnsi="Calibri"/>
                <w:color w:val="000000" w:themeColor="text1"/>
                <w:szCs w:val="22"/>
                <w:lang w:eastAsia="zh-Hans"/>
              </w:rPr>
              <w:t>、</w:t>
            </w:r>
            <w:r>
              <w:rPr>
                <w:rFonts w:hint="eastAsia" w:ascii="Calibri" w:hAnsi="Calibri"/>
                <w:color w:val="000000" w:themeColor="text1"/>
                <w:szCs w:val="22"/>
                <w:lang w:eastAsia="zh-Hans"/>
              </w:rPr>
              <w:t>题目总数</w:t>
            </w:r>
            <w:r>
              <w:rPr>
                <w:rFonts w:hint="eastAsia" w:ascii="Calibri" w:hAnsi="Calibri"/>
                <w:color w:val="000000" w:themeColor="text1"/>
                <w:szCs w:val="22"/>
              </w:rPr>
              <w:t>排行前10的课程</w:t>
            </w:r>
            <w:r>
              <w:rPr>
                <w:rFonts w:ascii="Calibri" w:hAnsi="Calibri"/>
                <w:color w:val="000000" w:themeColor="text1"/>
                <w:szCs w:val="22"/>
              </w:rPr>
              <w:t>。</w:t>
            </w:r>
          </w:p>
          <w:p w14:paraId="53A9BC4A">
            <w:pPr>
              <w:rPr>
                <w:rFonts w:ascii="Calibri" w:hAnsi="Calibri"/>
                <w:color w:val="000000" w:themeColor="text1"/>
                <w:szCs w:val="22"/>
              </w:rPr>
            </w:pPr>
            <w:r>
              <w:rPr>
                <w:rFonts w:hint="eastAsia" w:ascii="Calibri" w:hAnsi="Calibri"/>
                <w:color w:val="000000" w:themeColor="text1"/>
                <w:szCs w:val="22"/>
              </w:rPr>
              <w:t>（7）</w:t>
            </w:r>
            <w:bookmarkStart w:id="37" w:name="_Toc1593546266"/>
            <w:r>
              <w:rPr>
                <w:rFonts w:hint="eastAsia" w:ascii="Calibri" w:hAnsi="Calibri"/>
                <w:color w:val="000000" w:themeColor="text1"/>
                <w:szCs w:val="22"/>
                <w:lang w:eastAsia="zh-Hans"/>
              </w:rPr>
              <w:t>课程详细情况统计</w:t>
            </w:r>
            <w:bookmarkEnd w:id="37"/>
            <w:r>
              <w:rPr>
                <w:rFonts w:hint="eastAsia" w:ascii="Calibri" w:hAnsi="Calibri"/>
                <w:color w:val="000000" w:themeColor="text1"/>
                <w:szCs w:val="22"/>
              </w:rPr>
              <w:t>：持详细查看每门课程的访问数、教授班级数、教授学生数、发布作业数、发布考试数、PBL数量、发帖总数、回帖总数、讨论总数、音视频总时长、专题阅读总时长，方便老师对整个课程有一个宏观的了解。</w:t>
            </w:r>
          </w:p>
          <w:p w14:paraId="31A9403F">
            <w:pPr>
              <w:rPr>
                <w:rFonts w:ascii="Calibri" w:hAnsi="Calibri"/>
                <w:color w:val="000000" w:themeColor="text1"/>
                <w:szCs w:val="22"/>
                <w:lang w:eastAsia="zh-Hans"/>
              </w:rPr>
            </w:pPr>
            <w:r>
              <w:rPr>
                <w:rFonts w:hint="eastAsia" w:ascii="Calibri" w:hAnsi="Calibri"/>
                <w:color w:val="000000" w:themeColor="text1"/>
                <w:szCs w:val="22"/>
              </w:rPr>
              <w:t>（8）</w:t>
            </w:r>
            <w:bookmarkStart w:id="38" w:name="_Toc1463530925"/>
            <w:r>
              <w:rPr>
                <w:rFonts w:hint="eastAsia" w:ascii="Calibri" w:hAnsi="Calibri"/>
                <w:color w:val="000000" w:themeColor="text1"/>
                <w:szCs w:val="22"/>
                <w:lang w:eastAsia="zh-Hans"/>
              </w:rPr>
              <w:t>教学统计</w:t>
            </w:r>
            <w:bookmarkEnd w:id="38"/>
            <w:r>
              <w:rPr>
                <w:rFonts w:hint="eastAsia" w:ascii="Calibri" w:hAnsi="Calibri"/>
                <w:color w:val="000000" w:themeColor="text1"/>
                <w:szCs w:val="22"/>
              </w:rPr>
              <w:t>：</w:t>
            </w:r>
            <w:r>
              <w:rPr>
                <w:rFonts w:hint="eastAsia" w:ascii="Calibri" w:hAnsi="Calibri"/>
                <w:color w:val="000000" w:themeColor="text1"/>
                <w:szCs w:val="22"/>
                <w:lang w:eastAsia="zh-Hans"/>
              </w:rPr>
              <w:t>教学统计支持查看站点下各教师的教学档案，包括教师教学课程和建设课程的基本数据统计，例如：课程的访问数、教授班级数、教授学生数、发布作业数、发布考试数、pbl数量、发帖总数、回帖总数、讨论总数等。</w:t>
            </w:r>
          </w:p>
          <w:p w14:paraId="451270CD">
            <w:pPr>
              <w:rPr>
                <w:rFonts w:ascii="Calibri" w:hAnsi="Calibri"/>
                <w:color w:val="000000" w:themeColor="text1"/>
                <w:szCs w:val="22"/>
                <w:lang w:eastAsia="zh-Hans"/>
              </w:rPr>
            </w:pPr>
            <w:r>
              <w:rPr>
                <w:rFonts w:hint="eastAsia" w:ascii="Calibri" w:hAnsi="Calibri"/>
                <w:color w:val="000000" w:themeColor="text1"/>
                <w:szCs w:val="22"/>
              </w:rPr>
              <w:t>（9）</w:t>
            </w:r>
            <w:bookmarkStart w:id="39" w:name="_Toc286563737"/>
            <w:r>
              <w:rPr>
                <w:rFonts w:hint="eastAsia" w:ascii="Calibri" w:hAnsi="Calibri"/>
                <w:color w:val="000000" w:themeColor="text1"/>
                <w:szCs w:val="22"/>
                <w:lang w:eastAsia="zh-Hans"/>
              </w:rPr>
              <w:t>学习统计</w:t>
            </w:r>
            <w:bookmarkEnd w:id="39"/>
            <w:r>
              <w:rPr>
                <w:rFonts w:hint="eastAsia" w:ascii="Calibri" w:hAnsi="Calibri"/>
                <w:color w:val="000000" w:themeColor="text1"/>
                <w:szCs w:val="22"/>
              </w:rPr>
              <w:t>：为了让学校更好的了解学生的学习情况，学生学习统计主要是以学生为中心，统计学生的学习情况</w:t>
            </w:r>
            <w:r>
              <w:rPr>
                <w:rFonts w:ascii="Calibri" w:hAnsi="Calibri"/>
                <w:color w:val="000000" w:themeColor="text1"/>
                <w:szCs w:val="22"/>
              </w:rPr>
              <w:t>，</w:t>
            </w:r>
            <w:r>
              <w:rPr>
                <w:rFonts w:hint="eastAsia" w:ascii="Calibri" w:hAnsi="Calibri"/>
                <w:color w:val="000000" w:themeColor="text1"/>
                <w:szCs w:val="22"/>
                <w:lang w:eastAsia="zh-Hans"/>
              </w:rPr>
              <w:t>包括</w:t>
            </w:r>
            <w:r>
              <w:rPr>
                <w:rFonts w:ascii="Calibri" w:hAnsi="Calibri"/>
                <w:color w:val="000000" w:themeColor="text1"/>
                <w:szCs w:val="22"/>
                <w:lang w:eastAsia="zh-Hans"/>
              </w:rPr>
              <w:t>：</w:t>
            </w:r>
            <w:r>
              <w:rPr>
                <w:rFonts w:hint="eastAsia" w:ascii="Calibri" w:hAnsi="Calibri"/>
                <w:color w:val="000000" w:themeColor="text1"/>
                <w:szCs w:val="22"/>
                <w:lang w:eastAsia="zh-Hans"/>
              </w:rPr>
              <w:t>任务点完成数</w:t>
            </w:r>
            <w:r>
              <w:rPr>
                <w:rFonts w:ascii="Calibri" w:hAnsi="Calibri"/>
                <w:color w:val="000000" w:themeColor="text1"/>
                <w:szCs w:val="22"/>
                <w:lang w:eastAsia="zh-Hans"/>
              </w:rPr>
              <w:t>、</w:t>
            </w:r>
            <w:r>
              <w:rPr>
                <w:rFonts w:hint="eastAsia" w:ascii="Calibri" w:hAnsi="Calibri"/>
                <w:color w:val="000000" w:themeColor="text1"/>
                <w:szCs w:val="22"/>
                <w:lang w:eastAsia="zh-Hans"/>
              </w:rPr>
              <w:t>作业完成数</w:t>
            </w:r>
            <w:r>
              <w:rPr>
                <w:rFonts w:ascii="Calibri" w:hAnsi="Calibri"/>
                <w:color w:val="000000" w:themeColor="text1"/>
                <w:szCs w:val="22"/>
                <w:lang w:eastAsia="zh-Hans"/>
              </w:rPr>
              <w:t>、</w:t>
            </w:r>
            <w:r>
              <w:rPr>
                <w:rFonts w:hint="eastAsia" w:ascii="Calibri" w:hAnsi="Calibri"/>
                <w:color w:val="000000" w:themeColor="text1"/>
                <w:szCs w:val="22"/>
                <w:lang w:eastAsia="zh-Hans"/>
              </w:rPr>
              <w:t>考试完成数</w:t>
            </w:r>
            <w:r>
              <w:rPr>
                <w:rFonts w:ascii="Calibri" w:hAnsi="Calibri"/>
                <w:color w:val="000000" w:themeColor="text1"/>
                <w:szCs w:val="22"/>
                <w:lang w:eastAsia="zh-Hans"/>
              </w:rPr>
              <w:t>、</w:t>
            </w:r>
            <w:r>
              <w:rPr>
                <w:rFonts w:hint="eastAsia" w:ascii="Calibri" w:hAnsi="Calibri"/>
                <w:color w:val="000000" w:themeColor="text1"/>
                <w:szCs w:val="22"/>
                <w:lang w:eastAsia="zh-Hans"/>
              </w:rPr>
              <w:t>章节测验完成数</w:t>
            </w:r>
            <w:r>
              <w:rPr>
                <w:rFonts w:ascii="Calibri" w:hAnsi="Calibri"/>
                <w:color w:val="000000" w:themeColor="text1"/>
                <w:szCs w:val="22"/>
                <w:lang w:eastAsia="zh-Hans"/>
              </w:rPr>
              <w:t>、</w:t>
            </w:r>
            <w:r>
              <w:rPr>
                <w:rFonts w:hint="eastAsia" w:ascii="Calibri" w:hAnsi="Calibri"/>
                <w:color w:val="000000" w:themeColor="text1"/>
                <w:szCs w:val="22"/>
                <w:lang w:eastAsia="zh-Hans"/>
              </w:rPr>
              <w:t>观看视频数</w:t>
            </w:r>
            <w:r>
              <w:rPr>
                <w:rFonts w:ascii="Calibri" w:hAnsi="Calibri"/>
                <w:color w:val="000000" w:themeColor="text1"/>
                <w:szCs w:val="22"/>
                <w:lang w:eastAsia="zh-Hans"/>
              </w:rPr>
              <w:t>、</w:t>
            </w:r>
            <w:r>
              <w:rPr>
                <w:rFonts w:hint="eastAsia" w:ascii="Calibri" w:hAnsi="Calibri"/>
                <w:color w:val="000000" w:themeColor="text1"/>
                <w:szCs w:val="22"/>
                <w:lang w:eastAsia="zh-Hans"/>
              </w:rPr>
              <w:t>观看视频时长</w:t>
            </w:r>
            <w:r>
              <w:rPr>
                <w:rFonts w:ascii="Calibri" w:hAnsi="Calibri"/>
                <w:color w:val="000000" w:themeColor="text1"/>
                <w:szCs w:val="22"/>
                <w:lang w:eastAsia="zh-Hans"/>
              </w:rPr>
              <w:t>、</w:t>
            </w:r>
            <w:r>
              <w:rPr>
                <w:rFonts w:hint="eastAsia" w:ascii="Calibri" w:hAnsi="Calibri"/>
                <w:color w:val="000000" w:themeColor="text1"/>
                <w:szCs w:val="22"/>
                <w:lang w:eastAsia="zh-Hans"/>
              </w:rPr>
              <w:t>发帖总数</w:t>
            </w:r>
            <w:r>
              <w:rPr>
                <w:rFonts w:ascii="Calibri" w:hAnsi="Calibri"/>
                <w:color w:val="000000" w:themeColor="text1"/>
                <w:szCs w:val="22"/>
                <w:lang w:eastAsia="zh-Hans"/>
              </w:rPr>
              <w:t>、</w:t>
            </w:r>
            <w:r>
              <w:rPr>
                <w:rFonts w:hint="eastAsia" w:ascii="Calibri" w:hAnsi="Calibri"/>
                <w:color w:val="000000" w:themeColor="text1"/>
                <w:szCs w:val="22"/>
                <w:lang w:eastAsia="zh-Hans"/>
              </w:rPr>
              <w:t>回帖总数</w:t>
            </w:r>
            <w:r>
              <w:rPr>
                <w:rFonts w:ascii="Calibri" w:hAnsi="Calibri"/>
                <w:color w:val="000000" w:themeColor="text1"/>
                <w:szCs w:val="22"/>
                <w:lang w:eastAsia="zh-Hans"/>
              </w:rPr>
              <w:t>、</w:t>
            </w:r>
            <w:r>
              <w:rPr>
                <w:rFonts w:hint="eastAsia" w:ascii="Calibri" w:hAnsi="Calibri"/>
                <w:color w:val="000000" w:themeColor="text1"/>
                <w:szCs w:val="22"/>
                <w:lang w:eastAsia="zh-Hans"/>
              </w:rPr>
              <w:t>讨论总数</w:t>
            </w:r>
            <w:r>
              <w:rPr>
                <w:rFonts w:ascii="Calibri" w:hAnsi="Calibri"/>
                <w:color w:val="000000" w:themeColor="text1"/>
                <w:szCs w:val="22"/>
                <w:lang w:eastAsia="zh-Hans"/>
              </w:rPr>
              <w:t>、</w:t>
            </w:r>
            <w:r>
              <w:rPr>
                <w:rFonts w:hint="eastAsia" w:ascii="Calibri" w:hAnsi="Calibri"/>
                <w:color w:val="000000" w:themeColor="text1"/>
                <w:szCs w:val="22"/>
                <w:lang w:eastAsia="zh-Hans"/>
              </w:rPr>
              <w:t>考试平均分</w:t>
            </w:r>
            <w:r>
              <w:rPr>
                <w:rFonts w:ascii="Calibri" w:hAnsi="Calibri"/>
                <w:color w:val="000000" w:themeColor="text1"/>
                <w:szCs w:val="22"/>
                <w:lang w:eastAsia="zh-Hans"/>
              </w:rPr>
              <w:t>。</w:t>
            </w:r>
          </w:p>
          <w:p w14:paraId="6F7E3FFD">
            <w:pPr>
              <w:rPr>
                <w:rFonts w:ascii="Calibri" w:hAnsi="Calibri"/>
                <w:color w:val="000000" w:themeColor="text1"/>
                <w:szCs w:val="22"/>
              </w:rPr>
            </w:pPr>
            <w:r>
              <w:rPr>
                <w:rFonts w:hint="eastAsia" w:ascii="Calibri" w:hAnsi="Calibri"/>
                <w:color w:val="000000" w:themeColor="text1"/>
                <w:szCs w:val="22"/>
              </w:rPr>
              <w:t>（10）</w:t>
            </w:r>
            <w:bookmarkStart w:id="40" w:name="_Toc1618391185"/>
            <w:r>
              <w:rPr>
                <w:rFonts w:hint="eastAsia" w:ascii="Calibri" w:hAnsi="Calibri"/>
                <w:color w:val="000000" w:themeColor="text1"/>
                <w:szCs w:val="22"/>
                <w:lang w:eastAsia="zh-Hans"/>
              </w:rPr>
              <w:t>日志统计</w:t>
            </w:r>
            <w:bookmarkEnd w:id="40"/>
            <w:r>
              <w:rPr>
                <w:rFonts w:hint="eastAsia" w:ascii="Calibri" w:hAnsi="Calibri"/>
                <w:color w:val="000000" w:themeColor="text1"/>
                <w:szCs w:val="22"/>
              </w:rPr>
              <w:t>：支持图表查看资源库应用用户、访问量、资源更新的日常情况变化。支持查看用户行为分析及操作模块情况统计并支持查看资源库操作日志。</w:t>
            </w:r>
          </w:p>
          <w:p w14:paraId="5969ACBE">
            <w:pPr>
              <w:rPr>
                <w:rFonts w:ascii="Calibri" w:hAnsi="Calibri"/>
                <w:b/>
                <w:bCs/>
                <w:color w:val="000000" w:themeColor="text1"/>
                <w:szCs w:val="22"/>
              </w:rPr>
            </w:pPr>
            <w:r>
              <w:rPr>
                <w:rFonts w:hint="eastAsia" w:ascii="Calibri" w:hAnsi="Calibri"/>
                <w:b/>
                <w:bCs/>
                <w:color w:val="000000" w:themeColor="text1"/>
                <w:szCs w:val="22"/>
              </w:rPr>
              <w:t>7.权限管理</w:t>
            </w:r>
          </w:p>
          <w:p w14:paraId="4614DB27">
            <w:pPr>
              <w:rPr>
                <w:rFonts w:ascii="Calibri" w:hAnsi="Calibri"/>
                <w:color w:val="000000" w:themeColor="text1"/>
                <w:szCs w:val="22"/>
              </w:rPr>
            </w:pPr>
            <w:r>
              <w:rPr>
                <w:rFonts w:hint="eastAsia" w:ascii="Calibri" w:hAnsi="Calibri"/>
                <w:color w:val="000000" w:themeColor="text1"/>
                <w:szCs w:val="22"/>
              </w:rPr>
              <w:t>权限管理功能包括</w:t>
            </w:r>
            <w:r>
              <w:rPr>
                <w:rFonts w:hint="eastAsia" w:ascii="Calibri" w:hAnsi="Calibri"/>
                <w:color w:val="000000" w:themeColor="text1"/>
                <w:szCs w:val="22"/>
                <w:lang w:eastAsia="zh-Hans"/>
              </w:rPr>
              <w:t>资源审核设置</w:t>
            </w:r>
            <w:r>
              <w:rPr>
                <w:rFonts w:hint="eastAsia" w:ascii="Calibri" w:hAnsi="Calibri"/>
                <w:color w:val="000000" w:themeColor="text1"/>
                <w:szCs w:val="22"/>
              </w:rPr>
              <w:t>和</w:t>
            </w:r>
            <w:r>
              <w:rPr>
                <w:rFonts w:hint="eastAsia" w:ascii="Calibri" w:hAnsi="Calibri"/>
                <w:color w:val="000000" w:themeColor="text1"/>
                <w:szCs w:val="22"/>
                <w:lang w:eastAsia="zh-Hans"/>
              </w:rPr>
              <w:t>资源使用设置</w:t>
            </w:r>
            <w:r>
              <w:rPr>
                <w:rFonts w:hint="eastAsia" w:ascii="Calibri" w:hAnsi="Calibri"/>
                <w:color w:val="000000" w:themeColor="text1"/>
                <w:szCs w:val="22"/>
              </w:rPr>
              <w:t>两部分，可以实现对资源审核和使用权限的管理。</w:t>
            </w:r>
          </w:p>
          <w:p w14:paraId="292830C0">
            <w:pPr>
              <w:rPr>
                <w:rFonts w:ascii="Calibri" w:hAnsi="Calibri"/>
                <w:color w:val="000000" w:themeColor="text1"/>
                <w:szCs w:val="22"/>
              </w:rPr>
            </w:pPr>
            <w:r>
              <w:rPr>
                <w:rFonts w:hint="eastAsia" w:ascii="Calibri" w:hAnsi="Calibri"/>
                <w:color w:val="000000" w:themeColor="text1"/>
                <w:szCs w:val="22"/>
              </w:rPr>
              <w:t>（1）</w:t>
            </w:r>
            <w:r>
              <w:rPr>
                <w:rFonts w:hint="eastAsia" w:ascii="Calibri" w:hAnsi="Calibri"/>
                <w:color w:val="000000" w:themeColor="text1"/>
                <w:szCs w:val="22"/>
                <w:lang w:eastAsia="zh-Hans"/>
              </w:rPr>
              <w:t>资源审核设置</w:t>
            </w:r>
            <w:r>
              <w:rPr>
                <w:rFonts w:hint="eastAsia" w:ascii="Calibri" w:hAnsi="Calibri"/>
                <w:color w:val="000000" w:themeColor="text1"/>
                <w:szCs w:val="22"/>
              </w:rPr>
              <w:t>功能支持</w:t>
            </w:r>
            <w:r>
              <w:rPr>
                <w:rFonts w:hint="eastAsia" w:ascii="Calibri" w:hAnsi="Calibri"/>
                <w:color w:val="000000" w:themeColor="text1"/>
                <w:szCs w:val="22"/>
                <w:lang w:eastAsia="zh-Hans"/>
              </w:rPr>
              <w:t>对任务型和非任务型上传者上传的课程、</w:t>
            </w:r>
            <w:r>
              <w:rPr>
                <w:rFonts w:hint="eastAsia" w:ascii="Calibri" w:hAnsi="Calibri"/>
                <w:color w:val="000000" w:themeColor="text1"/>
                <w:szCs w:val="22"/>
              </w:rPr>
              <w:t>素材</w:t>
            </w:r>
            <w:r>
              <w:rPr>
                <w:rFonts w:hint="eastAsia" w:ascii="Calibri" w:hAnsi="Calibri"/>
                <w:color w:val="000000" w:themeColor="text1"/>
                <w:szCs w:val="22"/>
                <w:lang w:eastAsia="zh-Hans"/>
              </w:rPr>
              <w:t>进行审核开关设置</w:t>
            </w:r>
            <w:r>
              <w:rPr>
                <w:rFonts w:hint="eastAsia" w:ascii="Calibri" w:hAnsi="Calibri"/>
                <w:color w:val="000000" w:themeColor="text1"/>
                <w:szCs w:val="22"/>
              </w:rPr>
              <w:t>，</w:t>
            </w:r>
            <w:r>
              <w:rPr>
                <w:rFonts w:hint="eastAsia" w:ascii="Calibri" w:hAnsi="Calibri"/>
                <w:color w:val="000000" w:themeColor="text1"/>
                <w:szCs w:val="22"/>
                <w:lang w:eastAsia="zh-Hans"/>
              </w:rPr>
              <w:t>默认都是“手动审核”</w:t>
            </w:r>
            <w:r>
              <w:rPr>
                <w:rFonts w:hint="eastAsia" w:ascii="Calibri" w:hAnsi="Calibri"/>
                <w:color w:val="000000" w:themeColor="text1"/>
                <w:szCs w:val="22"/>
              </w:rPr>
              <w:t>。支持变更为“自动审核”。</w:t>
            </w:r>
          </w:p>
          <w:p w14:paraId="05E2F777">
            <w:pPr>
              <w:rPr>
                <w:rFonts w:ascii="Calibri" w:hAnsi="Calibri"/>
                <w:color w:val="000000" w:themeColor="text1"/>
                <w:szCs w:val="22"/>
              </w:rPr>
            </w:pPr>
            <w:r>
              <w:rPr>
                <w:rFonts w:hint="eastAsia" w:ascii="Calibri" w:hAnsi="Calibri"/>
                <w:color w:val="000000" w:themeColor="text1"/>
                <w:szCs w:val="22"/>
              </w:rPr>
              <w:t>（2）</w:t>
            </w:r>
            <w:r>
              <w:rPr>
                <w:rFonts w:hint="eastAsia" w:ascii="Calibri" w:hAnsi="Calibri"/>
                <w:color w:val="000000" w:themeColor="text1"/>
                <w:szCs w:val="22"/>
                <w:lang w:eastAsia="zh-Hans"/>
              </w:rPr>
              <w:t>资源使用设置</w:t>
            </w:r>
            <w:r>
              <w:rPr>
                <w:rFonts w:hint="eastAsia" w:ascii="Calibri" w:hAnsi="Calibri"/>
                <w:color w:val="000000" w:themeColor="text1"/>
                <w:szCs w:val="22"/>
              </w:rPr>
              <w:t>功能支持</w:t>
            </w:r>
            <w:r>
              <w:rPr>
                <w:rFonts w:hint="eastAsia" w:ascii="Calibri" w:hAnsi="Calibri"/>
                <w:color w:val="000000" w:themeColor="text1"/>
                <w:szCs w:val="22"/>
                <w:lang w:eastAsia="zh-Hans"/>
              </w:rPr>
              <w:t>对</w:t>
            </w:r>
            <w:r>
              <w:rPr>
                <w:rFonts w:hint="eastAsia" w:ascii="Calibri" w:hAnsi="Calibri"/>
                <w:color w:val="000000" w:themeColor="text1"/>
                <w:szCs w:val="22"/>
              </w:rPr>
              <w:t>教师用户、学生用户、企业用户、社会用户和游客用户</w:t>
            </w:r>
            <w:r>
              <w:rPr>
                <w:rFonts w:hint="eastAsia" w:ascii="Calibri" w:hAnsi="Calibri"/>
                <w:color w:val="000000" w:themeColor="text1"/>
                <w:szCs w:val="22"/>
                <w:lang w:eastAsia="zh-Hans"/>
              </w:rPr>
              <w:t>的使用权限进行配置</w:t>
            </w:r>
            <w:r>
              <w:rPr>
                <w:rFonts w:hint="eastAsia" w:ascii="Calibri" w:hAnsi="Calibri"/>
                <w:color w:val="000000" w:themeColor="text1"/>
                <w:szCs w:val="22"/>
              </w:rPr>
              <w:t>。</w:t>
            </w:r>
            <w:r>
              <w:rPr>
                <w:rFonts w:hint="eastAsia" w:ascii="Calibri" w:hAnsi="Calibri"/>
                <w:color w:val="000000" w:themeColor="text1"/>
                <w:szCs w:val="22"/>
                <w:lang w:eastAsia="zh-Hans"/>
              </w:rPr>
              <w:t>包括是否允许素材浏览、素材下载、素材收藏、添加至课程资料、添加至课程章节、素材分享、素材评论、示范教学包浏览、示范教学包引用等。</w:t>
            </w:r>
          </w:p>
          <w:p w14:paraId="6F3C4F2B">
            <w:pPr>
              <w:rPr>
                <w:rFonts w:ascii="Calibri" w:hAnsi="Calibri"/>
                <w:b/>
                <w:bCs/>
                <w:color w:val="000000" w:themeColor="text1"/>
                <w:szCs w:val="22"/>
              </w:rPr>
            </w:pPr>
            <w:r>
              <w:rPr>
                <w:rFonts w:hint="eastAsia" w:ascii="Calibri" w:hAnsi="Calibri"/>
                <w:b/>
                <w:bCs/>
                <w:color w:val="000000" w:themeColor="text1"/>
                <w:szCs w:val="22"/>
              </w:rPr>
              <w:t>8.资源建设</w:t>
            </w:r>
          </w:p>
          <w:bookmarkEnd w:id="31"/>
          <w:bookmarkEnd w:id="32"/>
          <w:bookmarkEnd w:id="33"/>
          <w:bookmarkEnd w:id="35"/>
          <w:p w14:paraId="77B614A3">
            <w:pPr>
              <w:rPr>
                <w:rFonts w:ascii="Calibri" w:hAnsi="Calibri"/>
                <w:color w:val="000000" w:themeColor="text1"/>
                <w:szCs w:val="22"/>
              </w:rPr>
            </w:pPr>
            <w:r>
              <w:rPr>
                <w:rFonts w:hint="eastAsia" w:ascii="Calibri" w:hAnsi="Calibri"/>
                <w:color w:val="000000" w:themeColor="text1"/>
                <w:szCs w:val="22"/>
              </w:rPr>
              <w:t>平台支持两种资源建设模式：</w:t>
            </w:r>
          </w:p>
          <w:p w14:paraId="1F42A056">
            <w:pPr>
              <w:numPr>
                <w:ilvl w:val="0"/>
                <w:numId w:val="5"/>
              </w:numPr>
              <w:rPr>
                <w:rFonts w:ascii="Calibri" w:hAnsi="Calibri"/>
                <w:color w:val="000000" w:themeColor="text1"/>
                <w:szCs w:val="22"/>
              </w:rPr>
            </w:pPr>
            <w:r>
              <w:rPr>
                <w:rFonts w:hint="eastAsia" w:ascii="Calibri" w:hAnsi="Calibri"/>
                <w:color w:val="000000" w:themeColor="text1"/>
                <w:szCs w:val="22"/>
              </w:rPr>
              <w:t>任务型资源建设：由站点负责人指派栏目负责人，由栏目负责人指派建设任务到教师个人，建设资源库某一特定栏目。</w:t>
            </w:r>
          </w:p>
          <w:p w14:paraId="5A0DC51A">
            <w:pPr>
              <w:numPr>
                <w:ilvl w:val="0"/>
                <w:numId w:val="6"/>
              </w:numPr>
              <w:rPr>
                <w:rFonts w:ascii="Calibri" w:hAnsi="Calibri"/>
                <w:color w:val="000000" w:themeColor="text1"/>
                <w:szCs w:val="22"/>
              </w:rPr>
            </w:pPr>
            <w:r>
              <w:rPr>
                <w:rFonts w:hint="eastAsia" w:ascii="Calibri" w:hAnsi="Calibri"/>
                <w:color w:val="000000" w:themeColor="text1"/>
                <w:szCs w:val="22"/>
              </w:rPr>
              <w:t>任务型教师可对负责的栏目下上传的资源进行管理，可以编辑资源的信息或删除资源。</w:t>
            </w:r>
          </w:p>
          <w:p w14:paraId="5D4F69AF">
            <w:pPr>
              <w:numPr>
                <w:ilvl w:val="0"/>
                <w:numId w:val="6"/>
              </w:numPr>
              <w:rPr>
                <w:rFonts w:ascii="Calibri" w:hAnsi="Calibri"/>
                <w:color w:val="000000" w:themeColor="text1"/>
                <w:szCs w:val="22"/>
              </w:rPr>
            </w:pPr>
            <w:r>
              <w:rPr>
                <w:rFonts w:hint="eastAsia" w:ascii="Calibri" w:hAnsi="Calibri"/>
                <w:color w:val="000000" w:themeColor="text1"/>
                <w:szCs w:val="22"/>
                <w:lang w:eastAsia="zh-Hans"/>
              </w:rPr>
              <w:t>任务型教师可对负责的栏目下上传的课程进行管理。</w:t>
            </w:r>
          </w:p>
          <w:p w14:paraId="4A964659">
            <w:pPr>
              <w:numPr>
                <w:ilvl w:val="0"/>
                <w:numId w:val="5"/>
              </w:numPr>
              <w:rPr>
                <w:rFonts w:ascii="Calibri" w:hAnsi="Calibri"/>
                <w:color w:val="000000" w:themeColor="text1"/>
                <w:szCs w:val="22"/>
              </w:rPr>
            </w:pPr>
            <w:r>
              <w:rPr>
                <w:rFonts w:hint="eastAsia" w:ascii="Calibri" w:hAnsi="Calibri"/>
                <w:color w:val="000000" w:themeColor="text1"/>
                <w:szCs w:val="22"/>
              </w:rPr>
              <w:t>非任务型资源建设：由教师自由上传资源。</w:t>
            </w:r>
          </w:p>
          <w:p w14:paraId="0215B421">
            <w:pPr>
              <w:ind w:firstLine="420"/>
              <w:rPr>
                <w:rFonts w:cs="微软雅黑" w:asciiTheme="minorEastAsia" w:hAnsiTheme="minorEastAsia"/>
                <w:color w:val="000000" w:themeColor="text1"/>
                <w:szCs w:val="22"/>
              </w:rPr>
            </w:pPr>
            <w:r>
              <w:rPr>
                <w:rFonts w:hint="eastAsia" w:ascii="Calibri" w:hAnsi="Calibri"/>
                <w:color w:val="000000" w:themeColor="text1"/>
                <w:szCs w:val="22"/>
              </w:rPr>
              <w:t>A.素材上传：非</w:t>
            </w:r>
            <w:r>
              <w:rPr>
                <w:rFonts w:hint="eastAsia" w:cs="微软雅黑" w:asciiTheme="minorEastAsia" w:hAnsiTheme="minorEastAsia"/>
                <w:color w:val="000000" w:themeColor="text1"/>
                <w:szCs w:val="22"/>
              </w:rPr>
              <w:t>任务型教师可将其资源文件上传至指定栏目中，上传提供多种来源，可选择本地文件上传，资源库内置资源检索上传，云盘上传多种上传方式；支持批量上传；程序自动判断文件类型、大小、资源名称等相关信息，便于后期检索、应用和查找。上传成功后提交等待审核即可，审核通过可以二次编辑资源编目或删除。</w:t>
            </w:r>
          </w:p>
          <w:p w14:paraId="15AC09C4">
            <w:pPr>
              <w:ind w:firstLine="420"/>
              <w:rPr>
                <w:rFonts w:ascii="Calibri" w:hAnsi="Calibri"/>
                <w:color w:val="000000" w:themeColor="text1"/>
                <w:szCs w:val="22"/>
              </w:rPr>
            </w:pPr>
            <w:r>
              <w:rPr>
                <w:rFonts w:hint="eastAsia" w:ascii="Calibri" w:hAnsi="Calibri"/>
                <w:color w:val="000000" w:themeColor="text1"/>
                <w:szCs w:val="22"/>
              </w:rPr>
              <w:t>B.课程上传：教师可以将自己的课程上传到课程管理模块，上传成功后点击提交审核等待审核即可，审核通过的课程教师可以选择二次编辑课程编目或者删除课程。</w:t>
            </w:r>
          </w:p>
          <w:p w14:paraId="03FF6B64">
            <w:pPr>
              <w:ind w:firstLine="420" w:firstLineChars="200"/>
              <w:rPr>
                <w:rFonts w:ascii="Calibri" w:hAnsi="Calibri"/>
                <w:color w:val="000000" w:themeColor="text1"/>
                <w:szCs w:val="22"/>
              </w:rPr>
            </w:pPr>
            <w:r>
              <w:rPr>
                <w:rFonts w:hint="eastAsia" w:ascii="Calibri" w:hAnsi="Calibri"/>
                <w:color w:val="000000" w:themeColor="text1"/>
                <w:szCs w:val="22"/>
              </w:rPr>
              <w:t>C.题库上传：教师可以将自己的课程下的题库上传到试题管理模块，上传成功后点击提交审核等待审核即可，审核通过的题目教师可以选择二次编辑编目或者删除试题。</w:t>
            </w:r>
          </w:p>
          <w:p w14:paraId="78C794DF">
            <w:pPr>
              <w:ind w:firstLine="420" w:firstLineChars="200"/>
              <w:rPr>
                <w:rFonts w:ascii="Calibri" w:hAnsi="Calibri"/>
                <w:color w:val="000000" w:themeColor="text1"/>
                <w:szCs w:val="22"/>
              </w:rPr>
            </w:pPr>
            <w:r>
              <w:rPr>
                <w:rFonts w:hint="eastAsia" w:ascii="Calibri" w:hAnsi="Calibri"/>
                <w:color w:val="000000" w:themeColor="text1"/>
                <w:szCs w:val="22"/>
              </w:rPr>
              <w:t>D.删除的资源点击资源回收站即可进行还原或者彻底删除。</w:t>
            </w:r>
          </w:p>
          <w:p w14:paraId="1BA71C09">
            <w:pPr>
              <w:rPr>
                <w:rFonts w:ascii="Calibri" w:hAnsi="Calibri"/>
                <w:color w:val="000000" w:themeColor="text1"/>
                <w:szCs w:val="22"/>
              </w:rPr>
            </w:pPr>
            <w:r>
              <w:rPr>
                <w:rFonts w:hint="eastAsia" w:ascii="Calibri" w:hAnsi="Calibri"/>
                <w:color w:val="000000" w:themeColor="text1"/>
                <w:szCs w:val="22"/>
              </w:rPr>
              <w:t>（3）专业负责人管理端上传：支持专业负责人从管理端直接上传资源。</w:t>
            </w:r>
          </w:p>
          <w:p w14:paraId="74EB43D5">
            <w:pPr>
              <w:numPr>
                <w:ilvl w:val="0"/>
                <w:numId w:val="7"/>
              </w:numPr>
              <w:rPr>
                <w:rFonts w:ascii="Calibri" w:hAnsi="Calibri"/>
                <w:color w:val="000000" w:themeColor="text1"/>
                <w:szCs w:val="22"/>
              </w:rPr>
            </w:pPr>
            <w:r>
              <w:rPr>
                <w:rFonts w:hint="eastAsia" w:ascii="Calibri" w:hAnsi="Calibri"/>
                <w:color w:val="000000" w:themeColor="text1"/>
                <w:szCs w:val="22"/>
              </w:rPr>
              <w:t>课程上传：专业负责人有从管理端上传本校及共建单位下课程的权限，支持搜索课程，批量上传课程。且无需审核。</w:t>
            </w:r>
          </w:p>
          <w:p w14:paraId="009635EC">
            <w:pPr>
              <w:numPr>
                <w:ilvl w:val="0"/>
                <w:numId w:val="7"/>
              </w:numPr>
              <w:rPr>
                <w:rFonts w:ascii="Calibri" w:hAnsi="Calibri"/>
                <w:color w:val="000000" w:themeColor="text1"/>
                <w:szCs w:val="22"/>
              </w:rPr>
            </w:pPr>
            <w:r>
              <w:rPr>
                <w:rFonts w:hint="eastAsia" w:ascii="Calibri" w:hAnsi="Calibri"/>
                <w:color w:val="000000" w:themeColor="text1"/>
                <w:szCs w:val="22"/>
              </w:rPr>
              <w:t>资源上传：专业负责人可以从管理端上传素材到特定栏目。也可以从课程中添加素材，支持选择课程，将课程内的资源颗粒化上传到课程素材库中。</w:t>
            </w:r>
          </w:p>
          <w:p w14:paraId="1D9F55CF">
            <w:pPr>
              <w:numPr>
                <w:ilvl w:val="0"/>
                <w:numId w:val="7"/>
              </w:numPr>
              <w:rPr>
                <w:rFonts w:ascii="Calibri" w:hAnsi="Calibri"/>
                <w:color w:val="000000" w:themeColor="text1"/>
                <w:szCs w:val="22"/>
              </w:rPr>
            </w:pPr>
            <w:r>
              <w:rPr>
                <w:rFonts w:hint="eastAsia" w:ascii="Calibri" w:hAnsi="Calibri"/>
                <w:color w:val="000000" w:themeColor="text1"/>
                <w:szCs w:val="22"/>
              </w:rPr>
              <w:t>系统管理员可对已上传的资源进行查看，并对不合适的资源进行删除。为了防止多删、误删等情况，系统设置资源回收站，可对错删的资源找回。</w:t>
            </w:r>
          </w:p>
          <w:p w14:paraId="04ABAD16">
            <w:pPr>
              <w:rPr>
                <w:rFonts w:ascii="Calibri" w:hAnsi="Calibri"/>
                <w:color w:val="000000" w:themeColor="text1"/>
                <w:szCs w:val="22"/>
              </w:rPr>
            </w:pPr>
            <w:r>
              <w:rPr>
                <w:rFonts w:hint="eastAsia" w:ascii="Calibri" w:hAnsi="Calibri"/>
                <w:color w:val="000000" w:themeColor="text1"/>
                <w:szCs w:val="22"/>
              </w:rPr>
              <w:t>（4）资源上传类型：</w:t>
            </w:r>
          </w:p>
          <w:p w14:paraId="491BDD86">
            <w:pPr>
              <w:ind w:firstLine="420"/>
              <w:rPr>
                <w:rFonts w:ascii="Calibri" w:hAnsi="Calibri"/>
                <w:color w:val="000000" w:themeColor="text1"/>
                <w:szCs w:val="22"/>
              </w:rPr>
            </w:pPr>
            <w:r>
              <w:rPr>
                <w:rFonts w:ascii="Calibri" w:hAnsi="Calibri"/>
                <w:color w:val="000000" w:themeColor="text1"/>
                <w:szCs w:val="22"/>
              </w:rPr>
              <w:t>资源建设须具备通用性，平台</w:t>
            </w:r>
            <w:r>
              <w:rPr>
                <w:rFonts w:hint="eastAsia" w:ascii="Calibri" w:hAnsi="Calibri"/>
                <w:color w:val="000000" w:themeColor="text1"/>
                <w:szCs w:val="22"/>
              </w:rPr>
              <w:t>需</w:t>
            </w:r>
            <w:r>
              <w:rPr>
                <w:rFonts w:ascii="Calibri" w:hAnsi="Calibri"/>
                <w:color w:val="000000" w:themeColor="text1"/>
                <w:szCs w:val="22"/>
              </w:rPr>
              <w:t>支持多种类型和格式的资源上传，包括文本、图片、动画、视频、音频、PPT、电子表格等，能够根据文件扩展名自动分类存储。支持资源批量上传、下载、删除、修改；支持超大附件上传及断点续传等，并能够对上传的资源进行智能压缩和智能分发。</w:t>
            </w:r>
          </w:p>
          <w:p w14:paraId="4D0E4C89">
            <w:pPr>
              <w:rPr>
                <w:rFonts w:ascii="Calibri" w:hAnsi="Calibri"/>
                <w:color w:val="000000" w:themeColor="text1"/>
                <w:szCs w:val="22"/>
              </w:rPr>
            </w:pPr>
            <w:r>
              <w:rPr>
                <w:rFonts w:ascii="Calibri" w:hAnsi="Calibri"/>
                <w:color w:val="000000" w:themeColor="text1"/>
                <w:szCs w:val="22"/>
              </w:rPr>
              <w:t>支持的上传格式如下：</w:t>
            </w:r>
          </w:p>
          <w:p w14:paraId="389B06AD">
            <w:pPr>
              <w:rPr>
                <w:rFonts w:ascii="Calibri" w:hAnsi="Calibri"/>
                <w:color w:val="000000" w:themeColor="text1"/>
                <w:szCs w:val="22"/>
              </w:rPr>
            </w:pPr>
            <w:r>
              <w:rPr>
                <w:rFonts w:ascii="Calibri" w:hAnsi="Calibri"/>
                <w:color w:val="000000" w:themeColor="text1"/>
                <w:szCs w:val="22"/>
              </w:rPr>
              <w:t>文 本 类："doc" "docx" "pdf" "txt" "pptx"；</w:t>
            </w:r>
          </w:p>
          <w:p w14:paraId="2E5BEBB2">
            <w:pPr>
              <w:rPr>
                <w:rFonts w:ascii="Calibri" w:hAnsi="Calibri"/>
                <w:color w:val="000000" w:themeColor="text1"/>
                <w:szCs w:val="22"/>
              </w:rPr>
            </w:pPr>
            <w:r>
              <w:rPr>
                <w:rFonts w:ascii="Calibri" w:hAnsi="Calibri"/>
                <w:color w:val="000000" w:themeColor="text1"/>
                <w:szCs w:val="22"/>
              </w:rPr>
              <w:t>电子表格类："xls" "xlsx"；</w:t>
            </w:r>
          </w:p>
          <w:p w14:paraId="176DE522">
            <w:pPr>
              <w:rPr>
                <w:rFonts w:ascii="Calibri" w:hAnsi="Calibri"/>
                <w:color w:val="000000" w:themeColor="text1"/>
                <w:szCs w:val="22"/>
              </w:rPr>
            </w:pPr>
            <w:r>
              <w:rPr>
                <w:rFonts w:ascii="Calibri" w:hAnsi="Calibri"/>
                <w:color w:val="000000" w:themeColor="text1"/>
                <w:szCs w:val="22"/>
              </w:rPr>
              <w:t>演示文稿类："ppt" "pptx"；</w:t>
            </w:r>
          </w:p>
          <w:p w14:paraId="6DFBF82E">
            <w:pPr>
              <w:rPr>
                <w:rFonts w:ascii="Calibri" w:hAnsi="Calibri"/>
                <w:color w:val="000000" w:themeColor="text1"/>
                <w:szCs w:val="22"/>
              </w:rPr>
            </w:pPr>
            <w:r>
              <w:rPr>
                <w:rFonts w:ascii="Calibri" w:hAnsi="Calibri"/>
                <w:color w:val="000000" w:themeColor="text1"/>
                <w:szCs w:val="22"/>
              </w:rPr>
              <w:t>图 片 类：</w:t>
            </w:r>
          </w:p>
          <w:p w14:paraId="766CEAB4">
            <w:pPr>
              <w:rPr>
                <w:rFonts w:ascii="Calibri" w:hAnsi="Calibri"/>
                <w:color w:val="000000" w:themeColor="text1"/>
                <w:szCs w:val="22"/>
              </w:rPr>
            </w:pPr>
            <w:r>
              <w:rPr>
                <w:rFonts w:ascii="Calibri" w:hAnsi="Calibri"/>
                <w:color w:val="000000" w:themeColor="text1"/>
                <w:szCs w:val="22"/>
              </w:rPr>
              <w:t>"jpg" "jpeg" "gif" "png" "bmp" "jpeg" "dwg" "wmf" "ico" "psd" </w:t>
            </w:r>
            <w:r>
              <w:rPr>
                <w:rFonts w:hint="eastAsia" w:ascii="Calibri" w:hAnsi="Calibri"/>
                <w:color w:val="000000" w:themeColor="text1"/>
                <w:szCs w:val="22"/>
              </w:rPr>
              <w:t>等</w:t>
            </w:r>
            <w:r>
              <w:rPr>
                <w:rFonts w:ascii="Calibri" w:hAnsi="Calibri"/>
                <w:color w:val="000000" w:themeColor="text1"/>
                <w:szCs w:val="22"/>
              </w:rPr>
              <w:t>；</w:t>
            </w:r>
          </w:p>
          <w:p w14:paraId="4B74EE1B">
            <w:pPr>
              <w:rPr>
                <w:rFonts w:ascii="Calibri" w:hAnsi="Calibri"/>
                <w:color w:val="000000" w:themeColor="text1"/>
                <w:szCs w:val="22"/>
              </w:rPr>
            </w:pPr>
            <w:r>
              <w:rPr>
                <w:rFonts w:ascii="Calibri" w:hAnsi="Calibri"/>
                <w:color w:val="000000" w:themeColor="text1"/>
                <w:szCs w:val="22"/>
              </w:rPr>
              <w:t>音 频 类："mp3" "wav" "wma" "midi" "wave" "flac"；</w:t>
            </w:r>
          </w:p>
          <w:p w14:paraId="5FDF5F3E">
            <w:pPr>
              <w:rPr>
                <w:rFonts w:ascii="Calibri" w:hAnsi="Calibri"/>
                <w:color w:val="000000" w:themeColor="text1"/>
                <w:szCs w:val="22"/>
              </w:rPr>
            </w:pPr>
            <w:r>
              <w:rPr>
                <w:rFonts w:ascii="Calibri" w:hAnsi="Calibri"/>
                <w:color w:val="000000" w:themeColor="text1"/>
                <w:szCs w:val="22"/>
              </w:rPr>
              <w:t>视 频 类：</w:t>
            </w:r>
          </w:p>
          <w:p w14:paraId="1755BAC6">
            <w:pPr>
              <w:rPr>
                <w:rFonts w:ascii="Calibri" w:hAnsi="Calibri"/>
                <w:color w:val="000000" w:themeColor="text1"/>
                <w:szCs w:val="22"/>
              </w:rPr>
            </w:pPr>
            <w:r>
              <w:rPr>
                <w:rFonts w:ascii="Calibri" w:hAnsi="Calibri"/>
                <w:color w:val="000000" w:themeColor="text1"/>
                <w:szCs w:val="22"/>
              </w:rPr>
              <w:t>"rm" "rmvb" "mpg" "flv" "mp4" "3gp" "mkv" "mov" "vob" "avi" "wmv" "mpeg" "f4v" "aac", "ac3", "aif", "amr", "ape", "flac", "m4a", "m4r","mka","mid", "mmf","mpa", "mpc", "ogg", "pcm", "mp3", "ra","tta", "voc", "wav", "wv", "wma"；</w:t>
            </w:r>
          </w:p>
          <w:p w14:paraId="4EEAEAF6">
            <w:pPr>
              <w:rPr>
                <w:rFonts w:ascii="Calibri" w:hAnsi="Calibri"/>
                <w:color w:val="000000" w:themeColor="text1"/>
                <w:szCs w:val="22"/>
              </w:rPr>
            </w:pPr>
            <w:r>
              <w:rPr>
                <w:rFonts w:ascii="Calibri" w:hAnsi="Calibri"/>
                <w:color w:val="000000" w:themeColor="text1"/>
                <w:szCs w:val="22"/>
              </w:rPr>
              <w:t>动 画 类："fla" "swf"；</w:t>
            </w:r>
          </w:p>
          <w:p w14:paraId="2544BF94">
            <w:pPr>
              <w:rPr>
                <w:rFonts w:ascii="Calibri" w:hAnsi="Calibri"/>
                <w:color w:val="000000" w:themeColor="text1"/>
                <w:szCs w:val="22"/>
              </w:rPr>
            </w:pPr>
            <w:r>
              <w:rPr>
                <w:rFonts w:ascii="Calibri" w:hAnsi="Calibri"/>
                <w:color w:val="000000" w:themeColor="text1"/>
                <w:szCs w:val="22"/>
              </w:rPr>
              <w:t>压缩文件："zip" "rar" "gz"；</w:t>
            </w:r>
          </w:p>
          <w:p w14:paraId="59764CEF">
            <w:pPr>
              <w:rPr>
                <w:rFonts w:ascii="Calibri" w:hAnsi="Calibri"/>
                <w:color w:val="000000" w:themeColor="text1"/>
                <w:szCs w:val="22"/>
              </w:rPr>
            </w:pPr>
            <w:r>
              <w:rPr>
                <w:rFonts w:ascii="Calibri" w:hAnsi="Calibri"/>
                <w:color w:val="000000" w:themeColor="text1"/>
                <w:szCs w:val="22"/>
              </w:rPr>
              <w:t>链 接："url"；</w:t>
            </w:r>
            <w:r>
              <w:rPr>
                <w:rFonts w:ascii="Calibri" w:hAnsi="Calibri"/>
                <w:color w:val="000000" w:themeColor="text1"/>
                <w:szCs w:val="22"/>
              </w:rPr>
              <w:tab/>
            </w:r>
          </w:p>
          <w:p w14:paraId="2A724132">
            <w:pPr>
              <w:rPr>
                <w:rFonts w:ascii="Calibri" w:hAnsi="Calibri"/>
                <w:color w:val="000000" w:themeColor="text1"/>
                <w:szCs w:val="22"/>
              </w:rPr>
            </w:pPr>
            <w:r>
              <w:rPr>
                <w:rFonts w:ascii="Calibri" w:hAnsi="Calibri"/>
                <w:color w:val="000000" w:themeColor="text1"/>
                <w:szCs w:val="22"/>
              </w:rPr>
              <w:t>网 页 课 件："html"；</w:t>
            </w:r>
          </w:p>
          <w:p w14:paraId="7C3BE2DE">
            <w:pPr>
              <w:rPr>
                <w:rFonts w:ascii="Calibri" w:hAnsi="Calibri"/>
                <w:color w:val="000000" w:themeColor="text1"/>
                <w:szCs w:val="22"/>
              </w:rPr>
            </w:pPr>
            <w:r>
              <w:rPr>
                <w:rFonts w:ascii="Calibri" w:hAnsi="Calibri"/>
                <w:color w:val="000000" w:themeColor="text1"/>
                <w:szCs w:val="22"/>
              </w:rPr>
              <w:t>虚拟仿真类：不限；</w:t>
            </w:r>
          </w:p>
          <w:p w14:paraId="207B5856">
            <w:pPr>
              <w:rPr>
                <w:rFonts w:ascii="Calibri" w:hAnsi="Calibri"/>
                <w:color w:val="000000" w:themeColor="text1"/>
                <w:szCs w:val="22"/>
              </w:rPr>
            </w:pPr>
            <w:r>
              <w:rPr>
                <w:rFonts w:ascii="Calibri" w:hAnsi="Calibri"/>
                <w:color w:val="000000" w:themeColor="text1"/>
                <w:szCs w:val="22"/>
              </w:rPr>
              <w:t>富 媒 体：不限；</w:t>
            </w:r>
          </w:p>
          <w:p w14:paraId="36F88E1F">
            <w:pPr>
              <w:rPr>
                <w:rFonts w:ascii="Calibri" w:hAnsi="Calibri"/>
                <w:color w:val="000000" w:themeColor="text1"/>
                <w:szCs w:val="22"/>
              </w:rPr>
            </w:pPr>
            <w:r>
              <w:rPr>
                <w:rFonts w:ascii="Calibri" w:hAnsi="Calibri"/>
                <w:color w:val="000000" w:themeColor="text1"/>
                <w:szCs w:val="22"/>
              </w:rPr>
              <w:t>其   他：*</w:t>
            </w:r>
          </w:p>
          <w:p w14:paraId="7870FB8C">
            <w:pPr>
              <w:rPr>
                <w:rFonts w:ascii="Calibri" w:hAnsi="Calibri"/>
                <w:color w:val="000000" w:themeColor="text1"/>
                <w:szCs w:val="22"/>
              </w:rPr>
            </w:pPr>
            <w:r>
              <w:rPr>
                <w:rFonts w:hint="eastAsia" w:ascii="Calibri" w:hAnsi="Calibri"/>
                <w:color w:val="000000" w:themeColor="text1"/>
                <w:szCs w:val="22"/>
              </w:rPr>
              <w:t>（5）题库建设：题库资源用于教学是每个学校的最基本需求，平台需支持题库类资源建设，能够实现多种题型的编辑及试题的批量导入，支持试题中的图片及公式编辑。</w:t>
            </w:r>
          </w:p>
          <w:p w14:paraId="216F2438">
            <w:pPr>
              <w:numPr>
                <w:ilvl w:val="0"/>
                <w:numId w:val="8"/>
              </w:numPr>
              <w:rPr>
                <w:rFonts w:ascii="Calibri" w:hAnsi="Calibri"/>
                <w:color w:val="000000" w:themeColor="text1"/>
                <w:szCs w:val="22"/>
              </w:rPr>
            </w:pPr>
            <w:r>
              <w:rPr>
                <w:rFonts w:hint="eastAsia" w:ascii="Calibri" w:hAnsi="Calibri"/>
                <w:color w:val="000000" w:themeColor="text1"/>
                <w:szCs w:val="22"/>
              </w:rPr>
              <w:t>题库支持创建试题，不仅支持常见的题型，还支持口语题、听力题和程序题的设置。</w:t>
            </w:r>
          </w:p>
          <w:p w14:paraId="3FCD43A6">
            <w:pPr>
              <w:numPr>
                <w:ilvl w:val="0"/>
                <w:numId w:val="8"/>
              </w:numPr>
              <w:rPr>
                <w:rFonts w:ascii="Calibri" w:hAnsi="Calibri"/>
                <w:color w:val="000000" w:themeColor="text1"/>
                <w:szCs w:val="22"/>
              </w:rPr>
            </w:pPr>
            <w:r>
              <w:rPr>
                <w:rFonts w:hint="eastAsia" w:ascii="Calibri" w:hAnsi="Calibri"/>
                <w:color w:val="000000" w:themeColor="text1"/>
                <w:szCs w:val="22"/>
              </w:rPr>
              <w:t>题库批量导入功能支持快速导入和模板导入两种模式，其中快速导入可快速录入选择题（单选和多选）、填空题、判断题、简答题。</w:t>
            </w:r>
          </w:p>
          <w:p w14:paraId="40A8FFD6">
            <w:pPr>
              <w:ind w:firstLine="420"/>
              <w:rPr>
                <w:rFonts w:ascii="Calibri" w:hAnsi="Calibri"/>
                <w:color w:val="000000" w:themeColor="text1"/>
                <w:szCs w:val="22"/>
              </w:rPr>
            </w:pPr>
            <w:r>
              <w:rPr>
                <w:rFonts w:hint="eastAsia" w:ascii="Calibri" w:hAnsi="Calibri"/>
                <w:color w:val="000000" w:themeColor="text1"/>
                <w:szCs w:val="22"/>
              </w:rPr>
              <w:t xml:space="preserve">  按模板导入题目需要下载相应的模板，支持word格式试题智能导入，导入支持图片和公式，题库导入时，填空题可批量设置是否答案互斥。</w:t>
            </w:r>
          </w:p>
          <w:p w14:paraId="2E6B87FD">
            <w:pPr>
              <w:widowControl/>
              <w:numPr>
                <w:ilvl w:val="0"/>
                <w:numId w:val="3"/>
              </w:numPr>
              <w:jc w:val="left"/>
              <w:rPr>
                <w:rFonts w:ascii="宋体" w:hAnsi="宋体"/>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知识图谱建设：</w:t>
            </w:r>
            <w:r>
              <w:rPr>
                <w:rFonts w:hint="eastAsia" w:ascii="宋体" w:hAnsi="宋体"/>
                <w:color w:val="000000" w:themeColor="text1"/>
                <w:szCs w:val="22"/>
              </w:rPr>
              <w:t>资源库上传资源后，可以进行资源关联知识点（技能点），通过编辑资源属性进行关联，支持一个资源关联多个知识点（技能点）。支持按知识点上传资源，并查看知识点关联资源数量，方便教师按知识点管理资源。支持按模板批量导入题目时导入题目知识点。</w:t>
            </w:r>
          </w:p>
          <w:p w14:paraId="6E4CC72E">
            <w:pPr>
              <w:rPr>
                <w:rFonts w:ascii="Calibri" w:hAnsi="Calibri"/>
                <w:b/>
                <w:bCs/>
                <w:color w:val="000000" w:themeColor="text1"/>
                <w:szCs w:val="22"/>
              </w:rPr>
            </w:pPr>
            <w:r>
              <w:rPr>
                <w:rFonts w:hint="eastAsia" w:ascii="Calibri" w:hAnsi="Calibri"/>
                <w:b/>
                <w:bCs/>
                <w:color w:val="000000" w:themeColor="text1"/>
                <w:szCs w:val="22"/>
              </w:rPr>
              <w:t>8.资源分类及审核</w:t>
            </w:r>
          </w:p>
          <w:p w14:paraId="12821A7D">
            <w:pPr>
              <w:rPr>
                <w:rFonts w:ascii="Calibri" w:hAnsi="Calibri"/>
                <w:color w:val="000000" w:themeColor="text1"/>
                <w:szCs w:val="22"/>
              </w:rPr>
            </w:pPr>
            <w:r>
              <w:rPr>
                <w:rFonts w:hint="eastAsia" w:ascii="Calibri" w:hAnsi="Calibri"/>
                <w:color w:val="000000" w:themeColor="text1"/>
                <w:szCs w:val="22"/>
              </w:rPr>
              <w:t>在分类管理功能中，支持对课程分类、素材分类、素材媒体分类进行管理。可实现对各分类的自定义设计，在上传素材和课程时可选择到对应的分类栏目，在门户中也可配置对应栏目的链接。实现前后台贯通，一体化设计，便于理解和操作。</w:t>
            </w:r>
          </w:p>
          <w:p w14:paraId="243EDABE">
            <w:pPr>
              <w:numPr>
                <w:ilvl w:val="0"/>
                <w:numId w:val="9"/>
              </w:numPr>
              <w:rPr>
                <w:rFonts w:ascii="Calibri" w:hAnsi="Calibri"/>
                <w:color w:val="000000" w:themeColor="text1"/>
                <w:szCs w:val="22"/>
              </w:rPr>
            </w:pPr>
            <w:r>
              <w:rPr>
                <w:rFonts w:hint="eastAsia" w:ascii="Calibri" w:hAnsi="Calibri"/>
                <w:color w:val="000000" w:themeColor="text1"/>
                <w:szCs w:val="22"/>
              </w:rPr>
              <w:t>课程分类管理主要是针对结构化课程进行分类管理。新建分类后可以指定“栏目参建人”进行课程栏目的建设任务，支持添加和导入；支持分类的启用和禁用。</w:t>
            </w:r>
          </w:p>
          <w:p w14:paraId="1A5A80BE">
            <w:pPr>
              <w:numPr>
                <w:ilvl w:val="0"/>
                <w:numId w:val="9"/>
              </w:numPr>
              <w:rPr>
                <w:rFonts w:ascii="Calibri" w:hAnsi="Calibri"/>
                <w:color w:val="000000" w:themeColor="text1"/>
                <w:szCs w:val="22"/>
              </w:rPr>
            </w:pPr>
            <w:r>
              <w:rPr>
                <w:rFonts w:ascii="Calibri" w:hAnsi="Calibri"/>
                <w:color w:val="000000" w:themeColor="text1"/>
                <w:szCs w:val="22"/>
                <w:lang w:eastAsia="zh-Hans"/>
              </w:rPr>
              <w:t>素材分类管理主要针对颗粒化的素材进行分类管理。新建分类后可以指定“栏目参建人”进行素材栏目的建设任务。支持添加和导入；支持分类的启用和禁用。</w:t>
            </w:r>
          </w:p>
          <w:p w14:paraId="1D09CB13">
            <w:pPr>
              <w:numPr>
                <w:ilvl w:val="0"/>
                <w:numId w:val="9"/>
              </w:numPr>
              <w:rPr>
                <w:rFonts w:ascii="Calibri" w:hAnsi="Calibri"/>
                <w:color w:val="000000" w:themeColor="text1"/>
                <w:szCs w:val="22"/>
              </w:rPr>
            </w:pPr>
            <w:r>
              <w:rPr>
                <w:rFonts w:hint="eastAsia" w:ascii="Calibri" w:hAnsi="Calibri"/>
                <w:color w:val="000000" w:themeColor="text1"/>
                <w:szCs w:val="22"/>
              </w:rPr>
              <w:t>素材媒体分类管理可以配置当前专业的媒体可选素材类型，根据自己专业特点进行自由配置开启、禁用。禁用后则不在上传资源界面的素材类型中显示。</w:t>
            </w:r>
          </w:p>
          <w:p w14:paraId="1BC04769">
            <w:pPr>
              <w:numPr>
                <w:ilvl w:val="0"/>
                <w:numId w:val="9"/>
              </w:numPr>
              <w:rPr>
                <w:rFonts w:ascii="Calibri" w:hAnsi="Calibri"/>
                <w:color w:val="000000" w:themeColor="text1"/>
                <w:szCs w:val="22"/>
              </w:rPr>
            </w:pPr>
            <w:r>
              <w:rPr>
                <w:rFonts w:ascii="Calibri" w:hAnsi="Calibri"/>
                <w:color w:val="000000" w:themeColor="text1"/>
                <w:szCs w:val="22"/>
              </w:rPr>
              <w:t>平台</w:t>
            </w:r>
            <w:r>
              <w:rPr>
                <w:rFonts w:hint="eastAsia" w:ascii="Calibri" w:hAnsi="Calibri"/>
                <w:color w:val="000000" w:themeColor="text1"/>
                <w:szCs w:val="22"/>
              </w:rPr>
              <w:t>需</w:t>
            </w:r>
            <w:r>
              <w:rPr>
                <w:rFonts w:ascii="Calibri" w:hAnsi="Calibri"/>
                <w:color w:val="000000" w:themeColor="text1"/>
                <w:szCs w:val="22"/>
              </w:rPr>
              <w:t>支持为上传的资源填写丰富的编目信息，并且根据资源的类型、上传来源、名称等系统默认提取编目信息，节省用户为资源编目的时间，便于后期检索和精准查找资源，提高应用成效；</w:t>
            </w:r>
          </w:p>
          <w:p w14:paraId="3A8040C4">
            <w:pPr>
              <w:numPr>
                <w:ilvl w:val="0"/>
                <w:numId w:val="9"/>
              </w:numPr>
              <w:rPr>
                <w:rFonts w:ascii="Calibri" w:hAnsi="Calibri"/>
                <w:color w:val="000000" w:themeColor="text1"/>
                <w:szCs w:val="22"/>
              </w:rPr>
            </w:pPr>
            <w:r>
              <w:rPr>
                <w:rFonts w:hint="eastAsia" w:ascii="Calibri" w:hAnsi="Calibri"/>
                <w:color w:val="000000" w:themeColor="text1"/>
                <w:szCs w:val="22"/>
              </w:rPr>
              <w:t>管理后台支持对资源编目进行自定义设置，可设置各编目启用或禁用，必填或非必填。编目内容包含但不限于：所属课程、关键字、适用对象、资源语言、应用类型、资源来源、资源简介、封面图片、应用许可、允许下载、是否原创、知识点等。</w:t>
            </w:r>
          </w:p>
          <w:p w14:paraId="65416CD4">
            <w:pPr>
              <w:numPr>
                <w:ilvl w:val="0"/>
                <w:numId w:val="9"/>
              </w:numPr>
              <w:rPr>
                <w:rFonts w:ascii="Calibri" w:hAnsi="Calibri"/>
                <w:color w:val="000000" w:themeColor="text1"/>
                <w:szCs w:val="22"/>
              </w:rPr>
            </w:pPr>
            <w:r>
              <w:rPr>
                <w:rFonts w:hint="eastAsia" w:ascii="Calibri" w:hAnsi="Calibri"/>
                <w:color w:val="000000" w:themeColor="text1"/>
                <w:szCs w:val="22"/>
              </w:rPr>
              <w:t>基于国家教学资源库建设标准，为提高资源建设质量，严格制定审核机制。支持移动端和PC端多终端审核。使得管理者随时随地都可以审核资源。移动端的资源审核任务以即时通知的形式发送给相关栏目负责人。审核通过的资源才可在资源库中正常使用。</w:t>
            </w:r>
          </w:p>
          <w:p w14:paraId="19F8E1C0">
            <w:pPr>
              <w:numPr>
                <w:ilvl w:val="0"/>
                <w:numId w:val="10"/>
              </w:numPr>
              <w:rPr>
                <w:rFonts w:ascii="Calibri" w:hAnsi="Calibri"/>
                <w:b/>
                <w:bCs/>
                <w:color w:val="000000" w:themeColor="text1"/>
                <w:szCs w:val="22"/>
              </w:rPr>
            </w:pPr>
            <w:r>
              <w:rPr>
                <w:rFonts w:hint="eastAsia" w:ascii="Calibri" w:hAnsi="Calibri"/>
                <w:b/>
                <w:bCs/>
                <w:color w:val="000000" w:themeColor="text1"/>
                <w:szCs w:val="22"/>
              </w:rPr>
              <w:t>资源应用</w:t>
            </w:r>
          </w:p>
          <w:p w14:paraId="7BF94954">
            <w:pPr>
              <w:keepNext/>
              <w:keepLines/>
              <w:spacing w:before="260" w:after="260"/>
              <w:outlineLvl w:val="1"/>
              <w:rPr>
                <w:rFonts w:ascii="Calibri" w:hAnsi="Calibri" w:eastAsiaTheme="majorEastAsia" w:cstheme="majorBidi"/>
                <w:bCs/>
                <w:color w:val="000000" w:themeColor="text1"/>
                <w:sz w:val="32"/>
                <w:szCs w:val="22"/>
              </w:rPr>
            </w:pPr>
            <w:r>
              <w:rPr>
                <w:rFonts w:hint="eastAsia" w:ascii="Calibri" w:hAnsi="Calibri" w:eastAsia="宋体" w:cs="Times New Roman"/>
                <w:bCs/>
                <w:color w:val="000000" w:themeColor="text1"/>
                <w:szCs w:val="22"/>
              </w:rPr>
              <w:t>1.建设</w:t>
            </w:r>
            <w:r>
              <w:rPr>
                <w:rFonts w:hint="eastAsia" w:ascii="Calibri" w:hAnsi="Calibri"/>
                <w:bCs/>
                <w:color w:val="000000" w:themeColor="text1"/>
                <w:szCs w:val="22"/>
              </w:rPr>
              <w:t>完善的资源库，可为学校师生在专业教学、实习实训、技能培训、生产现场和日常生活等场景中提供资源支持，推动专业教学改革，提高教育教学效率和质量，也可为其他职业学校、普通高校、行业、企业、科研院所和社会学习者提供服务，实现优质资源共享，扩大优质资源受益群体覆盖面。引入的学习助手、数字教师等新技术，建立多样化的应用场景，满足不同群体用户的多样化学习需要。</w:t>
            </w:r>
          </w:p>
          <w:p w14:paraId="257F1FC4">
            <w:pPr>
              <w:numPr>
                <w:ilvl w:val="0"/>
                <w:numId w:val="11"/>
              </w:numPr>
              <w:rPr>
                <w:rFonts w:ascii="Calibri" w:hAnsi="Calibri"/>
                <w:color w:val="000000" w:themeColor="text1"/>
                <w:szCs w:val="22"/>
              </w:rPr>
            </w:pPr>
            <w:r>
              <w:rPr>
                <w:rFonts w:hint="eastAsia" w:ascii="Calibri" w:hAnsi="Calibri"/>
                <w:color w:val="000000" w:themeColor="text1"/>
                <w:szCs w:val="22"/>
              </w:rPr>
              <w:t>资源展示：独立页面，带信息、评分、评论等。进入单个资源详情中，可见到资源的展示界面，展示界面包括资源上传者、所属单位、关键词、资源内容简介、评分等介绍。支持多角度、多纬度的数据统计查询，对资源的下载次数及阅读次数进行统计。帮助用户准确判断资源的可用性。视频文件，上传可自动截第一帧画面作为缩略图。</w:t>
            </w:r>
          </w:p>
          <w:p w14:paraId="18F26C9C">
            <w:pPr>
              <w:numPr>
                <w:ilvl w:val="0"/>
                <w:numId w:val="11"/>
              </w:numPr>
              <w:rPr>
                <w:rFonts w:ascii="Calibri" w:hAnsi="Calibri"/>
                <w:color w:val="000000" w:themeColor="text1"/>
                <w:szCs w:val="22"/>
              </w:rPr>
            </w:pPr>
            <w:r>
              <w:rPr>
                <w:rFonts w:hint="eastAsia" w:ascii="Calibri" w:hAnsi="Calibri"/>
                <w:color w:val="000000" w:themeColor="text1"/>
                <w:szCs w:val="22"/>
              </w:rPr>
              <w:t>通过构建资源库资源和知识点（技能点）之间的关联，实现专业（群）-专业-课程下的知识图谱构建，知识图谱上可以清晰的看见每个知识点（技能点）之间的前后置关系，以及关联关系。支持进行按照不同的标签和关键字进行检索，定位到对应的知识点（技能点），点击对应的知识点（技能点）即可跳转到知识卡片，显示所有关联的资源，点击对应资源即可进行浏览。同时对应资源详情页显示关联的每一个知识点（技能点）帮助用户在浏览资源时更好的对资源所属的知识点（技能点）认知，提高掌握度。</w:t>
            </w:r>
          </w:p>
          <w:p w14:paraId="273D5E50">
            <w:pPr>
              <w:numPr>
                <w:ilvl w:val="0"/>
                <w:numId w:val="11"/>
              </w:numPr>
              <w:rPr>
                <w:rFonts w:ascii="Calibri" w:hAnsi="Calibri"/>
                <w:color w:val="000000" w:themeColor="text1"/>
                <w:szCs w:val="22"/>
              </w:rPr>
            </w:pPr>
            <w:r>
              <w:rPr>
                <w:rFonts w:hint="eastAsia" w:ascii="Calibri" w:hAnsi="Calibri"/>
                <w:color w:val="000000" w:themeColor="text1"/>
                <w:szCs w:val="22"/>
              </w:rPr>
              <w:t>资源下载：授权下载。被授权具有资源下载权限的用户可直接下载资源库中的资源。</w:t>
            </w:r>
          </w:p>
          <w:p w14:paraId="7857DB08">
            <w:pPr>
              <w:numPr>
                <w:ilvl w:val="0"/>
                <w:numId w:val="11"/>
              </w:numPr>
              <w:rPr>
                <w:rFonts w:ascii="Calibri" w:hAnsi="Calibri"/>
                <w:color w:val="000000" w:themeColor="text1"/>
                <w:szCs w:val="22"/>
              </w:rPr>
            </w:pPr>
            <w:r>
              <w:rPr>
                <w:rFonts w:hint="eastAsia" w:ascii="Calibri" w:hAnsi="Calibri"/>
                <w:color w:val="000000" w:themeColor="text1"/>
                <w:szCs w:val="22"/>
              </w:rPr>
              <w:t>资源在线浏览：授权浏览。被授权具有资源在线阅读权限的用户可在资源列表中，直接对感兴趣的资源进行在线阅读，增加资源的可利用性与价值。用户点击在线阅读，即可直接进入资源阅读页面，无需下载可优先查看资源详情。</w:t>
            </w:r>
          </w:p>
          <w:p w14:paraId="5D7AB60B">
            <w:pPr>
              <w:numPr>
                <w:ilvl w:val="0"/>
                <w:numId w:val="11"/>
              </w:numPr>
              <w:rPr>
                <w:rFonts w:ascii="Calibri" w:hAnsi="Calibri"/>
                <w:color w:val="000000" w:themeColor="text1"/>
                <w:szCs w:val="22"/>
              </w:rPr>
            </w:pPr>
            <w:r>
              <w:rPr>
                <w:rFonts w:hint="eastAsia" w:ascii="Calibri" w:hAnsi="Calibri"/>
                <w:color w:val="000000" w:themeColor="text1"/>
                <w:szCs w:val="22"/>
              </w:rPr>
              <w:t>资源检索：全局检索和一站式检索。 提供全局搜索功能，所有进入站点的用户可在子库基础下，按标题、关键字、上传者信息等标签搜索。该搜索范围为所在站点的资源数据库。登录用户可在自己所在个人中心中对资源进行一站式检索，用户进入高级检索界面，精确查找资源。</w:t>
            </w:r>
          </w:p>
          <w:p w14:paraId="47A6B2D1">
            <w:pPr>
              <w:numPr>
                <w:ilvl w:val="0"/>
                <w:numId w:val="11"/>
              </w:numPr>
              <w:rPr>
                <w:rFonts w:ascii="Calibri" w:hAnsi="Calibri"/>
                <w:color w:val="000000" w:themeColor="text1"/>
                <w:szCs w:val="22"/>
              </w:rPr>
            </w:pPr>
            <w:r>
              <w:rPr>
                <w:rFonts w:hint="eastAsia" w:ascii="Calibri" w:hAnsi="Calibri"/>
                <w:color w:val="000000" w:themeColor="text1"/>
                <w:szCs w:val="22"/>
              </w:rPr>
              <w:t>资源评分：平台登录用户可对资源进行星级评分和主观评价，为其他用户提供建设性意见。同时，学校管理者可针对资源的不同评分判断资源的价值，更加准确地管理资源。</w:t>
            </w:r>
          </w:p>
          <w:p w14:paraId="6126C833">
            <w:pPr>
              <w:numPr>
                <w:ilvl w:val="0"/>
                <w:numId w:val="11"/>
              </w:numPr>
              <w:rPr>
                <w:rFonts w:ascii="Calibri" w:hAnsi="Calibri"/>
                <w:color w:val="000000" w:themeColor="text1"/>
                <w:szCs w:val="22"/>
              </w:rPr>
            </w:pPr>
            <w:r>
              <w:rPr>
                <w:rFonts w:hint="eastAsia" w:ascii="Calibri" w:hAnsi="Calibri"/>
                <w:color w:val="000000" w:themeColor="text1"/>
                <w:szCs w:val="22"/>
              </w:rPr>
              <w:t>资源评论：登录用户可对资源进行评价，提供自己的意见或建议，帮助其他用户判断资源价值的同时为学校提供可建设性资源管理意见。</w:t>
            </w:r>
          </w:p>
          <w:p w14:paraId="27DB4949">
            <w:pPr>
              <w:numPr>
                <w:ilvl w:val="0"/>
                <w:numId w:val="11"/>
              </w:numPr>
              <w:rPr>
                <w:rFonts w:ascii="Calibri" w:hAnsi="Calibri"/>
                <w:color w:val="000000" w:themeColor="text1"/>
                <w:szCs w:val="22"/>
              </w:rPr>
            </w:pPr>
            <w:r>
              <w:rPr>
                <w:rFonts w:hint="eastAsia" w:ascii="Calibri" w:hAnsi="Calibri"/>
                <w:color w:val="000000" w:themeColor="text1"/>
                <w:szCs w:val="22"/>
              </w:rPr>
              <w:t>资源收藏：登录用户可将自己在教学资源库中发现的比较好的资源收藏到个人空间中方便自己随用随取。用户可自主收藏优质资源，用户个性化个人空间的设置，充分发挥资源共享功能。</w:t>
            </w:r>
          </w:p>
          <w:p w14:paraId="2297398E">
            <w:pPr>
              <w:numPr>
                <w:ilvl w:val="0"/>
                <w:numId w:val="11"/>
              </w:numPr>
              <w:rPr>
                <w:rFonts w:ascii="Calibri" w:hAnsi="Calibri"/>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资源添加到课程：教师用户可将教学资源库中的资源添加至自己的本校在线课堂平台网络课程的共享资料中，也可以将资源直接推送到课程某个章节中，用于课程教学使用。</w:t>
            </w:r>
          </w:p>
          <w:p w14:paraId="1E87D3BB">
            <w:pPr>
              <w:numPr>
                <w:ilvl w:val="0"/>
                <w:numId w:val="11"/>
              </w:numPr>
              <w:rPr>
                <w:rFonts w:ascii="Calibri" w:hAnsi="Calibri"/>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课程建设者可通过系统推荐或者自行检索将教学资源库中的资源引用到本校在线课堂平台网络课程章节中，并可以设置成为任务点，丰富课程资源。</w:t>
            </w:r>
          </w:p>
          <w:p w14:paraId="5BD269ED">
            <w:pPr>
              <w:numPr>
                <w:ilvl w:val="0"/>
                <w:numId w:val="11"/>
              </w:numPr>
              <w:rPr>
                <w:rFonts w:ascii="Calibri" w:hAnsi="Calibri"/>
                <w:color w:val="000000" w:themeColor="text1"/>
                <w:szCs w:val="22"/>
              </w:rPr>
            </w:pPr>
            <w:r>
              <w:rPr>
                <w:rFonts w:ascii="宋体" w:hAnsi="宋体" w:cs="宋体"/>
                <w:color w:val="000000" w:themeColor="text1"/>
                <w:sz w:val="24"/>
              </w:rPr>
              <w:t>▲</w:t>
            </w:r>
            <w:r>
              <w:rPr>
                <w:rFonts w:hint="eastAsia" w:ascii="Calibri" w:hAnsi="Calibri"/>
                <w:color w:val="000000" w:themeColor="text1"/>
                <w:szCs w:val="22"/>
              </w:rPr>
              <w:t>本校在线课堂平台中的课程资源，也可推送至教学资源库中进行共享，最终达到教学资源库和在线课堂平台双向互通。</w:t>
            </w:r>
          </w:p>
          <w:p w14:paraId="32367D65">
            <w:pPr>
              <w:widowControl/>
              <w:jc w:val="left"/>
              <w:rPr>
                <w:rFonts w:ascii="宋体" w:hAnsi="宋体" w:cs="宋体"/>
                <w:b/>
                <w:bCs/>
                <w:color w:val="000000" w:themeColor="text1"/>
                <w:kern w:val="0"/>
                <w:szCs w:val="21"/>
              </w:rPr>
            </w:pPr>
            <w:r>
              <w:rPr>
                <w:rFonts w:hint="eastAsia" w:ascii="宋体" w:hAnsi="宋体" w:cs="宋体"/>
                <w:b/>
                <w:bCs/>
                <w:color w:val="000000" w:themeColor="text1"/>
                <w:kern w:val="0"/>
                <w:szCs w:val="21"/>
              </w:rPr>
              <w:t>2.</w:t>
            </w:r>
            <w:r>
              <w:rPr>
                <w:rFonts w:ascii="宋体" w:hAnsi="宋体" w:cs="宋体"/>
                <w:b/>
                <w:bCs/>
                <w:color w:val="000000" w:themeColor="text1"/>
                <w:kern w:val="0"/>
                <w:szCs w:val="21"/>
              </w:rPr>
              <w:t>备课教学资源</w:t>
            </w:r>
          </w:p>
          <w:p w14:paraId="6F754C6D">
            <w:pPr>
              <w:widowControl/>
              <w:jc w:val="left"/>
              <w:rPr>
                <w:rFonts w:ascii="宋体" w:hAnsi="宋体" w:cs="宋体"/>
                <w:color w:val="000000" w:themeColor="text1"/>
                <w:kern w:val="0"/>
                <w:szCs w:val="21"/>
              </w:rPr>
            </w:pPr>
            <w:r>
              <w:rPr>
                <w:rFonts w:ascii="宋体" w:hAnsi="宋体" w:cs="宋体"/>
                <w:color w:val="000000" w:themeColor="text1"/>
                <w:kern w:val="0"/>
                <w:szCs w:val="21"/>
              </w:rPr>
              <w:t>▲</w:t>
            </w:r>
            <w:r>
              <w:rPr>
                <w:rFonts w:hint="eastAsia" w:ascii="宋体" w:hAnsi="宋体" w:cs="宋体"/>
                <w:color w:val="000000" w:themeColor="text1"/>
                <w:kern w:val="0"/>
                <w:szCs w:val="21"/>
              </w:rPr>
              <w:t>供应商为</w:t>
            </w:r>
            <w:r>
              <w:rPr>
                <w:rFonts w:ascii="宋体" w:hAnsi="宋体" w:cs="宋体"/>
                <w:color w:val="000000" w:themeColor="text1"/>
                <w:kern w:val="0"/>
                <w:szCs w:val="21"/>
              </w:rPr>
              <w:t>教师提升和课程视频制作相关数据资源，包含电子书、期刊、视频、学术文档等资源。</w:t>
            </w:r>
            <w:r>
              <w:rPr>
                <w:rFonts w:hint="eastAsia" w:ascii="宋体" w:hAnsi="宋体" w:cs="宋体"/>
                <w:color w:val="000000" w:themeColor="text1"/>
                <w:kern w:val="0"/>
                <w:szCs w:val="21"/>
              </w:rPr>
              <w:t>在资源</w:t>
            </w:r>
            <w:r>
              <w:rPr>
                <w:rFonts w:ascii="宋体" w:hAnsi="宋体" w:cs="宋体"/>
                <w:color w:val="000000" w:themeColor="text1"/>
                <w:kern w:val="0"/>
                <w:szCs w:val="21"/>
              </w:rPr>
              <w:t>建设过程中，随时可以搜索、引用、插入和应用，全面辅助教师教学课件丰富度。</w:t>
            </w:r>
            <w:r>
              <w:rPr>
                <w:rFonts w:hint="eastAsia" w:ascii="宋体" w:hAnsi="宋体" w:cs="宋体"/>
                <w:color w:val="000000" w:themeColor="text1"/>
                <w:kern w:val="0"/>
                <w:szCs w:val="21"/>
              </w:rPr>
              <w:t>供应商</w:t>
            </w:r>
            <w:r>
              <w:rPr>
                <w:rFonts w:ascii="宋体" w:hAnsi="宋体" w:cs="宋体"/>
                <w:color w:val="000000" w:themeColor="text1"/>
                <w:kern w:val="0"/>
                <w:szCs w:val="21"/>
              </w:rPr>
              <w:t>需具并提供备数字电子图书数据库软件著作权证书和评测报告、期刊资源数据库系统软件、教育视频软件著作权证书及评测报告、学术搜索系统软件著作权证书。</w:t>
            </w:r>
          </w:p>
          <w:p w14:paraId="0201EF68">
            <w:pPr>
              <w:widowControl/>
              <w:jc w:val="left"/>
              <w:rPr>
                <w:rFonts w:ascii="宋体" w:hAnsi="宋体" w:cs="宋体"/>
                <w:color w:val="000000" w:themeColor="text1"/>
                <w:kern w:val="0"/>
                <w:szCs w:val="21"/>
              </w:rPr>
            </w:pPr>
            <w:r>
              <w:rPr>
                <w:rFonts w:ascii="宋体" w:hAnsi="宋体" w:cs="宋体"/>
                <w:color w:val="000000" w:themeColor="text1"/>
                <w:kern w:val="0"/>
                <w:szCs w:val="21"/>
              </w:rPr>
              <w:t>▲示范教学包：需整合职业院校</w:t>
            </w:r>
            <w:r>
              <w:rPr>
                <w:rFonts w:hint="eastAsia" w:ascii="宋体" w:hAnsi="宋体" w:cs="宋体"/>
                <w:color w:val="000000" w:themeColor="text1"/>
                <w:kern w:val="0"/>
                <w:szCs w:val="21"/>
              </w:rPr>
              <w:t>护理</w:t>
            </w:r>
            <w:r>
              <w:rPr>
                <w:rFonts w:ascii="宋体" w:hAnsi="宋体" w:cs="宋体"/>
                <w:color w:val="000000" w:themeColor="text1"/>
                <w:kern w:val="0"/>
                <w:szCs w:val="21"/>
              </w:rPr>
              <w:t>专业相关的示范教学包资源</w:t>
            </w:r>
            <w:r>
              <w:rPr>
                <w:rFonts w:hint="eastAsia" w:ascii="宋体" w:hAnsi="宋体" w:cs="宋体"/>
                <w:color w:val="000000" w:themeColor="text1"/>
                <w:kern w:val="0"/>
                <w:szCs w:val="21"/>
              </w:rPr>
              <w:t>，提供</w:t>
            </w:r>
            <w:r>
              <w:rPr>
                <w:rFonts w:ascii="宋体" w:hAnsi="宋体" w:cs="宋体"/>
                <w:color w:val="000000" w:themeColor="text1"/>
                <w:kern w:val="0"/>
                <w:szCs w:val="21"/>
              </w:rPr>
              <w:t>不少于30门，教师可以在视频资源建设中随时引用示范教学包中的课程资源、课堂活动示例。示范教学包要包含教学课件、视频、教案、试题等资源同时可以根据教师自己课程的需要进行重新组合使用。</w:t>
            </w:r>
          </w:p>
          <w:p w14:paraId="7FF273A6">
            <w:pPr>
              <w:keepNext/>
              <w:keepLines/>
              <w:spacing w:before="260" w:after="260" w:line="416" w:lineRule="auto"/>
              <w:jc w:val="left"/>
              <w:outlineLvl w:val="1"/>
              <w:rPr>
                <w:rFonts w:hint="eastAsia" w:eastAsiaTheme="majorEastAsia" w:cstheme="majorBidi"/>
                <w:b/>
                <w:bCs/>
                <w:color w:val="000000" w:themeColor="text1"/>
                <w:sz w:val="32"/>
                <w:szCs w:val="21"/>
              </w:rPr>
            </w:pPr>
            <w:r>
              <w:rPr>
                <w:rFonts w:hint="eastAsia"/>
                <w:b/>
                <w:bCs/>
                <w:color w:val="000000" w:themeColor="text1"/>
                <w:szCs w:val="21"/>
              </w:rPr>
              <w:t>三、平台服务</w:t>
            </w:r>
          </w:p>
          <w:p w14:paraId="79086333">
            <w:pPr>
              <w:keepNext/>
              <w:keepLines/>
              <w:spacing w:before="260" w:after="260" w:line="416" w:lineRule="auto"/>
              <w:jc w:val="left"/>
              <w:outlineLvl w:val="1"/>
              <w:rPr>
                <w:rFonts w:eastAsiaTheme="majorEastAsia" w:cstheme="majorBidi"/>
                <w:b/>
                <w:bCs/>
                <w:color w:val="000000" w:themeColor="text1"/>
                <w:sz w:val="32"/>
                <w:szCs w:val="21"/>
              </w:rPr>
            </w:pPr>
            <w:r>
              <w:rPr>
                <w:rFonts w:hint="eastAsia"/>
                <w:b/>
                <w:bCs/>
                <w:color w:val="000000" w:themeColor="text1"/>
                <w:szCs w:val="21"/>
              </w:rPr>
              <w:t>供应商</w:t>
            </w:r>
            <w:r>
              <w:rPr>
                <w:b/>
                <w:bCs/>
                <w:color w:val="000000" w:themeColor="text1"/>
                <w:szCs w:val="21"/>
              </w:rPr>
              <w:t>提供</w:t>
            </w:r>
            <w:r>
              <w:rPr>
                <w:rFonts w:hint="eastAsia" w:ascii="宋体" w:hAnsi="宋体" w:cs="宋体"/>
                <w:b/>
                <w:bCs/>
                <w:color w:val="000000" w:themeColor="text1"/>
                <w:kern w:val="0"/>
                <w:szCs w:val="21"/>
              </w:rPr>
              <w:t>专业群教学资源库平台</w:t>
            </w:r>
            <w:r>
              <w:rPr>
                <w:b/>
                <w:bCs/>
                <w:color w:val="000000" w:themeColor="text1"/>
                <w:szCs w:val="21"/>
              </w:rPr>
              <w:t>免费使用不低于</w:t>
            </w:r>
            <w:r>
              <w:rPr>
                <w:rFonts w:hint="eastAsia"/>
                <w:b/>
                <w:bCs/>
                <w:color w:val="000000" w:themeColor="text1"/>
                <w:szCs w:val="21"/>
              </w:rPr>
              <w:t>3</w:t>
            </w:r>
            <w:r>
              <w:rPr>
                <w:b/>
                <w:bCs/>
                <w:color w:val="000000" w:themeColor="text1"/>
                <w:szCs w:val="21"/>
              </w:rPr>
              <w:t>年</w:t>
            </w:r>
            <w:r>
              <w:rPr>
                <w:rFonts w:hint="eastAsia"/>
                <w:b/>
                <w:bCs/>
                <w:color w:val="000000" w:themeColor="text1"/>
                <w:szCs w:val="21"/>
              </w:rPr>
              <w:t>。</w:t>
            </w:r>
          </w:p>
        </w:tc>
        <w:tc>
          <w:tcPr>
            <w:tcW w:w="335" w:type="pct"/>
            <w:vAlign w:val="center"/>
          </w:tcPr>
          <w:p w14:paraId="51D29702">
            <w:pPr>
              <w:jc w:val="center"/>
              <w:rPr>
                <w:rFonts w:ascii="宋体" w:hAnsi="宋体" w:cs="宋体"/>
                <w:color w:val="000000" w:themeColor="text1"/>
                <w:sz w:val="24"/>
              </w:rPr>
            </w:pPr>
            <w:r>
              <w:rPr>
                <w:rFonts w:hint="eastAsia" w:ascii="宋体" w:hAnsi="宋体" w:cs="宋体"/>
                <w:color w:val="000000" w:themeColor="text1"/>
                <w:sz w:val="24"/>
              </w:rPr>
              <w:t>套</w:t>
            </w:r>
          </w:p>
        </w:tc>
        <w:tc>
          <w:tcPr>
            <w:tcW w:w="251" w:type="pct"/>
            <w:vAlign w:val="center"/>
          </w:tcPr>
          <w:p w14:paraId="16F80EC1">
            <w:pPr>
              <w:jc w:val="center"/>
              <w:rPr>
                <w:rFonts w:ascii="宋体" w:hAnsi="宋体" w:cs="宋体"/>
                <w:color w:val="000000" w:themeColor="text1"/>
                <w:sz w:val="24"/>
              </w:rPr>
            </w:pPr>
            <w:r>
              <w:rPr>
                <w:rFonts w:hint="eastAsia" w:ascii="宋体" w:hAnsi="宋体" w:cs="宋体"/>
                <w:color w:val="000000" w:themeColor="text1"/>
                <w:sz w:val="24"/>
              </w:rPr>
              <w:t>1</w:t>
            </w:r>
          </w:p>
        </w:tc>
      </w:tr>
      <w:tr w14:paraId="6B75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Align w:val="center"/>
          </w:tcPr>
          <w:p w14:paraId="484DA17A">
            <w:pPr>
              <w:jc w:val="center"/>
              <w:rPr>
                <w:rFonts w:ascii="宋体" w:hAnsi="宋体" w:cs="宋体"/>
                <w:color w:val="000000" w:themeColor="text1"/>
                <w:sz w:val="24"/>
              </w:rPr>
            </w:pPr>
            <w:r>
              <w:rPr>
                <w:rFonts w:hint="eastAsia" w:ascii="宋体" w:hAnsi="宋体" w:cs="宋体"/>
                <w:color w:val="000000" w:themeColor="text1"/>
                <w:sz w:val="24"/>
              </w:rPr>
              <w:t>4</w:t>
            </w:r>
          </w:p>
        </w:tc>
        <w:tc>
          <w:tcPr>
            <w:tcW w:w="670" w:type="pct"/>
            <w:gridSpan w:val="2"/>
            <w:vAlign w:val="center"/>
          </w:tcPr>
          <w:p w14:paraId="6538AF1E">
            <w:pPr>
              <w:rPr>
                <w:color w:val="000000" w:themeColor="text1"/>
                <w:szCs w:val="21"/>
              </w:rPr>
            </w:pPr>
            <w:r>
              <w:rPr>
                <w:rFonts w:hint="eastAsia" w:ascii="宋体" w:hAnsi="宋体" w:cs="宋体"/>
                <w:color w:val="000000" w:themeColor="text1"/>
                <w:sz w:val="24"/>
              </w:rPr>
              <w:t>行业及专业发展调研报告</w:t>
            </w:r>
          </w:p>
        </w:tc>
        <w:tc>
          <w:tcPr>
            <w:tcW w:w="3429" w:type="pct"/>
            <w:vAlign w:val="center"/>
          </w:tcPr>
          <w:p w14:paraId="4AA2FE05">
            <w:pPr>
              <w:rPr>
                <w:b/>
                <w:bCs/>
                <w:color w:val="000000" w:themeColor="text1"/>
                <w:szCs w:val="21"/>
              </w:rPr>
            </w:pPr>
            <w:r>
              <w:rPr>
                <w:rFonts w:hint="eastAsia"/>
                <w:b/>
                <w:bCs/>
                <w:color w:val="000000" w:themeColor="text1"/>
                <w:szCs w:val="21"/>
              </w:rPr>
              <w:t>行业管理库</w:t>
            </w:r>
          </w:p>
          <w:p w14:paraId="69F7E3C6">
            <w:pPr>
              <w:rPr>
                <w:color w:val="000000" w:themeColor="text1"/>
                <w:szCs w:val="21"/>
              </w:rPr>
            </w:pPr>
            <w:r>
              <w:rPr>
                <w:rFonts w:hint="eastAsia"/>
                <w:color w:val="000000" w:themeColor="text1"/>
                <w:szCs w:val="21"/>
              </w:rPr>
              <w:t>1.护理、助产及老年保健与管理专业相关的不同层次，不同类型医疗机构或相关企业的行业信息库。</w:t>
            </w:r>
          </w:p>
          <w:p w14:paraId="65EA1A97">
            <w:pPr>
              <w:rPr>
                <w:color w:val="000000" w:themeColor="text1"/>
                <w:szCs w:val="21"/>
              </w:rPr>
            </w:pPr>
            <w:r>
              <w:rPr>
                <w:rFonts w:hint="eastAsia"/>
                <w:color w:val="000000" w:themeColor="text1"/>
                <w:szCs w:val="21"/>
              </w:rPr>
              <w:t>2.健康服务领域行业新技术介绍信息。</w:t>
            </w:r>
          </w:p>
          <w:p w14:paraId="610AEFC4">
            <w:pPr>
              <w:rPr>
                <w:color w:val="000000" w:themeColor="text1"/>
                <w:szCs w:val="21"/>
              </w:rPr>
            </w:pPr>
            <w:r>
              <w:rPr>
                <w:rFonts w:hint="eastAsia"/>
                <w:color w:val="000000" w:themeColor="text1"/>
                <w:szCs w:val="21"/>
              </w:rPr>
              <w:t>3.与护理专业群有关的健康服务领域（特别是养老服务、母婴护理、康复护理服务）“岗位描述”信息，包括相应的技术标准、业务流程、作业规范等内容。</w:t>
            </w:r>
          </w:p>
          <w:p w14:paraId="7B9D1508">
            <w:pPr>
              <w:rPr>
                <w:color w:val="000000" w:themeColor="text1"/>
                <w:szCs w:val="21"/>
              </w:rPr>
            </w:pPr>
            <w:r>
              <w:rPr>
                <w:rFonts w:hint="eastAsia"/>
                <w:color w:val="000000" w:themeColor="text1"/>
                <w:szCs w:val="21"/>
              </w:rPr>
              <w:t>4.与健康与护理有关的健康服务领域相同（相近）行业企业网站链接信息。</w:t>
            </w:r>
          </w:p>
          <w:p w14:paraId="543CC426">
            <w:pPr>
              <w:rPr>
                <w:b/>
                <w:bCs/>
                <w:color w:val="000000" w:themeColor="text1"/>
                <w:szCs w:val="21"/>
              </w:rPr>
            </w:pPr>
            <w:r>
              <w:rPr>
                <w:rFonts w:hint="eastAsia"/>
                <w:b/>
                <w:bCs/>
                <w:color w:val="000000" w:themeColor="text1"/>
                <w:szCs w:val="21"/>
              </w:rPr>
              <w:t>专业群简介库</w:t>
            </w:r>
          </w:p>
          <w:p w14:paraId="3A3DC38A">
            <w:pPr>
              <w:rPr>
                <w:color w:val="000000" w:themeColor="text1"/>
                <w:szCs w:val="21"/>
              </w:rPr>
            </w:pPr>
            <w:r>
              <w:rPr>
                <w:rFonts w:hint="eastAsia"/>
                <w:color w:val="000000" w:themeColor="text1"/>
                <w:szCs w:val="21"/>
              </w:rPr>
              <w:t>5.有关护理、助产和老年保健与管理等专业相关的职业岗位分析材料、职业能力标准。</w:t>
            </w:r>
          </w:p>
          <w:p w14:paraId="6E8367E3">
            <w:pPr>
              <w:rPr>
                <w:color w:val="000000" w:themeColor="text1"/>
                <w:szCs w:val="21"/>
              </w:rPr>
            </w:pPr>
            <w:r>
              <w:rPr>
                <w:rFonts w:hint="eastAsia"/>
                <w:color w:val="000000" w:themeColor="text1"/>
                <w:szCs w:val="21"/>
              </w:rPr>
              <w:t>6.护理专业、助产专业及老年保健与管理专业人才培养目标及规格调研手册。</w:t>
            </w:r>
          </w:p>
          <w:p w14:paraId="423558BD">
            <w:pPr>
              <w:rPr>
                <w:rFonts w:ascii="宋体" w:hAnsi="宋体" w:cs="宋体"/>
                <w:color w:val="000000" w:themeColor="text1"/>
                <w:sz w:val="24"/>
              </w:rPr>
            </w:pPr>
            <w:r>
              <w:rPr>
                <w:rFonts w:hint="eastAsia"/>
                <w:color w:val="000000" w:themeColor="text1"/>
                <w:szCs w:val="21"/>
              </w:rPr>
              <w:t>7.完善护理、助产和老年保健与护理等专业建设条件与优势、专业教学标准、实践教学条件。</w:t>
            </w:r>
          </w:p>
        </w:tc>
        <w:tc>
          <w:tcPr>
            <w:tcW w:w="335" w:type="pct"/>
            <w:vAlign w:val="center"/>
          </w:tcPr>
          <w:p w14:paraId="139A2C72">
            <w:pPr>
              <w:jc w:val="center"/>
              <w:rPr>
                <w:rFonts w:ascii="宋体" w:hAnsi="宋体" w:cs="宋体"/>
                <w:color w:val="000000" w:themeColor="text1"/>
                <w:sz w:val="24"/>
              </w:rPr>
            </w:pPr>
            <w:r>
              <w:rPr>
                <w:rFonts w:hint="eastAsia" w:ascii="宋体" w:hAnsi="宋体" w:cs="宋体"/>
                <w:color w:val="000000" w:themeColor="text1"/>
                <w:sz w:val="24"/>
              </w:rPr>
              <w:t>个</w:t>
            </w:r>
          </w:p>
        </w:tc>
        <w:tc>
          <w:tcPr>
            <w:tcW w:w="251" w:type="pct"/>
            <w:vAlign w:val="center"/>
          </w:tcPr>
          <w:p w14:paraId="1CA7C677">
            <w:pPr>
              <w:jc w:val="center"/>
              <w:rPr>
                <w:rFonts w:ascii="宋体" w:hAnsi="宋体" w:cs="宋体"/>
                <w:color w:val="000000" w:themeColor="text1"/>
                <w:sz w:val="24"/>
              </w:rPr>
            </w:pPr>
            <w:r>
              <w:rPr>
                <w:rFonts w:hint="eastAsia" w:ascii="宋体" w:hAnsi="宋体" w:cs="宋体"/>
                <w:color w:val="000000" w:themeColor="text1"/>
                <w:sz w:val="24"/>
              </w:rPr>
              <w:t>7</w:t>
            </w:r>
          </w:p>
        </w:tc>
      </w:tr>
      <w:tr w14:paraId="183A6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Align w:val="center"/>
          </w:tcPr>
          <w:p w14:paraId="17CD2799">
            <w:pPr>
              <w:jc w:val="center"/>
              <w:rPr>
                <w:rFonts w:ascii="宋体" w:hAnsi="宋体" w:cs="宋体"/>
                <w:color w:val="000000" w:themeColor="text1"/>
                <w:sz w:val="24"/>
              </w:rPr>
            </w:pPr>
            <w:r>
              <w:rPr>
                <w:rFonts w:hint="eastAsia" w:ascii="宋体" w:hAnsi="宋体" w:cs="宋体"/>
                <w:color w:val="000000" w:themeColor="text1"/>
                <w:sz w:val="24"/>
              </w:rPr>
              <w:t>5</w:t>
            </w:r>
          </w:p>
        </w:tc>
        <w:tc>
          <w:tcPr>
            <w:tcW w:w="670" w:type="pct"/>
            <w:gridSpan w:val="2"/>
            <w:vAlign w:val="center"/>
          </w:tcPr>
          <w:p w14:paraId="3474C876">
            <w:pPr>
              <w:rPr>
                <w:rFonts w:ascii="宋体" w:hAnsi="宋体" w:cs="宋体"/>
                <w:color w:val="000000" w:themeColor="text1"/>
                <w:sz w:val="24"/>
              </w:rPr>
            </w:pPr>
            <w:r>
              <w:rPr>
                <w:rFonts w:hint="eastAsia" w:ascii="Calibri" w:hAnsi="Calibri"/>
                <w:color w:val="000000" w:themeColor="text1"/>
                <w:szCs w:val="22"/>
              </w:rPr>
              <w:t>资源库应用推广</w:t>
            </w:r>
          </w:p>
        </w:tc>
        <w:tc>
          <w:tcPr>
            <w:tcW w:w="3429" w:type="pct"/>
            <w:vAlign w:val="center"/>
          </w:tcPr>
          <w:p w14:paraId="7F3B3353">
            <w:pPr>
              <w:widowControl/>
              <w:jc w:val="left"/>
              <w:rPr>
                <w:rFonts w:ascii="宋体" w:hAnsi="宋体" w:cs="宋体"/>
                <w:color w:val="000000" w:themeColor="text1"/>
                <w:kern w:val="0"/>
                <w:szCs w:val="21"/>
              </w:rPr>
            </w:pPr>
            <w:r>
              <w:rPr>
                <w:rFonts w:ascii="宋体" w:hAnsi="宋体" w:cs="宋体"/>
                <w:color w:val="000000" w:themeColor="text1"/>
                <w:kern w:val="0"/>
                <w:szCs w:val="21"/>
              </w:rPr>
              <w:t>▲</w:t>
            </w:r>
            <w:r>
              <w:rPr>
                <w:rFonts w:hint="eastAsia" w:ascii="宋体" w:hAnsi="宋体" w:cs="宋体"/>
                <w:color w:val="000000" w:themeColor="text1"/>
                <w:kern w:val="0"/>
                <w:szCs w:val="21"/>
              </w:rPr>
              <w:t>1.专业群</w:t>
            </w:r>
            <w:r>
              <w:rPr>
                <w:rFonts w:ascii="宋体" w:hAnsi="宋体" w:cs="宋体"/>
                <w:color w:val="000000" w:themeColor="text1"/>
                <w:kern w:val="0"/>
                <w:szCs w:val="21"/>
              </w:rPr>
              <w:t>资源库平台</w:t>
            </w:r>
            <w:r>
              <w:rPr>
                <w:rFonts w:hint="eastAsia" w:ascii="宋体" w:hAnsi="宋体" w:cs="宋体"/>
                <w:color w:val="000000" w:themeColor="text1"/>
                <w:kern w:val="0"/>
                <w:szCs w:val="21"/>
              </w:rPr>
              <w:t>需满足</w:t>
            </w:r>
            <w:r>
              <w:rPr>
                <w:rFonts w:ascii="宋体" w:hAnsi="宋体" w:cs="宋体"/>
                <w:color w:val="000000" w:themeColor="text1"/>
                <w:kern w:val="0"/>
                <w:szCs w:val="21"/>
              </w:rPr>
              <w:t>《信息安全等级保护管理办法》规定的信息系统安全等级保护（三级）基本要求。</w:t>
            </w:r>
          </w:p>
          <w:p w14:paraId="1D2CFCE7">
            <w:pPr>
              <w:widowControl/>
              <w:jc w:val="left"/>
              <w:rPr>
                <w:rFonts w:ascii="宋体" w:hAnsi="宋体" w:cs="宋体"/>
                <w:color w:val="000000" w:themeColor="text1"/>
                <w:kern w:val="0"/>
                <w:szCs w:val="21"/>
              </w:rPr>
            </w:pPr>
            <w:r>
              <w:rPr>
                <w:rFonts w:hint="eastAsia" w:ascii="宋体" w:hAnsi="宋体" w:cs="宋体"/>
                <w:color w:val="000000" w:themeColor="text1"/>
                <w:kern w:val="0"/>
                <w:szCs w:val="21"/>
              </w:rPr>
              <w:t>2.</w:t>
            </w:r>
            <w:r>
              <w:rPr>
                <w:rFonts w:ascii="宋体" w:hAnsi="宋体" w:cs="宋体"/>
                <w:color w:val="000000" w:themeColor="text1"/>
                <w:kern w:val="0"/>
                <w:szCs w:val="21"/>
              </w:rPr>
              <w:t>供应商需承诺能够在兄弟院校进行推广资源库，实现优质资源共享，扩大优质资源受益群体覆盖面。</w:t>
            </w:r>
          </w:p>
          <w:p w14:paraId="61EEE63C">
            <w:pPr>
              <w:rPr>
                <w:rFonts w:ascii="Calibri" w:hAnsi="Calibri"/>
                <w:color w:val="000000" w:themeColor="text1"/>
                <w:szCs w:val="22"/>
              </w:rPr>
            </w:pPr>
            <w:r>
              <w:rPr>
                <w:rFonts w:hint="eastAsia" w:ascii="宋体" w:hAnsi="宋体" w:cs="宋体"/>
                <w:color w:val="000000" w:themeColor="text1"/>
                <w:kern w:val="0"/>
                <w:szCs w:val="21"/>
              </w:rPr>
              <w:t>▲3.供应商需</w:t>
            </w:r>
            <w:r>
              <w:rPr>
                <w:rFonts w:ascii="宋体" w:hAnsi="宋体" w:cs="宋体"/>
                <w:color w:val="000000" w:themeColor="text1"/>
                <w:kern w:val="0"/>
                <w:szCs w:val="21"/>
              </w:rPr>
              <w:t>组织成立河南省职业教育课程联盟，梳理的课程</w:t>
            </w:r>
            <w:r>
              <w:rPr>
                <w:rFonts w:hint="eastAsia" w:ascii="宋体" w:hAnsi="宋体" w:cs="宋体"/>
                <w:color w:val="000000" w:themeColor="text1"/>
                <w:kern w:val="0"/>
                <w:szCs w:val="21"/>
              </w:rPr>
              <w:t>能</w:t>
            </w:r>
            <w:r>
              <w:rPr>
                <w:rFonts w:ascii="宋体" w:hAnsi="宋体" w:cs="宋体"/>
                <w:color w:val="000000" w:themeColor="text1"/>
                <w:kern w:val="0"/>
                <w:szCs w:val="21"/>
              </w:rPr>
              <w:t>在河南省职业教育课程联盟对接推广，帮助我校课程提高省内影响力。需提供河南省职业教育课程联盟对接函。</w:t>
            </w:r>
          </w:p>
        </w:tc>
        <w:tc>
          <w:tcPr>
            <w:tcW w:w="335" w:type="pct"/>
            <w:vAlign w:val="center"/>
          </w:tcPr>
          <w:p w14:paraId="25036E1B">
            <w:pPr>
              <w:jc w:val="center"/>
              <w:rPr>
                <w:rFonts w:ascii="宋体" w:hAnsi="宋体" w:cs="宋体"/>
                <w:color w:val="000000" w:themeColor="text1"/>
                <w:sz w:val="24"/>
              </w:rPr>
            </w:pPr>
            <w:r>
              <w:rPr>
                <w:rFonts w:hint="eastAsia" w:ascii="宋体" w:hAnsi="宋体" w:cs="宋体"/>
                <w:color w:val="000000" w:themeColor="text1"/>
                <w:sz w:val="24"/>
              </w:rPr>
              <w:t>套</w:t>
            </w:r>
          </w:p>
        </w:tc>
        <w:tc>
          <w:tcPr>
            <w:tcW w:w="251" w:type="pct"/>
            <w:vAlign w:val="center"/>
          </w:tcPr>
          <w:p w14:paraId="0FA3C147">
            <w:pPr>
              <w:jc w:val="center"/>
              <w:rPr>
                <w:rFonts w:ascii="宋体" w:hAnsi="宋体" w:cs="宋体"/>
                <w:color w:val="000000" w:themeColor="text1"/>
                <w:sz w:val="24"/>
              </w:rPr>
            </w:pPr>
            <w:r>
              <w:rPr>
                <w:rFonts w:hint="eastAsia" w:ascii="宋体" w:hAnsi="宋体" w:cs="宋体"/>
                <w:color w:val="000000" w:themeColor="text1"/>
                <w:sz w:val="24"/>
              </w:rPr>
              <w:t>1</w:t>
            </w:r>
          </w:p>
        </w:tc>
      </w:tr>
      <w:tr w14:paraId="7FB2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5" w:type="pct"/>
            <w:vAlign w:val="center"/>
          </w:tcPr>
          <w:p w14:paraId="14ADF6B3">
            <w:pPr>
              <w:jc w:val="center"/>
              <w:rPr>
                <w:rFonts w:ascii="宋体" w:hAnsi="宋体" w:cs="宋体"/>
                <w:color w:val="000000" w:themeColor="text1"/>
                <w:sz w:val="24"/>
              </w:rPr>
            </w:pPr>
            <w:r>
              <w:rPr>
                <w:rFonts w:hint="eastAsia" w:ascii="宋体" w:hAnsi="宋体" w:cs="宋体"/>
                <w:color w:val="000000" w:themeColor="text1"/>
                <w:sz w:val="24"/>
              </w:rPr>
              <w:t>6</w:t>
            </w:r>
          </w:p>
        </w:tc>
        <w:tc>
          <w:tcPr>
            <w:tcW w:w="670" w:type="pct"/>
            <w:gridSpan w:val="2"/>
            <w:vAlign w:val="center"/>
          </w:tcPr>
          <w:p w14:paraId="70DDEE77">
            <w:pPr>
              <w:rPr>
                <w:color w:val="000000" w:themeColor="text1"/>
                <w:szCs w:val="21"/>
              </w:rPr>
            </w:pPr>
            <w:r>
              <w:rPr>
                <w:rFonts w:hint="eastAsia" w:ascii="宋体" w:hAnsi="宋体" w:cs="宋体"/>
                <w:color w:val="000000" w:themeColor="text1"/>
                <w:sz w:val="24"/>
              </w:rPr>
              <w:t>培训服务</w:t>
            </w:r>
          </w:p>
        </w:tc>
        <w:tc>
          <w:tcPr>
            <w:tcW w:w="3429" w:type="pct"/>
            <w:vAlign w:val="center"/>
          </w:tcPr>
          <w:p w14:paraId="0D124957">
            <w:pPr>
              <w:rPr>
                <w:color w:val="000000" w:themeColor="text1"/>
                <w:szCs w:val="21"/>
              </w:rPr>
            </w:pPr>
            <w:r>
              <w:rPr>
                <w:color w:val="000000" w:themeColor="text1"/>
                <w:szCs w:val="21"/>
              </w:rPr>
              <w:t>1.服务期内供应商每年至少向采购人提供不低于</w:t>
            </w:r>
            <w:r>
              <w:rPr>
                <w:rFonts w:hint="eastAsia"/>
                <w:color w:val="000000" w:themeColor="text1"/>
                <w:szCs w:val="21"/>
              </w:rPr>
              <w:t>3</w:t>
            </w:r>
            <w:r>
              <w:rPr>
                <w:color w:val="000000" w:themeColor="text1"/>
                <w:szCs w:val="21"/>
              </w:rPr>
              <w:t>次面向课程教师的在线课程相关知识的免费培训，培训内容包括课程建设前期准备工作、课程建设中期拍摄工作、课程建设后期及运行使用等，每次培训时间不少于2小时。</w:t>
            </w:r>
          </w:p>
          <w:p w14:paraId="119436B2">
            <w:pPr>
              <w:rPr>
                <w:rFonts w:ascii="宋体" w:hAnsi="宋体" w:cs="宋体"/>
                <w:color w:val="000000" w:themeColor="text1"/>
                <w:sz w:val="24"/>
              </w:rPr>
            </w:pPr>
            <w:r>
              <w:rPr>
                <w:color w:val="000000" w:themeColor="text1"/>
                <w:szCs w:val="21"/>
              </w:rPr>
              <w:t>2.供应商需邀请不低于3名国家级精品在线开放课程主持人或职教专家对课程组老师进行课程结构、教学方法设计、教学技能服务、课程录制技巧、课程脚本编写等方面的培训及指导。</w:t>
            </w:r>
          </w:p>
        </w:tc>
        <w:tc>
          <w:tcPr>
            <w:tcW w:w="335" w:type="pct"/>
            <w:vAlign w:val="center"/>
          </w:tcPr>
          <w:p w14:paraId="7E0304F4">
            <w:pPr>
              <w:jc w:val="center"/>
              <w:rPr>
                <w:rFonts w:ascii="宋体" w:hAnsi="宋体" w:cs="宋体"/>
                <w:color w:val="000000" w:themeColor="text1"/>
                <w:sz w:val="24"/>
              </w:rPr>
            </w:pPr>
            <w:r>
              <w:rPr>
                <w:rFonts w:hint="eastAsia" w:ascii="宋体" w:hAnsi="宋体" w:cs="宋体"/>
                <w:color w:val="000000" w:themeColor="text1"/>
                <w:sz w:val="24"/>
              </w:rPr>
              <w:t>次</w:t>
            </w:r>
          </w:p>
        </w:tc>
        <w:tc>
          <w:tcPr>
            <w:tcW w:w="251" w:type="pct"/>
            <w:vAlign w:val="center"/>
          </w:tcPr>
          <w:p w14:paraId="54E210FB">
            <w:pPr>
              <w:jc w:val="center"/>
              <w:rPr>
                <w:rFonts w:ascii="宋体" w:hAnsi="宋体" w:cs="宋体"/>
                <w:color w:val="000000" w:themeColor="text1"/>
                <w:sz w:val="24"/>
              </w:rPr>
            </w:pPr>
            <w:r>
              <w:rPr>
                <w:rFonts w:hint="eastAsia" w:ascii="宋体" w:hAnsi="宋体" w:cs="宋体"/>
                <w:color w:val="000000" w:themeColor="text1"/>
                <w:sz w:val="24"/>
              </w:rPr>
              <w:t>3</w:t>
            </w:r>
          </w:p>
        </w:tc>
      </w:tr>
    </w:tbl>
    <w:p w14:paraId="75D3BFAA">
      <w:pPr>
        <w:pStyle w:val="2"/>
        <w:rPr>
          <w:rFonts w:hint="eastAsia" w:ascii="宋体" w:hAnsi="宋体" w:eastAsia="宋体" w:cs="宋体"/>
          <w:b/>
          <w:bCs/>
          <w:color w:val="000000" w:themeColor="text1"/>
          <w:kern w:val="2"/>
          <w:sz w:val="24"/>
          <w:szCs w:val="36"/>
          <w:lang w:val="en-US" w:eastAsia="zh-CN" w:bidi="ar-SA"/>
        </w:rPr>
      </w:pPr>
      <w:r>
        <w:rPr>
          <w:rFonts w:hint="eastAsia" w:ascii="宋体" w:hAnsi="宋体" w:eastAsia="宋体" w:cs="宋体"/>
          <w:b/>
          <w:bCs/>
          <w:color w:val="000000" w:themeColor="text1"/>
          <w:kern w:val="2"/>
          <w:sz w:val="24"/>
          <w:szCs w:val="36"/>
          <w:lang w:val="en-US" w:eastAsia="zh-CN" w:bidi="ar-SA"/>
        </w:rPr>
        <w:t>教学资源库分课程知识点清单</w:t>
      </w:r>
    </w:p>
    <w:tbl>
      <w:tblPr>
        <w:tblStyle w:val="27"/>
        <w:tblW w:w="922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0"/>
        <w:gridCol w:w="5318"/>
        <w:gridCol w:w="1869"/>
      </w:tblGrid>
      <w:tr w14:paraId="1DE8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noWrap w:val="0"/>
            <w:vAlign w:val="center"/>
          </w:tcPr>
          <w:p w14:paraId="65062B49">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课程名称</w:t>
            </w:r>
          </w:p>
        </w:tc>
        <w:tc>
          <w:tcPr>
            <w:tcW w:w="5318" w:type="dxa"/>
            <w:noWrap w:val="0"/>
            <w:vAlign w:val="top"/>
          </w:tcPr>
          <w:p w14:paraId="16BEDD63">
            <w:pPr>
              <w:keepNext w:val="0"/>
              <w:keepLines w:val="0"/>
              <w:widowControl/>
              <w:suppressLineNumbers w:val="0"/>
              <w:jc w:val="center"/>
              <w:textAlignment w:val="top"/>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知识点名称</w:t>
            </w:r>
          </w:p>
        </w:tc>
        <w:tc>
          <w:tcPr>
            <w:tcW w:w="1869" w:type="dxa"/>
            <w:noWrap w:val="0"/>
            <w:vAlign w:val="center"/>
          </w:tcPr>
          <w:p w14:paraId="2887E276">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说明</w:t>
            </w:r>
          </w:p>
        </w:tc>
      </w:tr>
      <w:tr w14:paraId="6920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58BCD0F4">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基础护理技术</w:t>
            </w:r>
          </w:p>
        </w:tc>
        <w:tc>
          <w:tcPr>
            <w:tcW w:w="5318" w:type="dxa"/>
            <w:noWrap w:val="0"/>
            <w:vAlign w:val="top"/>
          </w:tcPr>
          <w:p w14:paraId="0354A48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备用床</w:t>
            </w:r>
          </w:p>
        </w:tc>
        <w:tc>
          <w:tcPr>
            <w:tcW w:w="1869" w:type="dxa"/>
            <w:vMerge w:val="restart"/>
            <w:noWrap w:val="0"/>
            <w:vAlign w:val="center"/>
          </w:tcPr>
          <w:p w14:paraId="68BA509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实践操作视频44个</w:t>
            </w:r>
          </w:p>
        </w:tc>
      </w:tr>
      <w:tr w14:paraId="6560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8F5987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346A96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暂空床</w:t>
            </w:r>
          </w:p>
        </w:tc>
        <w:tc>
          <w:tcPr>
            <w:tcW w:w="1869" w:type="dxa"/>
            <w:vMerge w:val="continue"/>
            <w:noWrap w:val="0"/>
            <w:vAlign w:val="center"/>
          </w:tcPr>
          <w:p w14:paraId="3977FCF4">
            <w:pPr>
              <w:jc w:val="center"/>
              <w:rPr>
                <w:rFonts w:hint="eastAsia" w:ascii="宋体" w:hAnsi="宋体" w:eastAsia="宋体" w:cs="宋体"/>
                <w:i w:val="0"/>
                <w:iCs w:val="0"/>
                <w:color w:val="000000" w:themeColor="text1"/>
                <w:sz w:val="24"/>
                <w:szCs w:val="24"/>
                <w:u w:val="none"/>
              </w:rPr>
            </w:pPr>
          </w:p>
        </w:tc>
      </w:tr>
      <w:tr w14:paraId="369B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47BDF2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FB7F80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麻醉床</w:t>
            </w:r>
          </w:p>
        </w:tc>
        <w:tc>
          <w:tcPr>
            <w:tcW w:w="1869" w:type="dxa"/>
            <w:vMerge w:val="continue"/>
            <w:noWrap w:val="0"/>
            <w:vAlign w:val="center"/>
          </w:tcPr>
          <w:p w14:paraId="419A2BA7">
            <w:pPr>
              <w:jc w:val="center"/>
              <w:rPr>
                <w:rFonts w:hint="eastAsia" w:ascii="宋体" w:hAnsi="宋体" w:eastAsia="宋体" w:cs="宋体"/>
                <w:i w:val="0"/>
                <w:iCs w:val="0"/>
                <w:color w:val="000000" w:themeColor="text1"/>
                <w:sz w:val="24"/>
                <w:szCs w:val="24"/>
                <w:u w:val="none"/>
              </w:rPr>
            </w:pPr>
          </w:p>
        </w:tc>
      </w:tr>
      <w:tr w14:paraId="4BFB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573682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107D34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有人床整理</w:t>
            </w:r>
          </w:p>
        </w:tc>
        <w:tc>
          <w:tcPr>
            <w:tcW w:w="1869" w:type="dxa"/>
            <w:vMerge w:val="continue"/>
            <w:noWrap w:val="0"/>
            <w:vAlign w:val="center"/>
          </w:tcPr>
          <w:p w14:paraId="1A33A68E">
            <w:pPr>
              <w:jc w:val="center"/>
              <w:rPr>
                <w:rFonts w:hint="eastAsia" w:ascii="宋体" w:hAnsi="宋体" w:eastAsia="宋体" w:cs="宋体"/>
                <w:i w:val="0"/>
                <w:iCs w:val="0"/>
                <w:color w:val="000000" w:themeColor="text1"/>
                <w:sz w:val="24"/>
                <w:szCs w:val="24"/>
                <w:u w:val="none"/>
              </w:rPr>
            </w:pPr>
          </w:p>
        </w:tc>
      </w:tr>
      <w:tr w14:paraId="1923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1EBA53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C6C602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轮椅运送法</w:t>
            </w:r>
          </w:p>
        </w:tc>
        <w:tc>
          <w:tcPr>
            <w:tcW w:w="1869" w:type="dxa"/>
            <w:vMerge w:val="continue"/>
            <w:noWrap w:val="0"/>
            <w:vAlign w:val="center"/>
          </w:tcPr>
          <w:p w14:paraId="3502DE7E">
            <w:pPr>
              <w:jc w:val="center"/>
              <w:rPr>
                <w:rFonts w:hint="eastAsia" w:ascii="宋体" w:hAnsi="宋体" w:eastAsia="宋体" w:cs="宋体"/>
                <w:i w:val="0"/>
                <w:iCs w:val="0"/>
                <w:color w:val="000000" w:themeColor="text1"/>
                <w:sz w:val="24"/>
                <w:szCs w:val="24"/>
                <w:u w:val="none"/>
              </w:rPr>
            </w:pPr>
          </w:p>
        </w:tc>
      </w:tr>
      <w:tr w14:paraId="6AEE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5DB537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CF8F79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平车运送法：挪动法、一人、二人、三人</w:t>
            </w:r>
          </w:p>
        </w:tc>
        <w:tc>
          <w:tcPr>
            <w:tcW w:w="1869" w:type="dxa"/>
            <w:vMerge w:val="continue"/>
            <w:noWrap w:val="0"/>
            <w:vAlign w:val="center"/>
          </w:tcPr>
          <w:p w14:paraId="1959A8D6">
            <w:pPr>
              <w:jc w:val="center"/>
              <w:rPr>
                <w:rFonts w:hint="eastAsia" w:ascii="宋体" w:hAnsi="宋体" w:eastAsia="宋体" w:cs="宋体"/>
                <w:i w:val="0"/>
                <w:iCs w:val="0"/>
                <w:color w:val="000000" w:themeColor="text1"/>
                <w:sz w:val="24"/>
                <w:szCs w:val="24"/>
                <w:u w:val="none"/>
              </w:rPr>
            </w:pPr>
          </w:p>
        </w:tc>
      </w:tr>
      <w:tr w14:paraId="2005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E153FE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D8A037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平车运送法：四人搬运法</w:t>
            </w:r>
          </w:p>
        </w:tc>
        <w:tc>
          <w:tcPr>
            <w:tcW w:w="1869" w:type="dxa"/>
            <w:vMerge w:val="continue"/>
            <w:noWrap w:val="0"/>
            <w:vAlign w:val="center"/>
          </w:tcPr>
          <w:p w14:paraId="07E0CF32">
            <w:pPr>
              <w:jc w:val="center"/>
              <w:rPr>
                <w:rFonts w:hint="eastAsia" w:ascii="宋体" w:hAnsi="宋体" w:eastAsia="宋体" w:cs="宋体"/>
                <w:i w:val="0"/>
                <w:iCs w:val="0"/>
                <w:color w:val="000000" w:themeColor="text1"/>
                <w:sz w:val="24"/>
                <w:szCs w:val="24"/>
                <w:u w:val="none"/>
              </w:rPr>
            </w:pPr>
          </w:p>
        </w:tc>
      </w:tr>
      <w:tr w14:paraId="4189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9FFFC2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EFF72E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体温脉搏呼吸测量法</w:t>
            </w:r>
          </w:p>
        </w:tc>
        <w:tc>
          <w:tcPr>
            <w:tcW w:w="1869" w:type="dxa"/>
            <w:vMerge w:val="continue"/>
            <w:noWrap w:val="0"/>
            <w:vAlign w:val="center"/>
          </w:tcPr>
          <w:p w14:paraId="114E333D">
            <w:pPr>
              <w:jc w:val="center"/>
              <w:rPr>
                <w:rFonts w:hint="eastAsia" w:ascii="宋体" w:hAnsi="宋体" w:eastAsia="宋体" w:cs="宋体"/>
                <w:i w:val="0"/>
                <w:iCs w:val="0"/>
                <w:color w:val="000000" w:themeColor="text1"/>
                <w:sz w:val="24"/>
                <w:szCs w:val="24"/>
                <w:u w:val="none"/>
              </w:rPr>
            </w:pPr>
          </w:p>
        </w:tc>
      </w:tr>
      <w:tr w14:paraId="1F03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6DC1EA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D0AA8A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血压测量法（汞柱式）</w:t>
            </w:r>
          </w:p>
        </w:tc>
        <w:tc>
          <w:tcPr>
            <w:tcW w:w="1869" w:type="dxa"/>
            <w:vMerge w:val="continue"/>
            <w:noWrap w:val="0"/>
            <w:vAlign w:val="center"/>
          </w:tcPr>
          <w:p w14:paraId="539561E8">
            <w:pPr>
              <w:jc w:val="center"/>
              <w:rPr>
                <w:rFonts w:hint="eastAsia" w:ascii="宋体" w:hAnsi="宋体" w:eastAsia="宋体" w:cs="宋体"/>
                <w:i w:val="0"/>
                <w:iCs w:val="0"/>
                <w:color w:val="000000" w:themeColor="text1"/>
                <w:sz w:val="24"/>
                <w:szCs w:val="24"/>
                <w:u w:val="none"/>
              </w:rPr>
            </w:pPr>
          </w:p>
        </w:tc>
      </w:tr>
      <w:tr w14:paraId="639D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655831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9998CB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血压测量法（电子式）</w:t>
            </w:r>
          </w:p>
        </w:tc>
        <w:tc>
          <w:tcPr>
            <w:tcW w:w="1869" w:type="dxa"/>
            <w:vMerge w:val="continue"/>
            <w:noWrap w:val="0"/>
            <w:vAlign w:val="center"/>
          </w:tcPr>
          <w:p w14:paraId="2C1EE84C">
            <w:pPr>
              <w:jc w:val="center"/>
              <w:rPr>
                <w:rFonts w:hint="eastAsia" w:ascii="宋体" w:hAnsi="宋体" w:eastAsia="宋体" w:cs="宋体"/>
                <w:i w:val="0"/>
                <w:iCs w:val="0"/>
                <w:color w:val="000000" w:themeColor="text1"/>
                <w:sz w:val="24"/>
                <w:szCs w:val="24"/>
                <w:u w:val="none"/>
              </w:rPr>
            </w:pPr>
          </w:p>
        </w:tc>
      </w:tr>
      <w:tr w14:paraId="6691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6707BE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BA09FC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无菌持物钳的使用</w:t>
            </w:r>
          </w:p>
        </w:tc>
        <w:tc>
          <w:tcPr>
            <w:tcW w:w="1869" w:type="dxa"/>
            <w:vMerge w:val="continue"/>
            <w:noWrap w:val="0"/>
            <w:vAlign w:val="center"/>
          </w:tcPr>
          <w:p w14:paraId="4CCA035F">
            <w:pPr>
              <w:jc w:val="center"/>
              <w:rPr>
                <w:rFonts w:hint="eastAsia" w:ascii="宋体" w:hAnsi="宋体" w:eastAsia="宋体" w:cs="宋体"/>
                <w:i w:val="0"/>
                <w:iCs w:val="0"/>
                <w:color w:val="000000" w:themeColor="text1"/>
                <w:sz w:val="24"/>
                <w:szCs w:val="24"/>
                <w:u w:val="none"/>
              </w:rPr>
            </w:pPr>
          </w:p>
        </w:tc>
      </w:tr>
      <w:tr w14:paraId="3236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AB8B93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BE205F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无菌溶液的取用</w:t>
            </w:r>
          </w:p>
        </w:tc>
        <w:tc>
          <w:tcPr>
            <w:tcW w:w="1869" w:type="dxa"/>
            <w:vMerge w:val="continue"/>
            <w:noWrap w:val="0"/>
            <w:vAlign w:val="center"/>
          </w:tcPr>
          <w:p w14:paraId="6F04F185">
            <w:pPr>
              <w:jc w:val="center"/>
              <w:rPr>
                <w:rFonts w:hint="eastAsia" w:ascii="宋体" w:hAnsi="宋体" w:eastAsia="宋体" w:cs="宋体"/>
                <w:i w:val="0"/>
                <w:iCs w:val="0"/>
                <w:color w:val="000000" w:themeColor="text1"/>
                <w:sz w:val="24"/>
                <w:szCs w:val="24"/>
                <w:u w:val="none"/>
              </w:rPr>
            </w:pPr>
          </w:p>
        </w:tc>
      </w:tr>
      <w:tr w14:paraId="5D5E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F87973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0C1AA8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无菌容器的使用</w:t>
            </w:r>
          </w:p>
        </w:tc>
        <w:tc>
          <w:tcPr>
            <w:tcW w:w="1869" w:type="dxa"/>
            <w:vMerge w:val="continue"/>
            <w:noWrap w:val="0"/>
            <w:vAlign w:val="center"/>
          </w:tcPr>
          <w:p w14:paraId="7E8907B1">
            <w:pPr>
              <w:jc w:val="center"/>
              <w:rPr>
                <w:rFonts w:hint="eastAsia" w:ascii="宋体" w:hAnsi="宋体" w:eastAsia="宋体" w:cs="宋体"/>
                <w:i w:val="0"/>
                <w:iCs w:val="0"/>
                <w:color w:val="000000" w:themeColor="text1"/>
                <w:sz w:val="24"/>
                <w:szCs w:val="24"/>
                <w:u w:val="none"/>
              </w:rPr>
            </w:pPr>
          </w:p>
        </w:tc>
      </w:tr>
      <w:tr w14:paraId="055E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9EEBD8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BFED82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无菌包的使用</w:t>
            </w:r>
          </w:p>
        </w:tc>
        <w:tc>
          <w:tcPr>
            <w:tcW w:w="1869" w:type="dxa"/>
            <w:vMerge w:val="continue"/>
            <w:noWrap w:val="0"/>
            <w:vAlign w:val="center"/>
          </w:tcPr>
          <w:p w14:paraId="6E44F30A">
            <w:pPr>
              <w:jc w:val="center"/>
              <w:rPr>
                <w:rFonts w:hint="eastAsia" w:ascii="宋体" w:hAnsi="宋体" w:eastAsia="宋体" w:cs="宋体"/>
                <w:i w:val="0"/>
                <w:iCs w:val="0"/>
                <w:color w:val="000000" w:themeColor="text1"/>
                <w:sz w:val="24"/>
                <w:szCs w:val="24"/>
                <w:u w:val="none"/>
              </w:rPr>
            </w:pPr>
          </w:p>
        </w:tc>
      </w:tr>
      <w:tr w14:paraId="5EC4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947ECB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EA99D1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铺无菌盘</w:t>
            </w:r>
          </w:p>
        </w:tc>
        <w:tc>
          <w:tcPr>
            <w:tcW w:w="1869" w:type="dxa"/>
            <w:vMerge w:val="continue"/>
            <w:noWrap w:val="0"/>
            <w:vAlign w:val="center"/>
          </w:tcPr>
          <w:p w14:paraId="735DF5B7">
            <w:pPr>
              <w:jc w:val="center"/>
              <w:rPr>
                <w:rFonts w:hint="eastAsia" w:ascii="宋体" w:hAnsi="宋体" w:eastAsia="宋体" w:cs="宋体"/>
                <w:i w:val="0"/>
                <w:iCs w:val="0"/>
                <w:color w:val="000000" w:themeColor="text1"/>
                <w:sz w:val="24"/>
                <w:szCs w:val="24"/>
                <w:u w:val="none"/>
              </w:rPr>
            </w:pPr>
          </w:p>
        </w:tc>
      </w:tr>
      <w:tr w14:paraId="06F0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F79E90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D6C96E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戴无菌手套</w:t>
            </w:r>
          </w:p>
        </w:tc>
        <w:tc>
          <w:tcPr>
            <w:tcW w:w="1869" w:type="dxa"/>
            <w:vMerge w:val="continue"/>
            <w:noWrap w:val="0"/>
            <w:vAlign w:val="center"/>
          </w:tcPr>
          <w:p w14:paraId="32835CCC">
            <w:pPr>
              <w:jc w:val="center"/>
              <w:rPr>
                <w:rFonts w:hint="eastAsia" w:ascii="宋体" w:hAnsi="宋体" w:eastAsia="宋体" w:cs="宋体"/>
                <w:i w:val="0"/>
                <w:iCs w:val="0"/>
                <w:color w:val="000000" w:themeColor="text1"/>
                <w:sz w:val="24"/>
                <w:szCs w:val="24"/>
                <w:u w:val="none"/>
              </w:rPr>
            </w:pPr>
          </w:p>
        </w:tc>
      </w:tr>
      <w:tr w14:paraId="34EC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5AB021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BC6303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穿脱隔离衣</w:t>
            </w:r>
          </w:p>
        </w:tc>
        <w:tc>
          <w:tcPr>
            <w:tcW w:w="1869" w:type="dxa"/>
            <w:vMerge w:val="continue"/>
            <w:noWrap w:val="0"/>
            <w:vAlign w:val="center"/>
          </w:tcPr>
          <w:p w14:paraId="04418B91">
            <w:pPr>
              <w:jc w:val="center"/>
              <w:rPr>
                <w:rFonts w:hint="eastAsia" w:ascii="宋体" w:hAnsi="宋体" w:eastAsia="宋体" w:cs="宋体"/>
                <w:i w:val="0"/>
                <w:iCs w:val="0"/>
                <w:color w:val="000000" w:themeColor="text1"/>
                <w:sz w:val="24"/>
                <w:szCs w:val="24"/>
                <w:u w:val="none"/>
              </w:rPr>
            </w:pPr>
          </w:p>
        </w:tc>
      </w:tr>
      <w:tr w14:paraId="15EF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542998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CBA211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穿脱防护服</w:t>
            </w:r>
          </w:p>
        </w:tc>
        <w:tc>
          <w:tcPr>
            <w:tcW w:w="1869" w:type="dxa"/>
            <w:vMerge w:val="continue"/>
            <w:noWrap w:val="0"/>
            <w:vAlign w:val="center"/>
          </w:tcPr>
          <w:p w14:paraId="0F3D6001">
            <w:pPr>
              <w:jc w:val="center"/>
              <w:rPr>
                <w:rFonts w:hint="eastAsia" w:ascii="宋体" w:hAnsi="宋体" w:eastAsia="宋体" w:cs="宋体"/>
                <w:i w:val="0"/>
                <w:iCs w:val="0"/>
                <w:color w:val="000000" w:themeColor="text1"/>
                <w:sz w:val="24"/>
                <w:szCs w:val="24"/>
                <w:u w:val="none"/>
              </w:rPr>
            </w:pPr>
          </w:p>
        </w:tc>
      </w:tr>
      <w:tr w14:paraId="300B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ACC2D9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5A4AE2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洗手法</w:t>
            </w:r>
          </w:p>
        </w:tc>
        <w:tc>
          <w:tcPr>
            <w:tcW w:w="1869" w:type="dxa"/>
            <w:vMerge w:val="continue"/>
            <w:noWrap w:val="0"/>
            <w:vAlign w:val="center"/>
          </w:tcPr>
          <w:p w14:paraId="71180A63">
            <w:pPr>
              <w:jc w:val="center"/>
              <w:rPr>
                <w:rFonts w:hint="eastAsia" w:ascii="宋体" w:hAnsi="宋体" w:eastAsia="宋体" w:cs="宋体"/>
                <w:i w:val="0"/>
                <w:iCs w:val="0"/>
                <w:color w:val="000000" w:themeColor="text1"/>
                <w:sz w:val="24"/>
                <w:szCs w:val="24"/>
                <w:u w:val="none"/>
              </w:rPr>
            </w:pPr>
          </w:p>
        </w:tc>
      </w:tr>
      <w:tr w14:paraId="4EB7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030394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F2F667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口腔护理</w:t>
            </w:r>
          </w:p>
        </w:tc>
        <w:tc>
          <w:tcPr>
            <w:tcW w:w="1869" w:type="dxa"/>
            <w:vMerge w:val="continue"/>
            <w:noWrap w:val="0"/>
            <w:vAlign w:val="center"/>
          </w:tcPr>
          <w:p w14:paraId="223457CE">
            <w:pPr>
              <w:jc w:val="center"/>
              <w:rPr>
                <w:rFonts w:hint="eastAsia" w:ascii="宋体" w:hAnsi="宋体" w:eastAsia="宋体" w:cs="宋体"/>
                <w:i w:val="0"/>
                <w:iCs w:val="0"/>
                <w:color w:val="000000" w:themeColor="text1"/>
                <w:sz w:val="24"/>
                <w:szCs w:val="24"/>
                <w:u w:val="none"/>
              </w:rPr>
            </w:pPr>
          </w:p>
        </w:tc>
      </w:tr>
      <w:tr w14:paraId="5463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B47EA7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B7EAC8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鼻饲法（清醒患者）</w:t>
            </w:r>
          </w:p>
        </w:tc>
        <w:tc>
          <w:tcPr>
            <w:tcW w:w="1869" w:type="dxa"/>
            <w:vMerge w:val="continue"/>
            <w:noWrap w:val="0"/>
            <w:vAlign w:val="center"/>
          </w:tcPr>
          <w:p w14:paraId="3911A7D1">
            <w:pPr>
              <w:jc w:val="center"/>
              <w:rPr>
                <w:rFonts w:hint="eastAsia" w:ascii="宋体" w:hAnsi="宋体" w:eastAsia="宋体" w:cs="宋体"/>
                <w:i w:val="0"/>
                <w:iCs w:val="0"/>
                <w:color w:val="000000" w:themeColor="text1"/>
                <w:sz w:val="24"/>
                <w:szCs w:val="24"/>
                <w:u w:val="none"/>
              </w:rPr>
            </w:pPr>
          </w:p>
        </w:tc>
      </w:tr>
      <w:tr w14:paraId="1E74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896DC3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2E827F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鼻饲法（昏迷患者）</w:t>
            </w:r>
          </w:p>
        </w:tc>
        <w:tc>
          <w:tcPr>
            <w:tcW w:w="1869" w:type="dxa"/>
            <w:vMerge w:val="continue"/>
            <w:noWrap w:val="0"/>
            <w:vAlign w:val="center"/>
          </w:tcPr>
          <w:p w14:paraId="79CE9366">
            <w:pPr>
              <w:jc w:val="center"/>
              <w:rPr>
                <w:rFonts w:hint="eastAsia" w:ascii="宋体" w:hAnsi="宋体" w:eastAsia="宋体" w:cs="宋体"/>
                <w:i w:val="0"/>
                <w:iCs w:val="0"/>
                <w:color w:val="000000" w:themeColor="text1"/>
                <w:sz w:val="24"/>
                <w:szCs w:val="24"/>
                <w:u w:val="none"/>
              </w:rPr>
            </w:pPr>
          </w:p>
        </w:tc>
      </w:tr>
      <w:tr w14:paraId="2DEC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41FFC1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3E9AD6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口服给药</w:t>
            </w:r>
          </w:p>
        </w:tc>
        <w:tc>
          <w:tcPr>
            <w:tcW w:w="1869" w:type="dxa"/>
            <w:vMerge w:val="continue"/>
            <w:noWrap w:val="0"/>
            <w:vAlign w:val="center"/>
          </w:tcPr>
          <w:p w14:paraId="6D48408D">
            <w:pPr>
              <w:jc w:val="center"/>
              <w:rPr>
                <w:rFonts w:hint="eastAsia" w:ascii="宋体" w:hAnsi="宋体" w:eastAsia="宋体" w:cs="宋体"/>
                <w:i w:val="0"/>
                <w:iCs w:val="0"/>
                <w:color w:val="000000" w:themeColor="text1"/>
                <w:sz w:val="24"/>
                <w:szCs w:val="24"/>
                <w:u w:val="none"/>
              </w:rPr>
            </w:pPr>
          </w:p>
        </w:tc>
      </w:tr>
      <w:tr w14:paraId="3421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9F32F1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7F1A7C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雾化吸入法</w:t>
            </w:r>
          </w:p>
        </w:tc>
        <w:tc>
          <w:tcPr>
            <w:tcW w:w="1869" w:type="dxa"/>
            <w:vMerge w:val="continue"/>
            <w:noWrap w:val="0"/>
            <w:vAlign w:val="center"/>
          </w:tcPr>
          <w:p w14:paraId="229D08E2">
            <w:pPr>
              <w:jc w:val="center"/>
              <w:rPr>
                <w:rFonts w:hint="eastAsia" w:ascii="宋体" w:hAnsi="宋体" w:eastAsia="宋体" w:cs="宋体"/>
                <w:i w:val="0"/>
                <w:iCs w:val="0"/>
                <w:color w:val="000000" w:themeColor="text1"/>
                <w:sz w:val="24"/>
                <w:szCs w:val="24"/>
                <w:u w:val="none"/>
              </w:rPr>
            </w:pPr>
          </w:p>
        </w:tc>
      </w:tr>
      <w:tr w14:paraId="5CDC4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53FB42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9161B7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药液抽吸</w:t>
            </w:r>
          </w:p>
        </w:tc>
        <w:tc>
          <w:tcPr>
            <w:tcW w:w="1869" w:type="dxa"/>
            <w:vMerge w:val="continue"/>
            <w:noWrap w:val="0"/>
            <w:vAlign w:val="center"/>
          </w:tcPr>
          <w:p w14:paraId="27E135F6">
            <w:pPr>
              <w:jc w:val="center"/>
              <w:rPr>
                <w:rFonts w:hint="eastAsia" w:ascii="宋体" w:hAnsi="宋体" w:eastAsia="宋体" w:cs="宋体"/>
                <w:i w:val="0"/>
                <w:iCs w:val="0"/>
                <w:color w:val="000000" w:themeColor="text1"/>
                <w:sz w:val="24"/>
                <w:szCs w:val="24"/>
                <w:u w:val="none"/>
              </w:rPr>
            </w:pPr>
          </w:p>
        </w:tc>
      </w:tr>
      <w:tr w14:paraId="0BA2B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066266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90BFDE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肌内注射</w:t>
            </w:r>
          </w:p>
        </w:tc>
        <w:tc>
          <w:tcPr>
            <w:tcW w:w="1869" w:type="dxa"/>
            <w:vMerge w:val="continue"/>
            <w:noWrap w:val="0"/>
            <w:vAlign w:val="center"/>
          </w:tcPr>
          <w:p w14:paraId="65819A31">
            <w:pPr>
              <w:jc w:val="center"/>
              <w:rPr>
                <w:rFonts w:hint="eastAsia" w:ascii="宋体" w:hAnsi="宋体" w:eastAsia="宋体" w:cs="宋体"/>
                <w:i w:val="0"/>
                <w:iCs w:val="0"/>
                <w:color w:val="000000" w:themeColor="text1"/>
                <w:sz w:val="24"/>
                <w:szCs w:val="24"/>
                <w:u w:val="none"/>
              </w:rPr>
            </w:pPr>
          </w:p>
        </w:tc>
      </w:tr>
      <w:tr w14:paraId="56E4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692CE2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6273E5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皮下注射</w:t>
            </w:r>
          </w:p>
        </w:tc>
        <w:tc>
          <w:tcPr>
            <w:tcW w:w="1869" w:type="dxa"/>
            <w:vMerge w:val="continue"/>
            <w:noWrap w:val="0"/>
            <w:vAlign w:val="center"/>
          </w:tcPr>
          <w:p w14:paraId="1A1C9E60">
            <w:pPr>
              <w:jc w:val="center"/>
              <w:rPr>
                <w:rFonts w:hint="eastAsia" w:ascii="宋体" w:hAnsi="宋体" w:eastAsia="宋体" w:cs="宋体"/>
                <w:i w:val="0"/>
                <w:iCs w:val="0"/>
                <w:color w:val="000000" w:themeColor="text1"/>
                <w:sz w:val="24"/>
                <w:szCs w:val="24"/>
                <w:u w:val="none"/>
              </w:rPr>
            </w:pPr>
          </w:p>
        </w:tc>
      </w:tr>
      <w:tr w14:paraId="3CAA7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491A7D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F239D4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青霉素皮试液配制</w:t>
            </w:r>
          </w:p>
        </w:tc>
        <w:tc>
          <w:tcPr>
            <w:tcW w:w="1869" w:type="dxa"/>
            <w:vMerge w:val="continue"/>
            <w:noWrap w:val="0"/>
            <w:vAlign w:val="center"/>
          </w:tcPr>
          <w:p w14:paraId="7E26ECCC">
            <w:pPr>
              <w:jc w:val="center"/>
              <w:rPr>
                <w:rFonts w:hint="eastAsia" w:ascii="宋体" w:hAnsi="宋体" w:eastAsia="宋体" w:cs="宋体"/>
                <w:i w:val="0"/>
                <w:iCs w:val="0"/>
                <w:color w:val="000000" w:themeColor="text1"/>
                <w:sz w:val="24"/>
                <w:szCs w:val="24"/>
                <w:u w:val="none"/>
              </w:rPr>
            </w:pPr>
          </w:p>
        </w:tc>
      </w:tr>
      <w:tr w14:paraId="3E1C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30EB5B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4C1CEC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皮内注射</w:t>
            </w:r>
          </w:p>
        </w:tc>
        <w:tc>
          <w:tcPr>
            <w:tcW w:w="1869" w:type="dxa"/>
            <w:vMerge w:val="continue"/>
            <w:noWrap w:val="0"/>
            <w:vAlign w:val="center"/>
          </w:tcPr>
          <w:p w14:paraId="0D62D5C7">
            <w:pPr>
              <w:jc w:val="center"/>
              <w:rPr>
                <w:rFonts w:hint="eastAsia" w:ascii="宋体" w:hAnsi="宋体" w:eastAsia="宋体" w:cs="宋体"/>
                <w:i w:val="0"/>
                <w:iCs w:val="0"/>
                <w:color w:val="000000" w:themeColor="text1"/>
                <w:sz w:val="24"/>
                <w:szCs w:val="24"/>
                <w:u w:val="none"/>
              </w:rPr>
            </w:pPr>
          </w:p>
        </w:tc>
      </w:tr>
      <w:tr w14:paraId="2CF71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1DBFAD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44293C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静脉输液法（一次性钢针）</w:t>
            </w:r>
          </w:p>
        </w:tc>
        <w:tc>
          <w:tcPr>
            <w:tcW w:w="1869" w:type="dxa"/>
            <w:vMerge w:val="continue"/>
            <w:noWrap w:val="0"/>
            <w:vAlign w:val="center"/>
          </w:tcPr>
          <w:p w14:paraId="4F443699">
            <w:pPr>
              <w:jc w:val="center"/>
              <w:rPr>
                <w:rFonts w:hint="eastAsia" w:ascii="宋体" w:hAnsi="宋体" w:eastAsia="宋体" w:cs="宋体"/>
                <w:i w:val="0"/>
                <w:iCs w:val="0"/>
                <w:color w:val="000000" w:themeColor="text1"/>
                <w:sz w:val="24"/>
                <w:szCs w:val="24"/>
                <w:u w:val="none"/>
              </w:rPr>
            </w:pPr>
          </w:p>
        </w:tc>
      </w:tr>
      <w:tr w14:paraId="7C21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4D6728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26A4B0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静脉输液法（留置针）</w:t>
            </w:r>
          </w:p>
        </w:tc>
        <w:tc>
          <w:tcPr>
            <w:tcW w:w="1869" w:type="dxa"/>
            <w:vMerge w:val="continue"/>
            <w:noWrap w:val="0"/>
            <w:vAlign w:val="center"/>
          </w:tcPr>
          <w:p w14:paraId="45E81610">
            <w:pPr>
              <w:jc w:val="center"/>
              <w:rPr>
                <w:rFonts w:hint="eastAsia" w:ascii="宋体" w:hAnsi="宋体" w:eastAsia="宋体" w:cs="宋体"/>
                <w:i w:val="0"/>
                <w:iCs w:val="0"/>
                <w:color w:val="000000" w:themeColor="text1"/>
                <w:sz w:val="24"/>
                <w:szCs w:val="24"/>
                <w:u w:val="none"/>
              </w:rPr>
            </w:pPr>
          </w:p>
        </w:tc>
      </w:tr>
      <w:tr w14:paraId="0BC08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5709C8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48DB45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输液故障排除法</w:t>
            </w:r>
          </w:p>
        </w:tc>
        <w:tc>
          <w:tcPr>
            <w:tcW w:w="1869" w:type="dxa"/>
            <w:vMerge w:val="continue"/>
            <w:noWrap w:val="0"/>
            <w:vAlign w:val="center"/>
          </w:tcPr>
          <w:p w14:paraId="0736435F">
            <w:pPr>
              <w:jc w:val="center"/>
              <w:rPr>
                <w:rFonts w:hint="eastAsia" w:ascii="宋体" w:hAnsi="宋体" w:eastAsia="宋体" w:cs="宋体"/>
                <w:i w:val="0"/>
                <w:iCs w:val="0"/>
                <w:color w:val="000000" w:themeColor="text1"/>
                <w:sz w:val="24"/>
                <w:szCs w:val="24"/>
                <w:u w:val="none"/>
              </w:rPr>
            </w:pPr>
          </w:p>
        </w:tc>
      </w:tr>
      <w:tr w14:paraId="38D7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29F56B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1692A9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静脉血标本采集</w:t>
            </w:r>
          </w:p>
        </w:tc>
        <w:tc>
          <w:tcPr>
            <w:tcW w:w="1869" w:type="dxa"/>
            <w:vMerge w:val="continue"/>
            <w:noWrap w:val="0"/>
            <w:vAlign w:val="center"/>
          </w:tcPr>
          <w:p w14:paraId="35B35C7B">
            <w:pPr>
              <w:jc w:val="center"/>
              <w:rPr>
                <w:rFonts w:hint="eastAsia" w:ascii="宋体" w:hAnsi="宋体" w:eastAsia="宋体" w:cs="宋体"/>
                <w:i w:val="0"/>
                <w:iCs w:val="0"/>
                <w:color w:val="000000" w:themeColor="text1"/>
                <w:sz w:val="24"/>
                <w:szCs w:val="24"/>
                <w:u w:val="none"/>
              </w:rPr>
            </w:pPr>
          </w:p>
        </w:tc>
      </w:tr>
      <w:tr w14:paraId="15F13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3B80B7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CDDC8E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咽拭子标本采集</w:t>
            </w:r>
          </w:p>
        </w:tc>
        <w:tc>
          <w:tcPr>
            <w:tcW w:w="1869" w:type="dxa"/>
            <w:vMerge w:val="continue"/>
            <w:noWrap w:val="0"/>
            <w:vAlign w:val="center"/>
          </w:tcPr>
          <w:p w14:paraId="264B7B45">
            <w:pPr>
              <w:jc w:val="center"/>
              <w:rPr>
                <w:rFonts w:hint="eastAsia" w:ascii="宋体" w:hAnsi="宋体" w:eastAsia="宋体" w:cs="宋体"/>
                <w:i w:val="0"/>
                <w:iCs w:val="0"/>
                <w:color w:val="000000" w:themeColor="text1"/>
                <w:sz w:val="24"/>
                <w:szCs w:val="24"/>
                <w:u w:val="none"/>
              </w:rPr>
            </w:pPr>
          </w:p>
        </w:tc>
      </w:tr>
      <w:tr w14:paraId="53B2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658401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20DE55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双侧鼻导管吸氧法（氧气瓶）</w:t>
            </w:r>
          </w:p>
        </w:tc>
        <w:tc>
          <w:tcPr>
            <w:tcW w:w="1869" w:type="dxa"/>
            <w:vMerge w:val="continue"/>
            <w:noWrap w:val="0"/>
            <w:vAlign w:val="center"/>
          </w:tcPr>
          <w:p w14:paraId="5053C2B2">
            <w:pPr>
              <w:jc w:val="center"/>
              <w:rPr>
                <w:rFonts w:hint="eastAsia" w:ascii="宋体" w:hAnsi="宋体" w:eastAsia="宋体" w:cs="宋体"/>
                <w:i w:val="0"/>
                <w:iCs w:val="0"/>
                <w:color w:val="000000" w:themeColor="text1"/>
                <w:sz w:val="24"/>
                <w:szCs w:val="24"/>
                <w:u w:val="none"/>
              </w:rPr>
            </w:pPr>
          </w:p>
        </w:tc>
      </w:tr>
      <w:tr w14:paraId="7CE1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859FCE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B047B9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双侧鼻导管吸氧法（中心供氧）</w:t>
            </w:r>
          </w:p>
        </w:tc>
        <w:tc>
          <w:tcPr>
            <w:tcW w:w="1869" w:type="dxa"/>
            <w:vMerge w:val="continue"/>
            <w:noWrap w:val="0"/>
            <w:vAlign w:val="center"/>
          </w:tcPr>
          <w:p w14:paraId="54C8A4D0">
            <w:pPr>
              <w:jc w:val="center"/>
              <w:rPr>
                <w:rFonts w:hint="eastAsia" w:ascii="宋体" w:hAnsi="宋体" w:eastAsia="宋体" w:cs="宋体"/>
                <w:i w:val="0"/>
                <w:iCs w:val="0"/>
                <w:color w:val="000000" w:themeColor="text1"/>
                <w:sz w:val="24"/>
                <w:szCs w:val="24"/>
                <w:u w:val="none"/>
              </w:rPr>
            </w:pPr>
          </w:p>
        </w:tc>
      </w:tr>
      <w:tr w14:paraId="71B6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F84489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334CBF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吸痰法</w:t>
            </w:r>
          </w:p>
        </w:tc>
        <w:tc>
          <w:tcPr>
            <w:tcW w:w="1869" w:type="dxa"/>
            <w:vMerge w:val="continue"/>
            <w:noWrap w:val="0"/>
            <w:vAlign w:val="center"/>
          </w:tcPr>
          <w:p w14:paraId="463876B9">
            <w:pPr>
              <w:jc w:val="center"/>
              <w:rPr>
                <w:rFonts w:hint="eastAsia" w:ascii="宋体" w:hAnsi="宋体" w:eastAsia="宋体" w:cs="宋体"/>
                <w:i w:val="0"/>
                <w:iCs w:val="0"/>
                <w:color w:val="000000" w:themeColor="text1"/>
                <w:sz w:val="24"/>
                <w:szCs w:val="24"/>
                <w:u w:val="none"/>
              </w:rPr>
            </w:pPr>
          </w:p>
        </w:tc>
      </w:tr>
      <w:tr w14:paraId="62B18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2427A4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A85D0F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女患者导尿术（一次性）</w:t>
            </w:r>
          </w:p>
        </w:tc>
        <w:tc>
          <w:tcPr>
            <w:tcW w:w="1869" w:type="dxa"/>
            <w:vMerge w:val="continue"/>
            <w:noWrap w:val="0"/>
            <w:vAlign w:val="center"/>
          </w:tcPr>
          <w:p w14:paraId="2683E5D3">
            <w:pPr>
              <w:jc w:val="center"/>
              <w:rPr>
                <w:rFonts w:hint="eastAsia" w:ascii="宋体" w:hAnsi="宋体" w:eastAsia="宋体" w:cs="宋体"/>
                <w:i w:val="0"/>
                <w:iCs w:val="0"/>
                <w:color w:val="000000" w:themeColor="text1"/>
                <w:sz w:val="24"/>
                <w:szCs w:val="24"/>
                <w:u w:val="none"/>
              </w:rPr>
            </w:pPr>
          </w:p>
        </w:tc>
      </w:tr>
      <w:tr w14:paraId="5105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912447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8B7DCE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男患者导尿术（一次性）</w:t>
            </w:r>
          </w:p>
        </w:tc>
        <w:tc>
          <w:tcPr>
            <w:tcW w:w="1869" w:type="dxa"/>
            <w:vMerge w:val="continue"/>
            <w:noWrap w:val="0"/>
            <w:vAlign w:val="center"/>
          </w:tcPr>
          <w:p w14:paraId="10C9209A">
            <w:pPr>
              <w:jc w:val="center"/>
              <w:rPr>
                <w:rFonts w:hint="eastAsia" w:ascii="宋体" w:hAnsi="宋体" w:eastAsia="宋体" w:cs="宋体"/>
                <w:i w:val="0"/>
                <w:iCs w:val="0"/>
                <w:color w:val="000000" w:themeColor="text1"/>
                <w:sz w:val="24"/>
                <w:szCs w:val="24"/>
                <w:u w:val="none"/>
              </w:rPr>
            </w:pPr>
          </w:p>
        </w:tc>
      </w:tr>
      <w:tr w14:paraId="0F29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0BF6FD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A0EDD4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留置导尿术</w:t>
            </w:r>
          </w:p>
        </w:tc>
        <w:tc>
          <w:tcPr>
            <w:tcW w:w="1869" w:type="dxa"/>
            <w:vMerge w:val="continue"/>
            <w:noWrap w:val="0"/>
            <w:vAlign w:val="center"/>
          </w:tcPr>
          <w:p w14:paraId="75BBF5C1">
            <w:pPr>
              <w:jc w:val="center"/>
              <w:rPr>
                <w:rFonts w:hint="eastAsia" w:ascii="宋体" w:hAnsi="宋体" w:eastAsia="宋体" w:cs="宋体"/>
                <w:i w:val="0"/>
                <w:iCs w:val="0"/>
                <w:color w:val="000000" w:themeColor="text1"/>
                <w:sz w:val="24"/>
                <w:szCs w:val="24"/>
                <w:u w:val="none"/>
              </w:rPr>
            </w:pPr>
          </w:p>
        </w:tc>
      </w:tr>
      <w:tr w14:paraId="4657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051A8C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C0F5D5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大量不保留灌肠</w:t>
            </w:r>
          </w:p>
        </w:tc>
        <w:tc>
          <w:tcPr>
            <w:tcW w:w="1869" w:type="dxa"/>
            <w:vMerge w:val="continue"/>
            <w:noWrap w:val="0"/>
            <w:vAlign w:val="center"/>
          </w:tcPr>
          <w:p w14:paraId="7734774A">
            <w:pPr>
              <w:jc w:val="center"/>
              <w:rPr>
                <w:rFonts w:hint="eastAsia" w:ascii="宋体" w:hAnsi="宋体" w:eastAsia="宋体" w:cs="宋体"/>
                <w:i w:val="0"/>
                <w:iCs w:val="0"/>
                <w:color w:val="000000" w:themeColor="text1"/>
                <w:sz w:val="24"/>
                <w:szCs w:val="24"/>
                <w:u w:val="none"/>
              </w:rPr>
            </w:pPr>
          </w:p>
        </w:tc>
      </w:tr>
      <w:tr w14:paraId="24F3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27FB82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90A15F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保留灌肠</w:t>
            </w:r>
          </w:p>
        </w:tc>
        <w:tc>
          <w:tcPr>
            <w:tcW w:w="1869" w:type="dxa"/>
            <w:vMerge w:val="continue"/>
            <w:noWrap w:val="0"/>
            <w:vAlign w:val="center"/>
          </w:tcPr>
          <w:p w14:paraId="7ABF8D9D">
            <w:pPr>
              <w:jc w:val="center"/>
              <w:rPr>
                <w:rFonts w:hint="eastAsia" w:ascii="宋体" w:hAnsi="宋体" w:eastAsia="宋体" w:cs="宋体"/>
                <w:i w:val="0"/>
                <w:iCs w:val="0"/>
                <w:color w:val="000000" w:themeColor="text1"/>
                <w:sz w:val="24"/>
                <w:szCs w:val="24"/>
                <w:u w:val="none"/>
              </w:rPr>
            </w:pPr>
          </w:p>
        </w:tc>
      </w:tr>
      <w:tr w14:paraId="23C5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AB59C8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F200AD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乙醇拭浴</w:t>
            </w:r>
          </w:p>
        </w:tc>
        <w:tc>
          <w:tcPr>
            <w:tcW w:w="1869" w:type="dxa"/>
            <w:vMerge w:val="continue"/>
            <w:noWrap w:val="0"/>
            <w:vAlign w:val="center"/>
          </w:tcPr>
          <w:p w14:paraId="77F7029D">
            <w:pPr>
              <w:jc w:val="center"/>
              <w:rPr>
                <w:rFonts w:hint="eastAsia" w:ascii="宋体" w:hAnsi="宋体" w:eastAsia="宋体" w:cs="宋体"/>
                <w:i w:val="0"/>
                <w:iCs w:val="0"/>
                <w:color w:val="000000" w:themeColor="text1"/>
                <w:sz w:val="24"/>
                <w:szCs w:val="24"/>
                <w:u w:val="none"/>
              </w:rPr>
            </w:pPr>
          </w:p>
        </w:tc>
      </w:tr>
      <w:tr w14:paraId="2DC4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8AEE29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F94925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烤灯的使用</w:t>
            </w:r>
          </w:p>
        </w:tc>
        <w:tc>
          <w:tcPr>
            <w:tcW w:w="1869" w:type="dxa"/>
            <w:vMerge w:val="continue"/>
            <w:noWrap w:val="0"/>
            <w:vAlign w:val="center"/>
          </w:tcPr>
          <w:p w14:paraId="75F0DD34">
            <w:pPr>
              <w:jc w:val="center"/>
              <w:rPr>
                <w:rFonts w:hint="eastAsia" w:ascii="宋体" w:hAnsi="宋体" w:eastAsia="宋体" w:cs="宋体"/>
                <w:i w:val="0"/>
                <w:iCs w:val="0"/>
                <w:color w:val="000000" w:themeColor="text1"/>
                <w:sz w:val="24"/>
                <w:szCs w:val="24"/>
                <w:u w:val="none"/>
              </w:rPr>
            </w:pPr>
          </w:p>
        </w:tc>
      </w:tr>
      <w:tr w14:paraId="3CBA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0D60E1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E7E32E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肌内注射定位</w:t>
            </w:r>
          </w:p>
        </w:tc>
        <w:tc>
          <w:tcPr>
            <w:tcW w:w="1869" w:type="dxa"/>
            <w:vMerge w:val="restart"/>
            <w:noWrap w:val="0"/>
            <w:vAlign w:val="center"/>
          </w:tcPr>
          <w:p w14:paraId="6178CF9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动画5个</w:t>
            </w:r>
          </w:p>
        </w:tc>
      </w:tr>
      <w:tr w14:paraId="1602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17CF77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8D5377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青霉素配制</w:t>
            </w:r>
          </w:p>
        </w:tc>
        <w:tc>
          <w:tcPr>
            <w:tcW w:w="1869" w:type="dxa"/>
            <w:vMerge w:val="continue"/>
            <w:noWrap w:val="0"/>
            <w:vAlign w:val="center"/>
          </w:tcPr>
          <w:p w14:paraId="3DC25621">
            <w:pPr>
              <w:jc w:val="center"/>
              <w:rPr>
                <w:rFonts w:hint="eastAsia" w:ascii="宋体" w:hAnsi="宋体" w:eastAsia="宋体" w:cs="宋体"/>
                <w:i w:val="0"/>
                <w:iCs w:val="0"/>
                <w:color w:val="000000" w:themeColor="text1"/>
                <w:sz w:val="24"/>
                <w:szCs w:val="24"/>
                <w:u w:val="none"/>
              </w:rPr>
            </w:pPr>
          </w:p>
        </w:tc>
      </w:tr>
      <w:tr w14:paraId="0BD8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5AD0A8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E05774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静脉输液常见故障</w:t>
            </w:r>
          </w:p>
        </w:tc>
        <w:tc>
          <w:tcPr>
            <w:tcW w:w="1869" w:type="dxa"/>
            <w:vMerge w:val="continue"/>
            <w:noWrap w:val="0"/>
            <w:vAlign w:val="center"/>
          </w:tcPr>
          <w:p w14:paraId="4E72EC94">
            <w:pPr>
              <w:jc w:val="center"/>
              <w:rPr>
                <w:rFonts w:hint="eastAsia" w:ascii="宋体" w:hAnsi="宋体" w:eastAsia="宋体" w:cs="宋体"/>
                <w:i w:val="0"/>
                <w:iCs w:val="0"/>
                <w:color w:val="000000" w:themeColor="text1"/>
                <w:sz w:val="24"/>
                <w:szCs w:val="24"/>
                <w:u w:val="none"/>
              </w:rPr>
            </w:pPr>
          </w:p>
        </w:tc>
      </w:tr>
      <w:tr w14:paraId="4328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31C8AE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9AE02D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空气栓塞体位摆放原理</w:t>
            </w:r>
          </w:p>
        </w:tc>
        <w:tc>
          <w:tcPr>
            <w:tcW w:w="1869" w:type="dxa"/>
            <w:vMerge w:val="continue"/>
            <w:noWrap w:val="0"/>
            <w:vAlign w:val="center"/>
          </w:tcPr>
          <w:p w14:paraId="2FBF4E64">
            <w:pPr>
              <w:jc w:val="center"/>
              <w:rPr>
                <w:rFonts w:hint="eastAsia" w:ascii="宋体" w:hAnsi="宋体" w:eastAsia="宋体" w:cs="宋体"/>
                <w:i w:val="0"/>
                <w:iCs w:val="0"/>
                <w:color w:val="000000" w:themeColor="text1"/>
                <w:sz w:val="24"/>
                <w:szCs w:val="24"/>
                <w:u w:val="none"/>
              </w:rPr>
            </w:pPr>
          </w:p>
        </w:tc>
      </w:tr>
      <w:tr w14:paraId="71D1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3340CD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005B27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青霉素过敏机制</w:t>
            </w:r>
          </w:p>
        </w:tc>
        <w:tc>
          <w:tcPr>
            <w:tcW w:w="1869" w:type="dxa"/>
            <w:vMerge w:val="continue"/>
            <w:noWrap w:val="0"/>
            <w:vAlign w:val="center"/>
          </w:tcPr>
          <w:p w14:paraId="03699AFC">
            <w:pPr>
              <w:jc w:val="center"/>
              <w:rPr>
                <w:rFonts w:hint="eastAsia" w:ascii="宋体" w:hAnsi="宋体" w:eastAsia="宋体" w:cs="宋体"/>
                <w:i w:val="0"/>
                <w:iCs w:val="0"/>
                <w:color w:val="000000" w:themeColor="text1"/>
                <w:sz w:val="24"/>
                <w:szCs w:val="24"/>
                <w:u w:val="none"/>
              </w:rPr>
            </w:pPr>
          </w:p>
        </w:tc>
      </w:tr>
      <w:tr w14:paraId="237C0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76F9CD4A">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卫生信息技术</w:t>
            </w:r>
          </w:p>
        </w:tc>
        <w:tc>
          <w:tcPr>
            <w:tcW w:w="5318" w:type="dxa"/>
            <w:noWrap w:val="0"/>
            <w:vAlign w:val="top"/>
          </w:tcPr>
          <w:p w14:paraId="2A8CCAD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计算机的发展历史</w:t>
            </w:r>
          </w:p>
        </w:tc>
        <w:tc>
          <w:tcPr>
            <w:tcW w:w="1869" w:type="dxa"/>
            <w:vMerge w:val="restart"/>
            <w:noWrap w:val="0"/>
            <w:vAlign w:val="center"/>
          </w:tcPr>
          <w:p w14:paraId="22689638">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动画5个</w:t>
            </w:r>
          </w:p>
        </w:tc>
      </w:tr>
      <w:tr w14:paraId="1C85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DE7968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7C4543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文件名扩展名</w:t>
            </w:r>
          </w:p>
        </w:tc>
        <w:tc>
          <w:tcPr>
            <w:tcW w:w="1869" w:type="dxa"/>
            <w:vMerge w:val="continue"/>
            <w:noWrap w:val="0"/>
            <w:vAlign w:val="center"/>
          </w:tcPr>
          <w:p w14:paraId="3383B376">
            <w:pPr>
              <w:jc w:val="center"/>
              <w:rPr>
                <w:rFonts w:hint="eastAsia" w:ascii="宋体" w:hAnsi="宋体" w:eastAsia="宋体" w:cs="宋体"/>
                <w:i w:val="0"/>
                <w:iCs w:val="0"/>
                <w:color w:val="000000" w:themeColor="text1"/>
                <w:sz w:val="24"/>
                <w:szCs w:val="24"/>
                <w:u w:val="none"/>
              </w:rPr>
            </w:pPr>
          </w:p>
        </w:tc>
      </w:tr>
      <w:tr w14:paraId="3FBA2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592E44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9F69FA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计算机病毒及防治</w:t>
            </w:r>
          </w:p>
        </w:tc>
        <w:tc>
          <w:tcPr>
            <w:tcW w:w="1869" w:type="dxa"/>
            <w:vMerge w:val="continue"/>
            <w:noWrap w:val="0"/>
            <w:vAlign w:val="center"/>
          </w:tcPr>
          <w:p w14:paraId="34B45BC8">
            <w:pPr>
              <w:jc w:val="center"/>
              <w:rPr>
                <w:rFonts w:hint="eastAsia" w:ascii="宋体" w:hAnsi="宋体" w:eastAsia="宋体" w:cs="宋体"/>
                <w:i w:val="0"/>
                <w:iCs w:val="0"/>
                <w:color w:val="000000" w:themeColor="text1"/>
                <w:sz w:val="24"/>
                <w:szCs w:val="24"/>
                <w:u w:val="none"/>
              </w:rPr>
            </w:pPr>
          </w:p>
        </w:tc>
      </w:tr>
      <w:tr w14:paraId="0B34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13674C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910F87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计算机系统及工作原理</w:t>
            </w:r>
          </w:p>
        </w:tc>
        <w:tc>
          <w:tcPr>
            <w:tcW w:w="1869" w:type="dxa"/>
            <w:vMerge w:val="continue"/>
            <w:noWrap w:val="0"/>
            <w:vAlign w:val="center"/>
          </w:tcPr>
          <w:p w14:paraId="308C58C5">
            <w:pPr>
              <w:jc w:val="center"/>
              <w:rPr>
                <w:rFonts w:hint="eastAsia" w:ascii="宋体" w:hAnsi="宋体" w:eastAsia="宋体" w:cs="宋体"/>
                <w:i w:val="0"/>
                <w:iCs w:val="0"/>
                <w:color w:val="000000" w:themeColor="text1"/>
                <w:sz w:val="24"/>
                <w:szCs w:val="24"/>
                <w:u w:val="none"/>
              </w:rPr>
            </w:pPr>
          </w:p>
        </w:tc>
      </w:tr>
      <w:tr w14:paraId="5F4BB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976FB9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799BDF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医疗系统编码</w:t>
            </w:r>
          </w:p>
        </w:tc>
        <w:tc>
          <w:tcPr>
            <w:tcW w:w="1869" w:type="dxa"/>
            <w:vMerge w:val="continue"/>
            <w:noWrap w:val="0"/>
            <w:vAlign w:val="center"/>
          </w:tcPr>
          <w:p w14:paraId="7F9C786C">
            <w:pPr>
              <w:jc w:val="center"/>
              <w:rPr>
                <w:rFonts w:hint="eastAsia" w:ascii="宋体" w:hAnsi="宋体" w:eastAsia="宋体" w:cs="宋体"/>
                <w:i w:val="0"/>
                <w:iCs w:val="0"/>
                <w:color w:val="000000" w:themeColor="text1"/>
                <w:sz w:val="24"/>
                <w:szCs w:val="24"/>
                <w:u w:val="none"/>
              </w:rPr>
            </w:pPr>
          </w:p>
        </w:tc>
      </w:tr>
      <w:tr w14:paraId="46C5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999446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21471B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计算机的组装</w:t>
            </w:r>
          </w:p>
        </w:tc>
        <w:tc>
          <w:tcPr>
            <w:tcW w:w="1869" w:type="dxa"/>
            <w:vMerge w:val="restart"/>
            <w:noWrap w:val="0"/>
            <w:vAlign w:val="center"/>
          </w:tcPr>
          <w:p w14:paraId="4EA2CAC9">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微课视频26个</w:t>
            </w:r>
          </w:p>
        </w:tc>
      </w:tr>
      <w:tr w14:paraId="15ED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8BF65A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D11967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文件管理</w:t>
            </w:r>
          </w:p>
        </w:tc>
        <w:tc>
          <w:tcPr>
            <w:tcW w:w="1869" w:type="dxa"/>
            <w:vMerge w:val="continue"/>
            <w:noWrap w:val="0"/>
            <w:vAlign w:val="center"/>
          </w:tcPr>
          <w:p w14:paraId="01903B95">
            <w:pPr>
              <w:jc w:val="center"/>
              <w:rPr>
                <w:rFonts w:hint="eastAsia" w:ascii="宋体" w:hAnsi="宋体" w:eastAsia="宋体" w:cs="宋体"/>
                <w:i w:val="0"/>
                <w:iCs w:val="0"/>
                <w:color w:val="000000" w:themeColor="text1"/>
                <w:sz w:val="24"/>
                <w:szCs w:val="24"/>
                <w:u w:val="none"/>
              </w:rPr>
            </w:pPr>
          </w:p>
        </w:tc>
      </w:tr>
      <w:tr w14:paraId="5E597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DC1131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48DBBF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Word中字符段落格式设置</w:t>
            </w:r>
          </w:p>
        </w:tc>
        <w:tc>
          <w:tcPr>
            <w:tcW w:w="1869" w:type="dxa"/>
            <w:vMerge w:val="continue"/>
            <w:noWrap w:val="0"/>
            <w:vAlign w:val="center"/>
          </w:tcPr>
          <w:p w14:paraId="1757F78A">
            <w:pPr>
              <w:jc w:val="center"/>
              <w:rPr>
                <w:rFonts w:hint="eastAsia" w:ascii="宋体" w:hAnsi="宋体" w:eastAsia="宋体" w:cs="宋体"/>
                <w:i w:val="0"/>
                <w:iCs w:val="0"/>
                <w:color w:val="000000" w:themeColor="text1"/>
                <w:sz w:val="24"/>
                <w:szCs w:val="24"/>
                <w:u w:val="none"/>
              </w:rPr>
            </w:pPr>
          </w:p>
        </w:tc>
      </w:tr>
      <w:tr w14:paraId="6E63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D4041F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E49642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查找替换、设置页面边框</w:t>
            </w:r>
          </w:p>
        </w:tc>
        <w:tc>
          <w:tcPr>
            <w:tcW w:w="1869" w:type="dxa"/>
            <w:vMerge w:val="continue"/>
            <w:noWrap w:val="0"/>
            <w:vAlign w:val="center"/>
          </w:tcPr>
          <w:p w14:paraId="1EFBAEBD">
            <w:pPr>
              <w:jc w:val="center"/>
              <w:rPr>
                <w:rFonts w:hint="eastAsia" w:ascii="宋体" w:hAnsi="宋体" w:eastAsia="宋体" w:cs="宋体"/>
                <w:i w:val="0"/>
                <w:iCs w:val="0"/>
                <w:color w:val="000000" w:themeColor="text1"/>
                <w:sz w:val="24"/>
                <w:szCs w:val="24"/>
                <w:u w:val="none"/>
              </w:rPr>
            </w:pPr>
          </w:p>
        </w:tc>
      </w:tr>
      <w:tr w14:paraId="20BA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ED2EE0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79F745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页面设置</w:t>
            </w:r>
          </w:p>
        </w:tc>
        <w:tc>
          <w:tcPr>
            <w:tcW w:w="1869" w:type="dxa"/>
            <w:vMerge w:val="continue"/>
            <w:noWrap w:val="0"/>
            <w:vAlign w:val="center"/>
          </w:tcPr>
          <w:p w14:paraId="50960AD1">
            <w:pPr>
              <w:jc w:val="center"/>
              <w:rPr>
                <w:rFonts w:hint="eastAsia" w:ascii="宋体" w:hAnsi="宋体" w:eastAsia="宋体" w:cs="宋体"/>
                <w:i w:val="0"/>
                <w:iCs w:val="0"/>
                <w:color w:val="000000" w:themeColor="text1"/>
                <w:sz w:val="24"/>
                <w:szCs w:val="24"/>
                <w:u w:val="none"/>
              </w:rPr>
            </w:pPr>
          </w:p>
        </w:tc>
      </w:tr>
      <w:tr w14:paraId="0B83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C31820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84F328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图片设置</w:t>
            </w:r>
          </w:p>
        </w:tc>
        <w:tc>
          <w:tcPr>
            <w:tcW w:w="1869" w:type="dxa"/>
            <w:vMerge w:val="continue"/>
            <w:noWrap w:val="0"/>
            <w:vAlign w:val="center"/>
          </w:tcPr>
          <w:p w14:paraId="63B7306F">
            <w:pPr>
              <w:jc w:val="center"/>
              <w:rPr>
                <w:rFonts w:hint="eastAsia" w:ascii="宋体" w:hAnsi="宋体" w:eastAsia="宋体" w:cs="宋体"/>
                <w:i w:val="0"/>
                <w:iCs w:val="0"/>
                <w:color w:val="000000" w:themeColor="text1"/>
                <w:sz w:val="24"/>
                <w:szCs w:val="24"/>
                <w:u w:val="none"/>
              </w:rPr>
            </w:pPr>
          </w:p>
        </w:tc>
      </w:tr>
      <w:tr w14:paraId="5ECA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E87486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1F275C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设置艺术字</w:t>
            </w:r>
          </w:p>
        </w:tc>
        <w:tc>
          <w:tcPr>
            <w:tcW w:w="1869" w:type="dxa"/>
            <w:vMerge w:val="continue"/>
            <w:noWrap w:val="0"/>
            <w:vAlign w:val="center"/>
          </w:tcPr>
          <w:p w14:paraId="63D5C5CC">
            <w:pPr>
              <w:jc w:val="center"/>
              <w:rPr>
                <w:rFonts w:hint="eastAsia" w:ascii="宋体" w:hAnsi="宋体" w:eastAsia="宋体" w:cs="宋体"/>
                <w:i w:val="0"/>
                <w:iCs w:val="0"/>
                <w:color w:val="000000" w:themeColor="text1"/>
                <w:sz w:val="24"/>
                <w:szCs w:val="24"/>
                <w:u w:val="none"/>
              </w:rPr>
            </w:pPr>
          </w:p>
        </w:tc>
      </w:tr>
      <w:tr w14:paraId="25FA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D8B62E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4432F8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设置文本框</w:t>
            </w:r>
          </w:p>
        </w:tc>
        <w:tc>
          <w:tcPr>
            <w:tcW w:w="1869" w:type="dxa"/>
            <w:vMerge w:val="continue"/>
            <w:noWrap w:val="0"/>
            <w:vAlign w:val="center"/>
          </w:tcPr>
          <w:p w14:paraId="3FF84C16">
            <w:pPr>
              <w:jc w:val="center"/>
              <w:rPr>
                <w:rFonts w:hint="eastAsia" w:ascii="宋体" w:hAnsi="宋体" w:eastAsia="宋体" w:cs="宋体"/>
                <w:i w:val="0"/>
                <w:iCs w:val="0"/>
                <w:color w:val="000000" w:themeColor="text1"/>
                <w:sz w:val="24"/>
                <w:szCs w:val="24"/>
                <w:u w:val="none"/>
              </w:rPr>
            </w:pPr>
          </w:p>
        </w:tc>
      </w:tr>
      <w:tr w14:paraId="2C33F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19EB37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86B643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绘制图形标志</w:t>
            </w:r>
          </w:p>
        </w:tc>
        <w:tc>
          <w:tcPr>
            <w:tcW w:w="1869" w:type="dxa"/>
            <w:vMerge w:val="continue"/>
            <w:noWrap w:val="0"/>
            <w:vAlign w:val="center"/>
          </w:tcPr>
          <w:p w14:paraId="7EBBBB9A">
            <w:pPr>
              <w:jc w:val="center"/>
              <w:rPr>
                <w:rFonts w:hint="eastAsia" w:ascii="宋体" w:hAnsi="宋体" w:eastAsia="宋体" w:cs="宋体"/>
                <w:i w:val="0"/>
                <w:iCs w:val="0"/>
                <w:color w:val="000000" w:themeColor="text1"/>
                <w:sz w:val="24"/>
                <w:szCs w:val="24"/>
                <w:u w:val="none"/>
              </w:rPr>
            </w:pPr>
          </w:p>
        </w:tc>
      </w:tr>
      <w:tr w14:paraId="32D0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BC8A7A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B53BC7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设置项目编号、分栏分页</w:t>
            </w:r>
          </w:p>
        </w:tc>
        <w:tc>
          <w:tcPr>
            <w:tcW w:w="1869" w:type="dxa"/>
            <w:vMerge w:val="continue"/>
            <w:noWrap w:val="0"/>
            <w:vAlign w:val="center"/>
          </w:tcPr>
          <w:p w14:paraId="02C1786F">
            <w:pPr>
              <w:jc w:val="center"/>
              <w:rPr>
                <w:rFonts w:hint="eastAsia" w:ascii="宋体" w:hAnsi="宋体" w:eastAsia="宋体" w:cs="宋体"/>
                <w:i w:val="0"/>
                <w:iCs w:val="0"/>
                <w:color w:val="000000" w:themeColor="text1"/>
                <w:sz w:val="24"/>
                <w:szCs w:val="24"/>
                <w:u w:val="none"/>
              </w:rPr>
            </w:pPr>
          </w:p>
        </w:tc>
      </w:tr>
      <w:tr w14:paraId="59BDA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EA1396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41EB8A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让文字“住进”表格</w:t>
            </w:r>
          </w:p>
        </w:tc>
        <w:tc>
          <w:tcPr>
            <w:tcW w:w="1869" w:type="dxa"/>
            <w:vMerge w:val="continue"/>
            <w:noWrap w:val="0"/>
            <w:vAlign w:val="center"/>
          </w:tcPr>
          <w:p w14:paraId="21A37B85">
            <w:pPr>
              <w:jc w:val="center"/>
              <w:rPr>
                <w:rFonts w:hint="eastAsia" w:ascii="宋体" w:hAnsi="宋体" w:eastAsia="宋体" w:cs="宋体"/>
                <w:i w:val="0"/>
                <w:iCs w:val="0"/>
                <w:color w:val="000000" w:themeColor="text1"/>
                <w:sz w:val="24"/>
                <w:szCs w:val="24"/>
                <w:u w:val="none"/>
              </w:rPr>
            </w:pPr>
          </w:p>
        </w:tc>
      </w:tr>
      <w:tr w14:paraId="75E0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5091F6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034EC7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Excel数据录入</w:t>
            </w:r>
          </w:p>
        </w:tc>
        <w:tc>
          <w:tcPr>
            <w:tcW w:w="1869" w:type="dxa"/>
            <w:vMerge w:val="continue"/>
            <w:noWrap w:val="0"/>
            <w:vAlign w:val="center"/>
          </w:tcPr>
          <w:p w14:paraId="0FE5C21C">
            <w:pPr>
              <w:jc w:val="center"/>
              <w:rPr>
                <w:rFonts w:hint="eastAsia" w:ascii="宋体" w:hAnsi="宋体" w:eastAsia="宋体" w:cs="宋体"/>
                <w:i w:val="0"/>
                <w:iCs w:val="0"/>
                <w:color w:val="000000" w:themeColor="text1"/>
                <w:sz w:val="24"/>
                <w:szCs w:val="24"/>
                <w:u w:val="none"/>
              </w:rPr>
            </w:pPr>
          </w:p>
        </w:tc>
      </w:tr>
      <w:tr w14:paraId="09AC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1D79CB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C8BC1A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设置格式</w:t>
            </w:r>
          </w:p>
        </w:tc>
        <w:tc>
          <w:tcPr>
            <w:tcW w:w="1869" w:type="dxa"/>
            <w:vMerge w:val="continue"/>
            <w:noWrap w:val="0"/>
            <w:vAlign w:val="center"/>
          </w:tcPr>
          <w:p w14:paraId="7BC8AE9A">
            <w:pPr>
              <w:jc w:val="center"/>
              <w:rPr>
                <w:rFonts w:hint="eastAsia" w:ascii="宋体" w:hAnsi="宋体" w:eastAsia="宋体" w:cs="宋体"/>
                <w:i w:val="0"/>
                <w:iCs w:val="0"/>
                <w:color w:val="000000" w:themeColor="text1"/>
                <w:sz w:val="24"/>
                <w:szCs w:val="24"/>
                <w:u w:val="none"/>
              </w:rPr>
            </w:pPr>
          </w:p>
        </w:tc>
      </w:tr>
      <w:tr w14:paraId="1F0B0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3C5382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92D1A0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数据有效性设置、打印设置</w:t>
            </w:r>
          </w:p>
        </w:tc>
        <w:tc>
          <w:tcPr>
            <w:tcW w:w="1869" w:type="dxa"/>
            <w:vMerge w:val="continue"/>
            <w:noWrap w:val="0"/>
            <w:vAlign w:val="center"/>
          </w:tcPr>
          <w:p w14:paraId="02D11C24">
            <w:pPr>
              <w:jc w:val="center"/>
              <w:rPr>
                <w:rFonts w:hint="eastAsia" w:ascii="宋体" w:hAnsi="宋体" w:eastAsia="宋体" w:cs="宋体"/>
                <w:i w:val="0"/>
                <w:iCs w:val="0"/>
                <w:color w:val="000000" w:themeColor="text1"/>
                <w:sz w:val="24"/>
                <w:szCs w:val="24"/>
                <w:u w:val="none"/>
              </w:rPr>
            </w:pPr>
          </w:p>
        </w:tc>
      </w:tr>
      <w:tr w14:paraId="578BD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4AD38A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4C2FB4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公式函数各显神通1</w:t>
            </w:r>
          </w:p>
        </w:tc>
        <w:tc>
          <w:tcPr>
            <w:tcW w:w="1869" w:type="dxa"/>
            <w:vMerge w:val="continue"/>
            <w:noWrap w:val="0"/>
            <w:vAlign w:val="center"/>
          </w:tcPr>
          <w:p w14:paraId="0BBEE85C">
            <w:pPr>
              <w:jc w:val="center"/>
              <w:rPr>
                <w:rFonts w:hint="eastAsia" w:ascii="宋体" w:hAnsi="宋体" w:eastAsia="宋体" w:cs="宋体"/>
                <w:i w:val="0"/>
                <w:iCs w:val="0"/>
                <w:color w:val="000000" w:themeColor="text1"/>
                <w:sz w:val="24"/>
                <w:szCs w:val="24"/>
                <w:u w:val="none"/>
              </w:rPr>
            </w:pPr>
          </w:p>
        </w:tc>
      </w:tr>
      <w:tr w14:paraId="1193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FF7399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DBC4DB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公式函数各显神通2</w:t>
            </w:r>
          </w:p>
        </w:tc>
        <w:tc>
          <w:tcPr>
            <w:tcW w:w="1869" w:type="dxa"/>
            <w:vMerge w:val="continue"/>
            <w:noWrap w:val="0"/>
            <w:vAlign w:val="center"/>
          </w:tcPr>
          <w:p w14:paraId="47E29326">
            <w:pPr>
              <w:jc w:val="center"/>
              <w:rPr>
                <w:rFonts w:hint="eastAsia" w:ascii="宋体" w:hAnsi="宋体" w:eastAsia="宋体" w:cs="宋体"/>
                <w:i w:val="0"/>
                <w:iCs w:val="0"/>
                <w:color w:val="000000" w:themeColor="text1"/>
                <w:sz w:val="24"/>
                <w:szCs w:val="24"/>
                <w:u w:val="none"/>
              </w:rPr>
            </w:pPr>
          </w:p>
        </w:tc>
      </w:tr>
      <w:tr w14:paraId="1160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776D42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1A841E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数据排序</w:t>
            </w:r>
          </w:p>
        </w:tc>
        <w:tc>
          <w:tcPr>
            <w:tcW w:w="1869" w:type="dxa"/>
            <w:vMerge w:val="continue"/>
            <w:noWrap w:val="0"/>
            <w:vAlign w:val="center"/>
          </w:tcPr>
          <w:p w14:paraId="5F9ECDA7">
            <w:pPr>
              <w:jc w:val="center"/>
              <w:rPr>
                <w:rFonts w:hint="eastAsia" w:ascii="宋体" w:hAnsi="宋体" w:eastAsia="宋体" w:cs="宋体"/>
                <w:i w:val="0"/>
                <w:iCs w:val="0"/>
                <w:color w:val="000000" w:themeColor="text1"/>
                <w:sz w:val="24"/>
                <w:szCs w:val="24"/>
                <w:u w:val="none"/>
              </w:rPr>
            </w:pPr>
          </w:p>
        </w:tc>
      </w:tr>
      <w:tr w14:paraId="0F00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478AB7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803D8F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数据筛选</w:t>
            </w:r>
          </w:p>
        </w:tc>
        <w:tc>
          <w:tcPr>
            <w:tcW w:w="1869" w:type="dxa"/>
            <w:vMerge w:val="continue"/>
            <w:noWrap w:val="0"/>
            <w:vAlign w:val="center"/>
          </w:tcPr>
          <w:p w14:paraId="3B4E75C6">
            <w:pPr>
              <w:jc w:val="center"/>
              <w:rPr>
                <w:rFonts w:hint="eastAsia" w:ascii="宋体" w:hAnsi="宋体" w:eastAsia="宋体" w:cs="宋体"/>
                <w:i w:val="0"/>
                <w:iCs w:val="0"/>
                <w:color w:val="000000" w:themeColor="text1"/>
                <w:sz w:val="24"/>
                <w:szCs w:val="24"/>
                <w:u w:val="none"/>
              </w:rPr>
            </w:pPr>
          </w:p>
        </w:tc>
      </w:tr>
      <w:tr w14:paraId="2845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1F0D86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C8DBA7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图表携手，数据开口</w:t>
            </w:r>
          </w:p>
        </w:tc>
        <w:tc>
          <w:tcPr>
            <w:tcW w:w="1869" w:type="dxa"/>
            <w:vMerge w:val="continue"/>
            <w:noWrap w:val="0"/>
            <w:vAlign w:val="center"/>
          </w:tcPr>
          <w:p w14:paraId="2AEB010C">
            <w:pPr>
              <w:jc w:val="center"/>
              <w:rPr>
                <w:rFonts w:hint="eastAsia" w:ascii="宋体" w:hAnsi="宋体" w:eastAsia="宋体" w:cs="宋体"/>
                <w:i w:val="0"/>
                <w:iCs w:val="0"/>
                <w:color w:val="000000" w:themeColor="text1"/>
                <w:sz w:val="24"/>
                <w:szCs w:val="24"/>
                <w:u w:val="none"/>
              </w:rPr>
            </w:pPr>
          </w:p>
        </w:tc>
      </w:tr>
      <w:tr w14:paraId="0D57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DF5044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5D1177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新建主题文稿并设置版式</w:t>
            </w:r>
          </w:p>
        </w:tc>
        <w:tc>
          <w:tcPr>
            <w:tcW w:w="1869" w:type="dxa"/>
            <w:vMerge w:val="continue"/>
            <w:noWrap w:val="0"/>
            <w:vAlign w:val="center"/>
          </w:tcPr>
          <w:p w14:paraId="6D8A601E">
            <w:pPr>
              <w:jc w:val="center"/>
              <w:rPr>
                <w:rFonts w:hint="eastAsia" w:ascii="宋体" w:hAnsi="宋体" w:eastAsia="宋体" w:cs="宋体"/>
                <w:i w:val="0"/>
                <w:iCs w:val="0"/>
                <w:color w:val="000000" w:themeColor="text1"/>
                <w:sz w:val="24"/>
                <w:szCs w:val="24"/>
                <w:u w:val="none"/>
              </w:rPr>
            </w:pPr>
          </w:p>
        </w:tc>
      </w:tr>
      <w:tr w14:paraId="3139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166C50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B8765B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设置幻灯片母版</w:t>
            </w:r>
          </w:p>
        </w:tc>
        <w:tc>
          <w:tcPr>
            <w:tcW w:w="1869" w:type="dxa"/>
            <w:vMerge w:val="continue"/>
            <w:noWrap w:val="0"/>
            <w:vAlign w:val="center"/>
          </w:tcPr>
          <w:p w14:paraId="3633DBE7">
            <w:pPr>
              <w:jc w:val="center"/>
              <w:rPr>
                <w:rFonts w:hint="eastAsia" w:ascii="宋体" w:hAnsi="宋体" w:eastAsia="宋体" w:cs="宋体"/>
                <w:i w:val="0"/>
                <w:iCs w:val="0"/>
                <w:color w:val="000000" w:themeColor="text1"/>
                <w:sz w:val="24"/>
                <w:szCs w:val="24"/>
                <w:u w:val="none"/>
              </w:rPr>
            </w:pPr>
          </w:p>
        </w:tc>
      </w:tr>
      <w:tr w14:paraId="2E75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DE19D5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C500CD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添加并编辑幻灯片对象</w:t>
            </w:r>
          </w:p>
        </w:tc>
        <w:tc>
          <w:tcPr>
            <w:tcW w:w="1869" w:type="dxa"/>
            <w:vMerge w:val="continue"/>
            <w:noWrap w:val="0"/>
            <w:vAlign w:val="center"/>
          </w:tcPr>
          <w:p w14:paraId="42588AE6">
            <w:pPr>
              <w:jc w:val="center"/>
              <w:rPr>
                <w:rFonts w:hint="eastAsia" w:ascii="宋体" w:hAnsi="宋体" w:eastAsia="宋体" w:cs="宋体"/>
                <w:i w:val="0"/>
                <w:iCs w:val="0"/>
                <w:color w:val="000000" w:themeColor="text1"/>
                <w:sz w:val="24"/>
                <w:szCs w:val="24"/>
                <w:u w:val="none"/>
              </w:rPr>
            </w:pPr>
          </w:p>
        </w:tc>
      </w:tr>
      <w:tr w14:paraId="020BF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DD2EE5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5DA03E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自定义动画</w:t>
            </w:r>
          </w:p>
        </w:tc>
        <w:tc>
          <w:tcPr>
            <w:tcW w:w="1869" w:type="dxa"/>
            <w:vMerge w:val="continue"/>
            <w:noWrap w:val="0"/>
            <w:vAlign w:val="center"/>
          </w:tcPr>
          <w:p w14:paraId="343AF4CB">
            <w:pPr>
              <w:jc w:val="center"/>
              <w:rPr>
                <w:rFonts w:hint="eastAsia" w:ascii="宋体" w:hAnsi="宋体" w:eastAsia="宋体" w:cs="宋体"/>
                <w:i w:val="0"/>
                <w:iCs w:val="0"/>
                <w:color w:val="000000" w:themeColor="text1"/>
                <w:sz w:val="24"/>
                <w:szCs w:val="24"/>
                <w:u w:val="none"/>
              </w:rPr>
            </w:pPr>
          </w:p>
        </w:tc>
      </w:tr>
      <w:tr w14:paraId="5B7B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1EB7AA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28E82B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幻灯片切换效果设置</w:t>
            </w:r>
          </w:p>
        </w:tc>
        <w:tc>
          <w:tcPr>
            <w:tcW w:w="1869" w:type="dxa"/>
            <w:vMerge w:val="continue"/>
            <w:noWrap w:val="0"/>
            <w:vAlign w:val="center"/>
          </w:tcPr>
          <w:p w14:paraId="7E518DFC">
            <w:pPr>
              <w:jc w:val="center"/>
              <w:rPr>
                <w:rFonts w:hint="eastAsia" w:ascii="宋体" w:hAnsi="宋体" w:eastAsia="宋体" w:cs="宋体"/>
                <w:i w:val="0"/>
                <w:iCs w:val="0"/>
                <w:color w:val="000000" w:themeColor="text1"/>
                <w:sz w:val="24"/>
                <w:szCs w:val="24"/>
                <w:u w:val="none"/>
              </w:rPr>
            </w:pPr>
          </w:p>
        </w:tc>
      </w:tr>
      <w:tr w14:paraId="7E30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0E71A1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6D37E9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PPT放映新玩法</w:t>
            </w:r>
          </w:p>
        </w:tc>
        <w:tc>
          <w:tcPr>
            <w:tcW w:w="1869" w:type="dxa"/>
            <w:vMerge w:val="continue"/>
            <w:noWrap w:val="0"/>
            <w:vAlign w:val="center"/>
          </w:tcPr>
          <w:p w14:paraId="79E626D4">
            <w:pPr>
              <w:jc w:val="center"/>
              <w:rPr>
                <w:rFonts w:hint="eastAsia" w:ascii="宋体" w:hAnsi="宋体" w:eastAsia="宋体" w:cs="宋体"/>
                <w:i w:val="0"/>
                <w:iCs w:val="0"/>
                <w:color w:val="000000" w:themeColor="text1"/>
                <w:sz w:val="24"/>
                <w:szCs w:val="24"/>
                <w:u w:val="none"/>
              </w:rPr>
            </w:pPr>
          </w:p>
        </w:tc>
      </w:tr>
      <w:tr w14:paraId="0477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9E9440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734727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演示文稿的打印及打包</w:t>
            </w:r>
          </w:p>
        </w:tc>
        <w:tc>
          <w:tcPr>
            <w:tcW w:w="1869" w:type="dxa"/>
            <w:vMerge w:val="continue"/>
            <w:noWrap w:val="0"/>
            <w:vAlign w:val="center"/>
          </w:tcPr>
          <w:p w14:paraId="002C53C6">
            <w:pPr>
              <w:jc w:val="center"/>
              <w:rPr>
                <w:rFonts w:hint="eastAsia" w:ascii="宋体" w:hAnsi="宋体" w:eastAsia="宋体" w:cs="宋体"/>
                <w:i w:val="0"/>
                <w:iCs w:val="0"/>
                <w:color w:val="000000" w:themeColor="text1"/>
                <w:sz w:val="24"/>
                <w:szCs w:val="24"/>
                <w:u w:val="none"/>
              </w:rPr>
            </w:pPr>
          </w:p>
        </w:tc>
      </w:tr>
      <w:tr w14:paraId="08CD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40" w:type="dxa"/>
            <w:vMerge w:val="restart"/>
            <w:noWrap w:val="0"/>
            <w:vAlign w:val="center"/>
          </w:tcPr>
          <w:p w14:paraId="7C0B9E77">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内科护理</w:t>
            </w:r>
          </w:p>
        </w:tc>
        <w:tc>
          <w:tcPr>
            <w:tcW w:w="5318" w:type="dxa"/>
            <w:noWrap w:val="0"/>
            <w:vAlign w:val="top"/>
          </w:tcPr>
          <w:p w14:paraId="1E73380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上呼吸道感染（概念、病因、发生机制、临床表现）</w:t>
            </w:r>
          </w:p>
        </w:tc>
        <w:tc>
          <w:tcPr>
            <w:tcW w:w="1869" w:type="dxa"/>
            <w:vMerge w:val="restart"/>
            <w:noWrap w:val="0"/>
            <w:vAlign w:val="center"/>
          </w:tcPr>
          <w:p w14:paraId="22E5C0E9">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微课视频46个</w:t>
            </w:r>
          </w:p>
        </w:tc>
      </w:tr>
      <w:tr w14:paraId="6DA2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99F472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C66AFF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上呼吸道感染的（辅助检查、治疗、护理）</w:t>
            </w:r>
          </w:p>
        </w:tc>
        <w:tc>
          <w:tcPr>
            <w:tcW w:w="1869" w:type="dxa"/>
            <w:vMerge w:val="continue"/>
            <w:noWrap w:val="0"/>
            <w:vAlign w:val="center"/>
          </w:tcPr>
          <w:p w14:paraId="17905875">
            <w:pPr>
              <w:jc w:val="center"/>
              <w:rPr>
                <w:rFonts w:hint="eastAsia" w:ascii="宋体" w:hAnsi="宋体" w:eastAsia="宋体" w:cs="宋体"/>
                <w:i w:val="0"/>
                <w:iCs w:val="0"/>
                <w:color w:val="000000" w:themeColor="text1"/>
                <w:sz w:val="24"/>
                <w:szCs w:val="24"/>
                <w:u w:val="none"/>
              </w:rPr>
            </w:pPr>
          </w:p>
        </w:tc>
      </w:tr>
      <w:tr w14:paraId="707C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40" w:type="dxa"/>
            <w:vMerge w:val="continue"/>
            <w:noWrap w:val="0"/>
            <w:vAlign w:val="center"/>
          </w:tcPr>
          <w:p w14:paraId="2AAE655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5501AF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急性气管-支气管炎（临床表现、辅助检查、治疗）</w:t>
            </w:r>
          </w:p>
        </w:tc>
        <w:tc>
          <w:tcPr>
            <w:tcW w:w="1869" w:type="dxa"/>
            <w:vMerge w:val="continue"/>
            <w:noWrap w:val="0"/>
            <w:vAlign w:val="center"/>
          </w:tcPr>
          <w:p w14:paraId="08FC93E3">
            <w:pPr>
              <w:jc w:val="center"/>
              <w:rPr>
                <w:rFonts w:hint="eastAsia" w:ascii="宋体" w:hAnsi="宋体" w:eastAsia="宋体" w:cs="宋体"/>
                <w:i w:val="0"/>
                <w:iCs w:val="0"/>
                <w:color w:val="000000" w:themeColor="text1"/>
                <w:sz w:val="24"/>
                <w:szCs w:val="24"/>
                <w:u w:val="none"/>
              </w:rPr>
            </w:pPr>
          </w:p>
        </w:tc>
      </w:tr>
      <w:tr w14:paraId="2CAB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E0BD10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52C11C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支气管哮喘的发生机制</w:t>
            </w:r>
          </w:p>
        </w:tc>
        <w:tc>
          <w:tcPr>
            <w:tcW w:w="1869" w:type="dxa"/>
            <w:vMerge w:val="continue"/>
            <w:noWrap w:val="0"/>
            <w:vAlign w:val="center"/>
          </w:tcPr>
          <w:p w14:paraId="21D33906">
            <w:pPr>
              <w:jc w:val="center"/>
              <w:rPr>
                <w:rFonts w:hint="eastAsia" w:ascii="宋体" w:hAnsi="宋体" w:eastAsia="宋体" w:cs="宋体"/>
                <w:i w:val="0"/>
                <w:iCs w:val="0"/>
                <w:color w:val="000000" w:themeColor="text1"/>
                <w:sz w:val="24"/>
                <w:szCs w:val="24"/>
                <w:u w:val="none"/>
              </w:rPr>
            </w:pPr>
          </w:p>
        </w:tc>
      </w:tr>
      <w:tr w14:paraId="4712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40" w:type="dxa"/>
            <w:vMerge w:val="continue"/>
            <w:noWrap w:val="0"/>
            <w:vAlign w:val="center"/>
          </w:tcPr>
          <w:p w14:paraId="12E93E6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40F27A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大叶性肺炎（概念、病因、临床表现、辅助检查、治疗）</w:t>
            </w:r>
          </w:p>
        </w:tc>
        <w:tc>
          <w:tcPr>
            <w:tcW w:w="1869" w:type="dxa"/>
            <w:vMerge w:val="continue"/>
            <w:noWrap w:val="0"/>
            <w:vAlign w:val="center"/>
          </w:tcPr>
          <w:p w14:paraId="6F531215">
            <w:pPr>
              <w:jc w:val="center"/>
              <w:rPr>
                <w:rFonts w:hint="eastAsia" w:ascii="宋体" w:hAnsi="宋体" w:eastAsia="宋体" w:cs="宋体"/>
                <w:i w:val="0"/>
                <w:iCs w:val="0"/>
                <w:color w:val="000000" w:themeColor="text1"/>
                <w:sz w:val="24"/>
                <w:szCs w:val="24"/>
                <w:u w:val="none"/>
              </w:rPr>
            </w:pPr>
          </w:p>
        </w:tc>
      </w:tr>
      <w:tr w14:paraId="256A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3AD288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F21AB3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休克型肺炎及护理</w:t>
            </w:r>
          </w:p>
        </w:tc>
        <w:tc>
          <w:tcPr>
            <w:tcW w:w="1869" w:type="dxa"/>
            <w:vMerge w:val="continue"/>
            <w:noWrap w:val="0"/>
            <w:vAlign w:val="center"/>
          </w:tcPr>
          <w:p w14:paraId="20AF13BC">
            <w:pPr>
              <w:jc w:val="center"/>
              <w:rPr>
                <w:rFonts w:hint="eastAsia" w:ascii="宋体" w:hAnsi="宋体" w:eastAsia="宋体" w:cs="宋体"/>
                <w:i w:val="0"/>
                <w:iCs w:val="0"/>
                <w:color w:val="000000" w:themeColor="text1"/>
                <w:sz w:val="24"/>
                <w:szCs w:val="24"/>
                <w:u w:val="none"/>
              </w:rPr>
            </w:pPr>
          </w:p>
        </w:tc>
      </w:tr>
      <w:tr w14:paraId="4D64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B44C90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0C6975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肺结核（病因、发病机制）</w:t>
            </w:r>
          </w:p>
        </w:tc>
        <w:tc>
          <w:tcPr>
            <w:tcW w:w="1869" w:type="dxa"/>
            <w:vMerge w:val="continue"/>
            <w:noWrap w:val="0"/>
            <w:vAlign w:val="center"/>
          </w:tcPr>
          <w:p w14:paraId="06347A6C">
            <w:pPr>
              <w:jc w:val="center"/>
              <w:rPr>
                <w:rFonts w:hint="eastAsia" w:ascii="宋体" w:hAnsi="宋体" w:eastAsia="宋体" w:cs="宋体"/>
                <w:i w:val="0"/>
                <w:iCs w:val="0"/>
                <w:color w:val="000000" w:themeColor="text1"/>
                <w:sz w:val="24"/>
                <w:szCs w:val="24"/>
                <w:u w:val="none"/>
              </w:rPr>
            </w:pPr>
          </w:p>
        </w:tc>
      </w:tr>
      <w:tr w14:paraId="6FBE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455776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DE4FCA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肺结核（药物治疗、用药护理）</w:t>
            </w:r>
          </w:p>
        </w:tc>
        <w:tc>
          <w:tcPr>
            <w:tcW w:w="1869" w:type="dxa"/>
            <w:vMerge w:val="continue"/>
            <w:noWrap w:val="0"/>
            <w:vAlign w:val="center"/>
          </w:tcPr>
          <w:p w14:paraId="1FFD9558">
            <w:pPr>
              <w:jc w:val="center"/>
              <w:rPr>
                <w:rFonts w:hint="eastAsia" w:ascii="宋体" w:hAnsi="宋体" w:eastAsia="宋体" w:cs="宋体"/>
                <w:i w:val="0"/>
                <w:iCs w:val="0"/>
                <w:color w:val="000000" w:themeColor="text1"/>
                <w:sz w:val="24"/>
                <w:szCs w:val="24"/>
                <w:u w:val="none"/>
              </w:rPr>
            </w:pPr>
          </w:p>
        </w:tc>
      </w:tr>
      <w:tr w14:paraId="55BF0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943574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C80EF1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呼吸衰竭（概念、分类、病因、机制）</w:t>
            </w:r>
          </w:p>
        </w:tc>
        <w:tc>
          <w:tcPr>
            <w:tcW w:w="1869" w:type="dxa"/>
            <w:vMerge w:val="continue"/>
            <w:noWrap w:val="0"/>
            <w:vAlign w:val="center"/>
          </w:tcPr>
          <w:p w14:paraId="09679B13">
            <w:pPr>
              <w:jc w:val="center"/>
              <w:rPr>
                <w:rFonts w:hint="eastAsia" w:ascii="宋体" w:hAnsi="宋体" w:eastAsia="宋体" w:cs="宋体"/>
                <w:i w:val="0"/>
                <w:iCs w:val="0"/>
                <w:color w:val="000000" w:themeColor="text1"/>
                <w:sz w:val="24"/>
                <w:szCs w:val="24"/>
                <w:u w:val="none"/>
              </w:rPr>
            </w:pPr>
          </w:p>
        </w:tc>
      </w:tr>
      <w:tr w14:paraId="090D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DC1E20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5F5526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心力衰竭（概念、病因、诱因、发生机制）</w:t>
            </w:r>
          </w:p>
        </w:tc>
        <w:tc>
          <w:tcPr>
            <w:tcW w:w="1869" w:type="dxa"/>
            <w:vMerge w:val="continue"/>
            <w:noWrap w:val="0"/>
            <w:vAlign w:val="center"/>
          </w:tcPr>
          <w:p w14:paraId="6FA2F2B1">
            <w:pPr>
              <w:jc w:val="center"/>
              <w:rPr>
                <w:rFonts w:hint="eastAsia" w:ascii="宋体" w:hAnsi="宋体" w:eastAsia="宋体" w:cs="宋体"/>
                <w:i w:val="0"/>
                <w:iCs w:val="0"/>
                <w:color w:val="000000" w:themeColor="text1"/>
                <w:sz w:val="24"/>
                <w:szCs w:val="24"/>
                <w:u w:val="none"/>
              </w:rPr>
            </w:pPr>
          </w:p>
        </w:tc>
      </w:tr>
      <w:tr w14:paraId="0E5C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FB47C9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8C592C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左心衰竭（概念、发病机制、临床表现）</w:t>
            </w:r>
          </w:p>
        </w:tc>
        <w:tc>
          <w:tcPr>
            <w:tcW w:w="1869" w:type="dxa"/>
            <w:vMerge w:val="continue"/>
            <w:noWrap w:val="0"/>
            <w:vAlign w:val="center"/>
          </w:tcPr>
          <w:p w14:paraId="136ED72D">
            <w:pPr>
              <w:jc w:val="center"/>
              <w:rPr>
                <w:rFonts w:hint="eastAsia" w:ascii="宋体" w:hAnsi="宋体" w:eastAsia="宋体" w:cs="宋体"/>
                <w:i w:val="0"/>
                <w:iCs w:val="0"/>
                <w:color w:val="000000" w:themeColor="text1"/>
                <w:sz w:val="24"/>
                <w:szCs w:val="24"/>
                <w:u w:val="none"/>
              </w:rPr>
            </w:pPr>
          </w:p>
        </w:tc>
      </w:tr>
      <w:tr w14:paraId="74B0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57EBB0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774092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右心衰竭（概念、病理生理、临床表现）</w:t>
            </w:r>
          </w:p>
        </w:tc>
        <w:tc>
          <w:tcPr>
            <w:tcW w:w="1869" w:type="dxa"/>
            <w:vMerge w:val="continue"/>
            <w:noWrap w:val="0"/>
            <w:vAlign w:val="center"/>
          </w:tcPr>
          <w:p w14:paraId="71584815">
            <w:pPr>
              <w:jc w:val="center"/>
              <w:rPr>
                <w:rFonts w:hint="eastAsia" w:ascii="宋体" w:hAnsi="宋体" w:eastAsia="宋体" w:cs="宋体"/>
                <w:i w:val="0"/>
                <w:iCs w:val="0"/>
                <w:color w:val="000000" w:themeColor="text1"/>
                <w:sz w:val="24"/>
                <w:szCs w:val="24"/>
                <w:u w:val="none"/>
              </w:rPr>
            </w:pPr>
          </w:p>
        </w:tc>
      </w:tr>
      <w:tr w14:paraId="480C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040" w:type="dxa"/>
            <w:vMerge w:val="continue"/>
            <w:noWrap w:val="0"/>
            <w:vAlign w:val="center"/>
          </w:tcPr>
          <w:p w14:paraId="7E11F20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41F00C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急性左心衰竭（临床表现、抢救配合与护理）</w:t>
            </w:r>
          </w:p>
        </w:tc>
        <w:tc>
          <w:tcPr>
            <w:tcW w:w="1869" w:type="dxa"/>
            <w:vMerge w:val="continue"/>
            <w:noWrap w:val="0"/>
            <w:vAlign w:val="center"/>
          </w:tcPr>
          <w:p w14:paraId="58A536C5">
            <w:pPr>
              <w:jc w:val="center"/>
              <w:rPr>
                <w:rFonts w:hint="eastAsia" w:ascii="宋体" w:hAnsi="宋体" w:eastAsia="宋体" w:cs="宋体"/>
                <w:i w:val="0"/>
                <w:iCs w:val="0"/>
                <w:color w:val="000000" w:themeColor="text1"/>
                <w:sz w:val="24"/>
                <w:szCs w:val="24"/>
                <w:u w:val="none"/>
              </w:rPr>
            </w:pPr>
          </w:p>
        </w:tc>
      </w:tr>
      <w:tr w14:paraId="768E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F0E28D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9F4CE2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期前收缩</w:t>
            </w:r>
          </w:p>
        </w:tc>
        <w:tc>
          <w:tcPr>
            <w:tcW w:w="1869" w:type="dxa"/>
            <w:vMerge w:val="continue"/>
            <w:noWrap w:val="0"/>
            <w:vAlign w:val="center"/>
          </w:tcPr>
          <w:p w14:paraId="51F18E67">
            <w:pPr>
              <w:jc w:val="center"/>
              <w:rPr>
                <w:rFonts w:hint="eastAsia" w:ascii="宋体" w:hAnsi="宋体" w:eastAsia="宋体" w:cs="宋体"/>
                <w:i w:val="0"/>
                <w:iCs w:val="0"/>
                <w:color w:val="000000" w:themeColor="text1"/>
                <w:sz w:val="24"/>
                <w:szCs w:val="24"/>
                <w:u w:val="none"/>
              </w:rPr>
            </w:pPr>
          </w:p>
        </w:tc>
      </w:tr>
      <w:tr w14:paraId="6B0A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550263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83E8C3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窦性心律失常</w:t>
            </w:r>
          </w:p>
        </w:tc>
        <w:tc>
          <w:tcPr>
            <w:tcW w:w="1869" w:type="dxa"/>
            <w:vMerge w:val="continue"/>
            <w:noWrap w:val="0"/>
            <w:vAlign w:val="center"/>
          </w:tcPr>
          <w:p w14:paraId="27AED70B">
            <w:pPr>
              <w:jc w:val="center"/>
              <w:rPr>
                <w:rFonts w:hint="eastAsia" w:ascii="宋体" w:hAnsi="宋体" w:eastAsia="宋体" w:cs="宋体"/>
                <w:i w:val="0"/>
                <w:iCs w:val="0"/>
                <w:color w:val="000000" w:themeColor="text1"/>
                <w:sz w:val="24"/>
                <w:szCs w:val="24"/>
                <w:u w:val="none"/>
              </w:rPr>
            </w:pPr>
          </w:p>
        </w:tc>
      </w:tr>
      <w:tr w14:paraId="4A968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040" w:type="dxa"/>
            <w:vMerge w:val="continue"/>
            <w:noWrap w:val="0"/>
            <w:vAlign w:val="center"/>
          </w:tcPr>
          <w:p w14:paraId="53BF1BF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BEF1D8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房室传导阻滞心电图分析</w:t>
            </w:r>
          </w:p>
        </w:tc>
        <w:tc>
          <w:tcPr>
            <w:tcW w:w="1869" w:type="dxa"/>
            <w:vMerge w:val="continue"/>
            <w:noWrap w:val="0"/>
            <w:vAlign w:val="center"/>
          </w:tcPr>
          <w:p w14:paraId="60E020FE">
            <w:pPr>
              <w:jc w:val="center"/>
              <w:rPr>
                <w:rFonts w:hint="eastAsia" w:ascii="宋体" w:hAnsi="宋体" w:eastAsia="宋体" w:cs="宋体"/>
                <w:i w:val="0"/>
                <w:iCs w:val="0"/>
                <w:color w:val="000000" w:themeColor="text1"/>
                <w:sz w:val="24"/>
                <w:szCs w:val="24"/>
                <w:u w:val="none"/>
              </w:rPr>
            </w:pPr>
          </w:p>
        </w:tc>
      </w:tr>
      <w:tr w14:paraId="1620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A6D581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53AD2D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心室颤动</w:t>
            </w:r>
          </w:p>
        </w:tc>
        <w:tc>
          <w:tcPr>
            <w:tcW w:w="1869" w:type="dxa"/>
            <w:vMerge w:val="continue"/>
            <w:noWrap w:val="0"/>
            <w:vAlign w:val="center"/>
          </w:tcPr>
          <w:p w14:paraId="5268E21C">
            <w:pPr>
              <w:jc w:val="center"/>
              <w:rPr>
                <w:rFonts w:hint="eastAsia" w:ascii="宋体" w:hAnsi="宋体" w:eastAsia="宋体" w:cs="宋体"/>
                <w:i w:val="0"/>
                <w:iCs w:val="0"/>
                <w:color w:val="000000" w:themeColor="text1"/>
                <w:sz w:val="24"/>
                <w:szCs w:val="24"/>
                <w:u w:val="none"/>
              </w:rPr>
            </w:pPr>
          </w:p>
        </w:tc>
      </w:tr>
      <w:tr w14:paraId="56374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C9EC7A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A4F75A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高血压急症的治疗及护理</w:t>
            </w:r>
          </w:p>
        </w:tc>
        <w:tc>
          <w:tcPr>
            <w:tcW w:w="1869" w:type="dxa"/>
            <w:vMerge w:val="continue"/>
            <w:noWrap w:val="0"/>
            <w:vAlign w:val="center"/>
          </w:tcPr>
          <w:p w14:paraId="3A776316">
            <w:pPr>
              <w:jc w:val="center"/>
              <w:rPr>
                <w:rFonts w:hint="eastAsia" w:ascii="宋体" w:hAnsi="宋体" w:eastAsia="宋体" w:cs="宋体"/>
                <w:i w:val="0"/>
                <w:iCs w:val="0"/>
                <w:color w:val="000000" w:themeColor="text1"/>
                <w:sz w:val="24"/>
                <w:szCs w:val="24"/>
                <w:u w:val="none"/>
              </w:rPr>
            </w:pPr>
          </w:p>
        </w:tc>
      </w:tr>
      <w:tr w14:paraId="6BCB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AD8A4B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F57A5C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高血压生活方式指导</w:t>
            </w:r>
          </w:p>
        </w:tc>
        <w:tc>
          <w:tcPr>
            <w:tcW w:w="1869" w:type="dxa"/>
            <w:vMerge w:val="continue"/>
            <w:noWrap w:val="0"/>
            <w:vAlign w:val="center"/>
          </w:tcPr>
          <w:p w14:paraId="0335D13A">
            <w:pPr>
              <w:jc w:val="center"/>
              <w:rPr>
                <w:rFonts w:hint="eastAsia" w:ascii="宋体" w:hAnsi="宋体" w:eastAsia="宋体" w:cs="宋体"/>
                <w:i w:val="0"/>
                <w:iCs w:val="0"/>
                <w:color w:val="000000" w:themeColor="text1"/>
                <w:sz w:val="24"/>
                <w:szCs w:val="24"/>
                <w:u w:val="none"/>
              </w:rPr>
            </w:pPr>
          </w:p>
        </w:tc>
      </w:tr>
      <w:tr w14:paraId="7920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D43BD9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7DEE0D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心绞痛</w:t>
            </w:r>
          </w:p>
        </w:tc>
        <w:tc>
          <w:tcPr>
            <w:tcW w:w="1869" w:type="dxa"/>
            <w:vMerge w:val="continue"/>
            <w:noWrap w:val="0"/>
            <w:vAlign w:val="center"/>
          </w:tcPr>
          <w:p w14:paraId="3ADB3F10">
            <w:pPr>
              <w:jc w:val="center"/>
              <w:rPr>
                <w:rFonts w:hint="eastAsia" w:ascii="宋体" w:hAnsi="宋体" w:eastAsia="宋体" w:cs="宋体"/>
                <w:i w:val="0"/>
                <w:iCs w:val="0"/>
                <w:color w:val="000000" w:themeColor="text1"/>
                <w:sz w:val="24"/>
                <w:szCs w:val="24"/>
                <w:u w:val="none"/>
              </w:rPr>
            </w:pPr>
          </w:p>
        </w:tc>
      </w:tr>
      <w:tr w14:paraId="2137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448CB3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3CF8AA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心肌梗死</w:t>
            </w:r>
          </w:p>
        </w:tc>
        <w:tc>
          <w:tcPr>
            <w:tcW w:w="1869" w:type="dxa"/>
            <w:vMerge w:val="continue"/>
            <w:noWrap w:val="0"/>
            <w:vAlign w:val="center"/>
          </w:tcPr>
          <w:p w14:paraId="5358AE64">
            <w:pPr>
              <w:jc w:val="center"/>
              <w:rPr>
                <w:rFonts w:hint="eastAsia" w:ascii="宋体" w:hAnsi="宋体" w:eastAsia="宋体" w:cs="宋体"/>
                <w:i w:val="0"/>
                <w:iCs w:val="0"/>
                <w:color w:val="000000" w:themeColor="text1"/>
                <w:sz w:val="24"/>
                <w:szCs w:val="24"/>
                <w:u w:val="none"/>
              </w:rPr>
            </w:pPr>
          </w:p>
        </w:tc>
      </w:tr>
      <w:tr w14:paraId="70BD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608347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8C5FDD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门脉高压症的表现及形成机制</w:t>
            </w:r>
          </w:p>
        </w:tc>
        <w:tc>
          <w:tcPr>
            <w:tcW w:w="1869" w:type="dxa"/>
            <w:vMerge w:val="continue"/>
            <w:noWrap w:val="0"/>
            <w:vAlign w:val="center"/>
          </w:tcPr>
          <w:p w14:paraId="169A03BB">
            <w:pPr>
              <w:jc w:val="center"/>
              <w:rPr>
                <w:rFonts w:hint="eastAsia" w:ascii="宋体" w:hAnsi="宋体" w:eastAsia="宋体" w:cs="宋体"/>
                <w:i w:val="0"/>
                <w:iCs w:val="0"/>
                <w:color w:val="000000" w:themeColor="text1"/>
                <w:sz w:val="24"/>
                <w:szCs w:val="24"/>
                <w:u w:val="none"/>
              </w:rPr>
            </w:pPr>
          </w:p>
        </w:tc>
      </w:tr>
      <w:tr w14:paraId="1357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2FED69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19AAE0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腹水的生成机制、治疗及护理</w:t>
            </w:r>
          </w:p>
        </w:tc>
        <w:tc>
          <w:tcPr>
            <w:tcW w:w="1869" w:type="dxa"/>
            <w:vMerge w:val="continue"/>
            <w:noWrap w:val="0"/>
            <w:vAlign w:val="center"/>
          </w:tcPr>
          <w:p w14:paraId="1D8785DE">
            <w:pPr>
              <w:jc w:val="center"/>
              <w:rPr>
                <w:rFonts w:hint="eastAsia" w:ascii="宋体" w:hAnsi="宋体" w:eastAsia="宋体" w:cs="宋体"/>
                <w:i w:val="0"/>
                <w:iCs w:val="0"/>
                <w:color w:val="000000" w:themeColor="text1"/>
                <w:sz w:val="24"/>
                <w:szCs w:val="24"/>
                <w:u w:val="none"/>
              </w:rPr>
            </w:pPr>
          </w:p>
        </w:tc>
      </w:tr>
      <w:tr w14:paraId="55F2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1544B9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620967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尿路感染（病因、发病机制）</w:t>
            </w:r>
          </w:p>
        </w:tc>
        <w:tc>
          <w:tcPr>
            <w:tcW w:w="1869" w:type="dxa"/>
            <w:vMerge w:val="continue"/>
            <w:noWrap w:val="0"/>
            <w:vAlign w:val="center"/>
          </w:tcPr>
          <w:p w14:paraId="6B878AC6">
            <w:pPr>
              <w:jc w:val="center"/>
              <w:rPr>
                <w:rFonts w:hint="eastAsia" w:ascii="宋体" w:hAnsi="宋体" w:eastAsia="宋体" w:cs="宋体"/>
                <w:i w:val="0"/>
                <w:iCs w:val="0"/>
                <w:color w:val="000000" w:themeColor="text1"/>
                <w:sz w:val="24"/>
                <w:szCs w:val="24"/>
                <w:u w:val="none"/>
              </w:rPr>
            </w:pPr>
          </w:p>
        </w:tc>
      </w:tr>
      <w:tr w14:paraId="4311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9BD486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AAAC44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慢性肾衰竭（发生机制、临床表现）</w:t>
            </w:r>
          </w:p>
        </w:tc>
        <w:tc>
          <w:tcPr>
            <w:tcW w:w="1869" w:type="dxa"/>
            <w:vMerge w:val="continue"/>
            <w:noWrap w:val="0"/>
            <w:vAlign w:val="center"/>
          </w:tcPr>
          <w:p w14:paraId="509C22C4">
            <w:pPr>
              <w:jc w:val="center"/>
              <w:rPr>
                <w:rFonts w:hint="eastAsia" w:ascii="宋体" w:hAnsi="宋体" w:eastAsia="宋体" w:cs="宋体"/>
                <w:i w:val="0"/>
                <w:iCs w:val="0"/>
                <w:color w:val="000000" w:themeColor="text1"/>
                <w:sz w:val="24"/>
                <w:szCs w:val="24"/>
                <w:u w:val="none"/>
              </w:rPr>
            </w:pPr>
          </w:p>
        </w:tc>
      </w:tr>
      <w:tr w14:paraId="32BD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DF0F12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DDC322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消化性溃疡的病因与发病机制</w:t>
            </w:r>
          </w:p>
        </w:tc>
        <w:tc>
          <w:tcPr>
            <w:tcW w:w="1869" w:type="dxa"/>
            <w:vMerge w:val="continue"/>
            <w:noWrap w:val="0"/>
            <w:vAlign w:val="center"/>
          </w:tcPr>
          <w:p w14:paraId="01F82945">
            <w:pPr>
              <w:jc w:val="center"/>
              <w:rPr>
                <w:rFonts w:hint="eastAsia" w:ascii="宋体" w:hAnsi="宋体" w:eastAsia="宋体" w:cs="宋体"/>
                <w:i w:val="0"/>
                <w:iCs w:val="0"/>
                <w:color w:val="000000" w:themeColor="text1"/>
                <w:sz w:val="24"/>
                <w:szCs w:val="24"/>
                <w:u w:val="none"/>
              </w:rPr>
            </w:pPr>
          </w:p>
        </w:tc>
      </w:tr>
      <w:tr w14:paraId="685A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1AE1F2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946008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消化性溃疡的症状和并发症</w:t>
            </w:r>
          </w:p>
        </w:tc>
        <w:tc>
          <w:tcPr>
            <w:tcW w:w="1869" w:type="dxa"/>
            <w:vMerge w:val="continue"/>
            <w:noWrap w:val="0"/>
            <w:vAlign w:val="center"/>
          </w:tcPr>
          <w:p w14:paraId="59821A02">
            <w:pPr>
              <w:jc w:val="center"/>
              <w:rPr>
                <w:rFonts w:hint="eastAsia" w:ascii="宋体" w:hAnsi="宋体" w:eastAsia="宋体" w:cs="宋体"/>
                <w:i w:val="0"/>
                <w:iCs w:val="0"/>
                <w:color w:val="000000" w:themeColor="text1"/>
                <w:sz w:val="24"/>
                <w:szCs w:val="24"/>
                <w:u w:val="none"/>
              </w:rPr>
            </w:pPr>
          </w:p>
        </w:tc>
      </w:tr>
      <w:tr w14:paraId="6EB7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58C72D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641441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急性胰腺炎的临床表现</w:t>
            </w:r>
          </w:p>
        </w:tc>
        <w:tc>
          <w:tcPr>
            <w:tcW w:w="1869" w:type="dxa"/>
            <w:vMerge w:val="continue"/>
            <w:noWrap w:val="0"/>
            <w:vAlign w:val="center"/>
          </w:tcPr>
          <w:p w14:paraId="39B36001">
            <w:pPr>
              <w:jc w:val="center"/>
              <w:rPr>
                <w:rFonts w:hint="eastAsia" w:ascii="宋体" w:hAnsi="宋体" w:eastAsia="宋体" w:cs="宋体"/>
                <w:i w:val="0"/>
                <w:iCs w:val="0"/>
                <w:color w:val="000000" w:themeColor="text1"/>
                <w:sz w:val="24"/>
                <w:szCs w:val="24"/>
                <w:u w:val="none"/>
              </w:rPr>
            </w:pPr>
          </w:p>
        </w:tc>
      </w:tr>
      <w:tr w14:paraId="4B0F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C69754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244515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急性胰腺炎的护理措施</w:t>
            </w:r>
          </w:p>
        </w:tc>
        <w:tc>
          <w:tcPr>
            <w:tcW w:w="1869" w:type="dxa"/>
            <w:vMerge w:val="continue"/>
            <w:noWrap w:val="0"/>
            <w:vAlign w:val="center"/>
          </w:tcPr>
          <w:p w14:paraId="25737755">
            <w:pPr>
              <w:jc w:val="center"/>
              <w:rPr>
                <w:rFonts w:hint="eastAsia" w:ascii="宋体" w:hAnsi="宋体" w:eastAsia="宋体" w:cs="宋体"/>
                <w:i w:val="0"/>
                <w:iCs w:val="0"/>
                <w:color w:val="000000" w:themeColor="text1"/>
                <w:sz w:val="24"/>
                <w:szCs w:val="24"/>
                <w:u w:val="none"/>
              </w:rPr>
            </w:pPr>
          </w:p>
        </w:tc>
      </w:tr>
      <w:tr w14:paraId="5980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C8A1D7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F2C564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血液系统概述（解剖生理、常见症状）</w:t>
            </w:r>
          </w:p>
        </w:tc>
        <w:tc>
          <w:tcPr>
            <w:tcW w:w="1869" w:type="dxa"/>
            <w:vMerge w:val="continue"/>
            <w:noWrap w:val="0"/>
            <w:vAlign w:val="center"/>
          </w:tcPr>
          <w:p w14:paraId="6A5BAB33">
            <w:pPr>
              <w:jc w:val="center"/>
              <w:rPr>
                <w:rFonts w:hint="eastAsia" w:ascii="宋体" w:hAnsi="宋体" w:eastAsia="宋体" w:cs="宋体"/>
                <w:i w:val="0"/>
                <w:iCs w:val="0"/>
                <w:color w:val="000000" w:themeColor="text1"/>
                <w:sz w:val="24"/>
                <w:szCs w:val="24"/>
                <w:u w:val="none"/>
              </w:rPr>
            </w:pPr>
          </w:p>
        </w:tc>
      </w:tr>
      <w:tr w14:paraId="0D89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9734C7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713498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再生障碍性贫血（病因、机制、临床表现）</w:t>
            </w:r>
          </w:p>
        </w:tc>
        <w:tc>
          <w:tcPr>
            <w:tcW w:w="1869" w:type="dxa"/>
            <w:vMerge w:val="continue"/>
            <w:noWrap w:val="0"/>
            <w:vAlign w:val="center"/>
          </w:tcPr>
          <w:p w14:paraId="1E86D8BE">
            <w:pPr>
              <w:jc w:val="center"/>
              <w:rPr>
                <w:rFonts w:hint="eastAsia" w:ascii="宋体" w:hAnsi="宋体" w:eastAsia="宋体" w:cs="宋体"/>
                <w:i w:val="0"/>
                <w:iCs w:val="0"/>
                <w:color w:val="000000" w:themeColor="text1"/>
                <w:sz w:val="24"/>
                <w:szCs w:val="24"/>
                <w:u w:val="none"/>
              </w:rPr>
            </w:pPr>
          </w:p>
        </w:tc>
      </w:tr>
      <w:tr w14:paraId="12D0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E87E4D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975523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缺铁性贫血（发病机制、治疗、用药护理）</w:t>
            </w:r>
          </w:p>
        </w:tc>
        <w:tc>
          <w:tcPr>
            <w:tcW w:w="1869" w:type="dxa"/>
            <w:vMerge w:val="continue"/>
            <w:noWrap w:val="0"/>
            <w:vAlign w:val="center"/>
          </w:tcPr>
          <w:p w14:paraId="7BAB3B99">
            <w:pPr>
              <w:jc w:val="center"/>
              <w:rPr>
                <w:rFonts w:hint="eastAsia" w:ascii="宋体" w:hAnsi="宋体" w:eastAsia="宋体" w:cs="宋体"/>
                <w:i w:val="0"/>
                <w:iCs w:val="0"/>
                <w:color w:val="000000" w:themeColor="text1"/>
                <w:sz w:val="24"/>
                <w:szCs w:val="24"/>
                <w:u w:val="none"/>
              </w:rPr>
            </w:pPr>
          </w:p>
        </w:tc>
      </w:tr>
      <w:tr w14:paraId="78E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D7A803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EAC0E3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急性白血病（化学药物治疗、用药护理）</w:t>
            </w:r>
          </w:p>
        </w:tc>
        <w:tc>
          <w:tcPr>
            <w:tcW w:w="1869" w:type="dxa"/>
            <w:vMerge w:val="continue"/>
            <w:noWrap w:val="0"/>
            <w:vAlign w:val="center"/>
          </w:tcPr>
          <w:p w14:paraId="536F2A69">
            <w:pPr>
              <w:jc w:val="center"/>
              <w:rPr>
                <w:rFonts w:hint="eastAsia" w:ascii="宋体" w:hAnsi="宋体" w:eastAsia="宋体" w:cs="宋体"/>
                <w:i w:val="0"/>
                <w:iCs w:val="0"/>
                <w:color w:val="000000" w:themeColor="text1"/>
                <w:sz w:val="24"/>
                <w:szCs w:val="24"/>
                <w:u w:val="none"/>
              </w:rPr>
            </w:pPr>
          </w:p>
        </w:tc>
      </w:tr>
      <w:tr w14:paraId="6B10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A2B94F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ED15B0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系统性红斑狼疮的生活护理</w:t>
            </w:r>
          </w:p>
        </w:tc>
        <w:tc>
          <w:tcPr>
            <w:tcW w:w="1869" w:type="dxa"/>
            <w:vMerge w:val="continue"/>
            <w:noWrap w:val="0"/>
            <w:vAlign w:val="center"/>
          </w:tcPr>
          <w:p w14:paraId="6AF4E954">
            <w:pPr>
              <w:jc w:val="center"/>
              <w:rPr>
                <w:rFonts w:hint="eastAsia" w:ascii="宋体" w:hAnsi="宋体" w:eastAsia="宋体" w:cs="宋体"/>
                <w:i w:val="0"/>
                <w:iCs w:val="0"/>
                <w:color w:val="000000" w:themeColor="text1"/>
                <w:sz w:val="24"/>
                <w:szCs w:val="24"/>
                <w:u w:val="none"/>
              </w:rPr>
            </w:pPr>
          </w:p>
        </w:tc>
      </w:tr>
      <w:tr w14:paraId="29D6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93C959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BA3BFF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类风湿性关节炎的表现</w:t>
            </w:r>
          </w:p>
        </w:tc>
        <w:tc>
          <w:tcPr>
            <w:tcW w:w="1869" w:type="dxa"/>
            <w:vMerge w:val="continue"/>
            <w:noWrap w:val="0"/>
            <w:vAlign w:val="center"/>
          </w:tcPr>
          <w:p w14:paraId="3E236970">
            <w:pPr>
              <w:jc w:val="center"/>
              <w:rPr>
                <w:rFonts w:hint="eastAsia" w:ascii="宋体" w:hAnsi="宋体" w:eastAsia="宋体" w:cs="宋体"/>
                <w:i w:val="0"/>
                <w:iCs w:val="0"/>
                <w:color w:val="000000" w:themeColor="text1"/>
                <w:sz w:val="24"/>
                <w:szCs w:val="24"/>
                <w:u w:val="none"/>
              </w:rPr>
            </w:pPr>
          </w:p>
        </w:tc>
      </w:tr>
      <w:tr w14:paraId="7F7A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790619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48701E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甲亢（甲状腺解剖生理、临床表现）</w:t>
            </w:r>
          </w:p>
        </w:tc>
        <w:tc>
          <w:tcPr>
            <w:tcW w:w="1869" w:type="dxa"/>
            <w:vMerge w:val="continue"/>
            <w:noWrap w:val="0"/>
            <w:vAlign w:val="center"/>
          </w:tcPr>
          <w:p w14:paraId="0995ABC1">
            <w:pPr>
              <w:jc w:val="center"/>
              <w:rPr>
                <w:rFonts w:hint="eastAsia" w:ascii="宋体" w:hAnsi="宋体" w:eastAsia="宋体" w:cs="宋体"/>
                <w:i w:val="0"/>
                <w:iCs w:val="0"/>
                <w:color w:val="000000" w:themeColor="text1"/>
                <w:sz w:val="24"/>
                <w:szCs w:val="24"/>
                <w:u w:val="none"/>
              </w:rPr>
            </w:pPr>
          </w:p>
        </w:tc>
      </w:tr>
      <w:tr w14:paraId="49B7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918614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70B573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甲亢危象的发生机制及护理</w:t>
            </w:r>
          </w:p>
        </w:tc>
        <w:tc>
          <w:tcPr>
            <w:tcW w:w="1869" w:type="dxa"/>
            <w:vMerge w:val="continue"/>
            <w:noWrap w:val="0"/>
            <w:vAlign w:val="center"/>
          </w:tcPr>
          <w:p w14:paraId="73C2C06B">
            <w:pPr>
              <w:jc w:val="center"/>
              <w:rPr>
                <w:rFonts w:hint="eastAsia" w:ascii="宋体" w:hAnsi="宋体" w:eastAsia="宋体" w:cs="宋体"/>
                <w:i w:val="0"/>
                <w:iCs w:val="0"/>
                <w:color w:val="000000" w:themeColor="text1"/>
                <w:sz w:val="24"/>
                <w:szCs w:val="24"/>
                <w:u w:val="none"/>
              </w:rPr>
            </w:pPr>
          </w:p>
        </w:tc>
      </w:tr>
      <w:tr w14:paraId="4D01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9718E0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7C96DE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血糖监测的指导</w:t>
            </w:r>
          </w:p>
        </w:tc>
        <w:tc>
          <w:tcPr>
            <w:tcW w:w="1869" w:type="dxa"/>
            <w:vMerge w:val="continue"/>
            <w:noWrap w:val="0"/>
            <w:vAlign w:val="center"/>
          </w:tcPr>
          <w:p w14:paraId="7AE697A2">
            <w:pPr>
              <w:jc w:val="center"/>
              <w:rPr>
                <w:rFonts w:hint="eastAsia" w:ascii="宋体" w:hAnsi="宋体" w:eastAsia="宋体" w:cs="宋体"/>
                <w:i w:val="0"/>
                <w:iCs w:val="0"/>
                <w:color w:val="000000" w:themeColor="text1"/>
                <w:sz w:val="24"/>
                <w:szCs w:val="24"/>
                <w:u w:val="none"/>
              </w:rPr>
            </w:pPr>
          </w:p>
        </w:tc>
      </w:tr>
      <w:tr w14:paraId="5E26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E68FCD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571141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胰岛素皮下注射的指导</w:t>
            </w:r>
          </w:p>
        </w:tc>
        <w:tc>
          <w:tcPr>
            <w:tcW w:w="1869" w:type="dxa"/>
            <w:vMerge w:val="continue"/>
            <w:noWrap w:val="0"/>
            <w:vAlign w:val="center"/>
          </w:tcPr>
          <w:p w14:paraId="06D7E417">
            <w:pPr>
              <w:jc w:val="center"/>
              <w:rPr>
                <w:rFonts w:hint="eastAsia" w:ascii="宋体" w:hAnsi="宋体" w:eastAsia="宋体" w:cs="宋体"/>
                <w:i w:val="0"/>
                <w:iCs w:val="0"/>
                <w:color w:val="000000" w:themeColor="text1"/>
                <w:sz w:val="24"/>
                <w:szCs w:val="24"/>
                <w:u w:val="none"/>
              </w:rPr>
            </w:pPr>
          </w:p>
        </w:tc>
      </w:tr>
      <w:tr w14:paraId="4C5D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246DC1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C79361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2型糖尿病的发生机制</w:t>
            </w:r>
          </w:p>
        </w:tc>
        <w:tc>
          <w:tcPr>
            <w:tcW w:w="1869" w:type="dxa"/>
            <w:vMerge w:val="continue"/>
            <w:noWrap w:val="0"/>
            <w:vAlign w:val="center"/>
          </w:tcPr>
          <w:p w14:paraId="11BC33DA">
            <w:pPr>
              <w:jc w:val="center"/>
              <w:rPr>
                <w:rFonts w:hint="eastAsia" w:ascii="宋体" w:hAnsi="宋体" w:eastAsia="宋体" w:cs="宋体"/>
                <w:i w:val="0"/>
                <w:iCs w:val="0"/>
                <w:color w:val="000000" w:themeColor="text1"/>
                <w:sz w:val="24"/>
                <w:szCs w:val="24"/>
                <w:u w:val="none"/>
              </w:rPr>
            </w:pPr>
          </w:p>
        </w:tc>
      </w:tr>
      <w:tr w14:paraId="4CB5B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C79F6A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1F6753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DKA的护理</w:t>
            </w:r>
          </w:p>
        </w:tc>
        <w:tc>
          <w:tcPr>
            <w:tcW w:w="1869" w:type="dxa"/>
            <w:vMerge w:val="continue"/>
            <w:noWrap w:val="0"/>
            <w:vAlign w:val="center"/>
          </w:tcPr>
          <w:p w14:paraId="5A011E16">
            <w:pPr>
              <w:jc w:val="center"/>
              <w:rPr>
                <w:rFonts w:hint="eastAsia" w:ascii="宋体" w:hAnsi="宋体" w:eastAsia="宋体" w:cs="宋体"/>
                <w:i w:val="0"/>
                <w:iCs w:val="0"/>
                <w:color w:val="000000" w:themeColor="text1"/>
                <w:sz w:val="24"/>
                <w:szCs w:val="24"/>
                <w:u w:val="none"/>
              </w:rPr>
            </w:pPr>
          </w:p>
        </w:tc>
      </w:tr>
      <w:tr w14:paraId="357E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0B59E1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C72FDF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脑卒中的早期识别</w:t>
            </w:r>
          </w:p>
        </w:tc>
        <w:tc>
          <w:tcPr>
            <w:tcW w:w="1869" w:type="dxa"/>
            <w:vMerge w:val="continue"/>
            <w:noWrap w:val="0"/>
            <w:vAlign w:val="center"/>
          </w:tcPr>
          <w:p w14:paraId="518F2813">
            <w:pPr>
              <w:jc w:val="center"/>
              <w:rPr>
                <w:rFonts w:hint="eastAsia" w:ascii="宋体" w:hAnsi="宋体" w:eastAsia="宋体" w:cs="宋体"/>
                <w:i w:val="0"/>
                <w:iCs w:val="0"/>
                <w:color w:val="000000" w:themeColor="text1"/>
                <w:sz w:val="24"/>
                <w:szCs w:val="24"/>
                <w:u w:val="none"/>
              </w:rPr>
            </w:pPr>
          </w:p>
        </w:tc>
      </w:tr>
      <w:tr w14:paraId="67F1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B4B9F1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8103EF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TIA（病因、机制、临床表现）</w:t>
            </w:r>
          </w:p>
        </w:tc>
        <w:tc>
          <w:tcPr>
            <w:tcW w:w="1869" w:type="dxa"/>
            <w:vMerge w:val="continue"/>
            <w:noWrap w:val="0"/>
            <w:vAlign w:val="center"/>
          </w:tcPr>
          <w:p w14:paraId="1A0B491A">
            <w:pPr>
              <w:jc w:val="center"/>
              <w:rPr>
                <w:rFonts w:hint="eastAsia" w:ascii="宋体" w:hAnsi="宋体" w:eastAsia="宋体" w:cs="宋体"/>
                <w:i w:val="0"/>
                <w:iCs w:val="0"/>
                <w:color w:val="000000" w:themeColor="text1"/>
                <w:sz w:val="24"/>
                <w:szCs w:val="24"/>
                <w:u w:val="none"/>
              </w:rPr>
            </w:pPr>
          </w:p>
        </w:tc>
      </w:tr>
      <w:tr w14:paraId="01FF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C2F5C7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123D87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急性脑血管疾病的预防</w:t>
            </w:r>
          </w:p>
        </w:tc>
        <w:tc>
          <w:tcPr>
            <w:tcW w:w="1869" w:type="dxa"/>
            <w:vMerge w:val="continue"/>
            <w:noWrap w:val="0"/>
            <w:vAlign w:val="center"/>
          </w:tcPr>
          <w:p w14:paraId="1FB6CA9C">
            <w:pPr>
              <w:jc w:val="center"/>
              <w:rPr>
                <w:rFonts w:hint="eastAsia" w:ascii="宋体" w:hAnsi="宋体" w:eastAsia="宋体" w:cs="宋体"/>
                <w:i w:val="0"/>
                <w:iCs w:val="0"/>
                <w:color w:val="000000" w:themeColor="text1"/>
                <w:sz w:val="24"/>
                <w:szCs w:val="24"/>
                <w:u w:val="none"/>
              </w:rPr>
            </w:pPr>
          </w:p>
        </w:tc>
      </w:tr>
      <w:tr w14:paraId="3F9C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AAE94A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5D0AD9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脑血栓形成（病因、机制、临床表现）</w:t>
            </w:r>
          </w:p>
        </w:tc>
        <w:tc>
          <w:tcPr>
            <w:tcW w:w="1869" w:type="dxa"/>
            <w:vMerge w:val="continue"/>
            <w:noWrap w:val="0"/>
            <w:vAlign w:val="center"/>
          </w:tcPr>
          <w:p w14:paraId="53B673FB">
            <w:pPr>
              <w:jc w:val="center"/>
              <w:rPr>
                <w:rFonts w:hint="eastAsia" w:ascii="宋体" w:hAnsi="宋体" w:eastAsia="宋体" w:cs="宋体"/>
                <w:i w:val="0"/>
                <w:iCs w:val="0"/>
                <w:color w:val="000000" w:themeColor="text1"/>
                <w:sz w:val="24"/>
                <w:szCs w:val="24"/>
                <w:u w:val="none"/>
              </w:rPr>
            </w:pPr>
          </w:p>
        </w:tc>
      </w:tr>
      <w:tr w14:paraId="76EF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40" w:type="dxa"/>
            <w:vMerge w:val="continue"/>
            <w:noWrap w:val="0"/>
            <w:vAlign w:val="center"/>
          </w:tcPr>
          <w:p w14:paraId="2CAAE94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4A2A4C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脑出血（脑血管解剖与生理、病因、发生机制、结局、预防）</w:t>
            </w:r>
          </w:p>
        </w:tc>
        <w:tc>
          <w:tcPr>
            <w:tcW w:w="1869" w:type="dxa"/>
            <w:vMerge w:val="continue"/>
            <w:noWrap w:val="0"/>
            <w:vAlign w:val="center"/>
          </w:tcPr>
          <w:p w14:paraId="0CFA1B09">
            <w:pPr>
              <w:jc w:val="center"/>
              <w:rPr>
                <w:rFonts w:hint="eastAsia" w:ascii="宋体" w:hAnsi="宋体" w:eastAsia="宋体" w:cs="宋体"/>
                <w:i w:val="0"/>
                <w:iCs w:val="0"/>
                <w:color w:val="000000" w:themeColor="text1"/>
                <w:sz w:val="24"/>
                <w:szCs w:val="24"/>
                <w:u w:val="none"/>
              </w:rPr>
            </w:pPr>
          </w:p>
        </w:tc>
      </w:tr>
      <w:tr w14:paraId="4845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D9473A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FFD21A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支气管哮喘的发生机制</w:t>
            </w:r>
          </w:p>
        </w:tc>
        <w:tc>
          <w:tcPr>
            <w:tcW w:w="1869" w:type="dxa"/>
            <w:vMerge w:val="restart"/>
            <w:noWrap w:val="0"/>
            <w:vAlign w:val="center"/>
          </w:tcPr>
          <w:p w14:paraId="184B8BC8">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动画4个</w:t>
            </w:r>
          </w:p>
        </w:tc>
      </w:tr>
      <w:tr w14:paraId="1FD9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EF3483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0FDC5F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心衰的发病机制</w:t>
            </w:r>
          </w:p>
        </w:tc>
        <w:tc>
          <w:tcPr>
            <w:tcW w:w="1869" w:type="dxa"/>
            <w:vMerge w:val="continue"/>
            <w:noWrap w:val="0"/>
            <w:vAlign w:val="center"/>
          </w:tcPr>
          <w:p w14:paraId="603E160B">
            <w:pPr>
              <w:jc w:val="center"/>
              <w:rPr>
                <w:rFonts w:hint="eastAsia" w:ascii="宋体" w:hAnsi="宋体" w:eastAsia="宋体" w:cs="宋体"/>
                <w:i w:val="0"/>
                <w:iCs w:val="0"/>
                <w:color w:val="000000" w:themeColor="text1"/>
                <w:sz w:val="24"/>
                <w:szCs w:val="24"/>
                <w:u w:val="none"/>
              </w:rPr>
            </w:pPr>
          </w:p>
        </w:tc>
      </w:tr>
      <w:tr w14:paraId="6CCE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AD6797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2FDD6A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2型糖尿病的发病机制</w:t>
            </w:r>
          </w:p>
        </w:tc>
        <w:tc>
          <w:tcPr>
            <w:tcW w:w="1869" w:type="dxa"/>
            <w:vMerge w:val="continue"/>
            <w:noWrap w:val="0"/>
            <w:vAlign w:val="center"/>
          </w:tcPr>
          <w:p w14:paraId="544C1DA4">
            <w:pPr>
              <w:jc w:val="center"/>
              <w:rPr>
                <w:rFonts w:hint="eastAsia" w:ascii="宋体" w:hAnsi="宋体" w:eastAsia="宋体" w:cs="宋体"/>
                <w:i w:val="0"/>
                <w:iCs w:val="0"/>
                <w:color w:val="000000" w:themeColor="text1"/>
                <w:sz w:val="24"/>
                <w:szCs w:val="24"/>
                <w:u w:val="none"/>
              </w:rPr>
            </w:pPr>
          </w:p>
        </w:tc>
      </w:tr>
      <w:tr w14:paraId="5E3E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C80925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D77E6E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脑血栓形成</w:t>
            </w:r>
          </w:p>
        </w:tc>
        <w:tc>
          <w:tcPr>
            <w:tcW w:w="1869" w:type="dxa"/>
            <w:vMerge w:val="continue"/>
            <w:noWrap w:val="0"/>
            <w:vAlign w:val="center"/>
          </w:tcPr>
          <w:p w14:paraId="6EBDA8F9">
            <w:pPr>
              <w:jc w:val="center"/>
              <w:rPr>
                <w:rFonts w:hint="eastAsia" w:ascii="宋体" w:hAnsi="宋体" w:eastAsia="宋体" w:cs="宋体"/>
                <w:i w:val="0"/>
                <w:iCs w:val="0"/>
                <w:color w:val="000000" w:themeColor="text1"/>
                <w:sz w:val="24"/>
                <w:szCs w:val="24"/>
                <w:u w:val="none"/>
              </w:rPr>
            </w:pPr>
          </w:p>
        </w:tc>
      </w:tr>
      <w:tr w14:paraId="175C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14B9218D">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1+X母婴护理</w:t>
            </w:r>
          </w:p>
        </w:tc>
        <w:tc>
          <w:tcPr>
            <w:tcW w:w="5318" w:type="dxa"/>
            <w:noWrap w:val="0"/>
            <w:vAlign w:val="top"/>
          </w:tcPr>
          <w:p w14:paraId="15A80AC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理论1孕妇保健与护理（2个）</w:t>
            </w:r>
          </w:p>
        </w:tc>
        <w:tc>
          <w:tcPr>
            <w:tcW w:w="1869" w:type="dxa"/>
            <w:vMerge w:val="restart"/>
            <w:noWrap w:val="0"/>
            <w:vAlign w:val="center"/>
          </w:tcPr>
          <w:p w14:paraId="435FC327">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微课视频20个</w:t>
            </w:r>
          </w:p>
        </w:tc>
      </w:tr>
      <w:tr w14:paraId="2921A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7C8CF0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647911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产妇保健与护理（2个）</w:t>
            </w:r>
          </w:p>
        </w:tc>
        <w:tc>
          <w:tcPr>
            <w:tcW w:w="1869" w:type="dxa"/>
            <w:vMerge w:val="continue"/>
            <w:noWrap w:val="0"/>
            <w:vAlign w:val="center"/>
          </w:tcPr>
          <w:p w14:paraId="3A60E2EE">
            <w:pPr>
              <w:jc w:val="center"/>
              <w:rPr>
                <w:rFonts w:hint="eastAsia" w:ascii="宋体" w:hAnsi="宋体" w:eastAsia="宋体" w:cs="宋体"/>
                <w:i w:val="0"/>
                <w:iCs w:val="0"/>
                <w:color w:val="000000" w:themeColor="text1"/>
                <w:sz w:val="24"/>
                <w:szCs w:val="24"/>
                <w:u w:val="none"/>
              </w:rPr>
            </w:pPr>
          </w:p>
        </w:tc>
      </w:tr>
      <w:tr w14:paraId="53C8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9AC514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D32410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正常新生儿护理</w:t>
            </w:r>
          </w:p>
        </w:tc>
        <w:tc>
          <w:tcPr>
            <w:tcW w:w="1869" w:type="dxa"/>
            <w:vMerge w:val="continue"/>
            <w:noWrap w:val="0"/>
            <w:vAlign w:val="center"/>
          </w:tcPr>
          <w:p w14:paraId="2E0167A3">
            <w:pPr>
              <w:jc w:val="center"/>
              <w:rPr>
                <w:rFonts w:hint="eastAsia" w:ascii="宋体" w:hAnsi="宋体" w:eastAsia="宋体" w:cs="宋体"/>
                <w:i w:val="0"/>
                <w:iCs w:val="0"/>
                <w:color w:val="000000" w:themeColor="text1"/>
                <w:sz w:val="24"/>
                <w:szCs w:val="24"/>
                <w:u w:val="none"/>
              </w:rPr>
            </w:pPr>
          </w:p>
        </w:tc>
      </w:tr>
      <w:tr w14:paraId="2635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D01C04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128FBC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正常婴儿护理</w:t>
            </w:r>
          </w:p>
        </w:tc>
        <w:tc>
          <w:tcPr>
            <w:tcW w:w="1869" w:type="dxa"/>
            <w:vMerge w:val="continue"/>
            <w:noWrap w:val="0"/>
            <w:vAlign w:val="center"/>
          </w:tcPr>
          <w:p w14:paraId="62E258C4">
            <w:pPr>
              <w:jc w:val="center"/>
              <w:rPr>
                <w:rFonts w:hint="eastAsia" w:ascii="宋体" w:hAnsi="宋体" w:eastAsia="宋体" w:cs="宋体"/>
                <w:i w:val="0"/>
                <w:iCs w:val="0"/>
                <w:color w:val="000000" w:themeColor="text1"/>
                <w:sz w:val="24"/>
                <w:szCs w:val="24"/>
                <w:u w:val="none"/>
              </w:rPr>
            </w:pPr>
          </w:p>
        </w:tc>
      </w:tr>
      <w:tr w14:paraId="019B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008A2F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678FF8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月子餐</w:t>
            </w:r>
          </w:p>
        </w:tc>
        <w:tc>
          <w:tcPr>
            <w:tcW w:w="1869" w:type="dxa"/>
            <w:vMerge w:val="continue"/>
            <w:noWrap w:val="0"/>
            <w:vAlign w:val="center"/>
          </w:tcPr>
          <w:p w14:paraId="4DA74C97">
            <w:pPr>
              <w:jc w:val="center"/>
              <w:rPr>
                <w:rFonts w:hint="eastAsia" w:ascii="宋体" w:hAnsi="宋体" w:eastAsia="宋体" w:cs="宋体"/>
                <w:i w:val="0"/>
                <w:iCs w:val="0"/>
                <w:color w:val="000000" w:themeColor="text1"/>
                <w:sz w:val="24"/>
                <w:szCs w:val="24"/>
                <w:u w:val="none"/>
              </w:rPr>
            </w:pPr>
          </w:p>
        </w:tc>
      </w:tr>
      <w:tr w14:paraId="53BC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BD98C9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89DFFA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婴儿辅食婴儿常见疾病护理</w:t>
            </w:r>
          </w:p>
        </w:tc>
        <w:tc>
          <w:tcPr>
            <w:tcW w:w="1869" w:type="dxa"/>
            <w:vMerge w:val="continue"/>
            <w:noWrap w:val="0"/>
            <w:vAlign w:val="center"/>
          </w:tcPr>
          <w:p w14:paraId="25F4BA1D">
            <w:pPr>
              <w:jc w:val="center"/>
              <w:rPr>
                <w:rFonts w:hint="eastAsia" w:ascii="宋体" w:hAnsi="宋体" w:eastAsia="宋体" w:cs="宋体"/>
                <w:i w:val="0"/>
                <w:iCs w:val="0"/>
                <w:color w:val="000000" w:themeColor="text1"/>
                <w:sz w:val="24"/>
                <w:szCs w:val="24"/>
                <w:u w:val="none"/>
              </w:rPr>
            </w:pPr>
          </w:p>
        </w:tc>
      </w:tr>
      <w:tr w14:paraId="19A0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D15B0A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E5EC1B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婴幼儿早期教育</w:t>
            </w:r>
          </w:p>
        </w:tc>
        <w:tc>
          <w:tcPr>
            <w:tcW w:w="1869" w:type="dxa"/>
            <w:vMerge w:val="continue"/>
            <w:noWrap w:val="0"/>
            <w:vAlign w:val="center"/>
          </w:tcPr>
          <w:p w14:paraId="013239BF">
            <w:pPr>
              <w:jc w:val="center"/>
              <w:rPr>
                <w:rFonts w:hint="eastAsia" w:ascii="宋体" w:hAnsi="宋体" w:eastAsia="宋体" w:cs="宋体"/>
                <w:i w:val="0"/>
                <w:iCs w:val="0"/>
                <w:color w:val="000000" w:themeColor="text1"/>
                <w:sz w:val="24"/>
                <w:szCs w:val="24"/>
                <w:u w:val="none"/>
              </w:rPr>
            </w:pPr>
          </w:p>
        </w:tc>
      </w:tr>
      <w:tr w14:paraId="7947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8141AE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3C5250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产后恢复</w:t>
            </w:r>
          </w:p>
        </w:tc>
        <w:tc>
          <w:tcPr>
            <w:tcW w:w="1869" w:type="dxa"/>
            <w:vMerge w:val="continue"/>
            <w:noWrap w:val="0"/>
            <w:vAlign w:val="center"/>
          </w:tcPr>
          <w:p w14:paraId="79481D58">
            <w:pPr>
              <w:jc w:val="center"/>
              <w:rPr>
                <w:rFonts w:hint="eastAsia" w:ascii="宋体" w:hAnsi="宋体" w:eastAsia="宋体" w:cs="宋体"/>
                <w:i w:val="0"/>
                <w:iCs w:val="0"/>
                <w:color w:val="000000" w:themeColor="text1"/>
                <w:sz w:val="24"/>
                <w:szCs w:val="24"/>
                <w:u w:val="none"/>
              </w:rPr>
            </w:pPr>
          </w:p>
        </w:tc>
      </w:tr>
      <w:tr w14:paraId="6C30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A967B2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C5384A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实操：1准备待产包</w:t>
            </w:r>
          </w:p>
        </w:tc>
        <w:tc>
          <w:tcPr>
            <w:tcW w:w="1869" w:type="dxa"/>
            <w:vMerge w:val="continue"/>
            <w:noWrap w:val="0"/>
            <w:vAlign w:val="center"/>
          </w:tcPr>
          <w:p w14:paraId="7908305C">
            <w:pPr>
              <w:jc w:val="center"/>
              <w:rPr>
                <w:rFonts w:hint="eastAsia" w:ascii="宋体" w:hAnsi="宋体" w:eastAsia="宋体" w:cs="宋体"/>
                <w:i w:val="0"/>
                <w:iCs w:val="0"/>
                <w:color w:val="000000" w:themeColor="text1"/>
                <w:sz w:val="24"/>
                <w:szCs w:val="24"/>
                <w:u w:val="none"/>
              </w:rPr>
            </w:pPr>
          </w:p>
        </w:tc>
      </w:tr>
      <w:tr w14:paraId="48A8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62DB2A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239550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母乳喂养</w:t>
            </w:r>
          </w:p>
        </w:tc>
        <w:tc>
          <w:tcPr>
            <w:tcW w:w="1869" w:type="dxa"/>
            <w:vMerge w:val="continue"/>
            <w:noWrap w:val="0"/>
            <w:vAlign w:val="center"/>
          </w:tcPr>
          <w:p w14:paraId="317D00A1">
            <w:pPr>
              <w:jc w:val="center"/>
              <w:rPr>
                <w:rFonts w:hint="eastAsia" w:ascii="宋体" w:hAnsi="宋体" w:eastAsia="宋体" w:cs="宋体"/>
                <w:i w:val="0"/>
                <w:iCs w:val="0"/>
                <w:color w:val="000000" w:themeColor="text1"/>
                <w:sz w:val="24"/>
                <w:szCs w:val="24"/>
                <w:u w:val="none"/>
              </w:rPr>
            </w:pPr>
          </w:p>
        </w:tc>
      </w:tr>
      <w:tr w14:paraId="26E8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C7295A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C5C87F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人工喂养</w:t>
            </w:r>
          </w:p>
        </w:tc>
        <w:tc>
          <w:tcPr>
            <w:tcW w:w="1869" w:type="dxa"/>
            <w:vMerge w:val="continue"/>
            <w:noWrap w:val="0"/>
            <w:vAlign w:val="center"/>
          </w:tcPr>
          <w:p w14:paraId="20CB4463">
            <w:pPr>
              <w:jc w:val="center"/>
              <w:rPr>
                <w:rFonts w:hint="eastAsia" w:ascii="宋体" w:hAnsi="宋体" w:eastAsia="宋体" w:cs="宋体"/>
                <w:i w:val="0"/>
                <w:iCs w:val="0"/>
                <w:color w:val="000000" w:themeColor="text1"/>
                <w:sz w:val="24"/>
                <w:szCs w:val="24"/>
                <w:u w:val="none"/>
              </w:rPr>
            </w:pPr>
          </w:p>
        </w:tc>
      </w:tr>
      <w:tr w14:paraId="313E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B43657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3F23D8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婴儿洗澡</w:t>
            </w:r>
          </w:p>
        </w:tc>
        <w:tc>
          <w:tcPr>
            <w:tcW w:w="1869" w:type="dxa"/>
            <w:vMerge w:val="continue"/>
            <w:noWrap w:val="0"/>
            <w:vAlign w:val="center"/>
          </w:tcPr>
          <w:p w14:paraId="4E7B4192">
            <w:pPr>
              <w:jc w:val="center"/>
              <w:rPr>
                <w:rFonts w:hint="eastAsia" w:ascii="宋体" w:hAnsi="宋体" w:eastAsia="宋体" w:cs="宋体"/>
                <w:i w:val="0"/>
                <w:iCs w:val="0"/>
                <w:color w:val="000000" w:themeColor="text1"/>
                <w:sz w:val="24"/>
                <w:szCs w:val="24"/>
                <w:u w:val="none"/>
              </w:rPr>
            </w:pPr>
          </w:p>
        </w:tc>
      </w:tr>
      <w:tr w14:paraId="6BA6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AFFFB2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1CBF41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婴儿抚触</w:t>
            </w:r>
          </w:p>
        </w:tc>
        <w:tc>
          <w:tcPr>
            <w:tcW w:w="1869" w:type="dxa"/>
            <w:vMerge w:val="continue"/>
            <w:noWrap w:val="0"/>
            <w:vAlign w:val="center"/>
          </w:tcPr>
          <w:p w14:paraId="710227C3">
            <w:pPr>
              <w:jc w:val="center"/>
              <w:rPr>
                <w:rFonts w:hint="eastAsia" w:ascii="宋体" w:hAnsi="宋体" w:eastAsia="宋体" w:cs="宋体"/>
                <w:i w:val="0"/>
                <w:iCs w:val="0"/>
                <w:color w:val="000000" w:themeColor="text1"/>
                <w:sz w:val="24"/>
                <w:szCs w:val="24"/>
                <w:u w:val="none"/>
              </w:rPr>
            </w:pPr>
          </w:p>
        </w:tc>
      </w:tr>
      <w:tr w14:paraId="50FB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C17CBC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91CDED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脐部护理</w:t>
            </w:r>
          </w:p>
        </w:tc>
        <w:tc>
          <w:tcPr>
            <w:tcW w:w="1869" w:type="dxa"/>
            <w:vMerge w:val="continue"/>
            <w:noWrap w:val="0"/>
            <w:vAlign w:val="center"/>
          </w:tcPr>
          <w:p w14:paraId="3284BD95">
            <w:pPr>
              <w:jc w:val="center"/>
              <w:rPr>
                <w:rFonts w:hint="eastAsia" w:ascii="宋体" w:hAnsi="宋体" w:eastAsia="宋体" w:cs="宋体"/>
                <w:i w:val="0"/>
                <w:iCs w:val="0"/>
                <w:color w:val="000000" w:themeColor="text1"/>
                <w:sz w:val="24"/>
                <w:szCs w:val="24"/>
                <w:u w:val="none"/>
              </w:rPr>
            </w:pPr>
          </w:p>
        </w:tc>
      </w:tr>
      <w:tr w14:paraId="5713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34E0B4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028B8B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气管异物处理</w:t>
            </w:r>
          </w:p>
        </w:tc>
        <w:tc>
          <w:tcPr>
            <w:tcW w:w="1869" w:type="dxa"/>
            <w:vMerge w:val="continue"/>
            <w:noWrap w:val="0"/>
            <w:vAlign w:val="center"/>
          </w:tcPr>
          <w:p w14:paraId="04B19B32">
            <w:pPr>
              <w:jc w:val="center"/>
              <w:rPr>
                <w:rFonts w:hint="eastAsia" w:ascii="宋体" w:hAnsi="宋体" w:eastAsia="宋体" w:cs="宋体"/>
                <w:i w:val="0"/>
                <w:iCs w:val="0"/>
                <w:color w:val="000000" w:themeColor="text1"/>
                <w:sz w:val="24"/>
                <w:szCs w:val="24"/>
                <w:u w:val="none"/>
              </w:rPr>
            </w:pPr>
          </w:p>
        </w:tc>
      </w:tr>
      <w:tr w14:paraId="6D861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F6DDBB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11850D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产后恢复操</w:t>
            </w:r>
          </w:p>
        </w:tc>
        <w:tc>
          <w:tcPr>
            <w:tcW w:w="1869" w:type="dxa"/>
            <w:vMerge w:val="continue"/>
            <w:noWrap w:val="0"/>
            <w:vAlign w:val="center"/>
          </w:tcPr>
          <w:p w14:paraId="4DFC59F4">
            <w:pPr>
              <w:jc w:val="center"/>
              <w:rPr>
                <w:rFonts w:hint="eastAsia" w:ascii="宋体" w:hAnsi="宋体" w:eastAsia="宋体" w:cs="宋体"/>
                <w:i w:val="0"/>
                <w:iCs w:val="0"/>
                <w:color w:val="000000" w:themeColor="text1"/>
                <w:sz w:val="24"/>
                <w:szCs w:val="24"/>
                <w:u w:val="none"/>
              </w:rPr>
            </w:pPr>
          </w:p>
        </w:tc>
      </w:tr>
      <w:tr w14:paraId="186A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8D1000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30DC99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婴儿被动操</w:t>
            </w:r>
          </w:p>
        </w:tc>
        <w:tc>
          <w:tcPr>
            <w:tcW w:w="1869" w:type="dxa"/>
            <w:vMerge w:val="continue"/>
            <w:noWrap w:val="0"/>
            <w:vAlign w:val="center"/>
          </w:tcPr>
          <w:p w14:paraId="30AA7017">
            <w:pPr>
              <w:jc w:val="center"/>
              <w:rPr>
                <w:rFonts w:hint="eastAsia" w:ascii="宋体" w:hAnsi="宋体" w:eastAsia="宋体" w:cs="宋体"/>
                <w:i w:val="0"/>
                <w:iCs w:val="0"/>
                <w:color w:val="000000" w:themeColor="text1"/>
                <w:sz w:val="24"/>
                <w:szCs w:val="24"/>
                <w:u w:val="none"/>
              </w:rPr>
            </w:pPr>
          </w:p>
        </w:tc>
      </w:tr>
      <w:tr w14:paraId="765E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ED6FC3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7FF8B3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婴儿手指操</w:t>
            </w:r>
          </w:p>
        </w:tc>
        <w:tc>
          <w:tcPr>
            <w:tcW w:w="1869" w:type="dxa"/>
            <w:vMerge w:val="continue"/>
            <w:noWrap w:val="0"/>
            <w:vAlign w:val="center"/>
          </w:tcPr>
          <w:p w14:paraId="182B938E">
            <w:pPr>
              <w:jc w:val="center"/>
              <w:rPr>
                <w:rFonts w:hint="eastAsia" w:ascii="宋体" w:hAnsi="宋体" w:eastAsia="宋体" w:cs="宋体"/>
                <w:i w:val="0"/>
                <w:iCs w:val="0"/>
                <w:color w:val="000000" w:themeColor="text1"/>
                <w:sz w:val="24"/>
                <w:szCs w:val="24"/>
                <w:u w:val="none"/>
              </w:rPr>
            </w:pPr>
          </w:p>
        </w:tc>
      </w:tr>
      <w:tr w14:paraId="2C61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2DE5E0D3">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1+X老年照护</w:t>
            </w:r>
          </w:p>
        </w:tc>
        <w:tc>
          <w:tcPr>
            <w:tcW w:w="5318" w:type="dxa"/>
            <w:noWrap w:val="0"/>
            <w:vAlign w:val="top"/>
          </w:tcPr>
          <w:p w14:paraId="33A695D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衣物更换</w:t>
            </w:r>
          </w:p>
        </w:tc>
        <w:tc>
          <w:tcPr>
            <w:tcW w:w="1869" w:type="dxa"/>
            <w:vMerge w:val="restart"/>
            <w:noWrap w:val="0"/>
            <w:vAlign w:val="center"/>
          </w:tcPr>
          <w:p w14:paraId="559B4D0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微课视频12个</w:t>
            </w:r>
          </w:p>
        </w:tc>
      </w:tr>
      <w:tr w14:paraId="260D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49DA4C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4506DA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更换纸尿裤</w:t>
            </w:r>
          </w:p>
        </w:tc>
        <w:tc>
          <w:tcPr>
            <w:tcW w:w="1869" w:type="dxa"/>
            <w:vMerge w:val="continue"/>
            <w:noWrap w:val="0"/>
            <w:vAlign w:val="center"/>
          </w:tcPr>
          <w:p w14:paraId="36BCF7CA">
            <w:pPr>
              <w:jc w:val="center"/>
              <w:rPr>
                <w:rFonts w:hint="eastAsia" w:ascii="宋体" w:hAnsi="宋体" w:eastAsia="宋体" w:cs="宋体"/>
                <w:i w:val="0"/>
                <w:iCs w:val="0"/>
                <w:color w:val="000000" w:themeColor="text1"/>
                <w:sz w:val="24"/>
                <w:szCs w:val="24"/>
                <w:u w:val="none"/>
              </w:rPr>
            </w:pPr>
          </w:p>
        </w:tc>
      </w:tr>
      <w:tr w14:paraId="4F6E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C60771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8B3959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如厕帮助</w:t>
            </w:r>
          </w:p>
        </w:tc>
        <w:tc>
          <w:tcPr>
            <w:tcW w:w="1869" w:type="dxa"/>
            <w:vMerge w:val="continue"/>
            <w:noWrap w:val="0"/>
            <w:vAlign w:val="center"/>
          </w:tcPr>
          <w:p w14:paraId="0EBFC4E7">
            <w:pPr>
              <w:jc w:val="center"/>
              <w:rPr>
                <w:rFonts w:hint="eastAsia" w:ascii="宋体" w:hAnsi="宋体" w:eastAsia="宋体" w:cs="宋体"/>
                <w:i w:val="0"/>
                <w:iCs w:val="0"/>
                <w:color w:val="000000" w:themeColor="text1"/>
                <w:sz w:val="24"/>
                <w:szCs w:val="24"/>
                <w:u w:val="none"/>
              </w:rPr>
            </w:pPr>
          </w:p>
        </w:tc>
      </w:tr>
      <w:tr w14:paraId="02957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D9C069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07E79F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骨折后的搬运操作</w:t>
            </w:r>
          </w:p>
        </w:tc>
        <w:tc>
          <w:tcPr>
            <w:tcW w:w="1869" w:type="dxa"/>
            <w:vMerge w:val="continue"/>
            <w:noWrap w:val="0"/>
            <w:vAlign w:val="center"/>
          </w:tcPr>
          <w:p w14:paraId="68E9E777">
            <w:pPr>
              <w:jc w:val="center"/>
              <w:rPr>
                <w:rFonts w:hint="eastAsia" w:ascii="宋体" w:hAnsi="宋体" w:eastAsia="宋体" w:cs="宋体"/>
                <w:i w:val="0"/>
                <w:iCs w:val="0"/>
                <w:color w:val="000000" w:themeColor="text1"/>
                <w:sz w:val="24"/>
                <w:szCs w:val="24"/>
                <w:u w:val="none"/>
              </w:rPr>
            </w:pPr>
          </w:p>
        </w:tc>
      </w:tr>
      <w:tr w14:paraId="0F75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8A70D4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2E9549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助行器的使用</w:t>
            </w:r>
          </w:p>
        </w:tc>
        <w:tc>
          <w:tcPr>
            <w:tcW w:w="1869" w:type="dxa"/>
            <w:vMerge w:val="continue"/>
            <w:noWrap w:val="0"/>
            <w:vAlign w:val="center"/>
          </w:tcPr>
          <w:p w14:paraId="0F31CC29">
            <w:pPr>
              <w:jc w:val="center"/>
              <w:rPr>
                <w:rFonts w:hint="eastAsia" w:ascii="宋体" w:hAnsi="宋体" w:eastAsia="宋体" w:cs="宋体"/>
                <w:i w:val="0"/>
                <w:iCs w:val="0"/>
                <w:color w:val="000000" w:themeColor="text1"/>
                <w:sz w:val="24"/>
                <w:szCs w:val="24"/>
                <w:u w:val="none"/>
              </w:rPr>
            </w:pPr>
          </w:p>
        </w:tc>
      </w:tr>
      <w:tr w14:paraId="30BA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3E5E82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EDF4E9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异物卡喉的应对</w:t>
            </w:r>
          </w:p>
        </w:tc>
        <w:tc>
          <w:tcPr>
            <w:tcW w:w="1869" w:type="dxa"/>
            <w:vMerge w:val="continue"/>
            <w:noWrap w:val="0"/>
            <w:vAlign w:val="center"/>
          </w:tcPr>
          <w:p w14:paraId="572FC868">
            <w:pPr>
              <w:jc w:val="center"/>
              <w:rPr>
                <w:rFonts w:hint="eastAsia" w:ascii="宋体" w:hAnsi="宋体" w:eastAsia="宋体" w:cs="宋体"/>
                <w:i w:val="0"/>
                <w:iCs w:val="0"/>
                <w:color w:val="000000" w:themeColor="text1"/>
                <w:sz w:val="24"/>
                <w:szCs w:val="24"/>
                <w:u w:val="none"/>
              </w:rPr>
            </w:pPr>
          </w:p>
        </w:tc>
      </w:tr>
      <w:tr w14:paraId="4CD82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8E86F6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BCD9AD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跌倒的处理</w:t>
            </w:r>
          </w:p>
        </w:tc>
        <w:tc>
          <w:tcPr>
            <w:tcW w:w="1869" w:type="dxa"/>
            <w:vMerge w:val="continue"/>
            <w:noWrap w:val="0"/>
            <w:vAlign w:val="center"/>
          </w:tcPr>
          <w:p w14:paraId="2E9B619B">
            <w:pPr>
              <w:jc w:val="center"/>
              <w:rPr>
                <w:rFonts w:hint="eastAsia" w:ascii="宋体" w:hAnsi="宋体" w:eastAsia="宋体" w:cs="宋体"/>
                <w:i w:val="0"/>
                <w:iCs w:val="0"/>
                <w:color w:val="000000" w:themeColor="text1"/>
                <w:sz w:val="24"/>
                <w:szCs w:val="24"/>
                <w:u w:val="none"/>
              </w:rPr>
            </w:pPr>
          </w:p>
        </w:tc>
      </w:tr>
      <w:tr w14:paraId="22D30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855FFC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BCFF1F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外用药的使用</w:t>
            </w:r>
          </w:p>
        </w:tc>
        <w:tc>
          <w:tcPr>
            <w:tcW w:w="1869" w:type="dxa"/>
            <w:vMerge w:val="continue"/>
            <w:noWrap w:val="0"/>
            <w:vAlign w:val="center"/>
          </w:tcPr>
          <w:p w14:paraId="09029CD9">
            <w:pPr>
              <w:jc w:val="center"/>
              <w:rPr>
                <w:rFonts w:hint="eastAsia" w:ascii="宋体" w:hAnsi="宋体" w:eastAsia="宋体" w:cs="宋体"/>
                <w:i w:val="0"/>
                <w:iCs w:val="0"/>
                <w:color w:val="000000" w:themeColor="text1"/>
                <w:sz w:val="24"/>
                <w:szCs w:val="24"/>
                <w:u w:val="none"/>
              </w:rPr>
            </w:pPr>
          </w:p>
        </w:tc>
      </w:tr>
      <w:tr w14:paraId="0DE6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D48152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D803DA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轮椅转运</w:t>
            </w:r>
          </w:p>
        </w:tc>
        <w:tc>
          <w:tcPr>
            <w:tcW w:w="1869" w:type="dxa"/>
            <w:vMerge w:val="continue"/>
            <w:noWrap w:val="0"/>
            <w:vAlign w:val="center"/>
          </w:tcPr>
          <w:p w14:paraId="7645A6E2">
            <w:pPr>
              <w:jc w:val="center"/>
              <w:rPr>
                <w:rFonts w:hint="eastAsia" w:ascii="宋体" w:hAnsi="宋体" w:eastAsia="宋体" w:cs="宋体"/>
                <w:i w:val="0"/>
                <w:iCs w:val="0"/>
                <w:color w:val="000000" w:themeColor="text1"/>
                <w:sz w:val="24"/>
                <w:szCs w:val="24"/>
                <w:u w:val="none"/>
              </w:rPr>
            </w:pPr>
          </w:p>
        </w:tc>
      </w:tr>
      <w:tr w14:paraId="45F5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A30CEF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E5395C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外伤初步止血操作</w:t>
            </w:r>
          </w:p>
        </w:tc>
        <w:tc>
          <w:tcPr>
            <w:tcW w:w="1869" w:type="dxa"/>
            <w:vMerge w:val="continue"/>
            <w:noWrap w:val="0"/>
            <w:vAlign w:val="center"/>
          </w:tcPr>
          <w:p w14:paraId="2A47DE99">
            <w:pPr>
              <w:jc w:val="center"/>
              <w:rPr>
                <w:rFonts w:hint="eastAsia" w:ascii="宋体" w:hAnsi="宋体" w:eastAsia="宋体" w:cs="宋体"/>
                <w:i w:val="0"/>
                <w:iCs w:val="0"/>
                <w:color w:val="000000" w:themeColor="text1"/>
                <w:sz w:val="24"/>
                <w:szCs w:val="24"/>
                <w:u w:val="none"/>
              </w:rPr>
            </w:pPr>
          </w:p>
        </w:tc>
      </w:tr>
      <w:tr w14:paraId="13EE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2DF9B0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1E2EA6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烫伤的处理</w:t>
            </w:r>
          </w:p>
        </w:tc>
        <w:tc>
          <w:tcPr>
            <w:tcW w:w="1869" w:type="dxa"/>
            <w:vMerge w:val="continue"/>
            <w:noWrap w:val="0"/>
            <w:vAlign w:val="center"/>
          </w:tcPr>
          <w:p w14:paraId="562C3050">
            <w:pPr>
              <w:jc w:val="center"/>
              <w:rPr>
                <w:rFonts w:hint="eastAsia" w:ascii="宋体" w:hAnsi="宋体" w:eastAsia="宋体" w:cs="宋体"/>
                <w:i w:val="0"/>
                <w:iCs w:val="0"/>
                <w:color w:val="000000" w:themeColor="text1"/>
                <w:sz w:val="24"/>
                <w:szCs w:val="24"/>
                <w:u w:val="none"/>
              </w:rPr>
            </w:pPr>
          </w:p>
        </w:tc>
      </w:tr>
      <w:tr w14:paraId="29A6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85A613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F976DD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进食帮助</w:t>
            </w:r>
          </w:p>
        </w:tc>
        <w:tc>
          <w:tcPr>
            <w:tcW w:w="1869" w:type="dxa"/>
            <w:vMerge w:val="continue"/>
            <w:noWrap w:val="0"/>
            <w:vAlign w:val="center"/>
          </w:tcPr>
          <w:p w14:paraId="2F2F19BC">
            <w:pPr>
              <w:jc w:val="center"/>
              <w:rPr>
                <w:rFonts w:hint="eastAsia" w:ascii="宋体" w:hAnsi="宋体" w:eastAsia="宋体" w:cs="宋体"/>
                <w:i w:val="0"/>
                <w:iCs w:val="0"/>
                <w:color w:val="000000" w:themeColor="text1"/>
                <w:sz w:val="24"/>
                <w:szCs w:val="24"/>
                <w:u w:val="none"/>
              </w:rPr>
            </w:pPr>
          </w:p>
        </w:tc>
      </w:tr>
      <w:tr w14:paraId="076E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7F7DDFE5">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1+X失智老年照护</w:t>
            </w:r>
          </w:p>
        </w:tc>
        <w:tc>
          <w:tcPr>
            <w:tcW w:w="5318" w:type="dxa"/>
            <w:noWrap w:val="0"/>
            <w:vAlign w:val="top"/>
          </w:tcPr>
          <w:p w14:paraId="2E83B44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失智症的基本概述和发病机制</w:t>
            </w:r>
          </w:p>
        </w:tc>
        <w:tc>
          <w:tcPr>
            <w:tcW w:w="1869" w:type="dxa"/>
            <w:vMerge w:val="restart"/>
            <w:noWrap w:val="0"/>
            <w:vAlign w:val="center"/>
          </w:tcPr>
          <w:p w14:paraId="60463529">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微课视频12个</w:t>
            </w:r>
          </w:p>
        </w:tc>
      </w:tr>
      <w:tr w14:paraId="75BA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F4E185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54D2CF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失智症的分型及特点</w:t>
            </w:r>
          </w:p>
        </w:tc>
        <w:tc>
          <w:tcPr>
            <w:tcW w:w="1869" w:type="dxa"/>
            <w:vMerge w:val="continue"/>
            <w:noWrap w:val="0"/>
            <w:vAlign w:val="center"/>
          </w:tcPr>
          <w:p w14:paraId="45FD02B0">
            <w:pPr>
              <w:jc w:val="center"/>
              <w:rPr>
                <w:rFonts w:hint="eastAsia" w:ascii="宋体" w:hAnsi="宋体" w:eastAsia="宋体" w:cs="宋体"/>
                <w:i w:val="0"/>
                <w:iCs w:val="0"/>
                <w:color w:val="000000" w:themeColor="text1"/>
                <w:sz w:val="24"/>
                <w:szCs w:val="24"/>
                <w:u w:val="none"/>
              </w:rPr>
            </w:pPr>
          </w:p>
        </w:tc>
      </w:tr>
      <w:tr w14:paraId="37F6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90F952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67F9FF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失智症的常用评估量表</w:t>
            </w:r>
          </w:p>
        </w:tc>
        <w:tc>
          <w:tcPr>
            <w:tcW w:w="1869" w:type="dxa"/>
            <w:vMerge w:val="continue"/>
            <w:noWrap w:val="0"/>
            <w:vAlign w:val="center"/>
          </w:tcPr>
          <w:p w14:paraId="4EF230F0">
            <w:pPr>
              <w:jc w:val="center"/>
              <w:rPr>
                <w:rFonts w:hint="eastAsia" w:ascii="宋体" w:hAnsi="宋体" w:eastAsia="宋体" w:cs="宋体"/>
                <w:i w:val="0"/>
                <w:iCs w:val="0"/>
                <w:color w:val="000000" w:themeColor="text1"/>
                <w:sz w:val="24"/>
                <w:szCs w:val="24"/>
                <w:u w:val="none"/>
              </w:rPr>
            </w:pPr>
          </w:p>
        </w:tc>
      </w:tr>
      <w:tr w14:paraId="34644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1F561A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C4FC10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失智症的诊断标准及分期表现</w:t>
            </w:r>
          </w:p>
        </w:tc>
        <w:tc>
          <w:tcPr>
            <w:tcW w:w="1869" w:type="dxa"/>
            <w:vMerge w:val="continue"/>
            <w:noWrap w:val="0"/>
            <w:vAlign w:val="center"/>
          </w:tcPr>
          <w:p w14:paraId="1031FD26">
            <w:pPr>
              <w:jc w:val="center"/>
              <w:rPr>
                <w:rFonts w:hint="eastAsia" w:ascii="宋体" w:hAnsi="宋体" w:eastAsia="宋体" w:cs="宋体"/>
                <w:i w:val="0"/>
                <w:iCs w:val="0"/>
                <w:color w:val="000000" w:themeColor="text1"/>
                <w:sz w:val="24"/>
                <w:szCs w:val="24"/>
                <w:u w:val="none"/>
              </w:rPr>
            </w:pPr>
          </w:p>
        </w:tc>
      </w:tr>
      <w:tr w14:paraId="4491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8776BD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25329E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失智老人早期表现及应对</w:t>
            </w:r>
          </w:p>
        </w:tc>
        <w:tc>
          <w:tcPr>
            <w:tcW w:w="1869" w:type="dxa"/>
            <w:vMerge w:val="continue"/>
            <w:noWrap w:val="0"/>
            <w:vAlign w:val="center"/>
          </w:tcPr>
          <w:p w14:paraId="5BBB6C17">
            <w:pPr>
              <w:jc w:val="center"/>
              <w:rPr>
                <w:rFonts w:hint="eastAsia" w:ascii="宋体" w:hAnsi="宋体" w:eastAsia="宋体" w:cs="宋体"/>
                <w:i w:val="0"/>
                <w:iCs w:val="0"/>
                <w:color w:val="000000" w:themeColor="text1"/>
                <w:sz w:val="24"/>
                <w:szCs w:val="24"/>
                <w:u w:val="none"/>
              </w:rPr>
            </w:pPr>
          </w:p>
        </w:tc>
      </w:tr>
      <w:tr w14:paraId="1EC8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EECA8E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1EE755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失智老年人照护工作的相关知识</w:t>
            </w:r>
          </w:p>
        </w:tc>
        <w:tc>
          <w:tcPr>
            <w:tcW w:w="1869" w:type="dxa"/>
            <w:vMerge w:val="continue"/>
            <w:noWrap w:val="0"/>
            <w:vAlign w:val="center"/>
          </w:tcPr>
          <w:p w14:paraId="339B5AFF">
            <w:pPr>
              <w:jc w:val="center"/>
              <w:rPr>
                <w:rFonts w:hint="eastAsia" w:ascii="宋体" w:hAnsi="宋体" w:eastAsia="宋体" w:cs="宋体"/>
                <w:i w:val="0"/>
                <w:iCs w:val="0"/>
                <w:color w:val="000000" w:themeColor="text1"/>
                <w:sz w:val="24"/>
                <w:szCs w:val="24"/>
                <w:u w:val="none"/>
              </w:rPr>
            </w:pPr>
          </w:p>
        </w:tc>
      </w:tr>
      <w:tr w14:paraId="3240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6C2045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65DFB3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帮助与指导轻度失智老年人如厕</w:t>
            </w:r>
          </w:p>
        </w:tc>
        <w:tc>
          <w:tcPr>
            <w:tcW w:w="1869" w:type="dxa"/>
            <w:vMerge w:val="continue"/>
            <w:noWrap w:val="0"/>
            <w:vAlign w:val="center"/>
          </w:tcPr>
          <w:p w14:paraId="5D3A3576">
            <w:pPr>
              <w:jc w:val="center"/>
              <w:rPr>
                <w:rFonts w:hint="eastAsia" w:ascii="宋体" w:hAnsi="宋体" w:eastAsia="宋体" w:cs="宋体"/>
                <w:i w:val="0"/>
                <w:iCs w:val="0"/>
                <w:color w:val="000000" w:themeColor="text1"/>
                <w:sz w:val="24"/>
                <w:szCs w:val="24"/>
                <w:u w:val="none"/>
              </w:rPr>
            </w:pPr>
          </w:p>
        </w:tc>
      </w:tr>
      <w:tr w14:paraId="663B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CE33C6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5F103F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指导失智老年人识别危险物品及危险地点</w:t>
            </w:r>
          </w:p>
        </w:tc>
        <w:tc>
          <w:tcPr>
            <w:tcW w:w="1869" w:type="dxa"/>
            <w:vMerge w:val="continue"/>
            <w:noWrap w:val="0"/>
            <w:vAlign w:val="center"/>
          </w:tcPr>
          <w:p w14:paraId="51ADD555">
            <w:pPr>
              <w:jc w:val="center"/>
              <w:rPr>
                <w:rFonts w:hint="eastAsia" w:ascii="宋体" w:hAnsi="宋体" w:eastAsia="宋体" w:cs="宋体"/>
                <w:i w:val="0"/>
                <w:iCs w:val="0"/>
                <w:color w:val="000000" w:themeColor="text1"/>
                <w:sz w:val="24"/>
                <w:szCs w:val="24"/>
                <w:u w:val="none"/>
              </w:rPr>
            </w:pPr>
          </w:p>
        </w:tc>
      </w:tr>
      <w:tr w14:paraId="58002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2B758A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1450CA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协助失智老年人改善异食行为</w:t>
            </w:r>
          </w:p>
        </w:tc>
        <w:tc>
          <w:tcPr>
            <w:tcW w:w="1869" w:type="dxa"/>
            <w:vMerge w:val="continue"/>
            <w:noWrap w:val="0"/>
            <w:vAlign w:val="center"/>
          </w:tcPr>
          <w:p w14:paraId="3E04AE7A">
            <w:pPr>
              <w:jc w:val="center"/>
              <w:rPr>
                <w:rFonts w:hint="eastAsia" w:ascii="宋体" w:hAnsi="宋体" w:eastAsia="宋体" w:cs="宋体"/>
                <w:i w:val="0"/>
                <w:iCs w:val="0"/>
                <w:color w:val="000000" w:themeColor="text1"/>
                <w:sz w:val="24"/>
                <w:szCs w:val="24"/>
                <w:u w:val="none"/>
              </w:rPr>
            </w:pPr>
          </w:p>
        </w:tc>
      </w:tr>
      <w:tr w14:paraId="1F39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413F0A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E14553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为轻度失智老年人提供有效防走失措施</w:t>
            </w:r>
          </w:p>
        </w:tc>
        <w:tc>
          <w:tcPr>
            <w:tcW w:w="1869" w:type="dxa"/>
            <w:vMerge w:val="continue"/>
            <w:noWrap w:val="0"/>
            <w:vAlign w:val="center"/>
          </w:tcPr>
          <w:p w14:paraId="476D3A38">
            <w:pPr>
              <w:jc w:val="center"/>
              <w:rPr>
                <w:rFonts w:hint="eastAsia" w:ascii="宋体" w:hAnsi="宋体" w:eastAsia="宋体" w:cs="宋体"/>
                <w:i w:val="0"/>
                <w:iCs w:val="0"/>
                <w:color w:val="000000" w:themeColor="text1"/>
                <w:sz w:val="24"/>
                <w:szCs w:val="24"/>
                <w:u w:val="none"/>
              </w:rPr>
            </w:pPr>
          </w:p>
        </w:tc>
      </w:tr>
      <w:tr w14:paraId="4A85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40" w:type="dxa"/>
            <w:vMerge w:val="continue"/>
            <w:noWrap w:val="0"/>
            <w:vAlign w:val="center"/>
          </w:tcPr>
          <w:p w14:paraId="7E41306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53D900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促进失智老年人日常生活活动能力减缓能力丧失的主要照护措施</w:t>
            </w:r>
          </w:p>
        </w:tc>
        <w:tc>
          <w:tcPr>
            <w:tcW w:w="1869" w:type="dxa"/>
            <w:vMerge w:val="continue"/>
            <w:noWrap w:val="0"/>
            <w:vAlign w:val="center"/>
          </w:tcPr>
          <w:p w14:paraId="0DE4769E">
            <w:pPr>
              <w:jc w:val="center"/>
              <w:rPr>
                <w:rFonts w:hint="eastAsia" w:ascii="宋体" w:hAnsi="宋体" w:eastAsia="宋体" w:cs="宋体"/>
                <w:i w:val="0"/>
                <w:iCs w:val="0"/>
                <w:color w:val="000000" w:themeColor="text1"/>
                <w:sz w:val="24"/>
                <w:szCs w:val="24"/>
                <w:u w:val="none"/>
              </w:rPr>
            </w:pPr>
          </w:p>
        </w:tc>
      </w:tr>
      <w:tr w14:paraId="28C70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C36588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194CE6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失智老年人安全居住环境营造的需求</w:t>
            </w:r>
          </w:p>
        </w:tc>
        <w:tc>
          <w:tcPr>
            <w:tcW w:w="1869" w:type="dxa"/>
            <w:vMerge w:val="continue"/>
            <w:noWrap w:val="0"/>
            <w:vAlign w:val="center"/>
          </w:tcPr>
          <w:p w14:paraId="28FEBB38">
            <w:pPr>
              <w:jc w:val="center"/>
              <w:rPr>
                <w:rFonts w:hint="eastAsia" w:ascii="宋体" w:hAnsi="宋体" w:eastAsia="宋体" w:cs="宋体"/>
                <w:i w:val="0"/>
                <w:iCs w:val="0"/>
                <w:color w:val="000000" w:themeColor="text1"/>
                <w:sz w:val="24"/>
                <w:szCs w:val="24"/>
                <w:u w:val="none"/>
              </w:rPr>
            </w:pPr>
          </w:p>
        </w:tc>
      </w:tr>
      <w:tr w14:paraId="62C8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0329C60E">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健康评估</w:t>
            </w:r>
          </w:p>
        </w:tc>
        <w:tc>
          <w:tcPr>
            <w:tcW w:w="5318" w:type="dxa"/>
            <w:noWrap w:val="0"/>
            <w:vAlign w:val="top"/>
          </w:tcPr>
          <w:p w14:paraId="75DAF68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心脏电生理</w:t>
            </w:r>
          </w:p>
        </w:tc>
        <w:tc>
          <w:tcPr>
            <w:tcW w:w="1869" w:type="dxa"/>
            <w:vMerge w:val="restart"/>
            <w:noWrap w:val="0"/>
            <w:vAlign w:val="center"/>
          </w:tcPr>
          <w:p w14:paraId="04C74E4E">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动画4个</w:t>
            </w:r>
          </w:p>
        </w:tc>
      </w:tr>
      <w:tr w14:paraId="1645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DBE2FD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D19951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神经反射</w:t>
            </w:r>
          </w:p>
        </w:tc>
        <w:tc>
          <w:tcPr>
            <w:tcW w:w="1869" w:type="dxa"/>
            <w:vMerge w:val="continue"/>
            <w:noWrap w:val="0"/>
            <w:vAlign w:val="center"/>
          </w:tcPr>
          <w:p w14:paraId="5BBA4BFD">
            <w:pPr>
              <w:jc w:val="center"/>
              <w:rPr>
                <w:rFonts w:hint="eastAsia" w:ascii="宋体" w:hAnsi="宋体" w:eastAsia="宋体" w:cs="宋体"/>
                <w:i w:val="0"/>
                <w:iCs w:val="0"/>
                <w:color w:val="000000" w:themeColor="text1"/>
                <w:sz w:val="24"/>
                <w:szCs w:val="24"/>
                <w:u w:val="none"/>
              </w:rPr>
            </w:pPr>
          </w:p>
        </w:tc>
      </w:tr>
      <w:tr w14:paraId="031F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FC7E22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BE2D01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心脏检查</w:t>
            </w:r>
          </w:p>
        </w:tc>
        <w:tc>
          <w:tcPr>
            <w:tcW w:w="1869" w:type="dxa"/>
            <w:vMerge w:val="continue"/>
            <w:noWrap w:val="0"/>
            <w:vAlign w:val="center"/>
          </w:tcPr>
          <w:p w14:paraId="28CDBBD6">
            <w:pPr>
              <w:jc w:val="center"/>
              <w:rPr>
                <w:rFonts w:hint="eastAsia" w:ascii="宋体" w:hAnsi="宋体" w:eastAsia="宋体" w:cs="宋体"/>
                <w:i w:val="0"/>
                <w:iCs w:val="0"/>
                <w:color w:val="000000" w:themeColor="text1"/>
                <w:sz w:val="24"/>
                <w:szCs w:val="24"/>
                <w:u w:val="none"/>
              </w:rPr>
            </w:pPr>
          </w:p>
        </w:tc>
      </w:tr>
      <w:tr w14:paraId="145B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74786D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24FA3F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肺部检查</w:t>
            </w:r>
          </w:p>
        </w:tc>
        <w:tc>
          <w:tcPr>
            <w:tcW w:w="1869" w:type="dxa"/>
            <w:vMerge w:val="continue"/>
            <w:noWrap w:val="0"/>
            <w:vAlign w:val="center"/>
          </w:tcPr>
          <w:p w14:paraId="4695FAA2">
            <w:pPr>
              <w:jc w:val="center"/>
              <w:rPr>
                <w:rFonts w:hint="eastAsia" w:ascii="宋体" w:hAnsi="宋体" w:eastAsia="宋体" w:cs="宋体"/>
                <w:i w:val="0"/>
                <w:iCs w:val="0"/>
                <w:color w:val="000000" w:themeColor="text1"/>
                <w:sz w:val="24"/>
                <w:szCs w:val="24"/>
                <w:u w:val="none"/>
              </w:rPr>
            </w:pPr>
          </w:p>
        </w:tc>
      </w:tr>
      <w:tr w14:paraId="6616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19A8A1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00E22E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神经系统评估</w:t>
            </w:r>
          </w:p>
        </w:tc>
        <w:tc>
          <w:tcPr>
            <w:tcW w:w="1869" w:type="dxa"/>
            <w:vMerge w:val="restart"/>
            <w:noWrap w:val="0"/>
            <w:vAlign w:val="center"/>
          </w:tcPr>
          <w:p w14:paraId="15915EBF">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微课视频20个</w:t>
            </w:r>
          </w:p>
        </w:tc>
      </w:tr>
      <w:tr w14:paraId="66AB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77BFD8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2095E6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皮肤淋巴结评估</w:t>
            </w:r>
          </w:p>
        </w:tc>
        <w:tc>
          <w:tcPr>
            <w:tcW w:w="1869" w:type="dxa"/>
            <w:vMerge w:val="continue"/>
            <w:noWrap w:val="0"/>
            <w:vAlign w:val="center"/>
          </w:tcPr>
          <w:p w14:paraId="1F326418">
            <w:pPr>
              <w:jc w:val="center"/>
              <w:rPr>
                <w:rFonts w:hint="eastAsia" w:ascii="宋体" w:hAnsi="宋体" w:eastAsia="宋体" w:cs="宋体"/>
                <w:i w:val="0"/>
                <w:iCs w:val="0"/>
                <w:color w:val="000000" w:themeColor="text1"/>
                <w:sz w:val="24"/>
                <w:szCs w:val="24"/>
                <w:u w:val="none"/>
              </w:rPr>
            </w:pPr>
          </w:p>
        </w:tc>
      </w:tr>
      <w:tr w14:paraId="3429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8C0FF0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3CDA3A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肺脏评估2个</w:t>
            </w:r>
          </w:p>
        </w:tc>
        <w:tc>
          <w:tcPr>
            <w:tcW w:w="1869" w:type="dxa"/>
            <w:vMerge w:val="continue"/>
            <w:noWrap w:val="0"/>
            <w:vAlign w:val="center"/>
          </w:tcPr>
          <w:p w14:paraId="5BD8290D">
            <w:pPr>
              <w:jc w:val="center"/>
              <w:rPr>
                <w:rFonts w:hint="eastAsia" w:ascii="宋体" w:hAnsi="宋体" w:eastAsia="宋体" w:cs="宋体"/>
                <w:i w:val="0"/>
                <w:iCs w:val="0"/>
                <w:color w:val="000000" w:themeColor="text1"/>
                <w:sz w:val="24"/>
                <w:szCs w:val="24"/>
                <w:u w:val="none"/>
              </w:rPr>
            </w:pPr>
          </w:p>
        </w:tc>
      </w:tr>
      <w:tr w14:paraId="26D9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87E4BA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7F6CC2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心脏和血管评估2个</w:t>
            </w:r>
          </w:p>
        </w:tc>
        <w:tc>
          <w:tcPr>
            <w:tcW w:w="1869" w:type="dxa"/>
            <w:vMerge w:val="continue"/>
            <w:noWrap w:val="0"/>
            <w:vAlign w:val="center"/>
          </w:tcPr>
          <w:p w14:paraId="4630F407">
            <w:pPr>
              <w:jc w:val="center"/>
              <w:rPr>
                <w:rFonts w:hint="eastAsia" w:ascii="宋体" w:hAnsi="宋体" w:eastAsia="宋体" w:cs="宋体"/>
                <w:i w:val="0"/>
                <w:iCs w:val="0"/>
                <w:color w:val="000000" w:themeColor="text1"/>
                <w:sz w:val="24"/>
                <w:szCs w:val="24"/>
                <w:u w:val="none"/>
              </w:rPr>
            </w:pPr>
          </w:p>
        </w:tc>
      </w:tr>
      <w:tr w14:paraId="7BA5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DA2C75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62A7AA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腹部评估2个</w:t>
            </w:r>
          </w:p>
        </w:tc>
        <w:tc>
          <w:tcPr>
            <w:tcW w:w="1869" w:type="dxa"/>
            <w:vMerge w:val="continue"/>
            <w:noWrap w:val="0"/>
            <w:vAlign w:val="center"/>
          </w:tcPr>
          <w:p w14:paraId="10748A6D">
            <w:pPr>
              <w:jc w:val="center"/>
              <w:rPr>
                <w:rFonts w:hint="eastAsia" w:ascii="宋体" w:hAnsi="宋体" w:eastAsia="宋体" w:cs="宋体"/>
                <w:i w:val="0"/>
                <w:iCs w:val="0"/>
                <w:color w:val="000000" w:themeColor="text1"/>
                <w:sz w:val="24"/>
                <w:szCs w:val="24"/>
                <w:u w:val="none"/>
              </w:rPr>
            </w:pPr>
          </w:p>
        </w:tc>
      </w:tr>
      <w:tr w14:paraId="15C8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C5DEE9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C7C4DB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心电图描记</w:t>
            </w:r>
          </w:p>
        </w:tc>
        <w:tc>
          <w:tcPr>
            <w:tcW w:w="1869" w:type="dxa"/>
            <w:vMerge w:val="continue"/>
            <w:noWrap w:val="0"/>
            <w:vAlign w:val="center"/>
          </w:tcPr>
          <w:p w14:paraId="40B4257D">
            <w:pPr>
              <w:jc w:val="center"/>
              <w:rPr>
                <w:rFonts w:hint="eastAsia" w:ascii="宋体" w:hAnsi="宋体" w:eastAsia="宋体" w:cs="宋体"/>
                <w:i w:val="0"/>
                <w:iCs w:val="0"/>
                <w:color w:val="000000" w:themeColor="text1"/>
                <w:sz w:val="24"/>
                <w:szCs w:val="24"/>
                <w:u w:val="none"/>
              </w:rPr>
            </w:pPr>
          </w:p>
        </w:tc>
      </w:tr>
      <w:tr w14:paraId="47C6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5FC68A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99F206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皮肤淋巴结检查</w:t>
            </w:r>
          </w:p>
        </w:tc>
        <w:tc>
          <w:tcPr>
            <w:tcW w:w="1869" w:type="dxa"/>
            <w:vMerge w:val="continue"/>
            <w:noWrap w:val="0"/>
            <w:vAlign w:val="center"/>
          </w:tcPr>
          <w:p w14:paraId="07FB53D3">
            <w:pPr>
              <w:jc w:val="center"/>
              <w:rPr>
                <w:rFonts w:hint="eastAsia" w:ascii="宋体" w:hAnsi="宋体" w:eastAsia="宋体" w:cs="宋体"/>
                <w:i w:val="0"/>
                <w:iCs w:val="0"/>
                <w:color w:val="000000" w:themeColor="text1"/>
                <w:sz w:val="24"/>
                <w:szCs w:val="24"/>
                <w:u w:val="none"/>
              </w:rPr>
            </w:pPr>
          </w:p>
        </w:tc>
      </w:tr>
      <w:tr w14:paraId="0DE5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64EB1B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27D7E2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颈部评估</w:t>
            </w:r>
          </w:p>
        </w:tc>
        <w:tc>
          <w:tcPr>
            <w:tcW w:w="1869" w:type="dxa"/>
            <w:vMerge w:val="continue"/>
            <w:noWrap w:val="0"/>
            <w:vAlign w:val="center"/>
          </w:tcPr>
          <w:p w14:paraId="7A9C5C6E">
            <w:pPr>
              <w:jc w:val="center"/>
              <w:rPr>
                <w:rFonts w:hint="eastAsia" w:ascii="宋体" w:hAnsi="宋体" w:eastAsia="宋体" w:cs="宋体"/>
                <w:i w:val="0"/>
                <w:iCs w:val="0"/>
                <w:color w:val="000000" w:themeColor="text1"/>
                <w:sz w:val="24"/>
                <w:szCs w:val="24"/>
                <w:u w:val="none"/>
              </w:rPr>
            </w:pPr>
          </w:p>
        </w:tc>
      </w:tr>
      <w:tr w14:paraId="7826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00CA8C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E31421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心电图描记</w:t>
            </w:r>
          </w:p>
        </w:tc>
        <w:tc>
          <w:tcPr>
            <w:tcW w:w="1869" w:type="dxa"/>
            <w:vMerge w:val="continue"/>
            <w:noWrap w:val="0"/>
            <w:vAlign w:val="center"/>
          </w:tcPr>
          <w:p w14:paraId="4C9AD9CF">
            <w:pPr>
              <w:jc w:val="center"/>
              <w:rPr>
                <w:rFonts w:hint="eastAsia" w:ascii="宋体" w:hAnsi="宋体" w:eastAsia="宋体" w:cs="宋体"/>
                <w:i w:val="0"/>
                <w:iCs w:val="0"/>
                <w:color w:val="000000" w:themeColor="text1"/>
                <w:sz w:val="24"/>
                <w:szCs w:val="24"/>
                <w:u w:val="none"/>
              </w:rPr>
            </w:pPr>
          </w:p>
        </w:tc>
      </w:tr>
      <w:tr w14:paraId="78A5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FEED13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11E3C7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血液检查</w:t>
            </w:r>
          </w:p>
        </w:tc>
        <w:tc>
          <w:tcPr>
            <w:tcW w:w="1869" w:type="dxa"/>
            <w:vMerge w:val="continue"/>
            <w:noWrap w:val="0"/>
            <w:vAlign w:val="center"/>
          </w:tcPr>
          <w:p w14:paraId="033C8FDD">
            <w:pPr>
              <w:jc w:val="center"/>
              <w:rPr>
                <w:rFonts w:hint="eastAsia" w:ascii="宋体" w:hAnsi="宋体" w:eastAsia="宋体" w:cs="宋体"/>
                <w:i w:val="0"/>
                <w:iCs w:val="0"/>
                <w:color w:val="000000" w:themeColor="text1"/>
                <w:sz w:val="24"/>
                <w:szCs w:val="24"/>
                <w:u w:val="none"/>
              </w:rPr>
            </w:pPr>
          </w:p>
        </w:tc>
      </w:tr>
      <w:tr w14:paraId="56AF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9B6C12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801B5C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脊柱四肢评估</w:t>
            </w:r>
          </w:p>
        </w:tc>
        <w:tc>
          <w:tcPr>
            <w:tcW w:w="1869" w:type="dxa"/>
            <w:vMerge w:val="continue"/>
            <w:noWrap w:val="0"/>
            <w:vAlign w:val="center"/>
          </w:tcPr>
          <w:p w14:paraId="575721A4">
            <w:pPr>
              <w:jc w:val="center"/>
              <w:rPr>
                <w:rFonts w:hint="eastAsia" w:ascii="宋体" w:hAnsi="宋体" w:eastAsia="宋体" w:cs="宋体"/>
                <w:i w:val="0"/>
                <w:iCs w:val="0"/>
                <w:color w:val="000000" w:themeColor="text1"/>
                <w:sz w:val="24"/>
                <w:szCs w:val="24"/>
                <w:u w:val="none"/>
              </w:rPr>
            </w:pPr>
          </w:p>
        </w:tc>
      </w:tr>
      <w:tr w14:paraId="11D5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1AF750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43A513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皮肤淋巴结检查</w:t>
            </w:r>
          </w:p>
        </w:tc>
        <w:tc>
          <w:tcPr>
            <w:tcW w:w="1869" w:type="dxa"/>
            <w:vMerge w:val="continue"/>
            <w:noWrap w:val="0"/>
            <w:vAlign w:val="center"/>
          </w:tcPr>
          <w:p w14:paraId="3475258D">
            <w:pPr>
              <w:jc w:val="center"/>
              <w:rPr>
                <w:rFonts w:hint="eastAsia" w:ascii="宋体" w:hAnsi="宋体" w:eastAsia="宋体" w:cs="宋体"/>
                <w:i w:val="0"/>
                <w:iCs w:val="0"/>
                <w:color w:val="000000" w:themeColor="text1"/>
                <w:sz w:val="24"/>
                <w:szCs w:val="24"/>
                <w:u w:val="none"/>
              </w:rPr>
            </w:pPr>
          </w:p>
        </w:tc>
      </w:tr>
      <w:tr w14:paraId="2E71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947A84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D11A43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肺脏评估</w:t>
            </w:r>
          </w:p>
        </w:tc>
        <w:tc>
          <w:tcPr>
            <w:tcW w:w="1869" w:type="dxa"/>
            <w:vMerge w:val="continue"/>
            <w:noWrap w:val="0"/>
            <w:vAlign w:val="center"/>
          </w:tcPr>
          <w:p w14:paraId="576635FA">
            <w:pPr>
              <w:jc w:val="center"/>
              <w:rPr>
                <w:rFonts w:hint="eastAsia" w:ascii="宋体" w:hAnsi="宋体" w:eastAsia="宋体" w:cs="宋体"/>
                <w:i w:val="0"/>
                <w:iCs w:val="0"/>
                <w:color w:val="000000" w:themeColor="text1"/>
                <w:sz w:val="24"/>
                <w:szCs w:val="24"/>
                <w:u w:val="none"/>
              </w:rPr>
            </w:pPr>
          </w:p>
        </w:tc>
      </w:tr>
      <w:tr w14:paraId="5AE45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289FC2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739BAF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心脏和血管评估</w:t>
            </w:r>
          </w:p>
        </w:tc>
        <w:tc>
          <w:tcPr>
            <w:tcW w:w="1869" w:type="dxa"/>
            <w:vMerge w:val="continue"/>
            <w:noWrap w:val="0"/>
            <w:vAlign w:val="center"/>
          </w:tcPr>
          <w:p w14:paraId="316304EF">
            <w:pPr>
              <w:jc w:val="center"/>
              <w:rPr>
                <w:rFonts w:hint="eastAsia" w:ascii="宋体" w:hAnsi="宋体" w:eastAsia="宋体" w:cs="宋体"/>
                <w:i w:val="0"/>
                <w:iCs w:val="0"/>
                <w:color w:val="000000" w:themeColor="text1"/>
                <w:sz w:val="24"/>
                <w:szCs w:val="24"/>
                <w:u w:val="none"/>
              </w:rPr>
            </w:pPr>
          </w:p>
        </w:tc>
      </w:tr>
      <w:tr w14:paraId="08D0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990A52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A2F049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影像学检查</w:t>
            </w:r>
          </w:p>
        </w:tc>
        <w:tc>
          <w:tcPr>
            <w:tcW w:w="1869" w:type="dxa"/>
            <w:vMerge w:val="continue"/>
            <w:noWrap w:val="0"/>
            <w:vAlign w:val="center"/>
          </w:tcPr>
          <w:p w14:paraId="147D2D1A">
            <w:pPr>
              <w:jc w:val="center"/>
              <w:rPr>
                <w:rFonts w:hint="eastAsia" w:ascii="宋体" w:hAnsi="宋体" w:eastAsia="宋体" w:cs="宋体"/>
                <w:i w:val="0"/>
                <w:iCs w:val="0"/>
                <w:color w:val="000000" w:themeColor="text1"/>
                <w:sz w:val="24"/>
                <w:szCs w:val="24"/>
                <w:u w:val="none"/>
              </w:rPr>
            </w:pPr>
          </w:p>
        </w:tc>
      </w:tr>
      <w:tr w14:paraId="2F12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C5AE5B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11C1CD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发热</w:t>
            </w:r>
          </w:p>
        </w:tc>
        <w:tc>
          <w:tcPr>
            <w:tcW w:w="1869" w:type="dxa"/>
            <w:vMerge w:val="continue"/>
            <w:noWrap w:val="0"/>
            <w:vAlign w:val="center"/>
          </w:tcPr>
          <w:p w14:paraId="67FB7797">
            <w:pPr>
              <w:jc w:val="center"/>
              <w:rPr>
                <w:rFonts w:hint="eastAsia" w:ascii="宋体" w:hAnsi="宋体" w:eastAsia="宋体" w:cs="宋体"/>
                <w:i w:val="0"/>
                <w:iCs w:val="0"/>
                <w:color w:val="000000" w:themeColor="text1"/>
                <w:sz w:val="24"/>
                <w:szCs w:val="24"/>
                <w:u w:val="none"/>
              </w:rPr>
            </w:pPr>
          </w:p>
        </w:tc>
      </w:tr>
      <w:tr w14:paraId="58E5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CBB809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DBE5F8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意识障碍</w:t>
            </w:r>
          </w:p>
        </w:tc>
        <w:tc>
          <w:tcPr>
            <w:tcW w:w="1869" w:type="dxa"/>
            <w:vMerge w:val="continue"/>
            <w:noWrap w:val="0"/>
            <w:vAlign w:val="center"/>
          </w:tcPr>
          <w:p w14:paraId="0673A810">
            <w:pPr>
              <w:jc w:val="center"/>
              <w:rPr>
                <w:rFonts w:hint="eastAsia" w:ascii="宋体" w:hAnsi="宋体" w:eastAsia="宋体" w:cs="宋体"/>
                <w:i w:val="0"/>
                <w:iCs w:val="0"/>
                <w:color w:val="000000" w:themeColor="text1"/>
                <w:sz w:val="24"/>
                <w:szCs w:val="24"/>
                <w:u w:val="none"/>
              </w:rPr>
            </w:pPr>
          </w:p>
        </w:tc>
      </w:tr>
      <w:tr w14:paraId="4E00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708DBC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2B68EA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疼痛</w:t>
            </w:r>
          </w:p>
        </w:tc>
        <w:tc>
          <w:tcPr>
            <w:tcW w:w="1869" w:type="dxa"/>
            <w:vMerge w:val="continue"/>
            <w:noWrap w:val="0"/>
            <w:vAlign w:val="center"/>
          </w:tcPr>
          <w:p w14:paraId="739014EA">
            <w:pPr>
              <w:jc w:val="center"/>
              <w:rPr>
                <w:rFonts w:hint="eastAsia" w:ascii="宋体" w:hAnsi="宋体" w:eastAsia="宋体" w:cs="宋体"/>
                <w:i w:val="0"/>
                <w:iCs w:val="0"/>
                <w:color w:val="000000" w:themeColor="text1"/>
                <w:sz w:val="24"/>
                <w:szCs w:val="24"/>
                <w:u w:val="none"/>
              </w:rPr>
            </w:pPr>
          </w:p>
        </w:tc>
      </w:tr>
      <w:tr w14:paraId="36D1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78B250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5D560E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黄疸</w:t>
            </w:r>
          </w:p>
        </w:tc>
        <w:tc>
          <w:tcPr>
            <w:tcW w:w="1869" w:type="dxa"/>
            <w:vMerge w:val="continue"/>
            <w:noWrap w:val="0"/>
            <w:vAlign w:val="center"/>
          </w:tcPr>
          <w:p w14:paraId="1B6451FD">
            <w:pPr>
              <w:jc w:val="center"/>
              <w:rPr>
                <w:rFonts w:hint="eastAsia" w:ascii="宋体" w:hAnsi="宋体" w:eastAsia="宋体" w:cs="宋体"/>
                <w:i w:val="0"/>
                <w:iCs w:val="0"/>
                <w:color w:val="000000" w:themeColor="text1"/>
                <w:sz w:val="24"/>
                <w:szCs w:val="24"/>
                <w:u w:val="none"/>
              </w:rPr>
            </w:pPr>
          </w:p>
        </w:tc>
      </w:tr>
      <w:tr w14:paraId="19EA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68BF6E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D9DA86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影像学检查</w:t>
            </w:r>
          </w:p>
        </w:tc>
        <w:tc>
          <w:tcPr>
            <w:tcW w:w="1869" w:type="dxa"/>
            <w:vMerge w:val="continue"/>
            <w:noWrap w:val="0"/>
            <w:vAlign w:val="center"/>
          </w:tcPr>
          <w:p w14:paraId="03207DA7">
            <w:pPr>
              <w:jc w:val="center"/>
              <w:rPr>
                <w:rFonts w:hint="eastAsia" w:ascii="宋体" w:hAnsi="宋体" w:eastAsia="宋体" w:cs="宋体"/>
                <w:i w:val="0"/>
                <w:iCs w:val="0"/>
                <w:color w:val="000000" w:themeColor="text1"/>
                <w:sz w:val="24"/>
                <w:szCs w:val="24"/>
                <w:u w:val="none"/>
              </w:rPr>
            </w:pPr>
          </w:p>
        </w:tc>
      </w:tr>
      <w:tr w14:paraId="61C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666979ED">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外科护理</w:t>
            </w:r>
          </w:p>
        </w:tc>
        <w:tc>
          <w:tcPr>
            <w:tcW w:w="5318" w:type="dxa"/>
            <w:noWrap w:val="0"/>
            <w:vAlign w:val="top"/>
          </w:tcPr>
          <w:p w14:paraId="125BA4C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颅内压增高</w:t>
            </w:r>
          </w:p>
        </w:tc>
        <w:tc>
          <w:tcPr>
            <w:tcW w:w="1869" w:type="dxa"/>
            <w:vMerge w:val="restart"/>
            <w:noWrap w:val="0"/>
            <w:vAlign w:val="center"/>
          </w:tcPr>
          <w:p w14:paraId="3D20AD8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微课视频32个</w:t>
            </w:r>
          </w:p>
        </w:tc>
      </w:tr>
      <w:tr w14:paraId="6970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4CB87D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9E4A5A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颅骨骨折</w:t>
            </w:r>
          </w:p>
        </w:tc>
        <w:tc>
          <w:tcPr>
            <w:tcW w:w="1869" w:type="dxa"/>
            <w:vMerge w:val="continue"/>
            <w:noWrap w:val="0"/>
            <w:vAlign w:val="center"/>
          </w:tcPr>
          <w:p w14:paraId="1B69D745">
            <w:pPr>
              <w:jc w:val="center"/>
              <w:rPr>
                <w:rFonts w:hint="eastAsia" w:ascii="宋体" w:hAnsi="宋体" w:eastAsia="宋体" w:cs="宋体"/>
                <w:i w:val="0"/>
                <w:iCs w:val="0"/>
                <w:color w:val="000000" w:themeColor="text1"/>
                <w:sz w:val="24"/>
                <w:szCs w:val="24"/>
                <w:u w:val="none"/>
              </w:rPr>
            </w:pPr>
          </w:p>
        </w:tc>
      </w:tr>
      <w:tr w14:paraId="60FE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26B89C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F6D437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脑损伤</w:t>
            </w:r>
          </w:p>
        </w:tc>
        <w:tc>
          <w:tcPr>
            <w:tcW w:w="1869" w:type="dxa"/>
            <w:vMerge w:val="continue"/>
            <w:noWrap w:val="0"/>
            <w:vAlign w:val="center"/>
          </w:tcPr>
          <w:p w14:paraId="7C81C6D5">
            <w:pPr>
              <w:jc w:val="center"/>
              <w:rPr>
                <w:rFonts w:hint="eastAsia" w:ascii="宋体" w:hAnsi="宋体" w:eastAsia="宋体" w:cs="宋体"/>
                <w:i w:val="0"/>
                <w:iCs w:val="0"/>
                <w:color w:val="000000" w:themeColor="text1"/>
                <w:sz w:val="24"/>
                <w:szCs w:val="24"/>
                <w:u w:val="none"/>
              </w:rPr>
            </w:pPr>
          </w:p>
        </w:tc>
      </w:tr>
      <w:tr w14:paraId="0ABA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5AF062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FAFBFF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甲状腺癌</w:t>
            </w:r>
          </w:p>
        </w:tc>
        <w:tc>
          <w:tcPr>
            <w:tcW w:w="1869" w:type="dxa"/>
            <w:vMerge w:val="continue"/>
            <w:noWrap w:val="0"/>
            <w:vAlign w:val="center"/>
          </w:tcPr>
          <w:p w14:paraId="61A7D99A">
            <w:pPr>
              <w:jc w:val="center"/>
              <w:rPr>
                <w:rFonts w:hint="eastAsia" w:ascii="宋体" w:hAnsi="宋体" w:eastAsia="宋体" w:cs="宋体"/>
                <w:i w:val="0"/>
                <w:iCs w:val="0"/>
                <w:color w:val="000000" w:themeColor="text1"/>
                <w:sz w:val="24"/>
                <w:szCs w:val="24"/>
                <w:u w:val="none"/>
              </w:rPr>
            </w:pPr>
          </w:p>
        </w:tc>
      </w:tr>
      <w:tr w14:paraId="5B0A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3EF54D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19A2B2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甲亢病人手术的护理</w:t>
            </w:r>
          </w:p>
        </w:tc>
        <w:tc>
          <w:tcPr>
            <w:tcW w:w="1869" w:type="dxa"/>
            <w:vMerge w:val="continue"/>
            <w:noWrap w:val="0"/>
            <w:vAlign w:val="center"/>
          </w:tcPr>
          <w:p w14:paraId="58A61DD0">
            <w:pPr>
              <w:jc w:val="center"/>
              <w:rPr>
                <w:rFonts w:hint="eastAsia" w:ascii="宋体" w:hAnsi="宋体" w:eastAsia="宋体" w:cs="宋体"/>
                <w:i w:val="0"/>
                <w:iCs w:val="0"/>
                <w:color w:val="000000" w:themeColor="text1"/>
                <w:sz w:val="24"/>
                <w:szCs w:val="24"/>
                <w:u w:val="none"/>
              </w:rPr>
            </w:pPr>
          </w:p>
        </w:tc>
      </w:tr>
      <w:tr w14:paraId="75611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24F3D4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5131CB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急性乳腺炎</w:t>
            </w:r>
          </w:p>
        </w:tc>
        <w:tc>
          <w:tcPr>
            <w:tcW w:w="1869" w:type="dxa"/>
            <w:vMerge w:val="continue"/>
            <w:noWrap w:val="0"/>
            <w:vAlign w:val="center"/>
          </w:tcPr>
          <w:p w14:paraId="083B2B94">
            <w:pPr>
              <w:jc w:val="center"/>
              <w:rPr>
                <w:rFonts w:hint="eastAsia" w:ascii="宋体" w:hAnsi="宋体" w:eastAsia="宋体" w:cs="宋体"/>
                <w:i w:val="0"/>
                <w:iCs w:val="0"/>
                <w:color w:val="000000" w:themeColor="text1"/>
                <w:sz w:val="24"/>
                <w:szCs w:val="24"/>
                <w:u w:val="none"/>
              </w:rPr>
            </w:pPr>
          </w:p>
        </w:tc>
      </w:tr>
      <w:tr w14:paraId="10F0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2597C0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33BFCB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乳腺癌的护理</w:t>
            </w:r>
          </w:p>
        </w:tc>
        <w:tc>
          <w:tcPr>
            <w:tcW w:w="1869" w:type="dxa"/>
            <w:vMerge w:val="continue"/>
            <w:noWrap w:val="0"/>
            <w:vAlign w:val="center"/>
          </w:tcPr>
          <w:p w14:paraId="5D208BB4">
            <w:pPr>
              <w:jc w:val="center"/>
              <w:rPr>
                <w:rFonts w:hint="eastAsia" w:ascii="宋体" w:hAnsi="宋体" w:eastAsia="宋体" w:cs="宋体"/>
                <w:i w:val="0"/>
                <w:iCs w:val="0"/>
                <w:color w:val="000000" w:themeColor="text1"/>
                <w:sz w:val="24"/>
                <w:szCs w:val="24"/>
                <w:u w:val="none"/>
              </w:rPr>
            </w:pPr>
          </w:p>
        </w:tc>
      </w:tr>
      <w:tr w14:paraId="0A53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93E3CA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7F197A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胸腔闭式引流（实训操作）</w:t>
            </w:r>
          </w:p>
        </w:tc>
        <w:tc>
          <w:tcPr>
            <w:tcW w:w="1869" w:type="dxa"/>
            <w:vMerge w:val="continue"/>
            <w:noWrap w:val="0"/>
            <w:vAlign w:val="center"/>
          </w:tcPr>
          <w:p w14:paraId="4F6DE440">
            <w:pPr>
              <w:jc w:val="center"/>
              <w:rPr>
                <w:rFonts w:hint="eastAsia" w:ascii="宋体" w:hAnsi="宋体" w:eastAsia="宋体" w:cs="宋体"/>
                <w:i w:val="0"/>
                <w:iCs w:val="0"/>
                <w:color w:val="000000" w:themeColor="text1"/>
                <w:sz w:val="24"/>
                <w:szCs w:val="24"/>
                <w:u w:val="none"/>
              </w:rPr>
            </w:pPr>
          </w:p>
        </w:tc>
      </w:tr>
      <w:tr w14:paraId="330FA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9A6B35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D139A8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肺癌</w:t>
            </w:r>
          </w:p>
        </w:tc>
        <w:tc>
          <w:tcPr>
            <w:tcW w:w="1869" w:type="dxa"/>
            <w:vMerge w:val="continue"/>
            <w:noWrap w:val="0"/>
            <w:vAlign w:val="center"/>
          </w:tcPr>
          <w:p w14:paraId="2F61AA2D">
            <w:pPr>
              <w:jc w:val="center"/>
              <w:rPr>
                <w:rFonts w:hint="eastAsia" w:ascii="宋体" w:hAnsi="宋体" w:eastAsia="宋体" w:cs="宋体"/>
                <w:i w:val="0"/>
                <w:iCs w:val="0"/>
                <w:color w:val="000000" w:themeColor="text1"/>
                <w:sz w:val="24"/>
                <w:szCs w:val="24"/>
                <w:u w:val="none"/>
              </w:rPr>
            </w:pPr>
          </w:p>
        </w:tc>
      </w:tr>
      <w:tr w14:paraId="4458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C962F5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E129D4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食管癌</w:t>
            </w:r>
          </w:p>
        </w:tc>
        <w:tc>
          <w:tcPr>
            <w:tcW w:w="1869" w:type="dxa"/>
            <w:vMerge w:val="continue"/>
            <w:noWrap w:val="0"/>
            <w:vAlign w:val="center"/>
          </w:tcPr>
          <w:p w14:paraId="65DD058D">
            <w:pPr>
              <w:jc w:val="center"/>
              <w:rPr>
                <w:rFonts w:hint="eastAsia" w:ascii="宋体" w:hAnsi="宋体" w:eastAsia="宋体" w:cs="宋体"/>
                <w:i w:val="0"/>
                <w:iCs w:val="0"/>
                <w:color w:val="000000" w:themeColor="text1"/>
                <w:sz w:val="24"/>
                <w:szCs w:val="24"/>
                <w:u w:val="none"/>
              </w:rPr>
            </w:pPr>
          </w:p>
        </w:tc>
      </w:tr>
      <w:tr w14:paraId="29B0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D42C5D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825566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腹膜炎的护理</w:t>
            </w:r>
          </w:p>
        </w:tc>
        <w:tc>
          <w:tcPr>
            <w:tcW w:w="1869" w:type="dxa"/>
            <w:vMerge w:val="continue"/>
            <w:noWrap w:val="0"/>
            <w:vAlign w:val="center"/>
          </w:tcPr>
          <w:p w14:paraId="06BDADCE">
            <w:pPr>
              <w:jc w:val="center"/>
              <w:rPr>
                <w:rFonts w:hint="eastAsia" w:ascii="宋体" w:hAnsi="宋体" w:eastAsia="宋体" w:cs="宋体"/>
                <w:i w:val="0"/>
                <w:iCs w:val="0"/>
                <w:color w:val="000000" w:themeColor="text1"/>
                <w:sz w:val="24"/>
                <w:szCs w:val="24"/>
                <w:u w:val="none"/>
              </w:rPr>
            </w:pPr>
          </w:p>
        </w:tc>
      </w:tr>
      <w:tr w14:paraId="6719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BCD988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0D197D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腹外疝的护理</w:t>
            </w:r>
          </w:p>
        </w:tc>
        <w:tc>
          <w:tcPr>
            <w:tcW w:w="1869" w:type="dxa"/>
            <w:vMerge w:val="continue"/>
            <w:noWrap w:val="0"/>
            <w:vAlign w:val="center"/>
          </w:tcPr>
          <w:p w14:paraId="352D4060">
            <w:pPr>
              <w:jc w:val="center"/>
              <w:rPr>
                <w:rFonts w:hint="eastAsia" w:ascii="宋体" w:hAnsi="宋体" w:eastAsia="宋体" w:cs="宋体"/>
                <w:i w:val="0"/>
                <w:iCs w:val="0"/>
                <w:color w:val="000000" w:themeColor="text1"/>
                <w:sz w:val="24"/>
                <w:szCs w:val="24"/>
                <w:u w:val="none"/>
              </w:rPr>
            </w:pPr>
          </w:p>
        </w:tc>
      </w:tr>
      <w:tr w14:paraId="286F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FD45EE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89A197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消化性溃疡的外科治疗</w:t>
            </w:r>
          </w:p>
        </w:tc>
        <w:tc>
          <w:tcPr>
            <w:tcW w:w="1869" w:type="dxa"/>
            <w:vMerge w:val="continue"/>
            <w:noWrap w:val="0"/>
            <w:vAlign w:val="center"/>
          </w:tcPr>
          <w:p w14:paraId="76E9136F">
            <w:pPr>
              <w:jc w:val="center"/>
              <w:rPr>
                <w:rFonts w:hint="eastAsia" w:ascii="宋体" w:hAnsi="宋体" w:eastAsia="宋体" w:cs="宋体"/>
                <w:i w:val="0"/>
                <w:iCs w:val="0"/>
                <w:color w:val="000000" w:themeColor="text1"/>
                <w:sz w:val="24"/>
                <w:szCs w:val="24"/>
                <w:u w:val="none"/>
              </w:rPr>
            </w:pPr>
          </w:p>
        </w:tc>
      </w:tr>
      <w:tr w14:paraId="5D1B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50B8F1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E8B090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消化性溃疡手术的护理</w:t>
            </w:r>
          </w:p>
        </w:tc>
        <w:tc>
          <w:tcPr>
            <w:tcW w:w="1869" w:type="dxa"/>
            <w:vMerge w:val="continue"/>
            <w:noWrap w:val="0"/>
            <w:vAlign w:val="center"/>
          </w:tcPr>
          <w:p w14:paraId="06C8D6C9">
            <w:pPr>
              <w:jc w:val="center"/>
              <w:rPr>
                <w:rFonts w:hint="eastAsia" w:ascii="宋体" w:hAnsi="宋体" w:eastAsia="宋体" w:cs="宋体"/>
                <w:i w:val="0"/>
                <w:iCs w:val="0"/>
                <w:color w:val="000000" w:themeColor="text1"/>
                <w:sz w:val="24"/>
                <w:szCs w:val="24"/>
                <w:u w:val="none"/>
              </w:rPr>
            </w:pPr>
          </w:p>
        </w:tc>
      </w:tr>
      <w:tr w14:paraId="4BEA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6771E7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DED6D0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急性阑尾炎</w:t>
            </w:r>
          </w:p>
        </w:tc>
        <w:tc>
          <w:tcPr>
            <w:tcW w:w="1869" w:type="dxa"/>
            <w:vMerge w:val="continue"/>
            <w:noWrap w:val="0"/>
            <w:vAlign w:val="center"/>
          </w:tcPr>
          <w:p w14:paraId="385DE4C7">
            <w:pPr>
              <w:jc w:val="center"/>
              <w:rPr>
                <w:rFonts w:hint="eastAsia" w:ascii="宋体" w:hAnsi="宋体" w:eastAsia="宋体" w:cs="宋体"/>
                <w:i w:val="0"/>
                <w:iCs w:val="0"/>
                <w:color w:val="000000" w:themeColor="text1"/>
                <w:sz w:val="24"/>
                <w:szCs w:val="24"/>
                <w:u w:val="none"/>
              </w:rPr>
            </w:pPr>
          </w:p>
        </w:tc>
      </w:tr>
      <w:tr w14:paraId="4DA1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590537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3EAF45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肠梗阻概述</w:t>
            </w:r>
          </w:p>
        </w:tc>
        <w:tc>
          <w:tcPr>
            <w:tcW w:w="1869" w:type="dxa"/>
            <w:vMerge w:val="continue"/>
            <w:noWrap w:val="0"/>
            <w:vAlign w:val="center"/>
          </w:tcPr>
          <w:p w14:paraId="4685B81F">
            <w:pPr>
              <w:jc w:val="center"/>
              <w:rPr>
                <w:rFonts w:hint="eastAsia" w:ascii="宋体" w:hAnsi="宋体" w:eastAsia="宋体" w:cs="宋体"/>
                <w:i w:val="0"/>
                <w:iCs w:val="0"/>
                <w:color w:val="000000" w:themeColor="text1"/>
                <w:sz w:val="24"/>
                <w:szCs w:val="24"/>
                <w:u w:val="none"/>
              </w:rPr>
            </w:pPr>
          </w:p>
        </w:tc>
      </w:tr>
      <w:tr w14:paraId="2521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CC20A2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C62E3B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大肠癌的护理</w:t>
            </w:r>
          </w:p>
        </w:tc>
        <w:tc>
          <w:tcPr>
            <w:tcW w:w="1869" w:type="dxa"/>
            <w:vMerge w:val="continue"/>
            <w:noWrap w:val="0"/>
            <w:vAlign w:val="center"/>
          </w:tcPr>
          <w:p w14:paraId="21229F03">
            <w:pPr>
              <w:jc w:val="center"/>
              <w:rPr>
                <w:rFonts w:hint="eastAsia" w:ascii="宋体" w:hAnsi="宋体" w:eastAsia="宋体" w:cs="宋体"/>
                <w:i w:val="0"/>
                <w:iCs w:val="0"/>
                <w:color w:val="000000" w:themeColor="text1"/>
                <w:sz w:val="24"/>
                <w:szCs w:val="24"/>
                <w:u w:val="none"/>
              </w:rPr>
            </w:pPr>
          </w:p>
        </w:tc>
      </w:tr>
      <w:tr w14:paraId="1EDD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9AAC57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A734DA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痔</w:t>
            </w:r>
          </w:p>
        </w:tc>
        <w:tc>
          <w:tcPr>
            <w:tcW w:w="1869" w:type="dxa"/>
            <w:vMerge w:val="continue"/>
            <w:noWrap w:val="0"/>
            <w:vAlign w:val="center"/>
          </w:tcPr>
          <w:p w14:paraId="196E9DA3">
            <w:pPr>
              <w:jc w:val="center"/>
              <w:rPr>
                <w:rFonts w:hint="eastAsia" w:ascii="宋体" w:hAnsi="宋体" w:eastAsia="宋体" w:cs="宋体"/>
                <w:i w:val="0"/>
                <w:iCs w:val="0"/>
                <w:color w:val="000000" w:themeColor="text1"/>
                <w:sz w:val="24"/>
                <w:szCs w:val="24"/>
                <w:u w:val="none"/>
              </w:rPr>
            </w:pPr>
          </w:p>
        </w:tc>
      </w:tr>
      <w:tr w14:paraId="44B3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14EF7B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0F75EC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肛瘘</w:t>
            </w:r>
          </w:p>
        </w:tc>
        <w:tc>
          <w:tcPr>
            <w:tcW w:w="1869" w:type="dxa"/>
            <w:vMerge w:val="continue"/>
            <w:noWrap w:val="0"/>
            <w:vAlign w:val="center"/>
          </w:tcPr>
          <w:p w14:paraId="50CCB8A8">
            <w:pPr>
              <w:jc w:val="center"/>
              <w:rPr>
                <w:rFonts w:hint="eastAsia" w:ascii="宋体" w:hAnsi="宋体" w:eastAsia="宋体" w:cs="宋体"/>
                <w:i w:val="0"/>
                <w:iCs w:val="0"/>
                <w:color w:val="000000" w:themeColor="text1"/>
                <w:sz w:val="24"/>
                <w:szCs w:val="24"/>
                <w:u w:val="none"/>
              </w:rPr>
            </w:pPr>
          </w:p>
        </w:tc>
      </w:tr>
      <w:tr w14:paraId="2D30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B02988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BDB185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门静脉高压</w:t>
            </w:r>
          </w:p>
        </w:tc>
        <w:tc>
          <w:tcPr>
            <w:tcW w:w="1869" w:type="dxa"/>
            <w:vMerge w:val="continue"/>
            <w:noWrap w:val="0"/>
            <w:vAlign w:val="center"/>
          </w:tcPr>
          <w:p w14:paraId="46F249E5">
            <w:pPr>
              <w:jc w:val="center"/>
              <w:rPr>
                <w:rFonts w:hint="eastAsia" w:ascii="宋体" w:hAnsi="宋体" w:eastAsia="宋体" w:cs="宋体"/>
                <w:i w:val="0"/>
                <w:iCs w:val="0"/>
                <w:color w:val="000000" w:themeColor="text1"/>
                <w:sz w:val="24"/>
                <w:szCs w:val="24"/>
                <w:u w:val="none"/>
              </w:rPr>
            </w:pPr>
          </w:p>
        </w:tc>
      </w:tr>
      <w:tr w14:paraId="7DC0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40B99B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802FE9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胆石症</w:t>
            </w:r>
          </w:p>
        </w:tc>
        <w:tc>
          <w:tcPr>
            <w:tcW w:w="1869" w:type="dxa"/>
            <w:vMerge w:val="continue"/>
            <w:noWrap w:val="0"/>
            <w:vAlign w:val="center"/>
          </w:tcPr>
          <w:p w14:paraId="38D99B8F">
            <w:pPr>
              <w:jc w:val="center"/>
              <w:rPr>
                <w:rFonts w:hint="eastAsia" w:ascii="宋体" w:hAnsi="宋体" w:eastAsia="宋体" w:cs="宋体"/>
                <w:i w:val="0"/>
                <w:iCs w:val="0"/>
                <w:color w:val="000000" w:themeColor="text1"/>
                <w:sz w:val="24"/>
                <w:szCs w:val="24"/>
                <w:u w:val="none"/>
              </w:rPr>
            </w:pPr>
          </w:p>
        </w:tc>
      </w:tr>
      <w:tr w14:paraId="7174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451D08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5D4A30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T管护理（实训操作）</w:t>
            </w:r>
          </w:p>
        </w:tc>
        <w:tc>
          <w:tcPr>
            <w:tcW w:w="1869" w:type="dxa"/>
            <w:vMerge w:val="continue"/>
            <w:noWrap w:val="0"/>
            <w:vAlign w:val="center"/>
          </w:tcPr>
          <w:p w14:paraId="16E32BDA">
            <w:pPr>
              <w:jc w:val="center"/>
              <w:rPr>
                <w:rFonts w:hint="eastAsia" w:ascii="宋体" w:hAnsi="宋体" w:eastAsia="宋体" w:cs="宋体"/>
                <w:i w:val="0"/>
                <w:iCs w:val="0"/>
                <w:color w:val="000000" w:themeColor="text1"/>
                <w:sz w:val="24"/>
                <w:szCs w:val="24"/>
                <w:u w:val="none"/>
              </w:rPr>
            </w:pPr>
          </w:p>
        </w:tc>
      </w:tr>
      <w:tr w14:paraId="4113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BC83DC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1F59B8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胰腺癌</w:t>
            </w:r>
          </w:p>
        </w:tc>
        <w:tc>
          <w:tcPr>
            <w:tcW w:w="1869" w:type="dxa"/>
            <w:vMerge w:val="continue"/>
            <w:noWrap w:val="0"/>
            <w:vAlign w:val="center"/>
          </w:tcPr>
          <w:p w14:paraId="7988F8F5">
            <w:pPr>
              <w:jc w:val="center"/>
              <w:rPr>
                <w:rFonts w:hint="eastAsia" w:ascii="宋体" w:hAnsi="宋体" w:eastAsia="宋体" w:cs="宋体"/>
                <w:i w:val="0"/>
                <w:iCs w:val="0"/>
                <w:color w:val="000000" w:themeColor="text1"/>
                <w:sz w:val="24"/>
                <w:szCs w:val="24"/>
                <w:u w:val="none"/>
              </w:rPr>
            </w:pPr>
          </w:p>
        </w:tc>
      </w:tr>
      <w:tr w14:paraId="195B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258CC1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A952F0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下肢静脉曲张</w:t>
            </w:r>
          </w:p>
        </w:tc>
        <w:tc>
          <w:tcPr>
            <w:tcW w:w="1869" w:type="dxa"/>
            <w:vMerge w:val="continue"/>
            <w:noWrap w:val="0"/>
            <w:vAlign w:val="center"/>
          </w:tcPr>
          <w:p w14:paraId="7F55E3EA">
            <w:pPr>
              <w:jc w:val="center"/>
              <w:rPr>
                <w:rFonts w:hint="eastAsia" w:ascii="宋体" w:hAnsi="宋体" w:eastAsia="宋体" w:cs="宋体"/>
                <w:i w:val="0"/>
                <w:iCs w:val="0"/>
                <w:color w:val="000000" w:themeColor="text1"/>
                <w:sz w:val="24"/>
                <w:szCs w:val="24"/>
                <w:u w:val="none"/>
              </w:rPr>
            </w:pPr>
          </w:p>
        </w:tc>
      </w:tr>
      <w:tr w14:paraId="6FB9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D9C40C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D99A20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泌尿系损伤的护理</w:t>
            </w:r>
          </w:p>
        </w:tc>
        <w:tc>
          <w:tcPr>
            <w:tcW w:w="1869" w:type="dxa"/>
            <w:vMerge w:val="continue"/>
            <w:noWrap w:val="0"/>
            <w:vAlign w:val="center"/>
          </w:tcPr>
          <w:p w14:paraId="4F455737">
            <w:pPr>
              <w:jc w:val="center"/>
              <w:rPr>
                <w:rFonts w:hint="eastAsia" w:ascii="宋体" w:hAnsi="宋体" w:eastAsia="宋体" w:cs="宋体"/>
                <w:i w:val="0"/>
                <w:iCs w:val="0"/>
                <w:color w:val="000000" w:themeColor="text1"/>
                <w:sz w:val="24"/>
                <w:szCs w:val="24"/>
                <w:u w:val="none"/>
              </w:rPr>
            </w:pPr>
          </w:p>
        </w:tc>
      </w:tr>
      <w:tr w14:paraId="0C22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2694F1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8A6ABA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尿结石的护理</w:t>
            </w:r>
          </w:p>
        </w:tc>
        <w:tc>
          <w:tcPr>
            <w:tcW w:w="1869" w:type="dxa"/>
            <w:vMerge w:val="continue"/>
            <w:noWrap w:val="0"/>
            <w:vAlign w:val="center"/>
          </w:tcPr>
          <w:p w14:paraId="1BBB411C">
            <w:pPr>
              <w:jc w:val="center"/>
              <w:rPr>
                <w:rFonts w:hint="eastAsia" w:ascii="宋体" w:hAnsi="宋体" w:eastAsia="宋体" w:cs="宋体"/>
                <w:i w:val="0"/>
                <w:iCs w:val="0"/>
                <w:color w:val="000000" w:themeColor="text1"/>
                <w:sz w:val="24"/>
                <w:szCs w:val="24"/>
                <w:u w:val="none"/>
              </w:rPr>
            </w:pPr>
          </w:p>
        </w:tc>
      </w:tr>
      <w:tr w14:paraId="71A47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10BAD7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347C6E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BPH的护理</w:t>
            </w:r>
          </w:p>
        </w:tc>
        <w:tc>
          <w:tcPr>
            <w:tcW w:w="1869" w:type="dxa"/>
            <w:vMerge w:val="continue"/>
            <w:noWrap w:val="0"/>
            <w:vAlign w:val="center"/>
          </w:tcPr>
          <w:p w14:paraId="59267B31">
            <w:pPr>
              <w:jc w:val="center"/>
              <w:rPr>
                <w:rFonts w:hint="eastAsia" w:ascii="宋体" w:hAnsi="宋体" w:eastAsia="宋体" w:cs="宋体"/>
                <w:i w:val="0"/>
                <w:iCs w:val="0"/>
                <w:color w:val="000000" w:themeColor="text1"/>
                <w:sz w:val="24"/>
                <w:szCs w:val="24"/>
                <w:u w:val="none"/>
              </w:rPr>
            </w:pPr>
          </w:p>
        </w:tc>
      </w:tr>
      <w:tr w14:paraId="35837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4F16CE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9E0F13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泌尿系肿瘤的护理</w:t>
            </w:r>
          </w:p>
        </w:tc>
        <w:tc>
          <w:tcPr>
            <w:tcW w:w="1869" w:type="dxa"/>
            <w:vMerge w:val="continue"/>
            <w:noWrap w:val="0"/>
            <w:vAlign w:val="center"/>
          </w:tcPr>
          <w:p w14:paraId="56CA0A65">
            <w:pPr>
              <w:jc w:val="center"/>
              <w:rPr>
                <w:rFonts w:hint="eastAsia" w:ascii="宋体" w:hAnsi="宋体" w:eastAsia="宋体" w:cs="宋体"/>
                <w:i w:val="0"/>
                <w:iCs w:val="0"/>
                <w:color w:val="000000" w:themeColor="text1"/>
                <w:sz w:val="24"/>
                <w:szCs w:val="24"/>
                <w:u w:val="none"/>
              </w:rPr>
            </w:pPr>
          </w:p>
        </w:tc>
      </w:tr>
      <w:tr w14:paraId="2B92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3C3B13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0EA5CB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膀胱冲洗（实训操作）</w:t>
            </w:r>
          </w:p>
        </w:tc>
        <w:tc>
          <w:tcPr>
            <w:tcW w:w="1869" w:type="dxa"/>
            <w:vMerge w:val="continue"/>
            <w:noWrap w:val="0"/>
            <w:vAlign w:val="center"/>
          </w:tcPr>
          <w:p w14:paraId="26AE9F1D">
            <w:pPr>
              <w:jc w:val="center"/>
              <w:rPr>
                <w:rFonts w:hint="eastAsia" w:ascii="宋体" w:hAnsi="宋体" w:eastAsia="宋体" w:cs="宋体"/>
                <w:i w:val="0"/>
                <w:iCs w:val="0"/>
                <w:color w:val="000000" w:themeColor="text1"/>
                <w:sz w:val="24"/>
                <w:szCs w:val="24"/>
                <w:u w:val="none"/>
              </w:rPr>
            </w:pPr>
          </w:p>
        </w:tc>
      </w:tr>
      <w:tr w14:paraId="360B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4225C5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927D69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骨折的护理措施</w:t>
            </w:r>
          </w:p>
        </w:tc>
        <w:tc>
          <w:tcPr>
            <w:tcW w:w="1869" w:type="dxa"/>
            <w:vMerge w:val="continue"/>
            <w:noWrap w:val="0"/>
            <w:vAlign w:val="center"/>
          </w:tcPr>
          <w:p w14:paraId="32F3701E">
            <w:pPr>
              <w:jc w:val="center"/>
              <w:rPr>
                <w:rFonts w:hint="eastAsia" w:ascii="宋体" w:hAnsi="宋体" w:eastAsia="宋体" w:cs="宋体"/>
                <w:i w:val="0"/>
                <w:iCs w:val="0"/>
                <w:color w:val="000000" w:themeColor="text1"/>
                <w:sz w:val="24"/>
                <w:szCs w:val="24"/>
                <w:u w:val="none"/>
              </w:rPr>
            </w:pPr>
          </w:p>
        </w:tc>
      </w:tr>
      <w:tr w14:paraId="3FF2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F31711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6AB002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关节脱位</w:t>
            </w:r>
          </w:p>
        </w:tc>
        <w:tc>
          <w:tcPr>
            <w:tcW w:w="1869" w:type="dxa"/>
            <w:vMerge w:val="continue"/>
            <w:noWrap w:val="0"/>
            <w:vAlign w:val="center"/>
          </w:tcPr>
          <w:p w14:paraId="39F5E2D7">
            <w:pPr>
              <w:jc w:val="center"/>
              <w:rPr>
                <w:rFonts w:hint="eastAsia" w:ascii="宋体" w:hAnsi="宋体" w:eastAsia="宋体" w:cs="宋体"/>
                <w:i w:val="0"/>
                <w:iCs w:val="0"/>
                <w:color w:val="000000" w:themeColor="text1"/>
                <w:sz w:val="24"/>
                <w:szCs w:val="24"/>
                <w:u w:val="none"/>
              </w:rPr>
            </w:pPr>
          </w:p>
        </w:tc>
      </w:tr>
      <w:tr w14:paraId="3713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DC6152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713B16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急性血源性骨髓炎</w:t>
            </w:r>
          </w:p>
        </w:tc>
        <w:tc>
          <w:tcPr>
            <w:tcW w:w="1869" w:type="dxa"/>
            <w:vMerge w:val="continue"/>
            <w:noWrap w:val="0"/>
            <w:vAlign w:val="center"/>
          </w:tcPr>
          <w:p w14:paraId="587C6A8E">
            <w:pPr>
              <w:jc w:val="center"/>
              <w:rPr>
                <w:rFonts w:hint="eastAsia" w:ascii="宋体" w:hAnsi="宋体" w:eastAsia="宋体" w:cs="宋体"/>
                <w:i w:val="0"/>
                <w:iCs w:val="0"/>
                <w:color w:val="000000" w:themeColor="text1"/>
                <w:sz w:val="24"/>
                <w:szCs w:val="24"/>
                <w:u w:val="none"/>
              </w:rPr>
            </w:pPr>
          </w:p>
        </w:tc>
      </w:tr>
      <w:tr w14:paraId="10A9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B178E1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1B4344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1脑疝-（动画-脑疝的瞳孔变化）</w:t>
            </w:r>
          </w:p>
        </w:tc>
        <w:tc>
          <w:tcPr>
            <w:tcW w:w="1869" w:type="dxa"/>
            <w:vMerge w:val="restart"/>
            <w:noWrap w:val="0"/>
            <w:vAlign w:val="center"/>
          </w:tcPr>
          <w:p w14:paraId="41E0FB73">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动画9个</w:t>
            </w:r>
          </w:p>
        </w:tc>
      </w:tr>
      <w:tr w14:paraId="243B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4D35E7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8D20C7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2头皮损伤（动画）</w:t>
            </w:r>
          </w:p>
        </w:tc>
        <w:tc>
          <w:tcPr>
            <w:tcW w:w="1869" w:type="dxa"/>
            <w:vMerge w:val="continue"/>
            <w:noWrap w:val="0"/>
            <w:vAlign w:val="center"/>
          </w:tcPr>
          <w:p w14:paraId="50BDC45E">
            <w:pPr>
              <w:jc w:val="center"/>
              <w:rPr>
                <w:rFonts w:hint="eastAsia" w:ascii="宋体" w:hAnsi="宋体" w:eastAsia="宋体" w:cs="宋体"/>
                <w:i w:val="0"/>
                <w:iCs w:val="0"/>
                <w:color w:val="000000" w:themeColor="text1"/>
                <w:sz w:val="24"/>
                <w:szCs w:val="24"/>
                <w:u w:val="none"/>
              </w:rPr>
            </w:pPr>
          </w:p>
        </w:tc>
      </w:tr>
      <w:tr w14:paraId="5B0C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89A4B7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497CF0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3肋骨骨折（动画-反常呼吸运动）</w:t>
            </w:r>
          </w:p>
        </w:tc>
        <w:tc>
          <w:tcPr>
            <w:tcW w:w="1869" w:type="dxa"/>
            <w:vMerge w:val="continue"/>
            <w:noWrap w:val="0"/>
            <w:vAlign w:val="center"/>
          </w:tcPr>
          <w:p w14:paraId="7D752AD6">
            <w:pPr>
              <w:jc w:val="center"/>
              <w:rPr>
                <w:rFonts w:hint="eastAsia" w:ascii="宋体" w:hAnsi="宋体" w:eastAsia="宋体" w:cs="宋体"/>
                <w:i w:val="0"/>
                <w:iCs w:val="0"/>
                <w:color w:val="000000" w:themeColor="text1"/>
                <w:sz w:val="24"/>
                <w:szCs w:val="24"/>
                <w:u w:val="none"/>
              </w:rPr>
            </w:pPr>
          </w:p>
        </w:tc>
      </w:tr>
      <w:tr w14:paraId="66C0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ABE06F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0A03EF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4血气胸（动画）</w:t>
            </w:r>
          </w:p>
        </w:tc>
        <w:tc>
          <w:tcPr>
            <w:tcW w:w="1869" w:type="dxa"/>
            <w:vMerge w:val="continue"/>
            <w:noWrap w:val="0"/>
            <w:vAlign w:val="center"/>
          </w:tcPr>
          <w:p w14:paraId="1FE01288">
            <w:pPr>
              <w:jc w:val="center"/>
              <w:rPr>
                <w:rFonts w:hint="eastAsia" w:ascii="宋体" w:hAnsi="宋体" w:eastAsia="宋体" w:cs="宋体"/>
                <w:i w:val="0"/>
                <w:iCs w:val="0"/>
                <w:color w:val="000000" w:themeColor="text1"/>
                <w:sz w:val="24"/>
                <w:szCs w:val="24"/>
                <w:u w:val="none"/>
              </w:rPr>
            </w:pPr>
          </w:p>
        </w:tc>
      </w:tr>
      <w:tr w14:paraId="03D16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3A9808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F414FD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5腹外疝概述(动画-斜疝和直疝的鉴别)</w:t>
            </w:r>
          </w:p>
        </w:tc>
        <w:tc>
          <w:tcPr>
            <w:tcW w:w="1869" w:type="dxa"/>
            <w:vMerge w:val="continue"/>
            <w:noWrap w:val="0"/>
            <w:vAlign w:val="center"/>
          </w:tcPr>
          <w:p w14:paraId="25F02E69">
            <w:pPr>
              <w:jc w:val="center"/>
              <w:rPr>
                <w:rFonts w:hint="eastAsia" w:ascii="宋体" w:hAnsi="宋体" w:eastAsia="宋体" w:cs="宋体"/>
                <w:i w:val="0"/>
                <w:iCs w:val="0"/>
                <w:color w:val="000000" w:themeColor="text1"/>
                <w:sz w:val="24"/>
                <w:szCs w:val="24"/>
                <w:u w:val="none"/>
              </w:rPr>
            </w:pPr>
          </w:p>
        </w:tc>
      </w:tr>
      <w:tr w14:paraId="3C21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3B2BC5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5CE8B0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6结肠造口的护理（动画）</w:t>
            </w:r>
          </w:p>
        </w:tc>
        <w:tc>
          <w:tcPr>
            <w:tcW w:w="1869" w:type="dxa"/>
            <w:vMerge w:val="continue"/>
            <w:noWrap w:val="0"/>
            <w:vAlign w:val="center"/>
          </w:tcPr>
          <w:p w14:paraId="7871F5C6">
            <w:pPr>
              <w:jc w:val="center"/>
              <w:rPr>
                <w:rFonts w:hint="eastAsia" w:ascii="宋体" w:hAnsi="宋体" w:eastAsia="宋体" w:cs="宋体"/>
                <w:i w:val="0"/>
                <w:iCs w:val="0"/>
                <w:color w:val="000000" w:themeColor="text1"/>
                <w:sz w:val="24"/>
                <w:szCs w:val="24"/>
                <w:u w:val="none"/>
              </w:rPr>
            </w:pPr>
          </w:p>
        </w:tc>
      </w:tr>
      <w:tr w14:paraId="591D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C86A2E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E50E7A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7血栓闭塞性脉管炎（动画）</w:t>
            </w:r>
          </w:p>
        </w:tc>
        <w:tc>
          <w:tcPr>
            <w:tcW w:w="1869" w:type="dxa"/>
            <w:vMerge w:val="continue"/>
            <w:noWrap w:val="0"/>
            <w:vAlign w:val="center"/>
          </w:tcPr>
          <w:p w14:paraId="3567FBF9">
            <w:pPr>
              <w:jc w:val="center"/>
              <w:rPr>
                <w:rFonts w:hint="eastAsia" w:ascii="宋体" w:hAnsi="宋体" w:eastAsia="宋体" w:cs="宋体"/>
                <w:i w:val="0"/>
                <w:iCs w:val="0"/>
                <w:color w:val="000000" w:themeColor="text1"/>
                <w:sz w:val="24"/>
                <w:szCs w:val="24"/>
                <w:u w:val="none"/>
              </w:rPr>
            </w:pPr>
          </w:p>
        </w:tc>
      </w:tr>
      <w:tr w14:paraId="3D25493B">
        <w:tblPrEx>
          <w:tblCellMar>
            <w:top w:w="0" w:type="dxa"/>
            <w:left w:w="108" w:type="dxa"/>
            <w:bottom w:w="0" w:type="dxa"/>
            <w:right w:w="108" w:type="dxa"/>
          </w:tblCellMar>
        </w:tblPrEx>
        <w:trPr>
          <w:trHeight w:val="285" w:hRule="atLeast"/>
        </w:trPr>
        <w:tc>
          <w:tcPr>
            <w:tcW w:w="2040" w:type="dxa"/>
            <w:vMerge w:val="continue"/>
            <w:noWrap w:val="0"/>
            <w:vAlign w:val="center"/>
          </w:tcPr>
          <w:p w14:paraId="505DB42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38CC6C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8 BPH的概述（动画）</w:t>
            </w:r>
          </w:p>
        </w:tc>
        <w:tc>
          <w:tcPr>
            <w:tcW w:w="1869" w:type="dxa"/>
            <w:vMerge w:val="continue"/>
            <w:noWrap w:val="0"/>
            <w:vAlign w:val="center"/>
          </w:tcPr>
          <w:p w14:paraId="00405810">
            <w:pPr>
              <w:jc w:val="center"/>
              <w:rPr>
                <w:rFonts w:hint="eastAsia" w:ascii="宋体" w:hAnsi="宋体" w:eastAsia="宋体" w:cs="宋体"/>
                <w:i w:val="0"/>
                <w:iCs w:val="0"/>
                <w:color w:val="000000" w:themeColor="text1"/>
                <w:sz w:val="24"/>
                <w:szCs w:val="24"/>
                <w:u w:val="none"/>
              </w:rPr>
            </w:pPr>
          </w:p>
        </w:tc>
      </w:tr>
      <w:tr w14:paraId="10BB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519985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3B9429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9骨折的分类和临床表现（动画）</w:t>
            </w:r>
          </w:p>
        </w:tc>
        <w:tc>
          <w:tcPr>
            <w:tcW w:w="1869" w:type="dxa"/>
            <w:vMerge w:val="continue"/>
            <w:noWrap w:val="0"/>
            <w:vAlign w:val="center"/>
          </w:tcPr>
          <w:p w14:paraId="5E5E3C8F">
            <w:pPr>
              <w:jc w:val="center"/>
              <w:rPr>
                <w:rFonts w:hint="eastAsia" w:ascii="宋体" w:hAnsi="宋体" w:eastAsia="宋体" w:cs="宋体"/>
                <w:i w:val="0"/>
                <w:iCs w:val="0"/>
                <w:color w:val="000000" w:themeColor="text1"/>
                <w:sz w:val="24"/>
                <w:szCs w:val="24"/>
                <w:u w:val="none"/>
              </w:rPr>
            </w:pPr>
          </w:p>
        </w:tc>
      </w:tr>
      <w:tr w14:paraId="7F31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243293DE">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急危重症护理</w:t>
            </w:r>
          </w:p>
        </w:tc>
        <w:tc>
          <w:tcPr>
            <w:tcW w:w="5318" w:type="dxa"/>
            <w:noWrap w:val="0"/>
            <w:vAlign w:val="top"/>
          </w:tcPr>
          <w:p w14:paraId="398517FD">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中暑</w:t>
            </w:r>
          </w:p>
        </w:tc>
        <w:tc>
          <w:tcPr>
            <w:tcW w:w="1869" w:type="dxa"/>
            <w:vMerge w:val="restart"/>
            <w:noWrap w:val="0"/>
            <w:vAlign w:val="center"/>
          </w:tcPr>
          <w:p w14:paraId="06147691">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微课视频13个</w:t>
            </w:r>
          </w:p>
        </w:tc>
      </w:tr>
      <w:tr w14:paraId="0C95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6C465E8">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5D038BA">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心梗</w:t>
            </w:r>
          </w:p>
        </w:tc>
        <w:tc>
          <w:tcPr>
            <w:tcW w:w="1869" w:type="dxa"/>
            <w:vMerge w:val="continue"/>
            <w:noWrap w:val="0"/>
            <w:vAlign w:val="center"/>
          </w:tcPr>
          <w:p w14:paraId="50F59DAD">
            <w:pPr>
              <w:jc w:val="center"/>
              <w:rPr>
                <w:rFonts w:hint="eastAsia" w:ascii="宋体" w:hAnsi="宋体" w:eastAsia="宋体" w:cs="宋体"/>
                <w:i w:val="0"/>
                <w:iCs w:val="0"/>
                <w:color w:val="000000" w:themeColor="text1"/>
                <w:sz w:val="24"/>
                <w:szCs w:val="24"/>
                <w:u w:val="none"/>
              </w:rPr>
            </w:pPr>
          </w:p>
        </w:tc>
      </w:tr>
      <w:tr w14:paraId="7A7B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B075DD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90A8C47">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脑出血</w:t>
            </w:r>
          </w:p>
        </w:tc>
        <w:tc>
          <w:tcPr>
            <w:tcW w:w="1869" w:type="dxa"/>
            <w:vMerge w:val="continue"/>
            <w:noWrap w:val="0"/>
            <w:vAlign w:val="center"/>
          </w:tcPr>
          <w:p w14:paraId="37671C12">
            <w:pPr>
              <w:jc w:val="center"/>
              <w:rPr>
                <w:rFonts w:hint="eastAsia" w:ascii="宋体" w:hAnsi="宋体" w:eastAsia="宋体" w:cs="宋体"/>
                <w:i w:val="0"/>
                <w:iCs w:val="0"/>
                <w:color w:val="000000" w:themeColor="text1"/>
                <w:sz w:val="24"/>
                <w:szCs w:val="24"/>
                <w:u w:val="none"/>
              </w:rPr>
            </w:pPr>
          </w:p>
        </w:tc>
      </w:tr>
      <w:tr w14:paraId="6A85A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A5B8D1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FFAB267">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肾衰</w:t>
            </w:r>
          </w:p>
        </w:tc>
        <w:tc>
          <w:tcPr>
            <w:tcW w:w="1869" w:type="dxa"/>
            <w:vMerge w:val="continue"/>
            <w:noWrap w:val="0"/>
            <w:vAlign w:val="center"/>
          </w:tcPr>
          <w:p w14:paraId="4BF08076">
            <w:pPr>
              <w:jc w:val="center"/>
              <w:rPr>
                <w:rFonts w:hint="eastAsia" w:ascii="宋体" w:hAnsi="宋体" w:eastAsia="宋体" w:cs="宋体"/>
                <w:i w:val="0"/>
                <w:iCs w:val="0"/>
                <w:color w:val="000000" w:themeColor="text1"/>
                <w:sz w:val="24"/>
                <w:szCs w:val="24"/>
                <w:u w:val="none"/>
              </w:rPr>
            </w:pPr>
          </w:p>
        </w:tc>
      </w:tr>
      <w:tr w14:paraId="12D4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86916A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0259A3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三角巾包扎头部、胸部、眼部、肩部</w:t>
            </w:r>
          </w:p>
        </w:tc>
        <w:tc>
          <w:tcPr>
            <w:tcW w:w="1869" w:type="dxa"/>
            <w:vMerge w:val="continue"/>
            <w:noWrap w:val="0"/>
            <w:vAlign w:val="center"/>
          </w:tcPr>
          <w:p w14:paraId="785067DF">
            <w:pPr>
              <w:jc w:val="center"/>
              <w:rPr>
                <w:rFonts w:hint="eastAsia" w:ascii="宋体" w:hAnsi="宋体" w:eastAsia="宋体" w:cs="宋体"/>
                <w:i w:val="0"/>
                <w:iCs w:val="0"/>
                <w:color w:val="000000" w:themeColor="text1"/>
                <w:sz w:val="24"/>
                <w:szCs w:val="24"/>
                <w:u w:val="none"/>
              </w:rPr>
            </w:pPr>
          </w:p>
        </w:tc>
      </w:tr>
      <w:tr w14:paraId="4C34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9562B9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16AB80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绷带包扎六种</w:t>
            </w:r>
          </w:p>
        </w:tc>
        <w:tc>
          <w:tcPr>
            <w:tcW w:w="1869" w:type="dxa"/>
            <w:vMerge w:val="continue"/>
            <w:noWrap w:val="0"/>
            <w:vAlign w:val="center"/>
          </w:tcPr>
          <w:p w14:paraId="7C3ECA0E">
            <w:pPr>
              <w:jc w:val="center"/>
              <w:rPr>
                <w:rFonts w:hint="eastAsia" w:ascii="宋体" w:hAnsi="宋体" w:eastAsia="宋体" w:cs="宋体"/>
                <w:i w:val="0"/>
                <w:iCs w:val="0"/>
                <w:color w:val="000000" w:themeColor="text1"/>
                <w:sz w:val="24"/>
                <w:szCs w:val="24"/>
                <w:u w:val="none"/>
              </w:rPr>
            </w:pPr>
          </w:p>
        </w:tc>
      </w:tr>
      <w:tr w14:paraId="0F8F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707A02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BFB255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气管插管</w:t>
            </w:r>
          </w:p>
        </w:tc>
        <w:tc>
          <w:tcPr>
            <w:tcW w:w="1869" w:type="dxa"/>
            <w:vMerge w:val="continue"/>
            <w:noWrap w:val="0"/>
            <w:vAlign w:val="center"/>
          </w:tcPr>
          <w:p w14:paraId="389A1F26">
            <w:pPr>
              <w:jc w:val="center"/>
              <w:rPr>
                <w:rFonts w:hint="eastAsia" w:ascii="宋体" w:hAnsi="宋体" w:eastAsia="宋体" w:cs="宋体"/>
                <w:i w:val="0"/>
                <w:iCs w:val="0"/>
                <w:color w:val="000000" w:themeColor="text1"/>
                <w:sz w:val="24"/>
                <w:szCs w:val="24"/>
                <w:u w:val="none"/>
              </w:rPr>
            </w:pPr>
          </w:p>
        </w:tc>
      </w:tr>
      <w:tr w14:paraId="4FF7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D02544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68747B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海姆立克急救（成人、儿童）</w:t>
            </w:r>
          </w:p>
        </w:tc>
        <w:tc>
          <w:tcPr>
            <w:tcW w:w="1869" w:type="dxa"/>
            <w:vMerge w:val="continue"/>
            <w:noWrap w:val="0"/>
            <w:vAlign w:val="center"/>
          </w:tcPr>
          <w:p w14:paraId="5FC6E7AC">
            <w:pPr>
              <w:jc w:val="center"/>
              <w:rPr>
                <w:rFonts w:hint="eastAsia" w:ascii="宋体" w:hAnsi="宋体" w:eastAsia="宋体" w:cs="宋体"/>
                <w:i w:val="0"/>
                <w:iCs w:val="0"/>
                <w:color w:val="000000" w:themeColor="text1"/>
                <w:sz w:val="24"/>
                <w:szCs w:val="24"/>
                <w:u w:val="none"/>
              </w:rPr>
            </w:pPr>
          </w:p>
        </w:tc>
      </w:tr>
      <w:tr w14:paraId="743C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5A3247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B084859">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心电监护</w:t>
            </w:r>
          </w:p>
        </w:tc>
        <w:tc>
          <w:tcPr>
            <w:tcW w:w="1869" w:type="dxa"/>
            <w:vMerge w:val="continue"/>
            <w:noWrap w:val="0"/>
            <w:vAlign w:val="center"/>
          </w:tcPr>
          <w:p w14:paraId="188A9B12">
            <w:pPr>
              <w:jc w:val="center"/>
              <w:rPr>
                <w:rFonts w:hint="eastAsia" w:ascii="宋体" w:hAnsi="宋体" w:eastAsia="宋体" w:cs="宋体"/>
                <w:i w:val="0"/>
                <w:iCs w:val="0"/>
                <w:color w:val="000000" w:themeColor="text1"/>
                <w:sz w:val="24"/>
                <w:szCs w:val="24"/>
                <w:u w:val="none"/>
              </w:rPr>
            </w:pPr>
          </w:p>
        </w:tc>
      </w:tr>
      <w:tr w14:paraId="2E0F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E44BED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A672795">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中心静脉压监测</w:t>
            </w:r>
          </w:p>
        </w:tc>
        <w:tc>
          <w:tcPr>
            <w:tcW w:w="1869" w:type="dxa"/>
            <w:vMerge w:val="continue"/>
            <w:noWrap w:val="0"/>
            <w:vAlign w:val="center"/>
          </w:tcPr>
          <w:p w14:paraId="3483323A">
            <w:pPr>
              <w:jc w:val="center"/>
              <w:rPr>
                <w:rFonts w:hint="eastAsia" w:ascii="宋体" w:hAnsi="宋体" w:eastAsia="宋体" w:cs="宋体"/>
                <w:i w:val="0"/>
                <w:iCs w:val="0"/>
                <w:color w:val="000000" w:themeColor="text1"/>
                <w:sz w:val="24"/>
                <w:szCs w:val="24"/>
                <w:u w:val="none"/>
              </w:rPr>
            </w:pPr>
          </w:p>
        </w:tc>
      </w:tr>
      <w:tr w14:paraId="4A2F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5DED93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BBE7710">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骨折固定操作</w:t>
            </w:r>
          </w:p>
        </w:tc>
        <w:tc>
          <w:tcPr>
            <w:tcW w:w="1869" w:type="dxa"/>
            <w:vMerge w:val="continue"/>
            <w:noWrap w:val="0"/>
            <w:vAlign w:val="center"/>
          </w:tcPr>
          <w:p w14:paraId="1C346DAE">
            <w:pPr>
              <w:jc w:val="center"/>
              <w:rPr>
                <w:rFonts w:hint="eastAsia" w:ascii="宋体" w:hAnsi="宋体" w:eastAsia="宋体" w:cs="宋体"/>
                <w:i w:val="0"/>
                <w:iCs w:val="0"/>
                <w:color w:val="000000" w:themeColor="text1"/>
                <w:sz w:val="24"/>
                <w:szCs w:val="24"/>
                <w:u w:val="none"/>
              </w:rPr>
            </w:pPr>
          </w:p>
        </w:tc>
      </w:tr>
      <w:tr w14:paraId="0EE8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8D5B53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15A086E">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学生演练操作（外伤）</w:t>
            </w:r>
          </w:p>
        </w:tc>
        <w:tc>
          <w:tcPr>
            <w:tcW w:w="1869" w:type="dxa"/>
            <w:vMerge w:val="continue"/>
            <w:noWrap w:val="0"/>
            <w:vAlign w:val="center"/>
          </w:tcPr>
          <w:p w14:paraId="26B4F6A6">
            <w:pPr>
              <w:jc w:val="center"/>
              <w:rPr>
                <w:rFonts w:hint="eastAsia" w:ascii="宋体" w:hAnsi="宋体" w:eastAsia="宋体" w:cs="宋体"/>
                <w:i w:val="0"/>
                <w:iCs w:val="0"/>
                <w:color w:val="000000" w:themeColor="text1"/>
                <w:sz w:val="24"/>
                <w:szCs w:val="24"/>
                <w:u w:val="none"/>
              </w:rPr>
            </w:pPr>
          </w:p>
        </w:tc>
      </w:tr>
      <w:tr w14:paraId="5791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23D851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B14E0CA">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ICU团队操作演练</w:t>
            </w:r>
          </w:p>
        </w:tc>
        <w:tc>
          <w:tcPr>
            <w:tcW w:w="1869" w:type="dxa"/>
            <w:vMerge w:val="continue"/>
            <w:noWrap w:val="0"/>
            <w:vAlign w:val="center"/>
          </w:tcPr>
          <w:p w14:paraId="5B73111C">
            <w:pPr>
              <w:jc w:val="center"/>
              <w:rPr>
                <w:rFonts w:hint="eastAsia" w:ascii="宋体" w:hAnsi="宋体" w:eastAsia="宋体" w:cs="宋体"/>
                <w:i w:val="0"/>
                <w:iCs w:val="0"/>
                <w:color w:val="000000" w:themeColor="text1"/>
                <w:sz w:val="24"/>
                <w:szCs w:val="24"/>
                <w:u w:val="none"/>
              </w:rPr>
            </w:pPr>
          </w:p>
        </w:tc>
      </w:tr>
      <w:tr w14:paraId="43F1E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683876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E67AAD8">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气管插管术</w:t>
            </w:r>
          </w:p>
        </w:tc>
        <w:tc>
          <w:tcPr>
            <w:tcW w:w="1869" w:type="dxa"/>
            <w:vMerge w:val="restart"/>
            <w:noWrap w:val="0"/>
            <w:vAlign w:val="center"/>
          </w:tcPr>
          <w:p w14:paraId="6AAEA716">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动画8个</w:t>
            </w:r>
          </w:p>
        </w:tc>
      </w:tr>
      <w:tr w14:paraId="4E97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40007C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00C0398">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外伤止血（出血）</w:t>
            </w:r>
          </w:p>
        </w:tc>
        <w:tc>
          <w:tcPr>
            <w:tcW w:w="1869" w:type="dxa"/>
            <w:vMerge w:val="continue"/>
            <w:noWrap w:val="0"/>
            <w:vAlign w:val="center"/>
          </w:tcPr>
          <w:p w14:paraId="26B6979B">
            <w:pPr>
              <w:jc w:val="center"/>
              <w:rPr>
                <w:rFonts w:hint="eastAsia" w:ascii="宋体" w:hAnsi="宋体" w:eastAsia="宋体" w:cs="宋体"/>
                <w:i w:val="0"/>
                <w:iCs w:val="0"/>
                <w:color w:val="000000" w:themeColor="text1"/>
                <w:sz w:val="24"/>
                <w:szCs w:val="24"/>
                <w:u w:val="none"/>
              </w:rPr>
            </w:pPr>
          </w:p>
        </w:tc>
      </w:tr>
      <w:tr w14:paraId="4960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9A7AAA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8D007AC">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心脏按压原理</w:t>
            </w:r>
          </w:p>
        </w:tc>
        <w:tc>
          <w:tcPr>
            <w:tcW w:w="1869" w:type="dxa"/>
            <w:vMerge w:val="continue"/>
            <w:noWrap w:val="0"/>
            <w:vAlign w:val="center"/>
          </w:tcPr>
          <w:p w14:paraId="29F47E00">
            <w:pPr>
              <w:jc w:val="center"/>
              <w:rPr>
                <w:rFonts w:hint="eastAsia" w:ascii="宋体" w:hAnsi="宋体" w:eastAsia="宋体" w:cs="宋体"/>
                <w:i w:val="0"/>
                <w:iCs w:val="0"/>
                <w:color w:val="000000" w:themeColor="text1"/>
                <w:sz w:val="24"/>
                <w:szCs w:val="24"/>
                <w:u w:val="none"/>
              </w:rPr>
            </w:pPr>
          </w:p>
        </w:tc>
      </w:tr>
      <w:tr w14:paraId="4593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C533E6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ED3464E">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心脉按压频率和深度</w:t>
            </w:r>
          </w:p>
        </w:tc>
        <w:tc>
          <w:tcPr>
            <w:tcW w:w="1869" w:type="dxa"/>
            <w:vMerge w:val="continue"/>
            <w:noWrap w:val="0"/>
            <w:vAlign w:val="center"/>
          </w:tcPr>
          <w:p w14:paraId="7AD9E7FD">
            <w:pPr>
              <w:jc w:val="center"/>
              <w:rPr>
                <w:rFonts w:hint="eastAsia" w:ascii="宋体" w:hAnsi="宋体" w:eastAsia="宋体" w:cs="宋体"/>
                <w:i w:val="0"/>
                <w:iCs w:val="0"/>
                <w:color w:val="000000" w:themeColor="text1"/>
                <w:sz w:val="24"/>
                <w:szCs w:val="24"/>
                <w:u w:val="none"/>
              </w:rPr>
            </w:pPr>
          </w:p>
        </w:tc>
      </w:tr>
      <w:tr w14:paraId="5CF5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A7BF12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35CDCE8">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人工吹气</w:t>
            </w:r>
          </w:p>
        </w:tc>
        <w:tc>
          <w:tcPr>
            <w:tcW w:w="1869" w:type="dxa"/>
            <w:vMerge w:val="continue"/>
            <w:noWrap w:val="0"/>
            <w:vAlign w:val="center"/>
          </w:tcPr>
          <w:p w14:paraId="38372221">
            <w:pPr>
              <w:jc w:val="center"/>
              <w:rPr>
                <w:rFonts w:hint="eastAsia" w:ascii="宋体" w:hAnsi="宋体" w:eastAsia="宋体" w:cs="宋体"/>
                <w:i w:val="0"/>
                <w:iCs w:val="0"/>
                <w:color w:val="000000" w:themeColor="text1"/>
                <w:sz w:val="24"/>
                <w:szCs w:val="24"/>
                <w:u w:val="none"/>
              </w:rPr>
            </w:pPr>
          </w:p>
        </w:tc>
      </w:tr>
      <w:tr w14:paraId="0CFBD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DBDB71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FC7ED10">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淹溺表现</w:t>
            </w:r>
          </w:p>
        </w:tc>
        <w:tc>
          <w:tcPr>
            <w:tcW w:w="1869" w:type="dxa"/>
            <w:vMerge w:val="continue"/>
            <w:noWrap w:val="0"/>
            <w:vAlign w:val="center"/>
          </w:tcPr>
          <w:p w14:paraId="74DB0F60">
            <w:pPr>
              <w:jc w:val="center"/>
              <w:rPr>
                <w:rFonts w:hint="eastAsia" w:ascii="宋体" w:hAnsi="宋体" w:eastAsia="宋体" w:cs="宋体"/>
                <w:i w:val="0"/>
                <w:iCs w:val="0"/>
                <w:color w:val="000000" w:themeColor="text1"/>
                <w:sz w:val="24"/>
                <w:szCs w:val="24"/>
                <w:u w:val="none"/>
              </w:rPr>
            </w:pPr>
          </w:p>
        </w:tc>
      </w:tr>
      <w:tr w14:paraId="7CC3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6FF60C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27811ED">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气道异物梗阻急救（海姆立克急救）</w:t>
            </w:r>
          </w:p>
        </w:tc>
        <w:tc>
          <w:tcPr>
            <w:tcW w:w="1869" w:type="dxa"/>
            <w:vMerge w:val="continue"/>
            <w:noWrap w:val="0"/>
            <w:vAlign w:val="center"/>
          </w:tcPr>
          <w:p w14:paraId="25CB6DC9">
            <w:pPr>
              <w:jc w:val="center"/>
              <w:rPr>
                <w:rFonts w:hint="eastAsia" w:ascii="宋体" w:hAnsi="宋体" w:eastAsia="宋体" w:cs="宋体"/>
                <w:i w:val="0"/>
                <w:iCs w:val="0"/>
                <w:color w:val="000000" w:themeColor="text1"/>
                <w:sz w:val="24"/>
                <w:szCs w:val="24"/>
                <w:u w:val="none"/>
              </w:rPr>
            </w:pPr>
          </w:p>
        </w:tc>
      </w:tr>
      <w:tr w14:paraId="20B5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A9CB50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D0683AA">
            <w:pPr>
              <w:keepNext w:val="0"/>
              <w:keepLines w:val="0"/>
              <w:widowControl/>
              <w:suppressLineNumbers w:val="0"/>
              <w:jc w:val="left"/>
              <w:textAlignment w:val="top"/>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 xml:space="preserve"> AED操作</w:t>
            </w:r>
          </w:p>
        </w:tc>
        <w:tc>
          <w:tcPr>
            <w:tcW w:w="1869" w:type="dxa"/>
            <w:vMerge w:val="continue"/>
            <w:noWrap w:val="0"/>
            <w:vAlign w:val="center"/>
          </w:tcPr>
          <w:p w14:paraId="12070A64">
            <w:pPr>
              <w:jc w:val="center"/>
              <w:rPr>
                <w:rFonts w:hint="eastAsia" w:ascii="宋体" w:hAnsi="宋体" w:eastAsia="宋体" w:cs="宋体"/>
                <w:i w:val="0"/>
                <w:iCs w:val="0"/>
                <w:color w:val="000000" w:themeColor="text1"/>
                <w:sz w:val="24"/>
                <w:szCs w:val="24"/>
                <w:u w:val="none"/>
              </w:rPr>
            </w:pPr>
          </w:p>
        </w:tc>
      </w:tr>
      <w:tr w14:paraId="4B6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3506BB52">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妇产科护理</w:t>
            </w:r>
          </w:p>
        </w:tc>
        <w:tc>
          <w:tcPr>
            <w:tcW w:w="5318" w:type="dxa"/>
            <w:noWrap w:val="0"/>
            <w:vAlign w:val="top"/>
          </w:tcPr>
          <w:p w14:paraId="30F579D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女性内外生殖器</w:t>
            </w:r>
          </w:p>
        </w:tc>
        <w:tc>
          <w:tcPr>
            <w:tcW w:w="1869" w:type="dxa"/>
            <w:vMerge w:val="restart"/>
            <w:noWrap w:val="0"/>
            <w:vAlign w:val="center"/>
          </w:tcPr>
          <w:p w14:paraId="386229FB">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微课视频18个</w:t>
            </w:r>
          </w:p>
        </w:tc>
      </w:tr>
      <w:tr w14:paraId="4A960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2A973B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74C3F2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妊娠期高血压疾病</w:t>
            </w:r>
          </w:p>
        </w:tc>
        <w:tc>
          <w:tcPr>
            <w:tcW w:w="1869" w:type="dxa"/>
            <w:vMerge w:val="continue"/>
            <w:noWrap w:val="0"/>
            <w:vAlign w:val="center"/>
          </w:tcPr>
          <w:p w14:paraId="053BAC95">
            <w:pPr>
              <w:jc w:val="center"/>
              <w:rPr>
                <w:rFonts w:hint="eastAsia" w:ascii="宋体" w:hAnsi="宋体" w:eastAsia="宋体" w:cs="宋体"/>
                <w:i w:val="0"/>
                <w:iCs w:val="0"/>
                <w:color w:val="000000" w:themeColor="text1"/>
                <w:sz w:val="24"/>
                <w:szCs w:val="24"/>
                <w:u w:val="none"/>
              </w:rPr>
            </w:pPr>
          </w:p>
        </w:tc>
      </w:tr>
      <w:tr w14:paraId="2F60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E37605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C1D5F5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妊娠合并心脏病</w:t>
            </w:r>
          </w:p>
        </w:tc>
        <w:tc>
          <w:tcPr>
            <w:tcW w:w="1869" w:type="dxa"/>
            <w:vMerge w:val="continue"/>
            <w:noWrap w:val="0"/>
            <w:vAlign w:val="center"/>
          </w:tcPr>
          <w:p w14:paraId="0732E7CB">
            <w:pPr>
              <w:jc w:val="center"/>
              <w:rPr>
                <w:rFonts w:hint="eastAsia" w:ascii="宋体" w:hAnsi="宋体" w:eastAsia="宋体" w:cs="宋体"/>
                <w:i w:val="0"/>
                <w:iCs w:val="0"/>
                <w:color w:val="000000" w:themeColor="text1"/>
                <w:sz w:val="24"/>
                <w:szCs w:val="24"/>
                <w:u w:val="none"/>
              </w:rPr>
            </w:pPr>
          </w:p>
        </w:tc>
      </w:tr>
      <w:tr w14:paraId="5AFD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1F2177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E9925B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妊娠合并合并糖尿病</w:t>
            </w:r>
          </w:p>
        </w:tc>
        <w:tc>
          <w:tcPr>
            <w:tcW w:w="1869" w:type="dxa"/>
            <w:vMerge w:val="continue"/>
            <w:noWrap w:val="0"/>
            <w:vAlign w:val="center"/>
          </w:tcPr>
          <w:p w14:paraId="75CE80E3">
            <w:pPr>
              <w:jc w:val="center"/>
              <w:rPr>
                <w:rFonts w:hint="eastAsia" w:ascii="宋体" w:hAnsi="宋体" w:eastAsia="宋体" w:cs="宋体"/>
                <w:i w:val="0"/>
                <w:iCs w:val="0"/>
                <w:color w:val="000000" w:themeColor="text1"/>
                <w:sz w:val="24"/>
                <w:szCs w:val="24"/>
                <w:u w:val="none"/>
              </w:rPr>
            </w:pPr>
          </w:p>
        </w:tc>
      </w:tr>
      <w:tr w14:paraId="3DC8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4AE13C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528251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子宫内膜癌</w:t>
            </w:r>
          </w:p>
        </w:tc>
        <w:tc>
          <w:tcPr>
            <w:tcW w:w="1869" w:type="dxa"/>
            <w:vMerge w:val="continue"/>
            <w:noWrap w:val="0"/>
            <w:vAlign w:val="center"/>
          </w:tcPr>
          <w:p w14:paraId="5766E704">
            <w:pPr>
              <w:jc w:val="center"/>
              <w:rPr>
                <w:rFonts w:hint="eastAsia" w:ascii="宋体" w:hAnsi="宋体" w:eastAsia="宋体" w:cs="宋体"/>
                <w:i w:val="0"/>
                <w:iCs w:val="0"/>
                <w:color w:val="000000" w:themeColor="text1"/>
                <w:sz w:val="24"/>
                <w:szCs w:val="24"/>
                <w:u w:val="none"/>
              </w:rPr>
            </w:pPr>
          </w:p>
        </w:tc>
      </w:tr>
      <w:tr w14:paraId="57DA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56C091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A9570C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产后访视</w:t>
            </w:r>
          </w:p>
        </w:tc>
        <w:tc>
          <w:tcPr>
            <w:tcW w:w="1869" w:type="dxa"/>
            <w:vMerge w:val="continue"/>
            <w:noWrap w:val="0"/>
            <w:vAlign w:val="center"/>
          </w:tcPr>
          <w:p w14:paraId="523AD6E6">
            <w:pPr>
              <w:jc w:val="center"/>
              <w:rPr>
                <w:rFonts w:hint="eastAsia" w:ascii="宋体" w:hAnsi="宋体" w:eastAsia="宋体" w:cs="宋体"/>
                <w:i w:val="0"/>
                <w:iCs w:val="0"/>
                <w:color w:val="000000" w:themeColor="text1"/>
                <w:sz w:val="24"/>
                <w:szCs w:val="24"/>
                <w:u w:val="none"/>
              </w:rPr>
            </w:pPr>
          </w:p>
        </w:tc>
      </w:tr>
      <w:tr w14:paraId="264F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0A88BF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27A399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新生儿护理</w:t>
            </w:r>
          </w:p>
        </w:tc>
        <w:tc>
          <w:tcPr>
            <w:tcW w:w="1869" w:type="dxa"/>
            <w:vMerge w:val="continue"/>
            <w:noWrap w:val="0"/>
            <w:vAlign w:val="center"/>
          </w:tcPr>
          <w:p w14:paraId="1366EB45">
            <w:pPr>
              <w:jc w:val="center"/>
              <w:rPr>
                <w:rFonts w:hint="eastAsia" w:ascii="宋体" w:hAnsi="宋体" w:eastAsia="宋体" w:cs="宋体"/>
                <w:i w:val="0"/>
                <w:iCs w:val="0"/>
                <w:color w:val="000000" w:themeColor="text1"/>
                <w:sz w:val="24"/>
                <w:szCs w:val="24"/>
                <w:u w:val="none"/>
              </w:rPr>
            </w:pPr>
          </w:p>
        </w:tc>
      </w:tr>
      <w:tr w14:paraId="28C7F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660B23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3D8605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产妇身体照护</w:t>
            </w:r>
          </w:p>
        </w:tc>
        <w:tc>
          <w:tcPr>
            <w:tcW w:w="1869" w:type="dxa"/>
            <w:vMerge w:val="continue"/>
            <w:noWrap w:val="0"/>
            <w:vAlign w:val="center"/>
          </w:tcPr>
          <w:p w14:paraId="4D4A7AE7">
            <w:pPr>
              <w:jc w:val="center"/>
              <w:rPr>
                <w:rFonts w:hint="eastAsia" w:ascii="宋体" w:hAnsi="宋体" w:eastAsia="宋体" w:cs="宋体"/>
                <w:i w:val="0"/>
                <w:iCs w:val="0"/>
                <w:color w:val="000000" w:themeColor="text1"/>
                <w:sz w:val="24"/>
                <w:szCs w:val="24"/>
                <w:u w:val="none"/>
              </w:rPr>
            </w:pPr>
          </w:p>
        </w:tc>
      </w:tr>
      <w:tr w14:paraId="7A6F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6FCC2E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7A3B27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产妇饮食护理</w:t>
            </w:r>
          </w:p>
        </w:tc>
        <w:tc>
          <w:tcPr>
            <w:tcW w:w="1869" w:type="dxa"/>
            <w:vMerge w:val="continue"/>
            <w:noWrap w:val="0"/>
            <w:vAlign w:val="center"/>
          </w:tcPr>
          <w:p w14:paraId="7A00854B">
            <w:pPr>
              <w:jc w:val="center"/>
              <w:rPr>
                <w:rFonts w:hint="eastAsia" w:ascii="宋体" w:hAnsi="宋体" w:eastAsia="宋体" w:cs="宋体"/>
                <w:i w:val="0"/>
                <w:iCs w:val="0"/>
                <w:color w:val="000000" w:themeColor="text1"/>
                <w:sz w:val="24"/>
                <w:szCs w:val="24"/>
                <w:u w:val="none"/>
              </w:rPr>
            </w:pPr>
          </w:p>
        </w:tc>
      </w:tr>
      <w:tr w14:paraId="03344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0474B39">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6D0CAB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子宫脱垂</w:t>
            </w:r>
          </w:p>
        </w:tc>
        <w:tc>
          <w:tcPr>
            <w:tcW w:w="1869" w:type="dxa"/>
            <w:vMerge w:val="continue"/>
            <w:noWrap w:val="0"/>
            <w:vAlign w:val="center"/>
          </w:tcPr>
          <w:p w14:paraId="156B83EA">
            <w:pPr>
              <w:jc w:val="center"/>
              <w:rPr>
                <w:rFonts w:hint="eastAsia" w:ascii="宋体" w:hAnsi="宋体" w:eastAsia="宋体" w:cs="宋体"/>
                <w:i w:val="0"/>
                <w:iCs w:val="0"/>
                <w:color w:val="000000" w:themeColor="text1"/>
                <w:sz w:val="24"/>
                <w:szCs w:val="24"/>
                <w:u w:val="none"/>
              </w:rPr>
            </w:pPr>
          </w:p>
        </w:tc>
      </w:tr>
      <w:tr w14:paraId="0E96D7CC">
        <w:tblPrEx>
          <w:tblCellMar>
            <w:top w:w="0" w:type="dxa"/>
            <w:left w:w="108" w:type="dxa"/>
            <w:bottom w:w="0" w:type="dxa"/>
            <w:right w:w="108" w:type="dxa"/>
          </w:tblCellMar>
        </w:tblPrEx>
        <w:trPr>
          <w:trHeight w:val="285" w:hRule="atLeast"/>
        </w:trPr>
        <w:tc>
          <w:tcPr>
            <w:tcW w:w="2040" w:type="dxa"/>
            <w:vMerge w:val="continue"/>
            <w:noWrap w:val="0"/>
            <w:vAlign w:val="center"/>
          </w:tcPr>
          <w:p w14:paraId="7557C36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F0971E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胎产式胎先露胎方位</w:t>
            </w:r>
          </w:p>
        </w:tc>
        <w:tc>
          <w:tcPr>
            <w:tcW w:w="1869" w:type="dxa"/>
            <w:vMerge w:val="continue"/>
            <w:noWrap w:val="0"/>
            <w:vAlign w:val="center"/>
          </w:tcPr>
          <w:p w14:paraId="151C0C52">
            <w:pPr>
              <w:jc w:val="center"/>
              <w:rPr>
                <w:rFonts w:hint="eastAsia" w:ascii="宋体" w:hAnsi="宋体" w:eastAsia="宋体" w:cs="宋体"/>
                <w:i w:val="0"/>
                <w:iCs w:val="0"/>
                <w:color w:val="000000" w:themeColor="text1"/>
                <w:sz w:val="24"/>
                <w:szCs w:val="24"/>
                <w:u w:val="none"/>
              </w:rPr>
            </w:pPr>
          </w:p>
        </w:tc>
      </w:tr>
      <w:tr w14:paraId="68DE9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F68022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6235BA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四部触诊</w:t>
            </w:r>
          </w:p>
        </w:tc>
        <w:tc>
          <w:tcPr>
            <w:tcW w:w="1869" w:type="dxa"/>
            <w:vMerge w:val="continue"/>
            <w:noWrap w:val="0"/>
            <w:vAlign w:val="center"/>
          </w:tcPr>
          <w:p w14:paraId="2BDBA772">
            <w:pPr>
              <w:jc w:val="center"/>
              <w:rPr>
                <w:rFonts w:hint="eastAsia" w:ascii="宋体" w:hAnsi="宋体" w:eastAsia="宋体" w:cs="宋体"/>
                <w:i w:val="0"/>
                <w:iCs w:val="0"/>
                <w:color w:val="000000" w:themeColor="text1"/>
                <w:sz w:val="24"/>
                <w:szCs w:val="24"/>
                <w:u w:val="none"/>
              </w:rPr>
            </w:pPr>
          </w:p>
        </w:tc>
      </w:tr>
      <w:tr w14:paraId="4F89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ED2188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BC7CE5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分娩机转</w:t>
            </w:r>
          </w:p>
        </w:tc>
        <w:tc>
          <w:tcPr>
            <w:tcW w:w="1869" w:type="dxa"/>
            <w:vMerge w:val="continue"/>
            <w:noWrap w:val="0"/>
            <w:vAlign w:val="center"/>
          </w:tcPr>
          <w:p w14:paraId="5EBA90BB">
            <w:pPr>
              <w:jc w:val="center"/>
              <w:rPr>
                <w:rFonts w:hint="eastAsia" w:ascii="宋体" w:hAnsi="宋体" w:eastAsia="宋体" w:cs="宋体"/>
                <w:i w:val="0"/>
                <w:iCs w:val="0"/>
                <w:color w:val="000000" w:themeColor="text1"/>
                <w:sz w:val="24"/>
                <w:szCs w:val="24"/>
                <w:u w:val="none"/>
              </w:rPr>
            </w:pPr>
          </w:p>
        </w:tc>
      </w:tr>
      <w:tr w14:paraId="0508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B1036B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CBD5CA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外阴消毒</w:t>
            </w:r>
          </w:p>
        </w:tc>
        <w:tc>
          <w:tcPr>
            <w:tcW w:w="1869" w:type="dxa"/>
            <w:vMerge w:val="continue"/>
            <w:noWrap w:val="0"/>
            <w:vAlign w:val="center"/>
          </w:tcPr>
          <w:p w14:paraId="4E6FC6A5">
            <w:pPr>
              <w:jc w:val="center"/>
              <w:rPr>
                <w:rFonts w:hint="eastAsia" w:ascii="宋体" w:hAnsi="宋体" w:eastAsia="宋体" w:cs="宋体"/>
                <w:i w:val="0"/>
                <w:iCs w:val="0"/>
                <w:color w:val="000000" w:themeColor="text1"/>
                <w:sz w:val="24"/>
                <w:szCs w:val="24"/>
                <w:u w:val="none"/>
              </w:rPr>
            </w:pPr>
          </w:p>
        </w:tc>
      </w:tr>
      <w:tr w14:paraId="339C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716E01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20DD81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接生</w:t>
            </w:r>
          </w:p>
        </w:tc>
        <w:tc>
          <w:tcPr>
            <w:tcW w:w="1869" w:type="dxa"/>
            <w:vMerge w:val="continue"/>
            <w:noWrap w:val="0"/>
            <w:vAlign w:val="center"/>
          </w:tcPr>
          <w:p w14:paraId="469CC815">
            <w:pPr>
              <w:jc w:val="center"/>
              <w:rPr>
                <w:rFonts w:hint="eastAsia" w:ascii="宋体" w:hAnsi="宋体" w:eastAsia="宋体" w:cs="宋体"/>
                <w:i w:val="0"/>
                <w:iCs w:val="0"/>
                <w:color w:val="000000" w:themeColor="text1"/>
                <w:sz w:val="24"/>
                <w:szCs w:val="24"/>
                <w:u w:val="none"/>
              </w:rPr>
            </w:pPr>
          </w:p>
        </w:tc>
      </w:tr>
      <w:tr w14:paraId="3534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E118F1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6680EB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妇科检查</w:t>
            </w:r>
          </w:p>
        </w:tc>
        <w:tc>
          <w:tcPr>
            <w:tcW w:w="1869" w:type="dxa"/>
            <w:vMerge w:val="continue"/>
            <w:noWrap w:val="0"/>
            <w:vAlign w:val="center"/>
          </w:tcPr>
          <w:p w14:paraId="704B5307">
            <w:pPr>
              <w:jc w:val="center"/>
              <w:rPr>
                <w:rFonts w:hint="eastAsia" w:ascii="宋体" w:hAnsi="宋体" w:eastAsia="宋体" w:cs="宋体"/>
                <w:i w:val="0"/>
                <w:iCs w:val="0"/>
                <w:color w:val="000000" w:themeColor="text1"/>
                <w:sz w:val="24"/>
                <w:szCs w:val="24"/>
                <w:u w:val="none"/>
              </w:rPr>
            </w:pPr>
          </w:p>
        </w:tc>
      </w:tr>
      <w:tr w14:paraId="6A9E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5E5373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0051E0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妇科炎症治疗</w:t>
            </w:r>
          </w:p>
        </w:tc>
        <w:tc>
          <w:tcPr>
            <w:tcW w:w="1869" w:type="dxa"/>
            <w:vMerge w:val="continue"/>
            <w:noWrap w:val="0"/>
            <w:vAlign w:val="center"/>
          </w:tcPr>
          <w:p w14:paraId="266CCA2F">
            <w:pPr>
              <w:jc w:val="center"/>
              <w:rPr>
                <w:rFonts w:hint="eastAsia" w:ascii="宋体" w:hAnsi="宋体" w:eastAsia="宋体" w:cs="宋体"/>
                <w:i w:val="0"/>
                <w:iCs w:val="0"/>
                <w:color w:val="000000" w:themeColor="text1"/>
                <w:sz w:val="24"/>
                <w:szCs w:val="24"/>
                <w:u w:val="none"/>
              </w:rPr>
            </w:pPr>
          </w:p>
        </w:tc>
      </w:tr>
      <w:tr w14:paraId="396A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854571D">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5EE6D8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新生儿沐浴</w:t>
            </w:r>
          </w:p>
        </w:tc>
        <w:tc>
          <w:tcPr>
            <w:tcW w:w="1869" w:type="dxa"/>
            <w:vMerge w:val="continue"/>
            <w:noWrap w:val="0"/>
            <w:vAlign w:val="center"/>
          </w:tcPr>
          <w:p w14:paraId="747DFF34">
            <w:pPr>
              <w:jc w:val="center"/>
              <w:rPr>
                <w:rFonts w:hint="eastAsia" w:ascii="宋体" w:hAnsi="宋体" w:eastAsia="宋体" w:cs="宋体"/>
                <w:i w:val="0"/>
                <w:iCs w:val="0"/>
                <w:color w:val="000000" w:themeColor="text1"/>
                <w:sz w:val="24"/>
                <w:szCs w:val="24"/>
                <w:u w:val="none"/>
              </w:rPr>
            </w:pPr>
          </w:p>
        </w:tc>
      </w:tr>
      <w:tr w14:paraId="7AF1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D0005DE">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ABD7D4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分娩机转动画</w:t>
            </w:r>
          </w:p>
        </w:tc>
        <w:tc>
          <w:tcPr>
            <w:tcW w:w="1869" w:type="dxa"/>
            <w:vMerge w:val="restart"/>
            <w:noWrap w:val="0"/>
            <w:vAlign w:val="center"/>
          </w:tcPr>
          <w:p w14:paraId="297A1BBC">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动画2个</w:t>
            </w:r>
          </w:p>
        </w:tc>
      </w:tr>
      <w:tr w14:paraId="32CA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994708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2202F0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妊高症三大临床表现动画</w:t>
            </w:r>
          </w:p>
        </w:tc>
        <w:tc>
          <w:tcPr>
            <w:tcW w:w="1869" w:type="dxa"/>
            <w:vMerge w:val="continue"/>
            <w:noWrap w:val="0"/>
            <w:vAlign w:val="center"/>
          </w:tcPr>
          <w:p w14:paraId="11095334">
            <w:pPr>
              <w:jc w:val="center"/>
              <w:rPr>
                <w:rFonts w:hint="eastAsia" w:ascii="宋体" w:hAnsi="宋体" w:eastAsia="宋体" w:cs="宋体"/>
                <w:i w:val="0"/>
                <w:iCs w:val="0"/>
                <w:color w:val="000000" w:themeColor="text1"/>
                <w:sz w:val="24"/>
                <w:szCs w:val="24"/>
                <w:u w:val="none"/>
              </w:rPr>
            </w:pPr>
          </w:p>
        </w:tc>
      </w:tr>
      <w:tr w14:paraId="553B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restart"/>
            <w:noWrap w:val="0"/>
            <w:vAlign w:val="center"/>
          </w:tcPr>
          <w:p w14:paraId="30CF91EC">
            <w:pPr>
              <w:keepNext w:val="0"/>
              <w:keepLines w:val="0"/>
              <w:widowControl/>
              <w:suppressLineNumbers w:val="0"/>
              <w:jc w:val="center"/>
              <w:textAlignment w:val="center"/>
              <w:rPr>
                <w:rFonts w:hint="eastAsia" w:ascii="宋体" w:hAnsi="宋体" w:eastAsia="宋体" w:cs="宋体"/>
                <w:b/>
                <w:bCs/>
                <w:i w:val="0"/>
                <w:iCs w:val="0"/>
                <w:color w:val="000000" w:themeColor="text1"/>
                <w:sz w:val="24"/>
                <w:szCs w:val="24"/>
                <w:u w:val="none"/>
              </w:rPr>
            </w:pPr>
            <w:r>
              <w:rPr>
                <w:rStyle w:val="40"/>
                <w:color w:val="000000" w:themeColor="text1"/>
                <w:lang w:val="en-US" w:eastAsia="zh-CN" w:bidi="ar"/>
              </w:rPr>
              <w:t>儿童护理</w:t>
            </w:r>
          </w:p>
        </w:tc>
        <w:tc>
          <w:tcPr>
            <w:tcW w:w="5318" w:type="dxa"/>
            <w:noWrap w:val="0"/>
            <w:vAlign w:val="top"/>
          </w:tcPr>
          <w:p w14:paraId="038B1D2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儿童年龄分期</w:t>
            </w:r>
          </w:p>
        </w:tc>
        <w:tc>
          <w:tcPr>
            <w:tcW w:w="1869" w:type="dxa"/>
            <w:vMerge w:val="restart"/>
            <w:noWrap w:val="0"/>
            <w:vAlign w:val="center"/>
          </w:tcPr>
          <w:p w14:paraId="466BE294">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Fonts w:hint="eastAsia" w:ascii="宋体" w:hAnsi="宋体" w:eastAsia="宋体" w:cs="宋体"/>
                <w:i w:val="0"/>
                <w:iCs w:val="0"/>
                <w:color w:val="000000" w:themeColor="text1"/>
                <w:kern w:val="0"/>
                <w:sz w:val="24"/>
                <w:szCs w:val="24"/>
                <w:u w:val="none"/>
                <w:lang w:val="en-US" w:eastAsia="zh-CN" w:bidi="ar"/>
              </w:rPr>
              <w:t>微课视频34个</w:t>
            </w:r>
          </w:p>
        </w:tc>
      </w:tr>
      <w:tr w14:paraId="7176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539899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9D8988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生长发育规律</w:t>
            </w:r>
          </w:p>
        </w:tc>
        <w:tc>
          <w:tcPr>
            <w:tcW w:w="1869" w:type="dxa"/>
            <w:vMerge w:val="continue"/>
            <w:noWrap w:val="0"/>
            <w:vAlign w:val="center"/>
          </w:tcPr>
          <w:p w14:paraId="1AB76F75">
            <w:pPr>
              <w:jc w:val="center"/>
              <w:rPr>
                <w:rFonts w:hint="eastAsia" w:ascii="宋体" w:hAnsi="宋体" w:eastAsia="宋体" w:cs="宋体"/>
                <w:i w:val="0"/>
                <w:iCs w:val="0"/>
                <w:color w:val="000000" w:themeColor="text1"/>
                <w:sz w:val="24"/>
                <w:szCs w:val="24"/>
                <w:u w:val="none"/>
              </w:rPr>
            </w:pPr>
          </w:p>
        </w:tc>
      </w:tr>
      <w:tr w14:paraId="1BD7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3E50FE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D4E0B6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儿童发育</w:t>
            </w:r>
          </w:p>
        </w:tc>
        <w:tc>
          <w:tcPr>
            <w:tcW w:w="1869" w:type="dxa"/>
            <w:vMerge w:val="continue"/>
            <w:noWrap w:val="0"/>
            <w:vAlign w:val="center"/>
          </w:tcPr>
          <w:p w14:paraId="2DB86891">
            <w:pPr>
              <w:jc w:val="center"/>
              <w:rPr>
                <w:rFonts w:hint="eastAsia" w:ascii="宋体" w:hAnsi="宋体" w:eastAsia="宋体" w:cs="宋体"/>
                <w:i w:val="0"/>
                <w:iCs w:val="0"/>
                <w:color w:val="000000" w:themeColor="text1"/>
                <w:sz w:val="24"/>
                <w:szCs w:val="24"/>
                <w:u w:val="none"/>
              </w:rPr>
            </w:pPr>
          </w:p>
        </w:tc>
      </w:tr>
      <w:tr w14:paraId="7445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71E560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EC8F57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儿童营养需要</w:t>
            </w:r>
          </w:p>
        </w:tc>
        <w:tc>
          <w:tcPr>
            <w:tcW w:w="1869" w:type="dxa"/>
            <w:vMerge w:val="continue"/>
            <w:noWrap w:val="0"/>
            <w:vAlign w:val="center"/>
          </w:tcPr>
          <w:p w14:paraId="1E827951">
            <w:pPr>
              <w:jc w:val="center"/>
              <w:rPr>
                <w:rFonts w:hint="eastAsia" w:ascii="宋体" w:hAnsi="宋体" w:eastAsia="宋体" w:cs="宋体"/>
                <w:i w:val="0"/>
                <w:iCs w:val="0"/>
                <w:color w:val="000000" w:themeColor="text1"/>
                <w:sz w:val="24"/>
                <w:szCs w:val="24"/>
                <w:u w:val="none"/>
              </w:rPr>
            </w:pPr>
          </w:p>
        </w:tc>
      </w:tr>
      <w:tr w14:paraId="5DE0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C00269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1BE54F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儿童食物转换</w:t>
            </w:r>
          </w:p>
        </w:tc>
        <w:tc>
          <w:tcPr>
            <w:tcW w:w="1869" w:type="dxa"/>
            <w:vMerge w:val="continue"/>
            <w:noWrap w:val="0"/>
            <w:vAlign w:val="center"/>
          </w:tcPr>
          <w:p w14:paraId="3005273B">
            <w:pPr>
              <w:jc w:val="center"/>
              <w:rPr>
                <w:rFonts w:hint="eastAsia" w:ascii="宋体" w:hAnsi="宋体" w:eastAsia="宋体" w:cs="宋体"/>
                <w:i w:val="0"/>
                <w:iCs w:val="0"/>
                <w:color w:val="000000" w:themeColor="text1"/>
                <w:sz w:val="24"/>
                <w:szCs w:val="24"/>
                <w:u w:val="none"/>
              </w:rPr>
            </w:pPr>
          </w:p>
        </w:tc>
      </w:tr>
      <w:tr w14:paraId="2BED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F5FA41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2CCBAF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预防接种</w:t>
            </w:r>
          </w:p>
        </w:tc>
        <w:tc>
          <w:tcPr>
            <w:tcW w:w="1869" w:type="dxa"/>
            <w:vMerge w:val="continue"/>
            <w:noWrap w:val="0"/>
            <w:vAlign w:val="center"/>
          </w:tcPr>
          <w:p w14:paraId="4D6B3956">
            <w:pPr>
              <w:jc w:val="center"/>
              <w:rPr>
                <w:rFonts w:hint="eastAsia" w:ascii="宋体" w:hAnsi="宋体" w:eastAsia="宋体" w:cs="宋体"/>
                <w:i w:val="0"/>
                <w:iCs w:val="0"/>
                <w:color w:val="000000" w:themeColor="text1"/>
                <w:sz w:val="24"/>
                <w:szCs w:val="24"/>
                <w:u w:val="none"/>
              </w:rPr>
            </w:pPr>
          </w:p>
        </w:tc>
      </w:tr>
      <w:tr w14:paraId="3ECF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7EBDFD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573D55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新生儿的护理</w:t>
            </w:r>
          </w:p>
        </w:tc>
        <w:tc>
          <w:tcPr>
            <w:tcW w:w="1869" w:type="dxa"/>
            <w:vMerge w:val="continue"/>
            <w:noWrap w:val="0"/>
            <w:vAlign w:val="center"/>
          </w:tcPr>
          <w:p w14:paraId="38A43688">
            <w:pPr>
              <w:jc w:val="center"/>
              <w:rPr>
                <w:rFonts w:hint="eastAsia" w:ascii="宋体" w:hAnsi="宋体" w:eastAsia="宋体" w:cs="宋体"/>
                <w:i w:val="0"/>
                <w:iCs w:val="0"/>
                <w:color w:val="000000" w:themeColor="text1"/>
                <w:sz w:val="24"/>
                <w:szCs w:val="24"/>
                <w:u w:val="none"/>
              </w:rPr>
            </w:pPr>
          </w:p>
        </w:tc>
      </w:tr>
      <w:tr w14:paraId="09C2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298608C">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902B5F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新生儿窒息</w:t>
            </w:r>
          </w:p>
        </w:tc>
        <w:tc>
          <w:tcPr>
            <w:tcW w:w="1869" w:type="dxa"/>
            <w:vMerge w:val="continue"/>
            <w:noWrap w:val="0"/>
            <w:vAlign w:val="center"/>
          </w:tcPr>
          <w:p w14:paraId="46CEB115">
            <w:pPr>
              <w:jc w:val="center"/>
              <w:rPr>
                <w:rFonts w:hint="eastAsia" w:ascii="宋体" w:hAnsi="宋体" w:eastAsia="宋体" w:cs="宋体"/>
                <w:i w:val="0"/>
                <w:iCs w:val="0"/>
                <w:color w:val="000000" w:themeColor="text1"/>
                <w:sz w:val="24"/>
                <w:szCs w:val="24"/>
                <w:u w:val="none"/>
              </w:rPr>
            </w:pPr>
          </w:p>
        </w:tc>
      </w:tr>
      <w:tr w14:paraId="5BFA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B8F6EA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1B60BA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新生儿缺血缺氧性脑病</w:t>
            </w:r>
          </w:p>
        </w:tc>
        <w:tc>
          <w:tcPr>
            <w:tcW w:w="1869" w:type="dxa"/>
            <w:vMerge w:val="continue"/>
            <w:noWrap w:val="0"/>
            <w:vAlign w:val="center"/>
          </w:tcPr>
          <w:p w14:paraId="6BFFB866">
            <w:pPr>
              <w:jc w:val="center"/>
              <w:rPr>
                <w:rFonts w:hint="eastAsia" w:ascii="宋体" w:hAnsi="宋体" w:eastAsia="宋体" w:cs="宋体"/>
                <w:i w:val="0"/>
                <w:iCs w:val="0"/>
                <w:color w:val="000000" w:themeColor="text1"/>
                <w:sz w:val="24"/>
                <w:szCs w:val="24"/>
                <w:u w:val="none"/>
              </w:rPr>
            </w:pPr>
          </w:p>
        </w:tc>
      </w:tr>
      <w:tr w14:paraId="7F5F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3B6F1E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5E3E688">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新生儿颅内出血</w:t>
            </w:r>
          </w:p>
        </w:tc>
        <w:tc>
          <w:tcPr>
            <w:tcW w:w="1869" w:type="dxa"/>
            <w:vMerge w:val="continue"/>
            <w:noWrap w:val="0"/>
            <w:vAlign w:val="center"/>
          </w:tcPr>
          <w:p w14:paraId="7E24501C">
            <w:pPr>
              <w:jc w:val="center"/>
              <w:rPr>
                <w:rFonts w:hint="eastAsia" w:ascii="宋体" w:hAnsi="宋体" w:eastAsia="宋体" w:cs="宋体"/>
                <w:i w:val="0"/>
                <w:iCs w:val="0"/>
                <w:color w:val="000000" w:themeColor="text1"/>
                <w:sz w:val="24"/>
                <w:szCs w:val="24"/>
                <w:u w:val="none"/>
              </w:rPr>
            </w:pPr>
          </w:p>
        </w:tc>
      </w:tr>
      <w:tr w14:paraId="5E6F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A9F4CD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D79B6C7">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新生儿黄疸的病因和临床表现</w:t>
            </w:r>
          </w:p>
        </w:tc>
        <w:tc>
          <w:tcPr>
            <w:tcW w:w="1869" w:type="dxa"/>
            <w:vMerge w:val="continue"/>
            <w:noWrap w:val="0"/>
            <w:vAlign w:val="center"/>
          </w:tcPr>
          <w:p w14:paraId="07B2567C">
            <w:pPr>
              <w:jc w:val="center"/>
              <w:rPr>
                <w:rFonts w:hint="eastAsia" w:ascii="宋体" w:hAnsi="宋体" w:eastAsia="宋体" w:cs="宋体"/>
                <w:i w:val="0"/>
                <w:iCs w:val="0"/>
                <w:color w:val="000000" w:themeColor="text1"/>
                <w:sz w:val="24"/>
                <w:szCs w:val="24"/>
                <w:u w:val="none"/>
              </w:rPr>
            </w:pPr>
          </w:p>
        </w:tc>
      </w:tr>
      <w:tr w14:paraId="3EDEE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9D5380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B76129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新生儿寒冷损伤综合征</w:t>
            </w:r>
          </w:p>
        </w:tc>
        <w:tc>
          <w:tcPr>
            <w:tcW w:w="1869" w:type="dxa"/>
            <w:vMerge w:val="continue"/>
            <w:noWrap w:val="0"/>
            <w:vAlign w:val="center"/>
          </w:tcPr>
          <w:p w14:paraId="49A44F4F">
            <w:pPr>
              <w:jc w:val="center"/>
              <w:rPr>
                <w:rFonts w:hint="eastAsia" w:ascii="宋体" w:hAnsi="宋体" w:eastAsia="宋体" w:cs="宋体"/>
                <w:i w:val="0"/>
                <w:iCs w:val="0"/>
                <w:color w:val="000000" w:themeColor="text1"/>
                <w:sz w:val="24"/>
                <w:szCs w:val="24"/>
                <w:u w:val="none"/>
              </w:rPr>
            </w:pPr>
          </w:p>
        </w:tc>
      </w:tr>
      <w:tr w14:paraId="3891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429541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71AA8D54">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口炎</w:t>
            </w:r>
          </w:p>
        </w:tc>
        <w:tc>
          <w:tcPr>
            <w:tcW w:w="1869" w:type="dxa"/>
            <w:vMerge w:val="continue"/>
            <w:noWrap w:val="0"/>
            <w:vAlign w:val="center"/>
          </w:tcPr>
          <w:p w14:paraId="6A44BBF7">
            <w:pPr>
              <w:jc w:val="center"/>
              <w:rPr>
                <w:rFonts w:hint="eastAsia" w:ascii="宋体" w:hAnsi="宋体" w:eastAsia="宋体" w:cs="宋体"/>
                <w:i w:val="0"/>
                <w:iCs w:val="0"/>
                <w:color w:val="000000" w:themeColor="text1"/>
                <w:sz w:val="24"/>
                <w:szCs w:val="24"/>
                <w:u w:val="none"/>
              </w:rPr>
            </w:pPr>
          </w:p>
        </w:tc>
      </w:tr>
      <w:tr w14:paraId="1F33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C09801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D16F44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腹泻</w:t>
            </w:r>
          </w:p>
        </w:tc>
        <w:tc>
          <w:tcPr>
            <w:tcW w:w="1869" w:type="dxa"/>
            <w:vMerge w:val="continue"/>
            <w:noWrap w:val="0"/>
            <w:vAlign w:val="center"/>
          </w:tcPr>
          <w:p w14:paraId="1F69E5D7">
            <w:pPr>
              <w:jc w:val="center"/>
              <w:rPr>
                <w:rFonts w:hint="eastAsia" w:ascii="宋体" w:hAnsi="宋体" w:eastAsia="宋体" w:cs="宋体"/>
                <w:i w:val="0"/>
                <w:iCs w:val="0"/>
                <w:color w:val="000000" w:themeColor="text1"/>
                <w:sz w:val="24"/>
                <w:szCs w:val="24"/>
                <w:u w:val="none"/>
              </w:rPr>
            </w:pPr>
          </w:p>
        </w:tc>
      </w:tr>
      <w:tr w14:paraId="3646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4F63B5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8A0DD7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液体疗法</w:t>
            </w:r>
          </w:p>
        </w:tc>
        <w:tc>
          <w:tcPr>
            <w:tcW w:w="1869" w:type="dxa"/>
            <w:vMerge w:val="continue"/>
            <w:noWrap w:val="0"/>
            <w:vAlign w:val="center"/>
          </w:tcPr>
          <w:p w14:paraId="14D6FB8E">
            <w:pPr>
              <w:jc w:val="center"/>
              <w:rPr>
                <w:rFonts w:hint="eastAsia" w:ascii="宋体" w:hAnsi="宋体" w:eastAsia="宋体" w:cs="宋体"/>
                <w:i w:val="0"/>
                <w:iCs w:val="0"/>
                <w:color w:val="000000" w:themeColor="text1"/>
                <w:sz w:val="24"/>
                <w:szCs w:val="24"/>
                <w:u w:val="none"/>
              </w:rPr>
            </w:pPr>
          </w:p>
        </w:tc>
      </w:tr>
      <w:tr w14:paraId="512EA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543383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C2C592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肺炎</w:t>
            </w:r>
          </w:p>
        </w:tc>
        <w:tc>
          <w:tcPr>
            <w:tcW w:w="1869" w:type="dxa"/>
            <w:vMerge w:val="continue"/>
            <w:noWrap w:val="0"/>
            <w:vAlign w:val="center"/>
          </w:tcPr>
          <w:p w14:paraId="726F3751">
            <w:pPr>
              <w:jc w:val="center"/>
              <w:rPr>
                <w:rFonts w:hint="eastAsia" w:ascii="宋体" w:hAnsi="宋体" w:eastAsia="宋体" w:cs="宋体"/>
                <w:i w:val="0"/>
                <w:iCs w:val="0"/>
                <w:color w:val="000000" w:themeColor="text1"/>
                <w:sz w:val="24"/>
                <w:szCs w:val="24"/>
                <w:u w:val="none"/>
              </w:rPr>
            </w:pPr>
          </w:p>
        </w:tc>
      </w:tr>
      <w:tr w14:paraId="597B6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0D3FE0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B857A6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室间隔缺损</w:t>
            </w:r>
          </w:p>
        </w:tc>
        <w:tc>
          <w:tcPr>
            <w:tcW w:w="1869" w:type="dxa"/>
            <w:vMerge w:val="continue"/>
            <w:noWrap w:val="0"/>
            <w:vAlign w:val="center"/>
          </w:tcPr>
          <w:p w14:paraId="195994DE">
            <w:pPr>
              <w:jc w:val="center"/>
              <w:rPr>
                <w:rFonts w:hint="eastAsia" w:ascii="宋体" w:hAnsi="宋体" w:eastAsia="宋体" w:cs="宋体"/>
                <w:i w:val="0"/>
                <w:iCs w:val="0"/>
                <w:color w:val="000000" w:themeColor="text1"/>
                <w:sz w:val="24"/>
                <w:szCs w:val="24"/>
                <w:u w:val="none"/>
              </w:rPr>
            </w:pPr>
          </w:p>
        </w:tc>
      </w:tr>
      <w:tr w14:paraId="7751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3830A47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20610B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法洛氏四联症</w:t>
            </w:r>
          </w:p>
        </w:tc>
        <w:tc>
          <w:tcPr>
            <w:tcW w:w="1869" w:type="dxa"/>
            <w:vMerge w:val="continue"/>
            <w:noWrap w:val="0"/>
            <w:vAlign w:val="center"/>
          </w:tcPr>
          <w:p w14:paraId="358A16F8">
            <w:pPr>
              <w:jc w:val="center"/>
              <w:rPr>
                <w:rFonts w:hint="eastAsia" w:ascii="宋体" w:hAnsi="宋体" w:eastAsia="宋体" w:cs="宋体"/>
                <w:i w:val="0"/>
                <w:iCs w:val="0"/>
                <w:color w:val="000000" w:themeColor="text1"/>
                <w:sz w:val="24"/>
                <w:szCs w:val="24"/>
                <w:u w:val="none"/>
              </w:rPr>
            </w:pPr>
          </w:p>
        </w:tc>
      </w:tr>
      <w:tr w14:paraId="74FC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18C1E1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2B6B0D3">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儿童急性肾炎</w:t>
            </w:r>
          </w:p>
        </w:tc>
        <w:tc>
          <w:tcPr>
            <w:tcW w:w="1869" w:type="dxa"/>
            <w:vMerge w:val="continue"/>
            <w:noWrap w:val="0"/>
            <w:vAlign w:val="center"/>
          </w:tcPr>
          <w:p w14:paraId="0BA0462C">
            <w:pPr>
              <w:jc w:val="center"/>
              <w:rPr>
                <w:rFonts w:hint="eastAsia" w:ascii="宋体" w:hAnsi="宋体" w:eastAsia="宋体" w:cs="宋体"/>
                <w:i w:val="0"/>
                <w:iCs w:val="0"/>
                <w:color w:val="000000" w:themeColor="text1"/>
                <w:sz w:val="24"/>
                <w:szCs w:val="24"/>
                <w:u w:val="none"/>
              </w:rPr>
            </w:pPr>
          </w:p>
        </w:tc>
      </w:tr>
      <w:tr w14:paraId="3FB2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B1315B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FE8689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尿道感染</w:t>
            </w:r>
          </w:p>
        </w:tc>
        <w:tc>
          <w:tcPr>
            <w:tcW w:w="1869" w:type="dxa"/>
            <w:vMerge w:val="continue"/>
            <w:noWrap w:val="0"/>
            <w:vAlign w:val="center"/>
          </w:tcPr>
          <w:p w14:paraId="71E0137D">
            <w:pPr>
              <w:jc w:val="center"/>
              <w:rPr>
                <w:rFonts w:hint="eastAsia" w:ascii="宋体" w:hAnsi="宋体" w:eastAsia="宋体" w:cs="宋体"/>
                <w:i w:val="0"/>
                <w:iCs w:val="0"/>
                <w:color w:val="000000" w:themeColor="text1"/>
                <w:sz w:val="24"/>
                <w:szCs w:val="24"/>
                <w:u w:val="none"/>
              </w:rPr>
            </w:pPr>
          </w:p>
        </w:tc>
      </w:tr>
      <w:tr w14:paraId="05EB2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3C63CD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5538B8A">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化脓性脑膜炎</w:t>
            </w:r>
          </w:p>
        </w:tc>
        <w:tc>
          <w:tcPr>
            <w:tcW w:w="1869" w:type="dxa"/>
            <w:vMerge w:val="continue"/>
            <w:noWrap w:val="0"/>
            <w:vAlign w:val="center"/>
          </w:tcPr>
          <w:p w14:paraId="0DBDAB80">
            <w:pPr>
              <w:jc w:val="center"/>
              <w:rPr>
                <w:rFonts w:hint="eastAsia" w:ascii="宋体" w:hAnsi="宋体" w:eastAsia="宋体" w:cs="宋体"/>
                <w:i w:val="0"/>
                <w:iCs w:val="0"/>
                <w:color w:val="000000" w:themeColor="text1"/>
                <w:sz w:val="24"/>
                <w:szCs w:val="24"/>
                <w:u w:val="none"/>
              </w:rPr>
            </w:pPr>
          </w:p>
        </w:tc>
      </w:tr>
      <w:tr w14:paraId="1576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BC9F1D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C59CC4F">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病毒性脑膜炎</w:t>
            </w:r>
          </w:p>
        </w:tc>
        <w:tc>
          <w:tcPr>
            <w:tcW w:w="1869" w:type="dxa"/>
            <w:vMerge w:val="continue"/>
            <w:noWrap w:val="0"/>
            <w:vAlign w:val="center"/>
          </w:tcPr>
          <w:p w14:paraId="5B6D7CC6">
            <w:pPr>
              <w:jc w:val="center"/>
              <w:rPr>
                <w:rFonts w:hint="eastAsia" w:ascii="宋体" w:hAnsi="宋体" w:eastAsia="宋体" w:cs="宋体"/>
                <w:i w:val="0"/>
                <w:iCs w:val="0"/>
                <w:color w:val="000000" w:themeColor="text1"/>
                <w:sz w:val="24"/>
                <w:szCs w:val="24"/>
                <w:u w:val="none"/>
              </w:rPr>
            </w:pPr>
          </w:p>
        </w:tc>
      </w:tr>
      <w:tr w14:paraId="6F52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469F73AB">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2C3687E">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营养不良</w:t>
            </w:r>
          </w:p>
        </w:tc>
        <w:tc>
          <w:tcPr>
            <w:tcW w:w="1869" w:type="dxa"/>
            <w:vMerge w:val="continue"/>
            <w:noWrap w:val="0"/>
            <w:vAlign w:val="center"/>
          </w:tcPr>
          <w:p w14:paraId="6DF1D771">
            <w:pPr>
              <w:jc w:val="center"/>
              <w:rPr>
                <w:rFonts w:hint="eastAsia" w:ascii="宋体" w:hAnsi="宋体" w:eastAsia="宋体" w:cs="宋体"/>
                <w:i w:val="0"/>
                <w:iCs w:val="0"/>
                <w:color w:val="000000" w:themeColor="text1"/>
                <w:sz w:val="24"/>
                <w:szCs w:val="24"/>
                <w:u w:val="none"/>
              </w:rPr>
            </w:pPr>
          </w:p>
        </w:tc>
      </w:tr>
      <w:tr w14:paraId="79FC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7BD28EF">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42DC577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佝偻病</w:t>
            </w:r>
          </w:p>
        </w:tc>
        <w:tc>
          <w:tcPr>
            <w:tcW w:w="1869" w:type="dxa"/>
            <w:vMerge w:val="continue"/>
            <w:noWrap w:val="0"/>
            <w:vAlign w:val="center"/>
          </w:tcPr>
          <w:p w14:paraId="5F02E823">
            <w:pPr>
              <w:jc w:val="center"/>
              <w:rPr>
                <w:rFonts w:hint="eastAsia" w:ascii="宋体" w:hAnsi="宋体" w:eastAsia="宋体" w:cs="宋体"/>
                <w:i w:val="0"/>
                <w:iCs w:val="0"/>
                <w:color w:val="000000" w:themeColor="text1"/>
                <w:sz w:val="24"/>
                <w:szCs w:val="24"/>
                <w:u w:val="none"/>
              </w:rPr>
            </w:pPr>
          </w:p>
        </w:tc>
      </w:tr>
      <w:tr w14:paraId="58B7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2DC5322">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6849F9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儿童缺铁性贫血</w:t>
            </w:r>
          </w:p>
        </w:tc>
        <w:tc>
          <w:tcPr>
            <w:tcW w:w="1869" w:type="dxa"/>
            <w:vMerge w:val="continue"/>
            <w:noWrap w:val="0"/>
            <w:vAlign w:val="center"/>
          </w:tcPr>
          <w:p w14:paraId="741C7345">
            <w:pPr>
              <w:jc w:val="center"/>
              <w:rPr>
                <w:rFonts w:hint="eastAsia" w:ascii="宋体" w:hAnsi="宋体" w:eastAsia="宋体" w:cs="宋体"/>
                <w:i w:val="0"/>
                <w:iCs w:val="0"/>
                <w:color w:val="000000" w:themeColor="text1"/>
                <w:sz w:val="24"/>
                <w:szCs w:val="24"/>
                <w:u w:val="none"/>
              </w:rPr>
            </w:pPr>
          </w:p>
        </w:tc>
      </w:tr>
      <w:tr w14:paraId="00B7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492333A">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6505930B">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手足口病</w:t>
            </w:r>
          </w:p>
        </w:tc>
        <w:tc>
          <w:tcPr>
            <w:tcW w:w="1869" w:type="dxa"/>
            <w:vMerge w:val="continue"/>
            <w:noWrap w:val="0"/>
            <w:vAlign w:val="center"/>
          </w:tcPr>
          <w:p w14:paraId="30DAC7C4">
            <w:pPr>
              <w:jc w:val="center"/>
              <w:rPr>
                <w:rFonts w:hint="eastAsia" w:ascii="宋体" w:hAnsi="宋体" w:eastAsia="宋体" w:cs="宋体"/>
                <w:i w:val="0"/>
                <w:iCs w:val="0"/>
                <w:color w:val="000000" w:themeColor="text1"/>
                <w:sz w:val="24"/>
                <w:szCs w:val="24"/>
                <w:u w:val="none"/>
              </w:rPr>
            </w:pPr>
          </w:p>
        </w:tc>
      </w:tr>
      <w:tr w14:paraId="5BC0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7088A11">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180C4B71">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水痘</w:t>
            </w:r>
          </w:p>
        </w:tc>
        <w:tc>
          <w:tcPr>
            <w:tcW w:w="1869" w:type="dxa"/>
            <w:vMerge w:val="continue"/>
            <w:noWrap w:val="0"/>
            <w:vAlign w:val="center"/>
          </w:tcPr>
          <w:p w14:paraId="208EC479">
            <w:pPr>
              <w:jc w:val="center"/>
              <w:rPr>
                <w:rFonts w:hint="eastAsia" w:ascii="宋体" w:hAnsi="宋体" w:eastAsia="宋体" w:cs="宋体"/>
                <w:i w:val="0"/>
                <w:iCs w:val="0"/>
                <w:color w:val="000000" w:themeColor="text1"/>
                <w:sz w:val="24"/>
                <w:szCs w:val="24"/>
                <w:u w:val="none"/>
              </w:rPr>
            </w:pPr>
          </w:p>
        </w:tc>
      </w:tr>
      <w:tr w14:paraId="3B69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E821CD7">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3FB802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惊厥</w:t>
            </w:r>
          </w:p>
        </w:tc>
        <w:tc>
          <w:tcPr>
            <w:tcW w:w="1869" w:type="dxa"/>
            <w:vMerge w:val="continue"/>
            <w:noWrap w:val="0"/>
            <w:vAlign w:val="center"/>
          </w:tcPr>
          <w:p w14:paraId="37F72C63">
            <w:pPr>
              <w:jc w:val="center"/>
              <w:rPr>
                <w:rFonts w:hint="eastAsia" w:ascii="宋体" w:hAnsi="宋体" w:eastAsia="宋体" w:cs="宋体"/>
                <w:i w:val="0"/>
                <w:iCs w:val="0"/>
                <w:color w:val="000000" w:themeColor="text1"/>
                <w:sz w:val="24"/>
                <w:szCs w:val="24"/>
                <w:u w:val="none"/>
              </w:rPr>
            </w:pPr>
          </w:p>
        </w:tc>
      </w:tr>
      <w:tr w14:paraId="5E3A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61C00D4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F5B92CC">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心跳呼吸暂停</w:t>
            </w:r>
          </w:p>
        </w:tc>
        <w:tc>
          <w:tcPr>
            <w:tcW w:w="1869" w:type="dxa"/>
            <w:vMerge w:val="continue"/>
            <w:noWrap w:val="0"/>
            <w:vAlign w:val="center"/>
          </w:tcPr>
          <w:p w14:paraId="2B130272">
            <w:pPr>
              <w:jc w:val="center"/>
              <w:rPr>
                <w:rFonts w:hint="eastAsia" w:ascii="宋体" w:hAnsi="宋体" w:eastAsia="宋体" w:cs="宋体"/>
                <w:i w:val="0"/>
                <w:iCs w:val="0"/>
                <w:color w:val="000000" w:themeColor="text1"/>
                <w:sz w:val="24"/>
                <w:szCs w:val="24"/>
                <w:u w:val="none"/>
              </w:rPr>
            </w:pPr>
          </w:p>
        </w:tc>
      </w:tr>
      <w:tr w14:paraId="0600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BABE2C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4B544D0">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儿童气管异物</w:t>
            </w:r>
          </w:p>
        </w:tc>
        <w:tc>
          <w:tcPr>
            <w:tcW w:w="1869" w:type="dxa"/>
            <w:vMerge w:val="continue"/>
            <w:noWrap w:val="0"/>
            <w:vAlign w:val="center"/>
          </w:tcPr>
          <w:p w14:paraId="7B604283">
            <w:pPr>
              <w:jc w:val="center"/>
              <w:rPr>
                <w:rFonts w:hint="eastAsia" w:ascii="宋体" w:hAnsi="宋体" w:eastAsia="宋体" w:cs="宋体"/>
                <w:i w:val="0"/>
                <w:iCs w:val="0"/>
                <w:color w:val="000000" w:themeColor="text1"/>
                <w:sz w:val="24"/>
                <w:szCs w:val="24"/>
                <w:u w:val="none"/>
              </w:rPr>
            </w:pPr>
          </w:p>
        </w:tc>
      </w:tr>
      <w:tr w14:paraId="53548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5F68DE44">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200095D2">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儿童烫伤</w:t>
            </w:r>
          </w:p>
        </w:tc>
        <w:tc>
          <w:tcPr>
            <w:tcW w:w="1869" w:type="dxa"/>
            <w:vMerge w:val="continue"/>
            <w:noWrap w:val="0"/>
            <w:vAlign w:val="center"/>
          </w:tcPr>
          <w:p w14:paraId="1F8E3CDC">
            <w:pPr>
              <w:jc w:val="center"/>
              <w:rPr>
                <w:rFonts w:hint="eastAsia" w:ascii="宋体" w:hAnsi="宋体" w:eastAsia="宋体" w:cs="宋体"/>
                <w:i w:val="0"/>
                <w:iCs w:val="0"/>
                <w:color w:val="000000" w:themeColor="text1"/>
                <w:sz w:val="24"/>
                <w:szCs w:val="24"/>
                <w:u w:val="none"/>
              </w:rPr>
            </w:pPr>
          </w:p>
        </w:tc>
      </w:tr>
      <w:tr w14:paraId="0760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2A438DF0">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57D9D8C5">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婴儿沐浴</w:t>
            </w:r>
          </w:p>
        </w:tc>
        <w:tc>
          <w:tcPr>
            <w:tcW w:w="1869" w:type="dxa"/>
            <w:vMerge w:val="continue"/>
            <w:noWrap w:val="0"/>
            <w:vAlign w:val="center"/>
          </w:tcPr>
          <w:p w14:paraId="02169E44">
            <w:pPr>
              <w:jc w:val="center"/>
              <w:rPr>
                <w:rFonts w:hint="eastAsia" w:ascii="宋体" w:hAnsi="宋体" w:eastAsia="宋体" w:cs="宋体"/>
                <w:i w:val="0"/>
                <w:iCs w:val="0"/>
                <w:color w:val="000000" w:themeColor="text1"/>
                <w:sz w:val="24"/>
                <w:szCs w:val="24"/>
                <w:u w:val="none"/>
              </w:rPr>
            </w:pPr>
          </w:p>
        </w:tc>
      </w:tr>
      <w:tr w14:paraId="669D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50CFCB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944520D">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儿童年龄分期</w:t>
            </w:r>
          </w:p>
        </w:tc>
        <w:tc>
          <w:tcPr>
            <w:tcW w:w="1869" w:type="dxa"/>
            <w:vMerge w:val="continue"/>
            <w:noWrap w:val="0"/>
            <w:vAlign w:val="center"/>
          </w:tcPr>
          <w:p w14:paraId="21F85DDA">
            <w:pPr>
              <w:jc w:val="center"/>
              <w:rPr>
                <w:rFonts w:hint="eastAsia" w:ascii="宋体" w:hAnsi="宋体" w:eastAsia="宋体" w:cs="宋体"/>
                <w:i w:val="0"/>
                <w:iCs w:val="0"/>
                <w:color w:val="000000" w:themeColor="text1"/>
                <w:sz w:val="24"/>
                <w:szCs w:val="24"/>
                <w:u w:val="none"/>
              </w:rPr>
            </w:pPr>
          </w:p>
        </w:tc>
      </w:tr>
      <w:tr w14:paraId="3F03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9BB0FC5">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34F23456">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生长发育规律</w:t>
            </w:r>
          </w:p>
        </w:tc>
        <w:tc>
          <w:tcPr>
            <w:tcW w:w="1869" w:type="dxa"/>
            <w:vMerge w:val="continue"/>
            <w:noWrap w:val="0"/>
            <w:vAlign w:val="center"/>
          </w:tcPr>
          <w:p w14:paraId="0A77E06E">
            <w:pPr>
              <w:jc w:val="center"/>
              <w:rPr>
                <w:rFonts w:hint="eastAsia" w:ascii="宋体" w:hAnsi="宋体" w:eastAsia="宋体" w:cs="宋体"/>
                <w:i w:val="0"/>
                <w:iCs w:val="0"/>
                <w:color w:val="000000" w:themeColor="text1"/>
                <w:sz w:val="24"/>
                <w:szCs w:val="24"/>
                <w:u w:val="none"/>
              </w:rPr>
            </w:pPr>
          </w:p>
        </w:tc>
      </w:tr>
      <w:tr w14:paraId="6545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F127203">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8CB9DA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胎儿的血液循环</w:t>
            </w:r>
          </w:p>
        </w:tc>
        <w:tc>
          <w:tcPr>
            <w:tcW w:w="1869" w:type="dxa"/>
            <w:vMerge w:val="restart"/>
            <w:noWrap w:val="0"/>
            <w:vAlign w:val="center"/>
          </w:tcPr>
          <w:p w14:paraId="313F78E0">
            <w:pPr>
              <w:keepNext w:val="0"/>
              <w:keepLines w:val="0"/>
              <w:widowControl/>
              <w:suppressLineNumbers w:val="0"/>
              <w:jc w:val="center"/>
              <w:textAlignment w:val="center"/>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动画2个</w:t>
            </w:r>
          </w:p>
        </w:tc>
      </w:tr>
      <w:tr w14:paraId="1195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754622D6">
            <w:pPr>
              <w:jc w:val="center"/>
              <w:rPr>
                <w:rFonts w:hint="eastAsia" w:ascii="宋体" w:hAnsi="宋体" w:eastAsia="宋体" w:cs="宋体"/>
                <w:b/>
                <w:bCs/>
                <w:i w:val="0"/>
                <w:iCs w:val="0"/>
                <w:color w:val="000000" w:themeColor="text1"/>
                <w:sz w:val="24"/>
                <w:szCs w:val="24"/>
                <w:u w:val="none"/>
              </w:rPr>
            </w:pPr>
          </w:p>
        </w:tc>
        <w:tc>
          <w:tcPr>
            <w:tcW w:w="5318" w:type="dxa"/>
            <w:noWrap w:val="0"/>
            <w:vAlign w:val="top"/>
          </w:tcPr>
          <w:p w14:paraId="049A9969">
            <w:pPr>
              <w:keepNext w:val="0"/>
              <w:keepLines w:val="0"/>
              <w:widowControl/>
              <w:suppressLineNumbers w:val="0"/>
              <w:jc w:val="both"/>
              <w:textAlignment w:val="top"/>
              <w:rPr>
                <w:rFonts w:hint="eastAsia" w:ascii="宋体" w:hAnsi="宋体" w:eastAsia="宋体" w:cs="宋体"/>
                <w:i w:val="0"/>
                <w:iCs w:val="0"/>
                <w:color w:val="000000" w:themeColor="text1"/>
                <w:sz w:val="24"/>
                <w:szCs w:val="24"/>
                <w:u w:val="none"/>
              </w:rPr>
            </w:pPr>
            <w:r>
              <w:rPr>
                <w:rStyle w:val="54"/>
                <w:color w:val="000000" w:themeColor="text1"/>
                <w:lang w:val="en-US" w:eastAsia="zh-CN" w:bidi="ar"/>
              </w:rPr>
              <w:t>先天性心脏病（4种类型）</w:t>
            </w:r>
          </w:p>
        </w:tc>
        <w:tc>
          <w:tcPr>
            <w:tcW w:w="1869" w:type="dxa"/>
            <w:vMerge w:val="continue"/>
            <w:noWrap w:val="0"/>
            <w:vAlign w:val="center"/>
          </w:tcPr>
          <w:p w14:paraId="6B21A9FE">
            <w:pPr>
              <w:jc w:val="center"/>
              <w:rPr>
                <w:rFonts w:hint="eastAsia" w:ascii="宋体" w:hAnsi="宋体" w:eastAsia="宋体" w:cs="宋体"/>
                <w:i w:val="0"/>
                <w:iCs w:val="0"/>
                <w:color w:val="000000" w:themeColor="text1"/>
                <w:sz w:val="24"/>
                <w:szCs w:val="24"/>
                <w:u w:val="none"/>
              </w:rPr>
            </w:pPr>
          </w:p>
        </w:tc>
      </w:tr>
      <w:tr w14:paraId="512B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restart"/>
            <w:noWrap w:val="0"/>
            <w:vAlign w:val="center"/>
          </w:tcPr>
          <w:p w14:paraId="28699059">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rPr>
            </w:pPr>
            <w:r>
              <w:rPr>
                <w:rFonts w:hint="eastAsia" w:ascii="宋体" w:hAnsi="宋体" w:eastAsia="宋体" w:cs="宋体"/>
                <w:b/>
                <w:bCs/>
                <w:i w:val="0"/>
                <w:iCs w:val="0"/>
                <w:color w:val="000000" w:themeColor="text1"/>
                <w:kern w:val="0"/>
                <w:sz w:val="21"/>
                <w:szCs w:val="21"/>
                <w:u w:val="none"/>
                <w:lang w:val="en-US" w:eastAsia="zh-CN" w:bidi="ar"/>
              </w:rPr>
              <w:t>病原生物与免疫</w:t>
            </w:r>
          </w:p>
        </w:tc>
        <w:tc>
          <w:tcPr>
            <w:tcW w:w="5318" w:type="dxa"/>
            <w:noWrap w:val="0"/>
            <w:vAlign w:val="top"/>
          </w:tcPr>
          <w:p w14:paraId="108F8566">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微生物的分型</w:t>
            </w:r>
          </w:p>
        </w:tc>
        <w:tc>
          <w:tcPr>
            <w:tcW w:w="1869" w:type="dxa"/>
            <w:vMerge w:val="restart"/>
            <w:noWrap w:val="0"/>
            <w:vAlign w:val="center"/>
          </w:tcPr>
          <w:p w14:paraId="069D1030">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Fonts w:hint="eastAsia" w:ascii="宋体" w:hAnsi="宋体" w:eastAsia="宋体" w:cs="宋体"/>
                <w:i w:val="0"/>
                <w:iCs w:val="0"/>
                <w:color w:val="000000" w:themeColor="text1"/>
                <w:kern w:val="0"/>
                <w:sz w:val="21"/>
                <w:szCs w:val="21"/>
                <w:u w:val="none"/>
                <w:lang w:val="en-US" w:eastAsia="zh-CN" w:bidi="ar"/>
              </w:rPr>
              <w:t>微课视频29个</w:t>
            </w:r>
          </w:p>
        </w:tc>
      </w:tr>
      <w:tr w14:paraId="054E5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57EE8716">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0FC14637">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细菌基本结构</w:t>
            </w:r>
          </w:p>
        </w:tc>
        <w:tc>
          <w:tcPr>
            <w:tcW w:w="1869" w:type="dxa"/>
            <w:vMerge w:val="continue"/>
            <w:noWrap w:val="0"/>
            <w:vAlign w:val="center"/>
          </w:tcPr>
          <w:p w14:paraId="019A22AA">
            <w:pPr>
              <w:jc w:val="center"/>
              <w:rPr>
                <w:rFonts w:hint="eastAsia" w:ascii="宋体" w:hAnsi="宋体" w:eastAsia="宋体" w:cs="宋体"/>
                <w:i w:val="0"/>
                <w:iCs w:val="0"/>
                <w:color w:val="000000" w:themeColor="text1"/>
                <w:sz w:val="21"/>
                <w:szCs w:val="21"/>
                <w:u w:val="none"/>
              </w:rPr>
            </w:pPr>
          </w:p>
        </w:tc>
      </w:tr>
      <w:tr w14:paraId="3C23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6E58EFC6">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613D517B">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细菌特殊结构</w:t>
            </w:r>
          </w:p>
        </w:tc>
        <w:tc>
          <w:tcPr>
            <w:tcW w:w="1869" w:type="dxa"/>
            <w:vMerge w:val="continue"/>
            <w:noWrap w:val="0"/>
            <w:vAlign w:val="center"/>
          </w:tcPr>
          <w:p w14:paraId="1FC87B1B">
            <w:pPr>
              <w:jc w:val="center"/>
              <w:rPr>
                <w:rFonts w:hint="eastAsia" w:ascii="宋体" w:hAnsi="宋体" w:eastAsia="宋体" w:cs="宋体"/>
                <w:i w:val="0"/>
                <w:iCs w:val="0"/>
                <w:color w:val="000000" w:themeColor="text1"/>
                <w:sz w:val="21"/>
                <w:szCs w:val="21"/>
                <w:u w:val="none"/>
              </w:rPr>
            </w:pPr>
          </w:p>
        </w:tc>
      </w:tr>
      <w:tr w14:paraId="6396F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26DF319C">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495F0A88">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细菌分布</w:t>
            </w:r>
          </w:p>
        </w:tc>
        <w:tc>
          <w:tcPr>
            <w:tcW w:w="1869" w:type="dxa"/>
            <w:vMerge w:val="continue"/>
            <w:noWrap w:val="0"/>
            <w:vAlign w:val="center"/>
          </w:tcPr>
          <w:p w14:paraId="0F182F83">
            <w:pPr>
              <w:jc w:val="center"/>
              <w:rPr>
                <w:rFonts w:hint="eastAsia" w:ascii="宋体" w:hAnsi="宋体" w:eastAsia="宋体" w:cs="宋体"/>
                <w:i w:val="0"/>
                <w:iCs w:val="0"/>
                <w:color w:val="000000" w:themeColor="text1"/>
                <w:sz w:val="21"/>
                <w:szCs w:val="21"/>
                <w:u w:val="none"/>
              </w:rPr>
            </w:pPr>
          </w:p>
        </w:tc>
      </w:tr>
      <w:tr w14:paraId="3992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1EC51E2E">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4645C4B6">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消毒灭菌</w:t>
            </w:r>
          </w:p>
        </w:tc>
        <w:tc>
          <w:tcPr>
            <w:tcW w:w="1869" w:type="dxa"/>
            <w:vMerge w:val="continue"/>
            <w:noWrap w:val="0"/>
            <w:vAlign w:val="center"/>
          </w:tcPr>
          <w:p w14:paraId="3A207072">
            <w:pPr>
              <w:jc w:val="center"/>
              <w:rPr>
                <w:rFonts w:hint="eastAsia" w:ascii="宋体" w:hAnsi="宋体" w:eastAsia="宋体" w:cs="宋体"/>
                <w:i w:val="0"/>
                <w:iCs w:val="0"/>
                <w:color w:val="000000" w:themeColor="text1"/>
                <w:sz w:val="21"/>
                <w:szCs w:val="21"/>
                <w:u w:val="none"/>
              </w:rPr>
            </w:pPr>
          </w:p>
        </w:tc>
      </w:tr>
      <w:tr w14:paraId="5A4A2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1DEE4527">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55344FA1">
            <w:pPr>
              <w:keepNext w:val="0"/>
              <w:keepLines w:val="0"/>
              <w:widowControl/>
              <w:suppressLineNumbers w:val="0"/>
              <w:jc w:val="both"/>
              <w:textAlignment w:val="top"/>
              <w:rPr>
                <w:rFonts w:ascii="Calibri" w:hAnsi="Calibri" w:eastAsia="宋体" w:cs="Calibri"/>
                <w:i w:val="0"/>
                <w:iCs w:val="0"/>
                <w:color w:val="000000" w:themeColor="text1"/>
                <w:sz w:val="21"/>
                <w:szCs w:val="21"/>
                <w:u w:val="none"/>
              </w:rPr>
            </w:pPr>
            <w:r>
              <w:rPr>
                <w:rStyle w:val="49"/>
                <w:rFonts w:eastAsia="宋体"/>
                <w:color w:val="000000" w:themeColor="text1"/>
                <w:lang w:val="en-US" w:eastAsia="zh-CN" w:bidi="ar"/>
              </w:rPr>
              <w:t>A</w:t>
            </w:r>
            <w:r>
              <w:rPr>
                <w:rStyle w:val="80"/>
                <w:color w:val="000000" w:themeColor="text1"/>
                <w:lang w:val="en-US" w:eastAsia="zh-CN" w:bidi="ar"/>
              </w:rPr>
              <w:t>群乙型溶血性链球菌</w:t>
            </w:r>
          </w:p>
        </w:tc>
        <w:tc>
          <w:tcPr>
            <w:tcW w:w="1869" w:type="dxa"/>
            <w:vMerge w:val="continue"/>
            <w:noWrap w:val="0"/>
            <w:vAlign w:val="center"/>
          </w:tcPr>
          <w:p w14:paraId="6A92E48E">
            <w:pPr>
              <w:jc w:val="center"/>
              <w:rPr>
                <w:rFonts w:hint="eastAsia" w:ascii="宋体" w:hAnsi="宋体" w:eastAsia="宋体" w:cs="宋体"/>
                <w:i w:val="0"/>
                <w:iCs w:val="0"/>
                <w:color w:val="000000" w:themeColor="text1"/>
                <w:sz w:val="21"/>
                <w:szCs w:val="21"/>
                <w:u w:val="none"/>
              </w:rPr>
            </w:pPr>
          </w:p>
        </w:tc>
      </w:tr>
      <w:tr w14:paraId="627E6258">
        <w:tblPrEx>
          <w:tblCellMar>
            <w:top w:w="0" w:type="dxa"/>
            <w:left w:w="108" w:type="dxa"/>
            <w:bottom w:w="0" w:type="dxa"/>
            <w:right w:w="108" w:type="dxa"/>
          </w:tblCellMar>
        </w:tblPrEx>
        <w:trPr>
          <w:trHeight w:val="270" w:hRule="atLeast"/>
        </w:trPr>
        <w:tc>
          <w:tcPr>
            <w:tcW w:w="2040" w:type="dxa"/>
            <w:vMerge w:val="continue"/>
            <w:noWrap w:val="0"/>
            <w:vAlign w:val="center"/>
          </w:tcPr>
          <w:p w14:paraId="21B8EE09">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3522E091">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沙门菌</w:t>
            </w:r>
          </w:p>
        </w:tc>
        <w:tc>
          <w:tcPr>
            <w:tcW w:w="1869" w:type="dxa"/>
            <w:vMerge w:val="continue"/>
            <w:noWrap w:val="0"/>
            <w:vAlign w:val="center"/>
          </w:tcPr>
          <w:p w14:paraId="436A809D">
            <w:pPr>
              <w:jc w:val="center"/>
              <w:rPr>
                <w:rFonts w:hint="eastAsia" w:ascii="宋体" w:hAnsi="宋体" w:eastAsia="宋体" w:cs="宋体"/>
                <w:i w:val="0"/>
                <w:iCs w:val="0"/>
                <w:color w:val="000000" w:themeColor="text1"/>
                <w:sz w:val="21"/>
                <w:szCs w:val="21"/>
                <w:u w:val="none"/>
              </w:rPr>
            </w:pPr>
          </w:p>
        </w:tc>
      </w:tr>
      <w:tr w14:paraId="1B16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A77860F">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3180A98B">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霍乱弧菌</w:t>
            </w:r>
          </w:p>
        </w:tc>
        <w:tc>
          <w:tcPr>
            <w:tcW w:w="1869" w:type="dxa"/>
            <w:vMerge w:val="continue"/>
            <w:noWrap w:val="0"/>
            <w:vAlign w:val="center"/>
          </w:tcPr>
          <w:p w14:paraId="0270C058">
            <w:pPr>
              <w:jc w:val="center"/>
              <w:rPr>
                <w:rFonts w:hint="eastAsia" w:ascii="宋体" w:hAnsi="宋体" w:eastAsia="宋体" w:cs="宋体"/>
                <w:i w:val="0"/>
                <w:iCs w:val="0"/>
                <w:color w:val="000000" w:themeColor="text1"/>
                <w:sz w:val="21"/>
                <w:szCs w:val="21"/>
                <w:u w:val="none"/>
              </w:rPr>
            </w:pPr>
          </w:p>
        </w:tc>
      </w:tr>
      <w:tr w14:paraId="64AE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20F83A79">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17950F60">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破伤风梭菌</w:t>
            </w:r>
          </w:p>
        </w:tc>
        <w:tc>
          <w:tcPr>
            <w:tcW w:w="1869" w:type="dxa"/>
            <w:vMerge w:val="continue"/>
            <w:noWrap w:val="0"/>
            <w:vAlign w:val="center"/>
          </w:tcPr>
          <w:p w14:paraId="010D34F8">
            <w:pPr>
              <w:jc w:val="center"/>
              <w:rPr>
                <w:rFonts w:hint="eastAsia" w:ascii="宋体" w:hAnsi="宋体" w:eastAsia="宋体" w:cs="宋体"/>
                <w:i w:val="0"/>
                <w:iCs w:val="0"/>
                <w:color w:val="000000" w:themeColor="text1"/>
                <w:sz w:val="21"/>
                <w:szCs w:val="21"/>
                <w:u w:val="none"/>
              </w:rPr>
            </w:pPr>
          </w:p>
        </w:tc>
      </w:tr>
      <w:tr w14:paraId="055D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476F3492">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5999DA2E">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结核分枝杆菌</w:t>
            </w:r>
          </w:p>
        </w:tc>
        <w:tc>
          <w:tcPr>
            <w:tcW w:w="1869" w:type="dxa"/>
            <w:vMerge w:val="continue"/>
            <w:noWrap w:val="0"/>
            <w:vAlign w:val="center"/>
          </w:tcPr>
          <w:p w14:paraId="3AD3049C">
            <w:pPr>
              <w:jc w:val="center"/>
              <w:rPr>
                <w:rFonts w:hint="eastAsia" w:ascii="宋体" w:hAnsi="宋体" w:eastAsia="宋体" w:cs="宋体"/>
                <w:i w:val="0"/>
                <w:iCs w:val="0"/>
                <w:color w:val="000000" w:themeColor="text1"/>
                <w:sz w:val="21"/>
                <w:szCs w:val="21"/>
                <w:u w:val="none"/>
              </w:rPr>
            </w:pPr>
          </w:p>
        </w:tc>
      </w:tr>
      <w:tr w14:paraId="2EAE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63EF89BA">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24AE2D6C">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鼠疫</w:t>
            </w:r>
          </w:p>
        </w:tc>
        <w:tc>
          <w:tcPr>
            <w:tcW w:w="1869" w:type="dxa"/>
            <w:vMerge w:val="continue"/>
            <w:noWrap w:val="0"/>
            <w:vAlign w:val="center"/>
          </w:tcPr>
          <w:p w14:paraId="61A0F753">
            <w:pPr>
              <w:jc w:val="center"/>
              <w:rPr>
                <w:rFonts w:hint="eastAsia" w:ascii="宋体" w:hAnsi="宋体" w:eastAsia="宋体" w:cs="宋体"/>
                <w:i w:val="0"/>
                <w:iCs w:val="0"/>
                <w:color w:val="000000" w:themeColor="text1"/>
                <w:sz w:val="21"/>
                <w:szCs w:val="21"/>
                <w:u w:val="none"/>
              </w:rPr>
            </w:pPr>
          </w:p>
        </w:tc>
      </w:tr>
      <w:tr w14:paraId="7E42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5ABA8772">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3D06E4ED">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梅毒</w:t>
            </w:r>
          </w:p>
        </w:tc>
        <w:tc>
          <w:tcPr>
            <w:tcW w:w="1869" w:type="dxa"/>
            <w:vMerge w:val="continue"/>
            <w:noWrap w:val="0"/>
            <w:vAlign w:val="center"/>
          </w:tcPr>
          <w:p w14:paraId="338EB918">
            <w:pPr>
              <w:jc w:val="center"/>
              <w:rPr>
                <w:rFonts w:hint="eastAsia" w:ascii="宋体" w:hAnsi="宋体" w:eastAsia="宋体" w:cs="宋体"/>
                <w:i w:val="0"/>
                <w:iCs w:val="0"/>
                <w:color w:val="000000" w:themeColor="text1"/>
                <w:sz w:val="21"/>
                <w:szCs w:val="21"/>
                <w:u w:val="none"/>
              </w:rPr>
            </w:pPr>
          </w:p>
        </w:tc>
      </w:tr>
      <w:tr w14:paraId="36F6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0CD078D">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246BDA93">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病毒概述</w:t>
            </w:r>
          </w:p>
        </w:tc>
        <w:tc>
          <w:tcPr>
            <w:tcW w:w="1869" w:type="dxa"/>
            <w:vMerge w:val="continue"/>
            <w:noWrap w:val="0"/>
            <w:vAlign w:val="center"/>
          </w:tcPr>
          <w:p w14:paraId="383558DD">
            <w:pPr>
              <w:jc w:val="center"/>
              <w:rPr>
                <w:rFonts w:hint="eastAsia" w:ascii="宋体" w:hAnsi="宋体" w:eastAsia="宋体" w:cs="宋体"/>
                <w:i w:val="0"/>
                <w:iCs w:val="0"/>
                <w:color w:val="000000" w:themeColor="text1"/>
                <w:sz w:val="21"/>
                <w:szCs w:val="21"/>
                <w:u w:val="none"/>
              </w:rPr>
            </w:pPr>
          </w:p>
        </w:tc>
      </w:tr>
      <w:tr w14:paraId="229A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2975DAC5">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594403C0">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流行性感冒病毒</w:t>
            </w:r>
          </w:p>
        </w:tc>
        <w:tc>
          <w:tcPr>
            <w:tcW w:w="1869" w:type="dxa"/>
            <w:vMerge w:val="continue"/>
            <w:noWrap w:val="0"/>
            <w:vAlign w:val="center"/>
          </w:tcPr>
          <w:p w14:paraId="31E36CAB">
            <w:pPr>
              <w:jc w:val="center"/>
              <w:rPr>
                <w:rFonts w:hint="eastAsia" w:ascii="宋体" w:hAnsi="宋体" w:eastAsia="宋体" w:cs="宋体"/>
                <w:i w:val="0"/>
                <w:iCs w:val="0"/>
                <w:color w:val="000000" w:themeColor="text1"/>
                <w:sz w:val="21"/>
                <w:szCs w:val="21"/>
                <w:u w:val="none"/>
              </w:rPr>
            </w:pPr>
          </w:p>
        </w:tc>
      </w:tr>
      <w:tr w14:paraId="31BC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00B7EC7E">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70A8C604">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肝炎病毒</w:t>
            </w:r>
          </w:p>
        </w:tc>
        <w:tc>
          <w:tcPr>
            <w:tcW w:w="1869" w:type="dxa"/>
            <w:vMerge w:val="continue"/>
            <w:noWrap w:val="0"/>
            <w:vAlign w:val="center"/>
          </w:tcPr>
          <w:p w14:paraId="38B302B6">
            <w:pPr>
              <w:jc w:val="center"/>
              <w:rPr>
                <w:rFonts w:hint="eastAsia" w:ascii="宋体" w:hAnsi="宋体" w:eastAsia="宋体" w:cs="宋体"/>
                <w:i w:val="0"/>
                <w:iCs w:val="0"/>
                <w:color w:val="000000" w:themeColor="text1"/>
                <w:sz w:val="21"/>
                <w:szCs w:val="21"/>
                <w:u w:val="none"/>
              </w:rPr>
            </w:pPr>
          </w:p>
        </w:tc>
      </w:tr>
      <w:tr w14:paraId="6A14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0BB6536">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1C90C321">
            <w:pPr>
              <w:keepNext w:val="0"/>
              <w:keepLines w:val="0"/>
              <w:widowControl/>
              <w:suppressLineNumbers w:val="0"/>
              <w:jc w:val="both"/>
              <w:textAlignment w:val="top"/>
              <w:rPr>
                <w:rFonts w:hint="default" w:ascii="Calibri" w:hAnsi="Calibri" w:eastAsia="宋体" w:cs="Calibri"/>
                <w:i w:val="0"/>
                <w:iCs w:val="0"/>
                <w:color w:val="000000" w:themeColor="text1"/>
                <w:sz w:val="21"/>
                <w:szCs w:val="21"/>
                <w:u w:val="none"/>
              </w:rPr>
            </w:pPr>
            <w:r>
              <w:rPr>
                <w:rStyle w:val="49"/>
                <w:rFonts w:eastAsia="宋体"/>
                <w:color w:val="000000" w:themeColor="text1"/>
                <w:lang w:val="en-US" w:eastAsia="zh-CN" w:bidi="ar"/>
              </w:rPr>
              <w:t>HIV</w:t>
            </w:r>
          </w:p>
        </w:tc>
        <w:tc>
          <w:tcPr>
            <w:tcW w:w="1869" w:type="dxa"/>
            <w:vMerge w:val="continue"/>
            <w:noWrap w:val="0"/>
            <w:vAlign w:val="center"/>
          </w:tcPr>
          <w:p w14:paraId="36ADD5E0">
            <w:pPr>
              <w:jc w:val="center"/>
              <w:rPr>
                <w:rFonts w:hint="eastAsia" w:ascii="宋体" w:hAnsi="宋体" w:eastAsia="宋体" w:cs="宋体"/>
                <w:i w:val="0"/>
                <w:iCs w:val="0"/>
                <w:color w:val="000000" w:themeColor="text1"/>
                <w:sz w:val="21"/>
                <w:szCs w:val="21"/>
                <w:u w:val="none"/>
              </w:rPr>
            </w:pPr>
          </w:p>
        </w:tc>
      </w:tr>
      <w:tr w14:paraId="389B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21280A61">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1F35E350">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狂犬病毒</w:t>
            </w:r>
          </w:p>
        </w:tc>
        <w:tc>
          <w:tcPr>
            <w:tcW w:w="1869" w:type="dxa"/>
            <w:vMerge w:val="continue"/>
            <w:noWrap w:val="0"/>
            <w:vAlign w:val="center"/>
          </w:tcPr>
          <w:p w14:paraId="387A546B">
            <w:pPr>
              <w:jc w:val="center"/>
              <w:rPr>
                <w:rFonts w:hint="eastAsia" w:ascii="宋体" w:hAnsi="宋体" w:eastAsia="宋体" w:cs="宋体"/>
                <w:i w:val="0"/>
                <w:iCs w:val="0"/>
                <w:color w:val="000000" w:themeColor="text1"/>
                <w:sz w:val="21"/>
                <w:szCs w:val="21"/>
                <w:u w:val="none"/>
              </w:rPr>
            </w:pPr>
          </w:p>
        </w:tc>
      </w:tr>
      <w:tr w14:paraId="1BF9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040" w:type="dxa"/>
            <w:vMerge w:val="continue"/>
            <w:noWrap w:val="0"/>
            <w:vAlign w:val="center"/>
          </w:tcPr>
          <w:p w14:paraId="0EDD3999">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4CA447B9">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水痘</w:t>
            </w:r>
            <w:r>
              <w:rPr>
                <w:rStyle w:val="49"/>
                <w:rFonts w:eastAsia="宋体"/>
                <w:color w:val="000000" w:themeColor="text1"/>
                <w:lang w:val="en-US" w:eastAsia="zh-CN" w:bidi="ar"/>
              </w:rPr>
              <w:t>-</w:t>
            </w:r>
            <w:r>
              <w:rPr>
                <w:rStyle w:val="80"/>
                <w:color w:val="000000" w:themeColor="text1"/>
                <w:lang w:val="en-US" w:eastAsia="zh-CN" w:bidi="ar"/>
              </w:rPr>
              <w:t>带状疱疹病毒</w:t>
            </w:r>
          </w:p>
        </w:tc>
        <w:tc>
          <w:tcPr>
            <w:tcW w:w="1869" w:type="dxa"/>
            <w:vMerge w:val="continue"/>
            <w:noWrap w:val="0"/>
            <w:vAlign w:val="center"/>
          </w:tcPr>
          <w:p w14:paraId="3AF569CD">
            <w:pPr>
              <w:jc w:val="center"/>
              <w:rPr>
                <w:rFonts w:hint="eastAsia" w:ascii="宋体" w:hAnsi="宋体" w:eastAsia="宋体" w:cs="宋体"/>
                <w:i w:val="0"/>
                <w:iCs w:val="0"/>
                <w:color w:val="000000" w:themeColor="text1"/>
                <w:sz w:val="21"/>
                <w:szCs w:val="21"/>
                <w:u w:val="none"/>
              </w:rPr>
            </w:pPr>
          </w:p>
        </w:tc>
      </w:tr>
      <w:tr w14:paraId="648A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61B232BF">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55311D05">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儿童常见寄生虫病—蛔虫和蛲虫</w:t>
            </w:r>
          </w:p>
        </w:tc>
        <w:tc>
          <w:tcPr>
            <w:tcW w:w="1869" w:type="dxa"/>
            <w:vMerge w:val="continue"/>
            <w:noWrap w:val="0"/>
            <w:vAlign w:val="center"/>
          </w:tcPr>
          <w:p w14:paraId="3D6C0457">
            <w:pPr>
              <w:jc w:val="center"/>
              <w:rPr>
                <w:rFonts w:hint="eastAsia" w:ascii="宋体" w:hAnsi="宋体" w:eastAsia="宋体" w:cs="宋体"/>
                <w:i w:val="0"/>
                <w:iCs w:val="0"/>
                <w:color w:val="000000" w:themeColor="text1"/>
                <w:sz w:val="21"/>
                <w:szCs w:val="21"/>
                <w:u w:val="none"/>
              </w:rPr>
            </w:pPr>
          </w:p>
        </w:tc>
      </w:tr>
      <w:tr w14:paraId="2A92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5A3682B9">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39DEE091">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免疫功能</w:t>
            </w:r>
          </w:p>
        </w:tc>
        <w:tc>
          <w:tcPr>
            <w:tcW w:w="1869" w:type="dxa"/>
            <w:vMerge w:val="continue"/>
            <w:noWrap w:val="0"/>
            <w:vAlign w:val="center"/>
          </w:tcPr>
          <w:p w14:paraId="6C7A52E0">
            <w:pPr>
              <w:jc w:val="center"/>
              <w:rPr>
                <w:rFonts w:hint="eastAsia" w:ascii="宋体" w:hAnsi="宋体" w:eastAsia="宋体" w:cs="宋体"/>
                <w:i w:val="0"/>
                <w:iCs w:val="0"/>
                <w:color w:val="000000" w:themeColor="text1"/>
                <w:sz w:val="21"/>
                <w:szCs w:val="21"/>
                <w:u w:val="none"/>
              </w:rPr>
            </w:pPr>
          </w:p>
        </w:tc>
      </w:tr>
      <w:tr w14:paraId="4955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15EEBD47">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673076B8">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人体免疫系统组成</w:t>
            </w:r>
          </w:p>
        </w:tc>
        <w:tc>
          <w:tcPr>
            <w:tcW w:w="1869" w:type="dxa"/>
            <w:vMerge w:val="continue"/>
            <w:noWrap w:val="0"/>
            <w:vAlign w:val="center"/>
          </w:tcPr>
          <w:p w14:paraId="2B0AFFD5">
            <w:pPr>
              <w:jc w:val="center"/>
              <w:rPr>
                <w:rFonts w:hint="eastAsia" w:ascii="宋体" w:hAnsi="宋体" w:eastAsia="宋体" w:cs="宋体"/>
                <w:i w:val="0"/>
                <w:iCs w:val="0"/>
                <w:color w:val="000000" w:themeColor="text1"/>
                <w:sz w:val="21"/>
                <w:szCs w:val="21"/>
                <w:u w:val="none"/>
              </w:rPr>
            </w:pPr>
          </w:p>
        </w:tc>
      </w:tr>
      <w:tr w14:paraId="4816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D06780C">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3B60DBD5">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抗原</w:t>
            </w:r>
          </w:p>
        </w:tc>
        <w:tc>
          <w:tcPr>
            <w:tcW w:w="1869" w:type="dxa"/>
            <w:vMerge w:val="continue"/>
            <w:noWrap w:val="0"/>
            <w:vAlign w:val="center"/>
          </w:tcPr>
          <w:p w14:paraId="1F5015AA">
            <w:pPr>
              <w:jc w:val="center"/>
              <w:rPr>
                <w:rFonts w:hint="eastAsia" w:ascii="宋体" w:hAnsi="宋体" w:eastAsia="宋体" w:cs="宋体"/>
                <w:i w:val="0"/>
                <w:iCs w:val="0"/>
                <w:color w:val="000000" w:themeColor="text1"/>
                <w:sz w:val="21"/>
                <w:szCs w:val="21"/>
                <w:u w:val="none"/>
              </w:rPr>
            </w:pPr>
          </w:p>
        </w:tc>
      </w:tr>
      <w:tr w14:paraId="20D1C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69FD98F">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4902C0A8">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免疫球蛋白与抗体</w:t>
            </w:r>
          </w:p>
        </w:tc>
        <w:tc>
          <w:tcPr>
            <w:tcW w:w="1869" w:type="dxa"/>
            <w:vMerge w:val="continue"/>
            <w:noWrap w:val="0"/>
            <w:vAlign w:val="center"/>
          </w:tcPr>
          <w:p w14:paraId="126313B9">
            <w:pPr>
              <w:jc w:val="center"/>
              <w:rPr>
                <w:rFonts w:hint="eastAsia" w:ascii="宋体" w:hAnsi="宋体" w:eastAsia="宋体" w:cs="宋体"/>
                <w:i w:val="0"/>
                <w:iCs w:val="0"/>
                <w:color w:val="000000" w:themeColor="text1"/>
                <w:sz w:val="21"/>
                <w:szCs w:val="21"/>
                <w:u w:val="none"/>
              </w:rPr>
            </w:pPr>
          </w:p>
        </w:tc>
      </w:tr>
      <w:tr w14:paraId="0F9D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88804F5">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6901942C">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体液免疫与细胞免疫</w:t>
            </w:r>
          </w:p>
        </w:tc>
        <w:tc>
          <w:tcPr>
            <w:tcW w:w="1869" w:type="dxa"/>
            <w:vMerge w:val="continue"/>
            <w:noWrap w:val="0"/>
            <w:vAlign w:val="center"/>
          </w:tcPr>
          <w:p w14:paraId="54639FDD">
            <w:pPr>
              <w:jc w:val="center"/>
              <w:rPr>
                <w:rFonts w:hint="eastAsia" w:ascii="宋体" w:hAnsi="宋体" w:eastAsia="宋体" w:cs="宋体"/>
                <w:i w:val="0"/>
                <w:iCs w:val="0"/>
                <w:color w:val="000000" w:themeColor="text1"/>
                <w:sz w:val="21"/>
                <w:szCs w:val="21"/>
                <w:u w:val="none"/>
              </w:rPr>
            </w:pPr>
          </w:p>
        </w:tc>
      </w:tr>
      <w:tr w14:paraId="1A0D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7DFE900E">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2667D2D8">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Ⅰ型超敏反应</w:t>
            </w:r>
          </w:p>
        </w:tc>
        <w:tc>
          <w:tcPr>
            <w:tcW w:w="1869" w:type="dxa"/>
            <w:vMerge w:val="continue"/>
            <w:noWrap w:val="0"/>
            <w:vAlign w:val="center"/>
          </w:tcPr>
          <w:p w14:paraId="6F0FE978">
            <w:pPr>
              <w:jc w:val="center"/>
              <w:rPr>
                <w:rFonts w:hint="eastAsia" w:ascii="宋体" w:hAnsi="宋体" w:eastAsia="宋体" w:cs="宋体"/>
                <w:i w:val="0"/>
                <w:iCs w:val="0"/>
                <w:color w:val="000000" w:themeColor="text1"/>
                <w:sz w:val="21"/>
                <w:szCs w:val="21"/>
                <w:u w:val="none"/>
              </w:rPr>
            </w:pPr>
          </w:p>
        </w:tc>
      </w:tr>
      <w:tr w14:paraId="0A254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7A21B63E">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1413875F">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Ⅱ型超敏反应</w:t>
            </w:r>
          </w:p>
        </w:tc>
        <w:tc>
          <w:tcPr>
            <w:tcW w:w="1869" w:type="dxa"/>
            <w:vMerge w:val="continue"/>
            <w:noWrap w:val="0"/>
            <w:vAlign w:val="center"/>
          </w:tcPr>
          <w:p w14:paraId="496F6C1A">
            <w:pPr>
              <w:jc w:val="center"/>
              <w:rPr>
                <w:rFonts w:hint="eastAsia" w:ascii="宋体" w:hAnsi="宋体" w:eastAsia="宋体" w:cs="宋体"/>
                <w:i w:val="0"/>
                <w:iCs w:val="0"/>
                <w:color w:val="000000" w:themeColor="text1"/>
                <w:sz w:val="21"/>
                <w:szCs w:val="21"/>
                <w:u w:val="none"/>
              </w:rPr>
            </w:pPr>
          </w:p>
        </w:tc>
      </w:tr>
      <w:tr w14:paraId="1748E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51D981D">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3F10DC94">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Ⅲ型超敏反应</w:t>
            </w:r>
          </w:p>
        </w:tc>
        <w:tc>
          <w:tcPr>
            <w:tcW w:w="1869" w:type="dxa"/>
            <w:vMerge w:val="continue"/>
            <w:noWrap w:val="0"/>
            <w:vAlign w:val="center"/>
          </w:tcPr>
          <w:p w14:paraId="0D4732C6">
            <w:pPr>
              <w:jc w:val="center"/>
              <w:rPr>
                <w:rFonts w:hint="eastAsia" w:ascii="宋体" w:hAnsi="宋体" w:eastAsia="宋体" w:cs="宋体"/>
                <w:i w:val="0"/>
                <w:iCs w:val="0"/>
                <w:color w:val="000000" w:themeColor="text1"/>
                <w:sz w:val="21"/>
                <w:szCs w:val="21"/>
                <w:u w:val="none"/>
              </w:rPr>
            </w:pPr>
          </w:p>
        </w:tc>
      </w:tr>
      <w:tr w14:paraId="13A8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59FF95F0">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35A78DD8">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Ⅳ超敏反应</w:t>
            </w:r>
          </w:p>
        </w:tc>
        <w:tc>
          <w:tcPr>
            <w:tcW w:w="1869" w:type="dxa"/>
            <w:vMerge w:val="continue"/>
            <w:noWrap w:val="0"/>
            <w:vAlign w:val="center"/>
          </w:tcPr>
          <w:p w14:paraId="09EDADBA">
            <w:pPr>
              <w:jc w:val="center"/>
              <w:rPr>
                <w:rFonts w:hint="eastAsia" w:ascii="宋体" w:hAnsi="宋体" w:eastAsia="宋体" w:cs="宋体"/>
                <w:i w:val="0"/>
                <w:iCs w:val="0"/>
                <w:color w:val="000000" w:themeColor="text1"/>
                <w:sz w:val="21"/>
                <w:szCs w:val="21"/>
                <w:u w:val="none"/>
              </w:rPr>
            </w:pPr>
          </w:p>
        </w:tc>
      </w:tr>
      <w:tr w14:paraId="6787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F1D8227">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2CF21C56">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破伤风梭菌致病过程</w:t>
            </w:r>
          </w:p>
        </w:tc>
        <w:tc>
          <w:tcPr>
            <w:tcW w:w="1869" w:type="dxa"/>
            <w:vMerge w:val="restart"/>
            <w:noWrap w:val="0"/>
            <w:vAlign w:val="center"/>
          </w:tcPr>
          <w:p w14:paraId="25960137">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动画</w:t>
            </w:r>
            <w:r>
              <w:rPr>
                <w:rStyle w:val="49"/>
                <w:rFonts w:eastAsia="宋体"/>
                <w:color w:val="000000" w:themeColor="text1"/>
                <w:lang w:val="en-US" w:eastAsia="zh-CN" w:bidi="ar"/>
              </w:rPr>
              <w:t>3</w:t>
            </w:r>
            <w:r>
              <w:rPr>
                <w:rStyle w:val="80"/>
                <w:color w:val="000000" w:themeColor="text1"/>
                <w:lang w:val="en-US" w:eastAsia="zh-CN" w:bidi="ar"/>
              </w:rPr>
              <w:t>个</w:t>
            </w:r>
          </w:p>
        </w:tc>
      </w:tr>
      <w:tr w14:paraId="0A17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E267AB6">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6D38766D">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抗体是如何产生的</w:t>
            </w:r>
          </w:p>
        </w:tc>
        <w:tc>
          <w:tcPr>
            <w:tcW w:w="1869" w:type="dxa"/>
            <w:vMerge w:val="continue"/>
            <w:noWrap w:val="0"/>
            <w:vAlign w:val="center"/>
          </w:tcPr>
          <w:p w14:paraId="40E68305">
            <w:pPr>
              <w:jc w:val="center"/>
              <w:rPr>
                <w:rFonts w:hint="eastAsia" w:ascii="宋体" w:hAnsi="宋体" w:eastAsia="宋体" w:cs="宋体"/>
                <w:i w:val="0"/>
                <w:iCs w:val="0"/>
                <w:color w:val="000000" w:themeColor="text1"/>
                <w:sz w:val="21"/>
                <w:szCs w:val="21"/>
                <w:u w:val="none"/>
              </w:rPr>
            </w:pPr>
          </w:p>
        </w:tc>
      </w:tr>
      <w:tr w14:paraId="5410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68CADBA">
            <w:pPr>
              <w:jc w:val="center"/>
              <w:rPr>
                <w:rFonts w:hint="eastAsia" w:ascii="宋体" w:hAnsi="宋体" w:eastAsia="宋体" w:cs="宋体"/>
                <w:b/>
                <w:bCs/>
                <w:i w:val="0"/>
                <w:iCs w:val="0"/>
                <w:color w:val="000000" w:themeColor="text1"/>
                <w:sz w:val="21"/>
                <w:szCs w:val="21"/>
                <w:u w:val="none"/>
              </w:rPr>
            </w:pPr>
          </w:p>
        </w:tc>
        <w:tc>
          <w:tcPr>
            <w:tcW w:w="5318" w:type="dxa"/>
            <w:noWrap w:val="0"/>
            <w:vAlign w:val="top"/>
          </w:tcPr>
          <w:p w14:paraId="1CA4E47A">
            <w:pPr>
              <w:keepNext w:val="0"/>
              <w:keepLines w:val="0"/>
              <w:widowControl/>
              <w:suppressLineNumbers w:val="0"/>
              <w:jc w:val="both"/>
              <w:textAlignment w:val="top"/>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Ⅰ型超敏反应致病机制</w:t>
            </w:r>
          </w:p>
        </w:tc>
        <w:tc>
          <w:tcPr>
            <w:tcW w:w="1869" w:type="dxa"/>
            <w:vMerge w:val="continue"/>
            <w:noWrap w:val="0"/>
            <w:vAlign w:val="center"/>
          </w:tcPr>
          <w:p w14:paraId="7E7131C4">
            <w:pPr>
              <w:jc w:val="center"/>
              <w:rPr>
                <w:rFonts w:hint="eastAsia" w:ascii="宋体" w:hAnsi="宋体" w:eastAsia="宋体" w:cs="宋体"/>
                <w:i w:val="0"/>
                <w:iCs w:val="0"/>
                <w:color w:val="000000" w:themeColor="text1"/>
                <w:sz w:val="21"/>
                <w:szCs w:val="21"/>
                <w:u w:val="none"/>
              </w:rPr>
            </w:pPr>
          </w:p>
        </w:tc>
      </w:tr>
      <w:tr w14:paraId="667C5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restart"/>
            <w:shd w:val="clear" w:color="auto" w:fill="auto"/>
            <w:noWrap w:val="0"/>
            <w:vAlign w:val="center"/>
          </w:tcPr>
          <w:p w14:paraId="7FF09EA6">
            <w:pPr>
              <w:keepNext w:val="0"/>
              <w:keepLines w:val="0"/>
              <w:widowControl/>
              <w:suppressLineNumbers w:val="0"/>
              <w:jc w:val="center"/>
              <w:textAlignment w:val="center"/>
              <w:rPr>
                <w:rFonts w:hint="eastAsia" w:ascii="宋体" w:hAnsi="宋体" w:eastAsia="宋体" w:cs="宋体"/>
                <w:b/>
                <w:bCs/>
                <w:i w:val="0"/>
                <w:iCs w:val="0"/>
                <w:color w:val="000000" w:themeColor="text1"/>
                <w:sz w:val="21"/>
                <w:szCs w:val="21"/>
                <w:u w:val="none"/>
              </w:rPr>
            </w:pPr>
            <w:r>
              <w:rPr>
                <w:rFonts w:hint="eastAsia" w:ascii="宋体" w:hAnsi="宋体" w:eastAsia="宋体" w:cs="宋体"/>
                <w:b/>
                <w:bCs/>
                <w:i w:val="0"/>
                <w:iCs w:val="0"/>
                <w:color w:val="000000" w:themeColor="text1"/>
                <w:kern w:val="0"/>
                <w:sz w:val="21"/>
                <w:szCs w:val="21"/>
                <w:u w:val="none"/>
                <w:lang w:val="en-US" w:eastAsia="zh-CN" w:bidi="ar"/>
              </w:rPr>
              <w:t>病原生物与免疫</w:t>
            </w:r>
          </w:p>
        </w:tc>
        <w:tc>
          <w:tcPr>
            <w:tcW w:w="5318" w:type="dxa"/>
            <w:shd w:val="clear" w:color="auto" w:fill="FFFFFF"/>
            <w:noWrap w:val="0"/>
            <w:vAlign w:val="center"/>
          </w:tcPr>
          <w:p w14:paraId="437D9B3F">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认识病理学</w:t>
            </w:r>
          </w:p>
        </w:tc>
        <w:tc>
          <w:tcPr>
            <w:tcW w:w="1869" w:type="dxa"/>
            <w:vMerge w:val="restart"/>
            <w:noWrap w:val="0"/>
            <w:vAlign w:val="center"/>
          </w:tcPr>
          <w:p w14:paraId="237A2E0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Fonts w:hint="eastAsia" w:ascii="宋体" w:hAnsi="宋体" w:eastAsia="宋体" w:cs="宋体"/>
                <w:i w:val="0"/>
                <w:iCs w:val="0"/>
                <w:color w:val="000000" w:themeColor="text1"/>
                <w:kern w:val="0"/>
                <w:sz w:val="21"/>
                <w:szCs w:val="21"/>
                <w:u w:val="none"/>
                <w:lang w:val="en-US" w:eastAsia="zh-CN" w:bidi="ar"/>
              </w:rPr>
              <w:t>微课视频34个</w:t>
            </w:r>
          </w:p>
        </w:tc>
      </w:tr>
      <w:tr w14:paraId="470E2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1D403649">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C3823C6">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萎缩</w:t>
            </w:r>
          </w:p>
        </w:tc>
        <w:tc>
          <w:tcPr>
            <w:tcW w:w="1869" w:type="dxa"/>
            <w:vMerge w:val="continue"/>
            <w:noWrap w:val="0"/>
            <w:vAlign w:val="center"/>
          </w:tcPr>
          <w:p w14:paraId="426BD097">
            <w:pPr>
              <w:jc w:val="center"/>
              <w:rPr>
                <w:rFonts w:hint="eastAsia" w:ascii="宋体" w:hAnsi="宋体" w:eastAsia="宋体" w:cs="宋体"/>
                <w:i w:val="0"/>
                <w:iCs w:val="0"/>
                <w:color w:val="000000" w:themeColor="text1"/>
                <w:sz w:val="21"/>
                <w:szCs w:val="21"/>
                <w:u w:val="none"/>
              </w:rPr>
            </w:pPr>
          </w:p>
        </w:tc>
      </w:tr>
      <w:tr w14:paraId="213E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123C3416">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23BAB797">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变性</w:t>
            </w:r>
          </w:p>
        </w:tc>
        <w:tc>
          <w:tcPr>
            <w:tcW w:w="1869" w:type="dxa"/>
            <w:vMerge w:val="continue"/>
            <w:noWrap w:val="0"/>
            <w:vAlign w:val="center"/>
          </w:tcPr>
          <w:p w14:paraId="2674EB81">
            <w:pPr>
              <w:jc w:val="center"/>
              <w:rPr>
                <w:rFonts w:hint="eastAsia" w:ascii="宋体" w:hAnsi="宋体" w:eastAsia="宋体" w:cs="宋体"/>
                <w:i w:val="0"/>
                <w:iCs w:val="0"/>
                <w:color w:val="000000" w:themeColor="text1"/>
                <w:sz w:val="21"/>
                <w:szCs w:val="21"/>
                <w:u w:val="none"/>
              </w:rPr>
            </w:pPr>
          </w:p>
        </w:tc>
      </w:tr>
      <w:tr w14:paraId="34D9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5F68553D">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D2A0091">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坏死</w:t>
            </w:r>
          </w:p>
        </w:tc>
        <w:tc>
          <w:tcPr>
            <w:tcW w:w="1869" w:type="dxa"/>
            <w:vMerge w:val="continue"/>
            <w:noWrap w:val="0"/>
            <w:vAlign w:val="center"/>
          </w:tcPr>
          <w:p w14:paraId="2D004127">
            <w:pPr>
              <w:jc w:val="center"/>
              <w:rPr>
                <w:rFonts w:hint="eastAsia" w:ascii="宋体" w:hAnsi="宋体" w:eastAsia="宋体" w:cs="宋体"/>
                <w:i w:val="0"/>
                <w:iCs w:val="0"/>
                <w:color w:val="000000" w:themeColor="text1"/>
                <w:sz w:val="21"/>
                <w:szCs w:val="21"/>
                <w:u w:val="none"/>
              </w:rPr>
            </w:pPr>
          </w:p>
        </w:tc>
      </w:tr>
      <w:tr w14:paraId="5308F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275E6861">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6AA5A397">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再生</w:t>
            </w:r>
          </w:p>
        </w:tc>
        <w:tc>
          <w:tcPr>
            <w:tcW w:w="1869" w:type="dxa"/>
            <w:vMerge w:val="continue"/>
            <w:noWrap w:val="0"/>
            <w:vAlign w:val="center"/>
          </w:tcPr>
          <w:p w14:paraId="6E8CC490">
            <w:pPr>
              <w:jc w:val="center"/>
              <w:rPr>
                <w:rFonts w:hint="eastAsia" w:ascii="宋体" w:hAnsi="宋体" w:eastAsia="宋体" w:cs="宋体"/>
                <w:i w:val="0"/>
                <w:iCs w:val="0"/>
                <w:color w:val="000000" w:themeColor="text1"/>
                <w:sz w:val="21"/>
                <w:szCs w:val="21"/>
                <w:u w:val="none"/>
              </w:rPr>
            </w:pPr>
          </w:p>
        </w:tc>
      </w:tr>
      <w:tr w14:paraId="38F05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1F6E66A4">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1BAEE964">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纤维性修复</w:t>
            </w:r>
          </w:p>
        </w:tc>
        <w:tc>
          <w:tcPr>
            <w:tcW w:w="1869" w:type="dxa"/>
            <w:vMerge w:val="continue"/>
            <w:noWrap w:val="0"/>
            <w:vAlign w:val="center"/>
          </w:tcPr>
          <w:p w14:paraId="71D399E4">
            <w:pPr>
              <w:jc w:val="center"/>
              <w:rPr>
                <w:rFonts w:hint="eastAsia" w:ascii="宋体" w:hAnsi="宋体" w:eastAsia="宋体" w:cs="宋体"/>
                <w:i w:val="0"/>
                <w:iCs w:val="0"/>
                <w:color w:val="000000" w:themeColor="text1"/>
                <w:sz w:val="21"/>
                <w:szCs w:val="21"/>
                <w:u w:val="none"/>
              </w:rPr>
            </w:pPr>
          </w:p>
        </w:tc>
      </w:tr>
      <w:tr w14:paraId="0071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67A47BDF">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1615C8A9">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静脉性充血（淤血）</w:t>
            </w:r>
          </w:p>
        </w:tc>
        <w:tc>
          <w:tcPr>
            <w:tcW w:w="1869" w:type="dxa"/>
            <w:vMerge w:val="continue"/>
            <w:noWrap w:val="0"/>
            <w:vAlign w:val="center"/>
          </w:tcPr>
          <w:p w14:paraId="5687C3F6">
            <w:pPr>
              <w:jc w:val="center"/>
              <w:rPr>
                <w:rFonts w:hint="eastAsia" w:ascii="宋体" w:hAnsi="宋体" w:eastAsia="宋体" w:cs="宋体"/>
                <w:i w:val="0"/>
                <w:iCs w:val="0"/>
                <w:color w:val="000000" w:themeColor="text1"/>
                <w:sz w:val="21"/>
                <w:szCs w:val="21"/>
                <w:u w:val="none"/>
              </w:rPr>
            </w:pPr>
          </w:p>
        </w:tc>
      </w:tr>
      <w:tr w14:paraId="2470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2C50C403">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D3775F3">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重要器官淤血</w:t>
            </w:r>
          </w:p>
        </w:tc>
        <w:tc>
          <w:tcPr>
            <w:tcW w:w="1869" w:type="dxa"/>
            <w:vMerge w:val="continue"/>
            <w:noWrap w:val="0"/>
            <w:vAlign w:val="center"/>
          </w:tcPr>
          <w:p w14:paraId="76CF2654">
            <w:pPr>
              <w:jc w:val="center"/>
              <w:rPr>
                <w:rFonts w:hint="eastAsia" w:ascii="宋体" w:hAnsi="宋体" w:eastAsia="宋体" w:cs="宋体"/>
                <w:i w:val="0"/>
                <w:iCs w:val="0"/>
                <w:color w:val="000000" w:themeColor="text1"/>
                <w:sz w:val="21"/>
                <w:szCs w:val="21"/>
                <w:u w:val="none"/>
              </w:rPr>
            </w:pPr>
          </w:p>
        </w:tc>
      </w:tr>
      <w:tr w14:paraId="79CE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55C0496C">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1DF87CFD">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血栓形成</w:t>
            </w:r>
          </w:p>
        </w:tc>
        <w:tc>
          <w:tcPr>
            <w:tcW w:w="1869" w:type="dxa"/>
            <w:vMerge w:val="continue"/>
            <w:noWrap w:val="0"/>
            <w:vAlign w:val="center"/>
          </w:tcPr>
          <w:p w14:paraId="6639F50E">
            <w:pPr>
              <w:jc w:val="center"/>
              <w:rPr>
                <w:rFonts w:hint="eastAsia" w:ascii="宋体" w:hAnsi="宋体" w:eastAsia="宋体" w:cs="宋体"/>
                <w:i w:val="0"/>
                <w:iCs w:val="0"/>
                <w:color w:val="000000" w:themeColor="text1"/>
                <w:sz w:val="21"/>
                <w:szCs w:val="21"/>
                <w:u w:val="none"/>
              </w:rPr>
            </w:pPr>
          </w:p>
        </w:tc>
      </w:tr>
      <w:tr w14:paraId="1B1B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57B1282E">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4C27C4D8">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栓子的运行途径</w:t>
            </w:r>
          </w:p>
        </w:tc>
        <w:tc>
          <w:tcPr>
            <w:tcW w:w="1869" w:type="dxa"/>
            <w:vMerge w:val="continue"/>
            <w:noWrap w:val="0"/>
            <w:vAlign w:val="center"/>
          </w:tcPr>
          <w:p w14:paraId="3E62EF79">
            <w:pPr>
              <w:jc w:val="center"/>
              <w:rPr>
                <w:rFonts w:hint="eastAsia" w:ascii="宋体" w:hAnsi="宋体" w:eastAsia="宋体" w:cs="宋体"/>
                <w:i w:val="0"/>
                <w:iCs w:val="0"/>
                <w:color w:val="000000" w:themeColor="text1"/>
                <w:sz w:val="21"/>
                <w:szCs w:val="21"/>
                <w:u w:val="none"/>
              </w:rPr>
            </w:pPr>
          </w:p>
        </w:tc>
      </w:tr>
      <w:tr w14:paraId="302B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3F9D83E5">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23DCE3AC">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血栓栓塞</w:t>
            </w:r>
          </w:p>
        </w:tc>
        <w:tc>
          <w:tcPr>
            <w:tcW w:w="1869" w:type="dxa"/>
            <w:vMerge w:val="continue"/>
            <w:noWrap w:val="0"/>
            <w:vAlign w:val="center"/>
          </w:tcPr>
          <w:p w14:paraId="2F13A6A3">
            <w:pPr>
              <w:jc w:val="center"/>
              <w:rPr>
                <w:rFonts w:hint="eastAsia" w:ascii="宋体" w:hAnsi="宋体" w:eastAsia="宋体" w:cs="宋体"/>
                <w:i w:val="0"/>
                <w:iCs w:val="0"/>
                <w:color w:val="000000" w:themeColor="text1"/>
                <w:sz w:val="21"/>
                <w:szCs w:val="21"/>
                <w:u w:val="none"/>
              </w:rPr>
            </w:pPr>
          </w:p>
        </w:tc>
      </w:tr>
      <w:tr w14:paraId="0B87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21B1B4F5">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33159103">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梗死的类型</w:t>
            </w:r>
          </w:p>
        </w:tc>
        <w:tc>
          <w:tcPr>
            <w:tcW w:w="1869" w:type="dxa"/>
            <w:vMerge w:val="continue"/>
            <w:noWrap w:val="0"/>
            <w:vAlign w:val="center"/>
          </w:tcPr>
          <w:p w14:paraId="1F7B1F37">
            <w:pPr>
              <w:jc w:val="center"/>
              <w:rPr>
                <w:rFonts w:hint="eastAsia" w:ascii="宋体" w:hAnsi="宋体" w:eastAsia="宋体" w:cs="宋体"/>
                <w:i w:val="0"/>
                <w:iCs w:val="0"/>
                <w:color w:val="000000" w:themeColor="text1"/>
                <w:sz w:val="21"/>
                <w:szCs w:val="21"/>
                <w:u w:val="none"/>
              </w:rPr>
            </w:pPr>
          </w:p>
        </w:tc>
      </w:tr>
      <w:tr w14:paraId="1878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5826DCB8">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3358B383">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认识炎症</w:t>
            </w:r>
          </w:p>
        </w:tc>
        <w:tc>
          <w:tcPr>
            <w:tcW w:w="1869" w:type="dxa"/>
            <w:vMerge w:val="continue"/>
            <w:noWrap w:val="0"/>
            <w:vAlign w:val="center"/>
          </w:tcPr>
          <w:p w14:paraId="2AE3EC16">
            <w:pPr>
              <w:jc w:val="center"/>
              <w:rPr>
                <w:rFonts w:hint="eastAsia" w:ascii="宋体" w:hAnsi="宋体" w:eastAsia="宋体" w:cs="宋体"/>
                <w:i w:val="0"/>
                <w:iCs w:val="0"/>
                <w:color w:val="000000" w:themeColor="text1"/>
                <w:sz w:val="21"/>
                <w:szCs w:val="21"/>
                <w:u w:val="none"/>
              </w:rPr>
            </w:pPr>
          </w:p>
        </w:tc>
      </w:tr>
      <w:tr w14:paraId="2E09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040" w:type="dxa"/>
            <w:vMerge w:val="continue"/>
            <w:shd w:val="clear" w:color="auto" w:fill="auto"/>
            <w:noWrap w:val="0"/>
            <w:vAlign w:val="center"/>
          </w:tcPr>
          <w:p w14:paraId="5868F064">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F5F6917">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炎症基本病理变化</w:t>
            </w:r>
            <w:r>
              <w:rPr>
                <w:rStyle w:val="82"/>
                <w:rFonts w:eastAsia="宋体"/>
                <w:color w:val="000000" w:themeColor="text1"/>
                <w:lang w:val="en-US" w:eastAsia="zh-CN" w:bidi="ar"/>
              </w:rPr>
              <w:t>-</w:t>
            </w:r>
            <w:r>
              <w:rPr>
                <w:rStyle w:val="81"/>
                <w:color w:val="000000" w:themeColor="text1"/>
                <w:lang w:val="en-US" w:eastAsia="zh-CN" w:bidi="ar"/>
              </w:rPr>
              <w:t>渗出</w:t>
            </w:r>
          </w:p>
        </w:tc>
        <w:tc>
          <w:tcPr>
            <w:tcW w:w="1869" w:type="dxa"/>
            <w:vMerge w:val="continue"/>
            <w:noWrap w:val="0"/>
            <w:vAlign w:val="center"/>
          </w:tcPr>
          <w:p w14:paraId="0BAFF209">
            <w:pPr>
              <w:jc w:val="center"/>
              <w:rPr>
                <w:rFonts w:hint="eastAsia" w:ascii="宋体" w:hAnsi="宋体" w:eastAsia="宋体" w:cs="宋体"/>
                <w:i w:val="0"/>
                <w:iCs w:val="0"/>
                <w:color w:val="000000" w:themeColor="text1"/>
                <w:sz w:val="21"/>
                <w:szCs w:val="21"/>
                <w:u w:val="none"/>
              </w:rPr>
            </w:pPr>
          </w:p>
        </w:tc>
      </w:tr>
      <w:tr w14:paraId="33A6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6DB458EF">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D50E0DC">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渗出性炎</w:t>
            </w:r>
          </w:p>
        </w:tc>
        <w:tc>
          <w:tcPr>
            <w:tcW w:w="1869" w:type="dxa"/>
            <w:vMerge w:val="continue"/>
            <w:noWrap w:val="0"/>
            <w:vAlign w:val="center"/>
          </w:tcPr>
          <w:p w14:paraId="271EB123">
            <w:pPr>
              <w:jc w:val="center"/>
              <w:rPr>
                <w:rFonts w:hint="eastAsia" w:ascii="宋体" w:hAnsi="宋体" w:eastAsia="宋体" w:cs="宋体"/>
                <w:i w:val="0"/>
                <w:iCs w:val="0"/>
                <w:color w:val="000000" w:themeColor="text1"/>
                <w:sz w:val="21"/>
                <w:szCs w:val="21"/>
                <w:u w:val="none"/>
              </w:rPr>
            </w:pPr>
          </w:p>
        </w:tc>
      </w:tr>
      <w:tr w14:paraId="7A3C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3C15ABBB">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541D4F66">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增生性炎</w:t>
            </w:r>
          </w:p>
        </w:tc>
        <w:tc>
          <w:tcPr>
            <w:tcW w:w="1869" w:type="dxa"/>
            <w:vMerge w:val="continue"/>
            <w:noWrap w:val="0"/>
            <w:vAlign w:val="center"/>
          </w:tcPr>
          <w:p w14:paraId="6BA7B26F">
            <w:pPr>
              <w:jc w:val="center"/>
              <w:rPr>
                <w:rFonts w:hint="eastAsia" w:ascii="宋体" w:hAnsi="宋体" w:eastAsia="宋体" w:cs="宋体"/>
                <w:i w:val="0"/>
                <w:iCs w:val="0"/>
                <w:color w:val="000000" w:themeColor="text1"/>
                <w:sz w:val="21"/>
                <w:szCs w:val="21"/>
                <w:u w:val="none"/>
              </w:rPr>
            </w:pPr>
          </w:p>
        </w:tc>
      </w:tr>
      <w:tr w14:paraId="47AF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3CECD1D1">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1C22058D">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肿瘤的分化和异型性</w:t>
            </w:r>
          </w:p>
        </w:tc>
        <w:tc>
          <w:tcPr>
            <w:tcW w:w="1869" w:type="dxa"/>
            <w:vMerge w:val="continue"/>
            <w:noWrap w:val="0"/>
            <w:vAlign w:val="center"/>
          </w:tcPr>
          <w:p w14:paraId="0D2B1194">
            <w:pPr>
              <w:jc w:val="center"/>
              <w:rPr>
                <w:rFonts w:hint="eastAsia" w:ascii="宋体" w:hAnsi="宋体" w:eastAsia="宋体" w:cs="宋体"/>
                <w:i w:val="0"/>
                <w:iCs w:val="0"/>
                <w:color w:val="000000" w:themeColor="text1"/>
                <w:sz w:val="21"/>
                <w:szCs w:val="21"/>
                <w:u w:val="none"/>
              </w:rPr>
            </w:pPr>
          </w:p>
        </w:tc>
      </w:tr>
      <w:tr w14:paraId="241A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7466D8D0">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537A7F01">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肿瘤的扩散</w:t>
            </w:r>
          </w:p>
        </w:tc>
        <w:tc>
          <w:tcPr>
            <w:tcW w:w="1869" w:type="dxa"/>
            <w:vMerge w:val="continue"/>
            <w:noWrap w:val="0"/>
            <w:vAlign w:val="center"/>
          </w:tcPr>
          <w:p w14:paraId="0BFAD61A">
            <w:pPr>
              <w:jc w:val="center"/>
              <w:rPr>
                <w:rFonts w:hint="eastAsia" w:ascii="宋体" w:hAnsi="宋体" w:eastAsia="宋体" w:cs="宋体"/>
                <w:i w:val="0"/>
                <w:iCs w:val="0"/>
                <w:color w:val="000000" w:themeColor="text1"/>
                <w:sz w:val="21"/>
                <w:szCs w:val="21"/>
                <w:u w:val="none"/>
              </w:rPr>
            </w:pPr>
          </w:p>
        </w:tc>
      </w:tr>
      <w:tr w14:paraId="33F7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03EA7496">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59036D30">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良性肿瘤和恶性肿瘤的区别</w:t>
            </w:r>
          </w:p>
        </w:tc>
        <w:tc>
          <w:tcPr>
            <w:tcW w:w="1869" w:type="dxa"/>
            <w:vMerge w:val="continue"/>
            <w:noWrap w:val="0"/>
            <w:vAlign w:val="center"/>
          </w:tcPr>
          <w:p w14:paraId="6C432BA4">
            <w:pPr>
              <w:jc w:val="center"/>
              <w:rPr>
                <w:rFonts w:hint="eastAsia" w:ascii="宋体" w:hAnsi="宋体" w:eastAsia="宋体" w:cs="宋体"/>
                <w:i w:val="0"/>
                <w:iCs w:val="0"/>
                <w:color w:val="000000" w:themeColor="text1"/>
                <w:sz w:val="21"/>
                <w:szCs w:val="21"/>
                <w:u w:val="none"/>
              </w:rPr>
            </w:pPr>
          </w:p>
        </w:tc>
      </w:tr>
      <w:tr w14:paraId="3209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404D7E98">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3AF7D8D3">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癌前病变、非典型性增生和原位癌</w:t>
            </w:r>
          </w:p>
        </w:tc>
        <w:tc>
          <w:tcPr>
            <w:tcW w:w="1869" w:type="dxa"/>
            <w:vMerge w:val="continue"/>
            <w:noWrap w:val="0"/>
            <w:vAlign w:val="center"/>
          </w:tcPr>
          <w:p w14:paraId="14998714">
            <w:pPr>
              <w:jc w:val="center"/>
              <w:rPr>
                <w:rFonts w:hint="eastAsia" w:ascii="宋体" w:hAnsi="宋体" w:eastAsia="宋体" w:cs="宋体"/>
                <w:i w:val="0"/>
                <w:iCs w:val="0"/>
                <w:color w:val="000000" w:themeColor="text1"/>
                <w:sz w:val="21"/>
                <w:szCs w:val="21"/>
                <w:u w:val="none"/>
              </w:rPr>
            </w:pPr>
          </w:p>
        </w:tc>
      </w:tr>
      <w:tr w14:paraId="64A6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4E8DA1E2">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0EF69D07">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高血压病</w:t>
            </w:r>
          </w:p>
        </w:tc>
        <w:tc>
          <w:tcPr>
            <w:tcW w:w="1869" w:type="dxa"/>
            <w:vMerge w:val="continue"/>
            <w:noWrap w:val="0"/>
            <w:vAlign w:val="center"/>
          </w:tcPr>
          <w:p w14:paraId="61A10BDA">
            <w:pPr>
              <w:jc w:val="center"/>
              <w:rPr>
                <w:rFonts w:hint="eastAsia" w:ascii="宋体" w:hAnsi="宋体" w:eastAsia="宋体" w:cs="宋体"/>
                <w:i w:val="0"/>
                <w:iCs w:val="0"/>
                <w:color w:val="000000" w:themeColor="text1"/>
                <w:sz w:val="21"/>
                <w:szCs w:val="21"/>
                <w:u w:val="none"/>
              </w:rPr>
            </w:pPr>
          </w:p>
        </w:tc>
      </w:tr>
      <w:tr w14:paraId="31E8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1305C3C7">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D52D64B">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冠心病</w:t>
            </w:r>
          </w:p>
        </w:tc>
        <w:tc>
          <w:tcPr>
            <w:tcW w:w="1869" w:type="dxa"/>
            <w:vMerge w:val="continue"/>
            <w:noWrap w:val="0"/>
            <w:vAlign w:val="center"/>
          </w:tcPr>
          <w:p w14:paraId="78F7529D">
            <w:pPr>
              <w:jc w:val="center"/>
              <w:rPr>
                <w:rFonts w:hint="eastAsia" w:ascii="宋体" w:hAnsi="宋体" w:eastAsia="宋体" w:cs="宋体"/>
                <w:i w:val="0"/>
                <w:iCs w:val="0"/>
                <w:color w:val="000000" w:themeColor="text1"/>
                <w:sz w:val="21"/>
                <w:szCs w:val="21"/>
                <w:u w:val="none"/>
              </w:rPr>
            </w:pPr>
          </w:p>
        </w:tc>
      </w:tr>
      <w:tr w14:paraId="7F55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36C48BFB">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0B4C888B">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肺气肿</w:t>
            </w:r>
          </w:p>
        </w:tc>
        <w:tc>
          <w:tcPr>
            <w:tcW w:w="1869" w:type="dxa"/>
            <w:vMerge w:val="continue"/>
            <w:noWrap w:val="0"/>
            <w:vAlign w:val="center"/>
          </w:tcPr>
          <w:p w14:paraId="4C610D5D">
            <w:pPr>
              <w:jc w:val="center"/>
              <w:rPr>
                <w:rFonts w:hint="eastAsia" w:ascii="宋体" w:hAnsi="宋体" w:eastAsia="宋体" w:cs="宋体"/>
                <w:i w:val="0"/>
                <w:iCs w:val="0"/>
                <w:color w:val="000000" w:themeColor="text1"/>
                <w:sz w:val="21"/>
                <w:szCs w:val="21"/>
                <w:u w:val="none"/>
              </w:rPr>
            </w:pPr>
          </w:p>
        </w:tc>
      </w:tr>
      <w:tr w14:paraId="4A38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669F3988">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00C1D976">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肺炎</w:t>
            </w:r>
          </w:p>
        </w:tc>
        <w:tc>
          <w:tcPr>
            <w:tcW w:w="1869" w:type="dxa"/>
            <w:vMerge w:val="continue"/>
            <w:noWrap w:val="0"/>
            <w:vAlign w:val="center"/>
          </w:tcPr>
          <w:p w14:paraId="1F517693">
            <w:pPr>
              <w:jc w:val="center"/>
              <w:rPr>
                <w:rFonts w:hint="eastAsia" w:ascii="宋体" w:hAnsi="宋体" w:eastAsia="宋体" w:cs="宋体"/>
                <w:i w:val="0"/>
                <w:iCs w:val="0"/>
                <w:color w:val="000000" w:themeColor="text1"/>
                <w:sz w:val="21"/>
                <w:szCs w:val="21"/>
                <w:u w:val="none"/>
              </w:rPr>
            </w:pPr>
          </w:p>
        </w:tc>
      </w:tr>
      <w:tr w14:paraId="05568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1CE62161">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022C1EF9">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溃疡病</w:t>
            </w:r>
          </w:p>
        </w:tc>
        <w:tc>
          <w:tcPr>
            <w:tcW w:w="1869" w:type="dxa"/>
            <w:vMerge w:val="continue"/>
            <w:noWrap w:val="0"/>
            <w:vAlign w:val="center"/>
          </w:tcPr>
          <w:p w14:paraId="06446005">
            <w:pPr>
              <w:jc w:val="center"/>
              <w:rPr>
                <w:rFonts w:hint="eastAsia" w:ascii="宋体" w:hAnsi="宋体" w:eastAsia="宋体" w:cs="宋体"/>
                <w:i w:val="0"/>
                <w:iCs w:val="0"/>
                <w:color w:val="000000" w:themeColor="text1"/>
                <w:sz w:val="21"/>
                <w:szCs w:val="21"/>
                <w:u w:val="none"/>
              </w:rPr>
            </w:pPr>
          </w:p>
        </w:tc>
      </w:tr>
      <w:tr w14:paraId="765D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78814AA2">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6097411E">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肝硬化</w:t>
            </w:r>
          </w:p>
        </w:tc>
        <w:tc>
          <w:tcPr>
            <w:tcW w:w="1869" w:type="dxa"/>
            <w:vMerge w:val="continue"/>
            <w:noWrap w:val="0"/>
            <w:vAlign w:val="center"/>
          </w:tcPr>
          <w:p w14:paraId="7A452FCA">
            <w:pPr>
              <w:jc w:val="center"/>
              <w:rPr>
                <w:rFonts w:hint="eastAsia" w:ascii="宋体" w:hAnsi="宋体" w:eastAsia="宋体" w:cs="宋体"/>
                <w:i w:val="0"/>
                <w:iCs w:val="0"/>
                <w:color w:val="000000" w:themeColor="text1"/>
                <w:sz w:val="21"/>
                <w:szCs w:val="21"/>
                <w:u w:val="none"/>
              </w:rPr>
            </w:pPr>
          </w:p>
        </w:tc>
      </w:tr>
      <w:tr w14:paraId="2327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7018FE1D">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2629410C">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急性肾小球肾炎</w:t>
            </w:r>
          </w:p>
        </w:tc>
        <w:tc>
          <w:tcPr>
            <w:tcW w:w="1869" w:type="dxa"/>
            <w:vMerge w:val="continue"/>
            <w:noWrap w:val="0"/>
            <w:vAlign w:val="center"/>
          </w:tcPr>
          <w:p w14:paraId="20EF3ACB">
            <w:pPr>
              <w:jc w:val="center"/>
              <w:rPr>
                <w:rFonts w:hint="eastAsia" w:ascii="宋体" w:hAnsi="宋体" w:eastAsia="宋体" w:cs="宋体"/>
                <w:i w:val="0"/>
                <w:iCs w:val="0"/>
                <w:color w:val="000000" w:themeColor="text1"/>
                <w:sz w:val="21"/>
                <w:szCs w:val="21"/>
                <w:u w:val="none"/>
              </w:rPr>
            </w:pPr>
          </w:p>
        </w:tc>
      </w:tr>
      <w:tr w14:paraId="09F7E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76CC5FED">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07A8FE06">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乳腺癌</w:t>
            </w:r>
          </w:p>
        </w:tc>
        <w:tc>
          <w:tcPr>
            <w:tcW w:w="1869" w:type="dxa"/>
            <w:vMerge w:val="continue"/>
            <w:noWrap w:val="0"/>
            <w:vAlign w:val="center"/>
          </w:tcPr>
          <w:p w14:paraId="150F220A">
            <w:pPr>
              <w:jc w:val="center"/>
              <w:rPr>
                <w:rFonts w:hint="eastAsia" w:ascii="宋体" w:hAnsi="宋体" w:eastAsia="宋体" w:cs="宋体"/>
                <w:i w:val="0"/>
                <w:iCs w:val="0"/>
                <w:color w:val="000000" w:themeColor="text1"/>
                <w:sz w:val="21"/>
                <w:szCs w:val="21"/>
                <w:u w:val="none"/>
              </w:rPr>
            </w:pPr>
          </w:p>
        </w:tc>
      </w:tr>
      <w:tr w14:paraId="6F93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20BF7350">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D67948F">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甲状腺功能亢进</w:t>
            </w:r>
          </w:p>
        </w:tc>
        <w:tc>
          <w:tcPr>
            <w:tcW w:w="1869" w:type="dxa"/>
            <w:vMerge w:val="continue"/>
            <w:noWrap w:val="0"/>
            <w:vAlign w:val="center"/>
          </w:tcPr>
          <w:p w14:paraId="6720611C">
            <w:pPr>
              <w:jc w:val="center"/>
              <w:rPr>
                <w:rFonts w:hint="eastAsia" w:ascii="宋体" w:hAnsi="宋体" w:eastAsia="宋体" w:cs="宋体"/>
                <w:i w:val="0"/>
                <w:iCs w:val="0"/>
                <w:color w:val="000000" w:themeColor="text1"/>
                <w:sz w:val="21"/>
                <w:szCs w:val="21"/>
                <w:u w:val="none"/>
              </w:rPr>
            </w:pPr>
          </w:p>
        </w:tc>
      </w:tr>
      <w:tr w14:paraId="44F8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45955777">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67A74007">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结核病</w:t>
            </w:r>
          </w:p>
        </w:tc>
        <w:tc>
          <w:tcPr>
            <w:tcW w:w="1869" w:type="dxa"/>
            <w:vMerge w:val="continue"/>
            <w:noWrap w:val="0"/>
            <w:vAlign w:val="center"/>
          </w:tcPr>
          <w:p w14:paraId="68390B83">
            <w:pPr>
              <w:jc w:val="center"/>
              <w:rPr>
                <w:rFonts w:hint="eastAsia" w:ascii="宋体" w:hAnsi="宋体" w:eastAsia="宋体" w:cs="宋体"/>
                <w:i w:val="0"/>
                <w:iCs w:val="0"/>
                <w:color w:val="000000" w:themeColor="text1"/>
                <w:sz w:val="21"/>
                <w:szCs w:val="21"/>
                <w:u w:val="none"/>
              </w:rPr>
            </w:pPr>
          </w:p>
        </w:tc>
      </w:tr>
      <w:tr w14:paraId="12DB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7CF9EF2A">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06B93318">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水肿</w:t>
            </w:r>
          </w:p>
        </w:tc>
        <w:tc>
          <w:tcPr>
            <w:tcW w:w="1869" w:type="dxa"/>
            <w:vMerge w:val="continue"/>
            <w:noWrap w:val="0"/>
            <w:vAlign w:val="center"/>
          </w:tcPr>
          <w:p w14:paraId="0F9C6047">
            <w:pPr>
              <w:jc w:val="center"/>
              <w:rPr>
                <w:rFonts w:hint="eastAsia" w:ascii="宋体" w:hAnsi="宋体" w:eastAsia="宋体" w:cs="宋体"/>
                <w:i w:val="0"/>
                <w:iCs w:val="0"/>
                <w:color w:val="000000" w:themeColor="text1"/>
                <w:sz w:val="21"/>
                <w:szCs w:val="21"/>
                <w:u w:val="none"/>
              </w:rPr>
            </w:pPr>
          </w:p>
        </w:tc>
      </w:tr>
      <w:tr w14:paraId="4F48888C">
        <w:tblPrEx>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51489D16">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172854D5">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低钾血症</w:t>
            </w:r>
          </w:p>
        </w:tc>
        <w:tc>
          <w:tcPr>
            <w:tcW w:w="1869" w:type="dxa"/>
            <w:vMerge w:val="continue"/>
            <w:noWrap w:val="0"/>
            <w:vAlign w:val="center"/>
          </w:tcPr>
          <w:p w14:paraId="6F19913B">
            <w:pPr>
              <w:jc w:val="center"/>
              <w:rPr>
                <w:rFonts w:hint="eastAsia" w:ascii="宋体" w:hAnsi="宋体" w:eastAsia="宋体" w:cs="宋体"/>
                <w:i w:val="0"/>
                <w:iCs w:val="0"/>
                <w:color w:val="000000" w:themeColor="text1"/>
                <w:sz w:val="21"/>
                <w:szCs w:val="21"/>
                <w:u w:val="none"/>
              </w:rPr>
            </w:pPr>
          </w:p>
        </w:tc>
      </w:tr>
      <w:tr w14:paraId="7BA4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4C66B9E1">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5E9B326E">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缺氧</w:t>
            </w:r>
          </w:p>
        </w:tc>
        <w:tc>
          <w:tcPr>
            <w:tcW w:w="1869" w:type="dxa"/>
            <w:vMerge w:val="continue"/>
            <w:noWrap w:val="0"/>
            <w:vAlign w:val="center"/>
          </w:tcPr>
          <w:p w14:paraId="428D14C3">
            <w:pPr>
              <w:jc w:val="center"/>
              <w:rPr>
                <w:rFonts w:hint="eastAsia" w:ascii="宋体" w:hAnsi="宋体" w:eastAsia="宋体" w:cs="宋体"/>
                <w:i w:val="0"/>
                <w:iCs w:val="0"/>
                <w:color w:val="000000" w:themeColor="text1"/>
                <w:sz w:val="21"/>
                <w:szCs w:val="21"/>
                <w:u w:val="none"/>
              </w:rPr>
            </w:pPr>
          </w:p>
        </w:tc>
      </w:tr>
      <w:tr w14:paraId="2725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07FF370A">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1F069333">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发热</w:t>
            </w:r>
          </w:p>
        </w:tc>
        <w:tc>
          <w:tcPr>
            <w:tcW w:w="1869" w:type="dxa"/>
            <w:vMerge w:val="continue"/>
            <w:noWrap w:val="0"/>
            <w:vAlign w:val="center"/>
          </w:tcPr>
          <w:p w14:paraId="279FDD12">
            <w:pPr>
              <w:jc w:val="center"/>
              <w:rPr>
                <w:rFonts w:hint="eastAsia" w:ascii="宋体" w:hAnsi="宋体" w:eastAsia="宋体" w:cs="宋体"/>
                <w:i w:val="0"/>
                <w:iCs w:val="0"/>
                <w:color w:val="000000" w:themeColor="text1"/>
                <w:sz w:val="21"/>
                <w:szCs w:val="21"/>
                <w:u w:val="none"/>
              </w:rPr>
            </w:pPr>
          </w:p>
        </w:tc>
      </w:tr>
      <w:tr w14:paraId="4671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1E49395A">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5DACA53D">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活体组织学检查</w:t>
            </w:r>
          </w:p>
        </w:tc>
        <w:tc>
          <w:tcPr>
            <w:tcW w:w="1869" w:type="dxa"/>
            <w:vMerge w:val="restart"/>
            <w:noWrap w:val="0"/>
            <w:vAlign w:val="center"/>
          </w:tcPr>
          <w:p w14:paraId="3071D4BA">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0"/>
                <w:color w:val="000000" w:themeColor="text1"/>
                <w:lang w:val="en-US" w:eastAsia="zh-CN" w:bidi="ar"/>
              </w:rPr>
              <w:t>动画8个</w:t>
            </w:r>
          </w:p>
        </w:tc>
      </w:tr>
      <w:tr w14:paraId="41999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6E0B568C">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55C62BA4">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细胞水肿的发生机制</w:t>
            </w:r>
          </w:p>
        </w:tc>
        <w:tc>
          <w:tcPr>
            <w:tcW w:w="1869" w:type="dxa"/>
            <w:vMerge w:val="continue"/>
            <w:noWrap w:val="0"/>
            <w:vAlign w:val="center"/>
          </w:tcPr>
          <w:p w14:paraId="40DD7D12">
            <w:pPr>
              <w:jc w:val="center"/>
              <w:rPr>
                <w:rFonts w:hint="eastAsia" w:ascii="宋体" w:hAnsi="宋体" w:eastAsia="宋体" w:cs="宋体"/>
                <w:i w:val="0"/>
                <w:iCs w:val="0"/>
                <w:color w:val="000000" w:themeColor="text1"/>
                <w:sz w:val="21"/>
                <w:szCs w:val="21"/>
                <w:u w:val="none"/>
              </w:rPr>
            </w:pPr>
          </w:p>
        </w:tc>
      </w:tr>
      <w:tr w14:paraId="140C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shd w:val="clear" w:color="auto" w:fill="auto"/>
            <w:noWrap w:val="0"/>
            <w:vAlign w:val="center"/>
          </w:tcPr>
          <w:p w14:paraId="53C488A6">
            <w:pPr>
              <w:jc w:val="center"/>
              <w:rPr>
                <w:rFonts w:hint="eastAsia" w:ascii="宋体" w:hAnsi="宋体" w:eastAsia="宋体" w:cs="宋体"/>
                <w:b/>
                <w:bCs/>
                <w:i w:val="0"/>
                <w:iCs w:val="0"/>
                <w:color w:val="000000" w:themeColor="text1"/>
                <w:sz w:val="21"/>
                <w:szCs w:val="21"/>
                <w:u w:val="none"/>
              </w:rPr>
            </w:pPr>
          </w:p>
        </w:tc>
        <w:tc>
          <w:tcPr>
            <w:tcW w:w="5318" w:type="dxa"/>
            <w:shd w:val="clear" w:color="auto" w:fill="FFFFFF"/>
            <w:noWrap w:val="0"/>
            <w:vAlign w:val="center"/>
          </w:tcPr>
          <w:p w14:paraId="7160F880">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再生机制和过程</w:t>
            </w:r>
          </w:p>
        </w:tc>
        <w:tc>
          <w:tcPr>
            <w:tcW w:w="1869" w:type="dxa"/>
            <w:vMerge w:val="continue"/>
            <w:noWrap w:val="0"/>
            <w:vAlign w:val="center"/>
          </w:tcPr>
          <w:p w14:paraId="6E0CAD1E">
            <w:pPr>
              <w:jc w:val="center"/>
              <w:rPr>
                <w:rFonts w:hint="eastAsia" w:ascii="宋体" w:hAnsi="宋体" w:eastAsia="宋体" w:cs="宋体"/>
                <w:i w:val="0"/>
                <w:iCs w:val="0"/>
                <w:color w:val="000000" w:themeColor="text1"/>
                <w:sz w:val="21"/>
                <w:szCs w:val="21"/>
                <w:u w:val="none"/>
              </w:rPr>
            </w:pPr>
          </w:p>
        </w:tc>
      </w:tr>
      <w:tr w14:paraId="63715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35C1576A">
            <w:pPr>
              <w:jc w:val="center"/>
              <w:rPr>
                <w:rFonts w:hint="eastAsia" w:ascii="宋体" w:hAnsi="宋体" w:eastAsia="宋体" w:cs="宋体"/>
                <w:b/>
                <w:bCs/>
                <w:i w:val="0"/>
                <w:iCs w:val="0"/>
                <w:color w:val="000000" w:themeColor="text1"/>
                <w:sz w:val="21"/>
                <w:szCs w:val="21"/>
                <w:u w:val="none"/>
              </w:rPr>
            </w:pPr>
          </w:p>
        </w:tc>
        <w:tc>
          <w:tcPr>
            <w:tcW w:w="5318" w:type="dxa"/>
            <w:noWrap w:val="0"/>
            <w:vAlign w:val="center"/>
          </w:tcPr>
          <w:p w14:paraId="3B8C593D">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肉芽组织的修复过程</w:t>
            </w:r>
          </w:p>
        </w:tc>
        <w:tc>
          <w:tcPr>
            <w:tcW w:w="1869" w:type="dxa"/>
            <w:vMerge w:val="continue"/>
            <w:noWrap w:val="0"/>
            <w:vAlign w:val="center"/>
          </w:tcPr>
          <w:p w14:paraId="18A2A6C8">
            <w:pPr>
              <w:jc w:val="center"/>
              <w:rPr>
                <w:rFonts w:hint="eastAsia" w:ascii="宋体" w:hAnsi="宋体" w:eastAsia="宋体" w:cs="宋体"/>
                <w:i w:val="0"/>
                <w:iCs w:val="0"/>
                <w:color w:val="000000" w:themeColor="text1"/>
                <w:sz w:val="21"/>
                <w:szCs w:val="21"/>
                <w:u w:val="none"/>
              </w:rPr>
            </w:pPr>
          </w:p>
        </w:tc>
      </w:tr>
      <w:tr w14:paraId="081D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465197D2">
            <w:pPr>
              <w:jc w:val="center"/>
              <w:rPr>
                <w:rFonts w:hint="eastAsia" w:ascii="宋体" w:hAnsi="宋体" w:eastAsia="宋体" w:cs="宋体"/>
                <w:b/>
                <w:bCs/>
                <w:i w:val="0"/>
                <w:iCs w:val="0"/>
                <w:color w:val="000000" w:themeColor="text1"/>
                <w:sz w:val="21"/>
                <w:szCs w:val="21"/>
                <w:u w:val="none"/>
              </w:rPr>
            </w:pPr>
          </w:p>
        </w:tc>
        <w:tc>
          <w:tcPr>
            <w:tcW w:w="5318" w:type="dxa"/>
            <w:noWrap w:val="0"/>
            <w:vAlign w:val="center"/>
          </w:tcPr>
          <w:p w14:paraId="25EB52A5">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血栓形成条件和机制</w:t>
            </w:r>
          </w:p>
        </w:tc>
        <w:tc>
          <w:tcPr>
            <w:tcW w:w="1869" w:type="dxa"/>
            <w:vMerge w:val="continue"/>
            <w:noWrap w:val="0"/>
            <w:vAlign w:val="center"/>
          </w:tcPr>
          <w:p w14:paraId="297B3273">
            <w:pPr>
              <w:jc w:val="center"/>
              <w:rPr>
                <w:rFonts w:hint="eastAsia" w:ascii="宋体" w:hAnsi="宋体" w:eastAsia="宋体" w:cs="宋体"/>
                <w:i w:val="0"/>
                <w:iCs w:val="0"/>
                <w:color w:val="000000" w:themeColor="text1"/>
                <w:sz w:val="21"/>
                <w:szCs w:val="21"/>
                <w:u w:val="none"/>
              </w:rPr>
            </w:pPr>
          </w:p>
        </w:tc>
      </w:tr>
      <w:tr w14:paraId="71C1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6324798E">
            <w:pPr>
              <w:jc w:val="center"/>
              <w:rPr>
                <w:rFonts w:hint="eastAsia" w:ascii="宋体" w:hAnsi="宋体" w:eastAsia="宋体" w:cs="宋体"/>
                <w:b/>
                <w:bCs/>
                <w:i w:val="0"/>
                <w:iCs w:val="0"/>
                <w:color w:val="000000" w:themeColor="text1"/>
                <w:sz w:val="21"/>
                <w:szCs w:val="21"/>
                <w:u w:val="none"/>
              </w:rPr>
            </w:pPr>
          </w:p>
        </w:tc>
        <w:tc>
          <w:tcPr>
            <w:tcW w:w="5318" w:type="dxa"/>
            <w:noWrap w:val="0"/>
            <w:vAlign w:val="center"/>
          </w:tcPr>
          <w:p w14:paraId="69A65173">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栓子的运行途径</w:t>
            </w:r>
          </w:p>
        </w:tc>
        <w:tc>
          <w:tcPr>
            <w:tcW w:w="1869" w:type="dxa"/>
            <w:vMerge w:val="continue"/>
            <w:noWrap w:val="0"/>
            <w:vAlign w:val="center"/>
          </w:tcPr>
          <w:p w14:paraId="62057307">
            <w:pPr>
              <w:jc w:val="center"/>
              <w:rPr>
                <w:rFonts w:hint="eastAsia" w:ascii="宋体" w:hAnsi="宋体" w:eastAsia="宋体" w:cs="宋体"/>
                <w:i w:val="0"/>
                <w:iCs w:val="0"/>
                <w:color w:val="000000" w:themeColor="text1"/>
                <w:sz w:val="21"/>
                <w:szCs w:val="21"/>
                <w:u w:val="none"/>
              </w:rPr>
            </w:pPr>
          </w:p>
        </w:tc>
      </w:tr>
      <w:tr w14:paraId="3D91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1F9DBE5F">
            <w:pPr>
              <w:jc w:val="center"/>
              <w:rPr>
                <w:rFonts w:hint="eastAsia" w:ascii="宋体" w:hAnsi="宋体" w:eastAsia="宋体" w:cs="宋体"/>
                <w:b/>
                <w:bCs/>
                <w:i w:val="0"/>
                <w:iCs w:val="0"/>
                <w:color w:val="000000" w:themeColor="text1"/>
                <w:sz w:val="21"/>
                <w:szCs w:val="21"/>
                <w:u w:val="none"/>
              </w:rPr>
            </w:pPr>
          </w:p>
        </w:tc>
        <w:tc>
          <w:tcPr>
            <w:tcW w:w="5318" w:type="dxa"/>
            <w:noWrap w:val="0"/>
            <w:vAlign w:val="center"/>
          </w:tcPr>
          <w:p w14:paraId="4D6D9CD0">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白细胞渗出</w:t>
            </w:r>
          </w:p>
        </w:tc>
        <w:tc>
          <w:tcPr>
            <w:tcW w:w="1869" w:type="dxa"/>
            <w:vMerge w:val="continue"/>
            <w:noWrap w:val="0"/>
            <w:vAlign w:val="center"/>
          </w:tcPr>
          <w:p w14:paraId="4054C6D0">
            <w:pPr>
              <w:jc w:val="center"/>
              <w:rPr>
                <w:rFonts w:hint="eastAsia" w:ascii="宋体" w:hAnsi="宋体" w:eastAsia="宋体" w:cs="宋体"/>
                <w:i w:val="0"/>
                <w:iCs w:val="0"/>
                <w:color w:val="000000" w:themeColor="text1"/>
                <w:sz w:val="21"/>
                <w:szCs w:val="21"/>
                <w:u w:val="none"/>
              </w:rPr>
            </w:pPr>
          </w:p>
        </w:tc>
      </w:tr>
      <w:tr w14:paraId="6685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040" w:type="dxa"/>
            <w:vMerge w:val="continue"/>
            <w:noWrap w:val="0"/>
            <w:vAlign w:val="center"/>
          </w:tcPr>
          <w:p w14:paraId="521890C2">
            <w:pPr>
              <w:jc w:val="center"/>
              <w:rPr>
                <w:rFonts w:hint="eastAsia" w:ascii="宋体" w:hAnsi="宋体" w:eastAsia="宋体" w:cs="宋体"/>
                <w:b/>
                <w:bCs/>
                <w:i w:val="0"/>
                <w:iCs w:val="0"/>
                <w:color w:val="000000" w:themeColor="text1"/>
                <w:sz w:val="21"/>
                <w:szCs w:val="21"/>
                <w:u w:val="none"/>
              </w:rPr>
            </w:pPr>
          </w:p>
        </w:tc>
        <w:tc>
          <w:tcPr>
            <w:tcW w:w="5318" w:type="dxa"/>
            <w:noWrap w:val="0"/>
            <w:vAlign w:val="center"/>
          </w:tcPr>
          <w:p w14:paraId="5A6A54E2">
            <w:pPr>
              <w:keepNext w:val="0"/>
              <w:keepLines w:val="0"/>
              <w:widowControl/>
              <w:suppressLineNumbers w:val="0"/>
              <w:jc w:val="both"/>
              <w:textAlignment w:val="center"/>
              <w:rPr>
                <w:rFonts w:hint="eastAsia" w:ascii="宋体" w:hAnsi="宋体" w:eastAsia="宋体" w:cs="宋体"/>
                <w:i w:val="0"/>
                <w:iCs w:val="0"/>
                <w:color w:val="000000" w:themeColor="text1"/>
                <w:sz w:val="22"/>
                <w:szCs w:val="22"/>
                <w:u w:val="none"/>
              </w:rPr>
            </w:pPr>
            <w:r>
              <w:rPr>
                <w:rStyle w:val="81"/>
                <w:color w:val="000000" w:themeColor="text1"/>
                <w:lang w:val="en-US" w:eastAsia="zh-CN" w:bidi="ar"/>
              </w:rPr>
              <w:t>肿瘤的扩散</w:t>
            </w:r>
          </w:p>
        </w:tc>
        <w:tc>
          <w:tcPr>
            <w:tcW w:w="1869" w:type="dxa"/>
            <w:vMerge w:val="continue"/>
            <w:noWrap w:val="0"/>
            <w:vAlign w:val="center"/>
          </w:tcPr>
          <w:p w14:paraId="0DC26B34">
            <w:pPr>
              <w:jc w:val="center"/>
              <w:rPr>
                <w:rFonts w:hint="eastAsia" w:ascii="宋体" w:hAnsi="宋体" w:eastAsia="宋体" w:cs="宋体"/>
                <w:i w:val="0"/>
                <w:iCs w:val="0"/>
                <w:color w:val="000000" w:themeColor="text1"/>
                <w:sz w:val="21"/>
                <w:szCs w:val="21"/>
                <w:u w:val="none"/>
              </w:rPr>
            </w:pPr>
          </w:p>
        </w:tc>
      </w:tr>
    </w:tbl>
    <w:p w14:paraId="4B042B41">
      <w:pPr>
        <w:rPr>
          <w:rFonts w:hint="eastAsia"/>
          <w:lang w:val="en-US" w:eastAsia="zh-CN"/>
        </w:rPr>
      </w:pPr>
    </w:p>
    <w:p w14:paraId="0F2D1BA4">
      <w:pPr>
        <w:pStyle w:val="4"/>
        <w:bidi w:val="0"/>
        <w:rPr>
          <w:rStyle w:val="66"/>
          <w:rFonts w:hint="eastAsia" w:ascii="宋体" w:hAnsi="宋体" w:eastAsia="宋体" w:cs="宋体"/>
          <w:b/>
          <w:color w:val="000000"/>
          <w:sz w:val="24"/>
          <w:lang w:val="en-US" w:eastAsia="zh-CN"/>
        </w:rPr>
      </w:pPr>
      <w:r>
        <w:rPr>
          <w:rStyle w:val="66"/>
          <w:rFonts w:hint="eastAsia" w:ascii="宋体" w:hAnsi="宋体" w:eastAsia="宋体" w:cs="宋体"/>
          <w:b/>
          <w:color w:val="000000"/>
          <w:sz w:val="24"/>
          <w:lang w:val="en-US" w:eastAsia="zh-CN"/>
        </w:rPr>
        <w:t>包2：护理专业群在线虚拟仿真实训中心</w:t>
      </w:r>
    </w:p>
    <w:tbl>
      <w:tblPr>
        <w:tblStyle w:val="27"/>
        <w:tblpPr w:leftFromText="180" w:rightFromText="180" w:vertAnchor="text" w:horzAnchor="page" w:tblpXSpec="center" w:tblpY="356"/>
        <w:tblOverlap w:val="never"/>
        <w:tblW w:w="467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5"/>
        <w:gridCol w:w="1078"/>
        <w:gridCol w:w="5600"/>
        <w:gridCol w:w="582"/>
        <w:gridCol w:w="614"/>
      </w:tblGrid>
      <w:tr w14:paraId="17599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center"/>
          </w:tcPr>
          <w:p w14:paraId="6DE69F69">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rPr>
            </w:pPr>
            <w:r>
              <w:rPr>
                <w:rFonts w:hint="eastAsia" w:ascii="宋体" w:hAnsi="宋体" w:eastAsia="宋体" w:cs="宋体"/>
                <w:b/>
                <w:bCs/>
                <w:i w:val="0"/>
                <w:iCs w:val="0"/>
                <w:color w:val="000000" w:themeColor="text1"/>
                <w:kern w:val="0"/>
                <w:sz w:val="20"/>
                <w:szCs w:val="20"/>
                <w:u w:val="none"/>
                <w:lang w:val="en-US" w:eastAsia="zh-CN" w:bidi="ar"/>
              </w:rPr>
              <w:t>序号</w:t>
            </w:r>
          </w:p>
        </w:tc>
        <w:tc>
          <w:tcPr>
            <w:tcW w:w="644" w:type="pct"/>
            <w:tcBorders>
              <w:top w:val="single" w:color="000000" w:sz="4" w:space="0"/>
              <w:left w:val="single" w:color="000000" w:sz="4" w:space="0"/>
              <w:bottom w:val="single" w:color="000000" w:sz="4" w:space="0"/>
              <w:right w:val="single" w:color="000000" w:sz="4" w:space="0"/>
            </w:tcBorders>
            <w:noWrap w:val="0"/>
            <w:vAlign w:val="center"/>
          </w:tcPr>
          <w:p w14:paraId="23422C4B">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rPr>
            </w:pPr>
            <w:r>
              <w:rPr>
                <w:rFonts w:hint="eastAsia" w:ascii="宋体" w:hAnsi="宋体" w:eastAsia="宋体" w:cs="宋体"/>
                <w:b/>
                <w:bCs/>
                <w:i w:val="0"/>
                <w:iCs w:val="0"/>
                <w:color w:val="000000" w:themeColor="text1"/>
                <w:kern w:val="0"/>
                <w:sz w:val="20"/>
                <w:szCs w:val="20"/>
                <w:u w:val="none"/>
                <w:lang w:val="en-US" w:eastAsia="zh-CN" w:bidi="ar"/>
              </w:rPr>
              <w:t>产品名称</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1ECBD5B9">
            <w:pPr>
              <w:keepNext w:val="0"/>
              <w:keepLines w:val="0"/>
              <w:widowControl/>
              <w:suppressLineNumbers w:val="0"/>
              <w:jc w:val="center"/>
              <w:textAlignment w:val="center"/>
              <w:rPr>
                <w:rFonts w:hint="eastAsia" w:ascii="宋体" w:hAnsi="宋体" w:eastAsia="宋体" w:cs="宋体"/>
                <w:b/>
                <w:bCs/>
                <w:i w:val="0"/>
                <w:iCs w:val="0"/>
                <w:color w:val="000000" w:themeColor="text1"/>
                <w:kern w:val="2"/>
                <w:sz w:val="18"/>
                <w:szCs w:val="18"/>
                <w:u w:val="none"/>
                <w:lang w:val="en-US" w:eastAsia="zh-CN" w:bidi="ar-SA"/>
              </w:rPr>
            </w:pPr>
            <w:r>
              <w:rPr>
                <w:rFonts w:hint="eastAsia" w:ascii="宋体" w:hAnsi="宋体" w:eastAsia="宋体" w:cs="宋体"/>
                <w:b/>
                <w:bCs/>
                <w:i w:val="0"/>
                <w:iCs w:val="0"/>
                <w:color w:val="000000" w:themeColor="text1"/>
                <w:kern w:val="0"/>
                <w:sz w:val="18"/>
                <w:szCs w:val="18"/>
                <w:u w:val="none"/>
                <w:lang w:val="en-US" w:eastAsia="zh-CN" w:bidi="ar"/>
              </w:rPr>
              <w:t>参数</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1B281853">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rPr>
            </w:pPr>
            <w:r>
              <w:rPr>
                <w:rFonts w:hint="eastAsia" w:ascii="宋体" w:hAnsi="宋体" w:eastAsia="宋体" w:cs="宋体"/>
                <w:b/>
                <w:bCs/>
                <w:i w:val="0"/>
                <w:iCs w:val="0"/>
                <w:color w:val="000000" w:themeColor="text1"/>
                <w:kern w:val="0"/>
                <w:sz w:val="20"/>
                <w:szCs w:val="20"/>
                <w:u w:val="none"/>
                <w:lang w:val="en-US" w:eastAsia="zh-CN" w:bidi="ar"/>
              </w:rPr>
              <w:t>单位</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2AECFCCB">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rPr>
            </w:pPr>
            <w:r>
              <w:rPr>
                <w:rFonts w:hint="eastAsia" w:ascii="宋体" w:hAnsi="宋体" w:eastAsia="宋体" w:cs="宋体"/>
                <w:b/>
                <w:bCs/>
                <w:i w:val="0"/>
                <w:iCs w:val="0"/>
                <w:color w:val="000000" w:themeColor="text1"/>
                <w:kern w:val="0"/>
                <w:sz w:val="20"/>
                <w:szCs w:val="20"/>
                <w:u w:val="none"/>
                <w:lang w:val="en-US" w:eastAsia="zh-CN" w:bidi="ar"/>
              </w:rPr>
              <w:t>数量</w:t>
            </w:r>
          </w:p>
        </w:tc>
      </w:tr>
      <w:tr w14:paraId="39531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1A4DE293">
            <w:pPr>
              <w:keepNext w:val="0"/>
              <w:keepLines w:val="0"/>
              <w:widowControl/>
              <w:suppressLineNumbers w:val="0"/>
              <w:jc w:val="center"/>
              <w:textAlignment w:val="center"/>
              <w:rPr>
                <w:rFonts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5C8894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rPr>
            </w:pPr>
            <w:r>
              <w:rPr>
                <w:rStyle w:val="80"/>
                <w:color w:val="000000" w:themeColor="text1"/>
                <w:lang w:val="en-US" w:eastAsia="zh-CN" w:bidi="ar"/>
              </w:rPr>
              <w:t>基础护理虚拟现实仿真系统—入院评估护理思维训练系统</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51E52447">
            <w:pPr>
              <w:keepNext w:val="0"/>
              <w:keepLines w:val="0"/>
              <w:widowControl/>
              <w:suppressLineNumbers w:val="0"/>
              <w:jc w:val="left"/>
              <w:textAlignment w:val="center"/>
              <w:rPr>
                <w:rFonts w:hint="default" w:ascii="Calibri" w:hAnsi="Calibri" w:eastAsia="宋体" w:cs="Calibri"/>
                <w:i w:val="0"/>
                <w:iCs w:val="0"/>
                <w:color w:val="000000" w:themeColor="text1"/>
                <w:kern w:val="2"/>
                <w:sz w:val="18"/>
                <w:szCs w:val="18"/>
                <w:u w:val="none"/>
                <w:lang w:val="en-US" w:eastAsia="zh-CN" w:bidi="ar-SA"/>
              </w:rPr>
            </w:pPr>
            <w:r>
              <w:rPr>
                <w:rFonts w:hint="default" w:ascii="Calibri" w:hAnsi="Calibri" w:eastAsia="宋体" w:cs="Calibri"/>
                <w:i w:val="0"/>
                <w:iCs w:val="0"/>
                <w:color w:val="000000" w:themeColor="text1"/>
                <w:kern w:val="0"/>
                <w:sz w:val="18"/>
                <w:szCs w:val="18"/>
                <w:u w:val="none"/>
                <w:lang w:val="en-US" w:eastAsia="zh-CN" w:bidi="ar"/>
              </w:rPr>
              <w:t>1.1</w:t>
            </w:r>
            <w:r>
              <w:rPr>
                <w:rFonts w:hint="eastAsia" w:ascii="宋体" w:hAnsi="宋体" w:eastAsia="宋体" w:cs="宋体"/>
                <w:i w:val="0"/>
                <w:iCs w:val="0"/>
                <w:color w:val="000000" w:themeColor="text1"/>
                <w:kern w:val="0"/>
                <w:sz w:val="18"/>
                <w:szCs w:val="18"/>
                <w:u w:val="none"/>
                <w:lang w:val="en-US" w:eastAsia="zh-CN" w:bidi="ar"/>
              </w:rPr>
              <w:t>、软件融入对入院评估检查理论知识的验证。问诊模式、身体评估、考核模式三种模块给学生观察或操作，可以让学生课外自主学习、拓展学习。</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1.2</w:t>
            </w:r>
            <w:r>
              <w:rPr>
                <w:rFonts w:hint="eastAsia" w:ascii="宋体" w:hAnsi="宋体" w:eastAsia="宋体" w:cs="宋体"/>
                <w:i w:val="0"/>
                <w:iCs w:val="0"/>
                <w:color w:val="000000" w:themeColor="text1"/>
                <w:kern w:val="0"/>
                <w:sz w:val="18"/>
                <w:szCs w:val="18"/>
                <w:u w:val="none"/>
                <w:lang w:val="en-US" w:eastAsia="zh-CN" w:bidi="ar"/>
              </w:rPr>
              <w:t>、操作自由性：在操作过程中，可自由切换到任意步骤。</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1.3</w:t>
            </w:r>
            <w:r>
              <w:rPr>
                <w:rFonts w:hint="eastAsia" w:ascii="宋体" w:hAnsi="宋体" w:eastAsia="宋体" w:cs="宋体"/>
                <w:i w:val="0"/>
                <w:iCs w:val="0"/>
                <w:color w:val="000000" w:themeColor="text1"/>
                <w:kern w:val="0"/>
                <w:sz w:val="18"/>
                <w:szCs w:val="18"/>
                <w:u w:val="none"/>
                <w:lang w:val="en-US" w:eastAsia="zh-CN" w:bidi="ar"/>
              </w:rPr>
              <w:t>、可交互式操作，移动听诊器至对应位置可进行听诊。在测</w:t>
            </w:r>
            <w:r>
              <w:rPr>
                <w:rFonts w:hint="default" w:ascii="Calibri" w:hAnsi="Calibri" w:eastAsia="宋体" w:cs="Calibri"/>
                <w:i w:val="0"/>
                <w:iCs w:val="0"/>
                <w:color w:val="000000" w:themeColor="text1"/>
                <w:kern w:val="0"/>
                <w:sz w:val="18"/>
                <w:szCs w:val="18"/>
                <w:u w:val="none"/>
                <w:lang w:val="en-US" w:eastAsia="zh-CN" w:bidi="ar"/>
              </w:rPr>
              <w:t>TP R BP</w:t>
            </w:r>
            <w:r>
              <w:rPr>
                <w:rFonts w:hint="eastAsia" w:ascii="宋体" w:hAnsi="宋体" w:eastAsia="宋体" w:cs="宋体"/>
                <w:i w:val="0"/>
                <w:iCs w:val="0"/>
                <w:color w:val="000000" w:themeColor="text1"/>
                <w:kern w:val="0"/>
                <w:sz w:val="18"/>
                <w:szCs w:val="18"/>
                <w:u w:val="none"/>
                <w:lang w:val="en-US" w:eastAsia="zh-CN" w:bidi="ar"/>
              </w:rPr>
              <w:t>过程中听诊心率、支气管呼吸音、支气管肺泡呼吸音、肺泡呼吸音；在肺脏检查过程中听诊</w:t>
            </w:r>
            <w:r>
              <w:rPr>
                <w:rFonts w:hint="default" w:ascii="Calibri" w:hAnsi="Calibri" w:eastAsia="宋体" w:cs="Calibri"/>
                <w:i w:val="0"/>
                <w:iCs w:val="0"/>
                <w:color w:val="000000" w:themeColor="text1"/>
                <w:kern w:val="0"/>
                <w:sz w:val="18"/>
                <w:szCs w:val="18"/>
                <w:u w:val="none"/>
                <w:lang w:val="en-US" w:eastAsia="zh-CN" w:bidi="ar"/>
              </w:rPr>
              <w:t>breath1</w:t>
            </w:r>
            <w:r>
              <w:rPr>
                <w:rFonts w:hint="eastAsia" w:ascii="宋体" w:hAnsi="宋体" w:eastAsia="宋体" w:cs="宋体"/>
                <w:i w:val="0"/>
                <w:iCs w:val="0"/>
                <w:color w:val="000000" w:themeColor="text1"/>
                <w:kern w:val="0"/>
                <w:sz w:val="18"/>
                <w:szCs w:val="18"/>
                <w:u w:val="none"/>
                <w:lang w:val="en-US" w:eastAsia="zh-CN" w:bidi="ar"/>
              </w:rPr>
              <w:t>支气管呼吸音、</w:t>
            </w:r>
            <w:r>
              <w:rPr>
                <w:rFonts w:hint="default" w:ascii="Calibri" w:hAnsi="Calibri" w:eastAsia="宋体" w:cs="Calibri"/>
                <w:i w:val="0"/>
                <w:iCs w:val="0"/>
                <w:color w:val="000000" w:themeColor="text1"/>
                <w:kern w:val="0"/>
                <w:sz w:val="18"/>
                <w:szCs w:val="18"/>
                <w:u w:val="none"/>
                <w:lang w:val="en-US" w:eastAsia="zh-CN" w:bidi="ar"/>
              </w:rPr>
              <w:t>breath3</w:t>
            </w:r>
            <w:r>
              <w:rPr>
                <w:rFonts w:hint="eastAsia" w:ascii="宋体" w:hAnsi="宋体" w:eastAsia="宋体" w:cs="宋体"/>
                <w:i w:val="0"/>
                <w:iCs w:val="0"/>
                <w:color w:val="000000" w:themeColor="text1"/>
                <w:kern w:val="0"/>
                <w:sz w:val="18"/>
                <w:szCs w:val="18"/>
                <w:u w:val="none"/>
                <w:lang w:val="en-US" w:eastAsia="zh-CN" w:bidi="ar"/>
              </w:rPr>
              <w:t>支气管肺泡呼吸音、肺泡呼吸音；在心脏检查过程中，多方位听诊心尖搏动情况。</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1.4</w:t>
            </w:r>
            <w:r>
              <w:rPr>
                <w:rFonts w:hint="eastAsia" w:ascii="宋体" w:hAnsi="宋体" w:eastAsia="宋体" w:cs="宋体"/>
                <w:i w:val="0"/>
                <w:iCs w:val="0"/>
                <w:color w:val="000000" w:themeColor="text1"/>
                <w:kern w:val="0"/>
                <w:sz w:val="18"/>
                <w:szCs w:val="18"/>
                <w:u w:val="none"/>
                <w:lang w:val="en-US" w:eastAsia="zh-CN" w:bidi="ar"/>
              </w:rPr>
              <w:t>、将入院评估的多种检查方式充分直观的利用三维虚拟仿真出来，而不是单独作为孤立的系统进行模拟。</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1.5</w:t>
            </w:r>
            <w:r>
              <w:rPr>
                <w:rFonts w:hint="eastAsia" w:ascii="宋体" w:hAnsi="宋体" w:eastAsia="宋体" w:cs="宋体"/>
                <w:i w:val="0"/>
                <w:iCs w:val="0"/>
                <w:color w:val="000000" w:themeColor="text1"/>
                <w:kern w:val="0"/>
                <w:sz w:val="18"/>
                <w:szCs w:val="18"/>
                <w:u w:val="none"/>
                <w:lang w:val="en-US" w:eastAsia="zh-CN" w:bidi="ar"/>
              </w:rPr>
              <w:t>、回答题目：在步骤中会出现相对应的题目，在回答题目后方可进行下一步操作，回答错误会进行提示。</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1.6</w:t>
            </w:r>
            <w:r>
              <w:rPr>
                <w:rFonts w:hint="eastAsia" w:ascii="宋体" w:hAnsi="宋体" w:eastAsia="宋体" w:cs="宋体"/>
                <w:i w:val="0"/>
                <w:iCs w:val="0"/>
                <w:color w:val="000000" w:themeColor="text1"/>
                <w:kern w:val="0"/>
                <w:sz w:val="18"/>
                <w:szCs w:val="18"/>
                <w:u w:val="none"/>
                <w:lang w:val="en-US" w:eastAsia="zh-CN" w:bidi="ar"/>
              </w:rPr>
              <w:t>、通过三维模型可以清晰、全面的展示包含患者人体模型和相关医疗用物，医疗器械可以通过交互方式作用于对应的人体位置，真实的还原现实操作。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1.7</w:t>
            </w:r>
            <w:r>
              <w:rPr>
                <w:rFonts w:hint="eastAsia" w:ascii="宋体" w:hAnsi="宋体" w:eastAsia="宋体" w:cs="宋体"/>
                <w:i w:val="0"/>
                <w:iCs w:val="0"/>
                <w:color w:val="000000" w:themeColor="text1"/>
                <w:kern w:val="0"/>
                <w:sz w:val="18"/>
                <w:szCs w:val="18"/>
                <w:u w:val="none"/>
                <w:lang w:val="en-US" w:eastAsia="zh-CN" w:bidi="ar"/>
              </w:rPr>
              <w:t>、在问诊模式下，模拟医生与患者进行语音交流，完整、全面展示基本问诊过程，如病史采集、自理能力与生活习惯评估以及心理与社会评估。</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1.8</w:t>
            </w:r>
            <w:r>
              <w:rPr>
                <w:rFonts w:hint="eastAsia" w:ascii="宋体" w:hAnsi="宋体" w:eastAsia="宋体" w:cs="宋体"/>
                <w:i w:val="0"/>
                <w:iCs w:val="0"/>
                <w:color w:val="000000" w:themeColor="text1"/>
                <w:kern w:val="0"/>
                <w:sz w:val="18"/>
                <w:szCs w:val="18"/>
                <w:u w:val="none"/>
                <w:lang w:val="en-US" w:eastAsia="zh-CN" w:bidi="ar"/>
              </w:rPr>
              <w:t>、在护理体验模式下，能够在测</w:t>
            </w:r>
            <w:r>
              <w:rPr>
                <w:rFonts w:hint="default" w:ascii="Calibri" w:hAnsi="Calibri" w:eastAsia="宋体" w:cs="Calibri"/>
                <w:i w:val="0"/>
                <w:iCs w:val="0"/>
                <w:color w:val="000000" w:themeColor="text1"/>
                <w:kern w:val="0"/>
                <w:sz w:val="18"/>
                <w:szCs w:val="18"/>
                <w:u w:val="none"/>
                <w:lang w:val="en-US" w:eastAsia="zh-CN" w:bidi="ar"/>
              </w:rPr>
              <w:t>TP R BP</w:t>
            </w:r>
            <w:r>
              <w:rPr>
                <w:rFonts w:hint="eastAsia" w:ascii="宋体" w:hAnsi="宋体" w:eastAsia="宋体" w:cs="宋体"/>
                <w:i w:val="0"/>
                <w:iCs w:val="0"/>
                <w:color w:val="000000" w:themeColor="text1"/>
                <w:kern w:val="0"/>
                <w:sz w:val="18"/>
                <w:szCs w:val="18"/>
                <w:u w:val="none"/>
                <w:lang w:val="en-US" w:eastAsia="zh-CN" w:bidi="ar"/>
              </w:rPr>
              <w:t>、意识状态、头面颈检查、胸廓乳房检查、肺脏检查、心脏检查、肺部检查、四肢检查肌力判断、神经系统检查多种检查下任意切换，详细展现检查的视诊、触诊、叩诊或听诊过程并伴有交互操作，加深用户对入院评估检查的认知和熟练度。</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w:t>
            </w:r>
            <w:r>
              <w:rPr>
                <w:rFonts w:hint="eastAsia" w:ascii="宋体" w:hAnsi="宋体" w:eastAsia="宋体" w:cs="宋体"/>
                <w:i w:val="0"/>
                <w:iCs w:val="0"/>
                <w:color w:val="000000" w:themeColor="text1"/>
                <w:kern w:val="0"/>
                <w:sz w:val="18"/>
                <w:szCs w:val="18"/>
                <w:u w:val="none"/>
                <w:lang w:val="en-US" w:eastAsia="zh-CN" w:bidi="ar"/>
              </w:rPr>
              <w:t>、系统参数：</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w:t>
            </w:r>
            <w:r>
              <w:rPr>
                <w:rFonts w:hint="eastAsia" w:ascii="宋体" w:hAnsi="宋体" w:eastAsia="宋体" w:cs="宋体"/>
                <w:i w:val="0"/>
                <w:iCs w:val="0"/>
                <w:color w:val="000000" w:themeColor="text1"/>
                <w:kern w:val="0"/>
                <w:sz w:val="18"/>
                <w:szCs w:val="18"/>
                <w:u w:val="none"/>
                <w:lang w:val="en-US" w:eastAsia="zh-CN" w:bidi="ar"/>
              </w:rPr>
              <w:t>、问诊模式：</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宋体" w:hAnsi="宋体" w:eastAsia="宋体" w:cs="宋体"/>
                <w:i w:val="0"/>
                <w:iCs w:val="0"/>
                <w:color w:val="000000" w:themeColor="text1"/>
                <w:kern w:val="0"/>
                <w:sz w:val="18"/>
                <w:szCs w:val="18"/>
                <w:u w:val="none"/>
                <w:lang w:val="en-US" w:eastAsia="zh-CN" w:bidi="ar"/>
              </w:rPr>
              <w:t>）病史采集：一般资料、现病史、既往史、个人史、家族史。</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①</w:t>
            </w:r>
            <w:r>
              <w:rPr>
                <w:rFonts w:hint="eastAsia" w:ascii="宋体" w:hAnsi="宋体" w:eastAsia="宋体" w:cs="宋体"/>
                <w:i w:val="0"/>
                <w:iCs w:val="0"/>
                <w:color w:val="000000" w:themeColor="text1"/>
                <w:kern w:val="0"/>
                <w:sz w:val="18"/>
                <w:szCs w:val="18"/>
                <w:u w:val="none"/>
                <w:lang w:val="en-US" w:eastAsia="zh-CN" w:bidi="ar"/>
              </w:rPr>
              <w:t>一般资料：年龄、民族、婚否、文化程度、职业、家庭住址、联系方式。</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②</w:t>
            </w:r>
            <w:r>
              <w:rPr>
                <w:rFonts w:hint="eastAsia" w:ascii="宋体" w:hAnsi="宋体" w:eastAsia="宋体" w:cs="宋体"/>
                <w:i w:val="0"/>
                <w:iCs w:val="0"/>
                <w:color w:val="000000" w:themeColor="text1"/>
                <w:kern w:val="0"/>
                <w:sz w:val="18"/>
                <w:szCs w:val="18"/>
                <w:u w:val="none"/>
                <w:lang w:val="en-US" w:eastAsia="zh-CN" w:bidi="ar"/>
              </w:rPr>
              <w:t>现病史：不适位置、开始时间、生病原因、过往是否发生、是否看病吃药、哪些药，病情是否变化。</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③</w:t>
            </w:r>
            <w:r>
              <w:rPr>
                <w:rFonts w:hint="eastAsia" w:ascii="宋体" w:hAnsi="宋体" w:eastAsia="宋体" w:cs="宋体"/>
                <w:i w:val="0"/>
                <w:iCs w:val="0"/>
                <w:color w:val="000000" w:themeColor="text1"/>
                <w:kern w:val="0"/>
                <w:sz w:val="18"/>
                <w:szCs w:val="18"/>
                <w:u w:val="none"/>
                <w:lang w:val="en-US" w:eastAsia="zh-CN" w:bidi="ar"/>
              </w:rPr>
              <w:t>既往史：过去身体如何，是否得过病、是否受伤做过手术。</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④</w:t>
            </w:r>
            <w:r>
              <w:rPr>
                <w:rFonts w:hint="eastAsia" w:ascii="宋体" w:hAnsi="宋体" w:eastAsia="宋体" w:cs="宋体"/>
                <w:i w:val="0"/>
                <w:iCs w:val="0"/>
                <w:color w:val="000000" w:themeColor="text1"/>
                <w:kern w:val="0"/>
                <w:sz w:val="18"/>
                <w:szCs w:val="18"/>
                <w:u w:val="none"/>
                <w:lang w:val="en-US" w:eastAsia="zh-CN" w:bidi="ar"/>
              </w:rPr>
              <w:t>家族史：亲属身体情况。</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⑤</w:t>
            </w:r>
            <w:r>
              <w:rPr>
                <w:rFonts w:hint="eastAsia" w:ascii="宋体" w:hAnsi="宋体" w:eastAsia="宋体" w:cs="宋体"/>
                <w:i w:val="0"/>
                <w:iCs w:val="0"/>
                <w:color w:val="000000" w:themeColor="text1"/>
                <w:kern w:val="0"/>
                <w:sz w:val="18"/>
                <w:szCs w:val="18"/>
                <w:u w:val="none"/>
                <w:lang w:val="en-US" w:eastAsia="zh-CN" w:bidi="ar"/>
              </w:rPr>
              <w:t>个人史：是否药物或食物过敏。</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2</w:t>
            </w:r>
            <w:r>
              <w:rPr>
                <w:rFonts w:hint="eastAsia" w:ascii="宋体" w:hAnsi="宋体" w:eastAsia="宋体" w:cs="宋体"/>
                <w:i w:val="0"/>
                <w:iCs w:val="0"/>
                <w:color w:val="000000" w:themeColor="text1"/>
                <w:kern w:val="0"/>
                <w:sz w:val="18"/>
                <w:szCs w:val="18"/>
                <w:u w:val="none"/>
                <w:lang w:val="en-US" w:eastAsia="zh-CN" w:bidi="ar"/>
              </w:rPr>
              <w:t>）自理能力与生活习惯评估：饮食、睡眠、大小便、自理能力与预防保护措施、烟酒嗜好。</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①</w:t>
            </w:r>
            <w:r>
              <w:rPr>
                <w:rFonts w:hint="eastAsia" w:ascii="宋体" w:hAnsi="宋体" w:eastAsia="宋体" w:cs="宋体"/>
                <w:i w:val="0"/>
                <w:iCs w:val="0"/>
                <w:color w:val="000000" w:themeColor="text1"/>
                <w:kern w:val="0"/>
                <w:sz w:val="18"/>
                <w:szCs w:val="18"/>
                <w:u w:val="none"/>
                <w:lang w:val="en-US" w:eastAsia="zh-CN" w:bidi="ar"/>
              </w:rPr>
              <w:t>饮食：喜欢的食物、生病后进食情况</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②</w:t>
            </w:r>
            <w:r>
              <w:rPr>
                <w:rFonts w:hint="eastAsia" w:ascii="宋体" w:hAnsi="宋体" w:eastAsia="宋体" w:cs="宋体"/>
                <w:i w:val="0"/>
                <w:iCs w:val="0"/>
                <w:color w:val="000000" w:themeColor="text1"/>
                <w:kern w:val="0"/>
                <w:sz w:val="18"/>
                <w:szCs w:val="18"/>
                <w:u w:val="none"/>
                <w:lang w:val="en-US" w:eastAsia="zh-CN" w:bidi="ar"/>
              </w:rPr>
              <w:t>睡眠：睡眠情况、过往睡眠情况（若不好询问：是否服药，什么药，效果如何）。</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③</w:t>
            </w:r>
            <w:r>
              <w:rPr>
                <w:rFonts w:hint="eastAsia" w:ascii="宋体" w:hAnsi="宋体" w:eastAsia="宋体" w:cs="宋体"/>
                <w:i w:val="0"/>
                <w:iCs w:val="0"/>
                <w:color w:val="000000" w:themeColor="text1"/>
                <w:kern w:val="0"/>
                <w:sz w:val="18"/>
                <w:szCs w:val="18"/>
                <w:u w:val="none"/>
                <w:lang w:val="en-US" w:eastAsia="zh-CN" w:bidi="ar"/>
              </w:rPr>
              <w:t>大小便：是否正常、排便是否困难（若困难询问：是否服药，什么药，效果如何）。</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④</w:t>
            </w:r>
            <w:r>
              <w:rPr>
                <w:rFonts w:hint="eastAsia" w:ascii="宋体" w:hAnsi="宋体" w:eastAsia="宋体" w:cs="宋体"/>
                <w:i w:val="0"/>
                <w:iCs w:val="0"/>
                <w:color w:val="000000" w:themeColor="text1"/>
                <w:kern w:val="0"/>
                <w:sz w:val="18"/>
                <w:szCs w:val="18"/>
                <w:u w:val="none"/>
                <w:lang w:val="en-US" w:eastAsia="zh-CN" w:bidi="ar"/>
              </w:rPr>
              <w:t>自理能力与预防保护措施：生病前生活是否需要帮助、是否注意身体锻炼。</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⑤</w:t>
            </w:r>
            <w:r>
              <w:rPr>
                <w:rFonts w:hint="eastAsia" w:ascii="宋体" w:hAnsi="宋体" w:eastAsia="宋体" w:cs="宋体"/>
                <w:i w:val="0"/>
                <w:iCs w:val="0"/>
                <w:color w:val="000000" w:themeColor="text1"/>
                <w:kern w:val="0"/>
                <w:sz w:val="18"/>
                <w:szCs w:val="18"/>
                <w:u w:val="none"/>
                <w:lang w:val="en-US" w:eastAsia="zh-CN" w:bidi="ar"/>
              </w:rPr>
              <w:t>烟酒嗜好：是否抽烟（有的话询问：</w:t>
            </w:r>
            <w:r>
              <w:rPr>
                <w:rFonts w:hint="default" w:ascii="Calibri" w:hAnsi="Calibri" w:eastAsia="宋体" w:cs="Calibri"/>
                <w:i w:val="0"/>
                <w:iCs w:val="0"/>
                <w:color w:val="000000" w:themeColor="text1"/>
                <w:kern w:val="0"/>
                <w:sz w:val="18"/>
                <w:szCs w:val="18"/>
                <w:u w:val="none"/>
                <w:lang w:val="en-US" w:eastAsia="zh-CN" w:bidi="ar"/>
              </w:rPr>
              <w:t xml:space="preserve"> </w:t>
            </w:r>
            <w:r>
              <w:rPr>
                <w:rFonts w:hint="eastAsia" w:ascii="宋体" w:hAnsi="宋体" w:eastAsia="宋体" w:cs="宋体"/>
                <w:i w:val="0"/>
                <w:iCs w:val="0"/>
                <w:color w:val="000000" w:themeColor="text1"/>
                <w:kern w:val="0"/>
                <w:sz w:val="18"/>
                <w:szCs w:val="18"/>
                <w:u w:val="none"/>
                <w:lang w:val="en-US" w:eastAsia="zh-CN" w:bidi="ar"/>
              </w:rPr>
              <w:t>每天抽多少）、是否喝酒（有的话询问：每天喝多少）。</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3</w:t>
            </w:r>
            <w:r>
              <w:rPr>
                <w:rFonts w:hint="eastAsia" w:ascii="宋体" w:hAnsi="宋体" w:eastAsia="宋体" w:cs="宋体"/>
                <w:i w:val="0"/>
                <w:iCs w:val="0"/>
                <w:color w:val="000000" w:themeColor="text1"/>
                <w:kern w:val="0"/>
                <w:sz w:val="18"/>
                <w:szCs w:val="18"/>
                <w:u w:val="none"/>
                <w:lang w:val="en-US" w:eastAsia="zh-CN" w:bidi="ar"/>
              </w:rPr>
              <w:t>）心理与社会评估：性格及交往能力、经济情况、对疾病的认识、家庭情况、心理状态、精神状态。</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①</w:t>
            </w:r>
            <w:r>
              <w:rPr>
                <w:rFonts w:hint="eastAsia" w:ascii="宋体" w:hAnsi="宋体" w:eastAsia="宋体" w:cs="宋体"/>
                <w:i w:val="0"/>
                <w:iCs w:val="0"/>
                <w:color w:val="000000" w:themeColor="text1"/>
                <w:kern w:val="0"/>
                <w:sz w:val="18"/>
                <w:szCs w:val="18"/>
                <w:u w:val="none"/>
                <w:lang w:val="en-US" w:eastAsia="zh-CN" w:bidi="ar"/>
              </w:rPr>
              <w:t>性格及交往能力：业余爱好、是否和朋友聊天串门。</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②</w:t>
            </w:r>
            <w:r>
              <w:rPr>
                <w:rFonts w:hint="eastAsia" w:ascii="宋体" w:hAnsi="宋体" w:eastAsia="宋体" w:cs="宋体"/>
                <w:i w:val="0"/>
                <w:iCs w:val="0"/>
                <w:color w:val="000000" w:themeColor="text1"/>
                <w:kern w:val="0"/>
                <w:sz w:val="18"/>
                <w:szCs w:val="18"/>
                <w:u w:val="none"/>
                <w:lang w:val="en-US" w:eastAsia="zh-CN" w:bidi="ar"/>
              </w:rPr>
              <w:t>经济情况：是否参加医保、医药费承担者、收入来源、亲戚朋友关系。</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③</w:t>
            </w:r>
            <w:r>
              <w:rPr>
                <w:rFonts w:hint="eastAsia" w:ascii="宋体" w:hAnsi="宋体" w:eastAsia="宋体" w:cs="宋体"/>
                <w:i w:val="0"/>
                <w:iCs w:val="0"/>
                <w:color w:val="000000" w:themeColor="text1"/>
                <w:kern w:val="0"/>
                <w:sz w:val="18"/>
                <w:szCs w:val="18"/>
                <w:u w:val="none"/>
                <w:lang w:val="en-US" w:eastAsia="zh-CN" w:bidi="ar"/>
              </w:rPr>
              <w:t>对疾病的认识：得了这个病，您知道需要注意什么吗。</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④</w:t>
            </w:r>
            <w:r>
              <w:rPr>
                <w:rFonts w:hint="eastAsia" w:ascii="宋体" w:hAnsi="宋体" w:eastAsia="宋体" w:cs="宋体"/>
                <w:i w:val="0"/>
                <w:iCs w:val="0"/>
                <w:color w:val="000000" w:themeColor="text1"/>
                <w:kern w:val="0"/>
                <w:sz w:val="18"/>
                <w:szCs w:val="18"/>
                <w:u w:val="none"/>
                <w:lang w:val="en-US" w:eastAsia="zh-CN" w:bidi="ar"/>
              </w:rPr>
              <w:t>家庭情况：生病谁来照顾。</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⑤</w:t>
            </w:r>
            <w:r>
              <w:rPr>
                <w:rFonts w:hint="eastAsia" w:ascii="宋体" w:hAnsi="宋体" w:eastAsia="宋体" w:cs="宋体"/>
                <w:i w:val="0"/>
                <w:iCs w:val="0"/>
                <w:color w:val="000000" w:themeColor="text1"/>
                <w:kern w:val="0"/>
                <w:sz w:val="18"/>
                <w:szCs w:val="18"/>
                <w:u w:val="none"/>
                <w:lang w:val="en-US" w:eastAsia="zh-CN" w:bidi="ar"/>
              </w:rPr>
              <w:t>心理状态：最担心什么。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⑥</w:t>
            </w:r>
            <w:r>
              <w:rPr>
                <w:rFonts w:hint="eastAsia" w:ascii="宋体" w:hAnsi="宋体" w:eastAsia="宋体" w:cs="宋体"/>
                <w:i w:val="0"/>
                <w:iCs w:val="0"/>
                <w:color w:val="000000" w:themeColor="text1"/>
                <w:kern w:val="0"/>
                <w:sz w:val="18"/>
                <w:szCs w:val="18"/>
                <w:u w:val="none"/>
                <w:lang w:val="en-US" w:eastAsia="zh-CN" w:bidi="ar"/>
              </w:rPr>
              <w:t>精神状态：对环境和医护人员的服务态度是否满意。</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2.2</w:t>
            </w:r>
            <w:r>
              <w:rPr>
                <w:rFonts w:hint="eastAsia" w:ascii="宋体" w:hAnsi="宋体" w:eastAsia="宋体" w:cs="宋体"/>
                <w:i w:val="0"/>
                <w:iCs w:val="0"/>
                <w:color w:val="000000" w:themeColor="text1"/>
                <w:kern w:val="0"/>
                <w:sz w:val="18"/>
                <w:szCs w:val="18"/>
                <w:u w:val="none"/>
                <w:lang w:val="en-US" w:eastAsia="zh-CN" w:bidi="ar"/>
              </w:rPr>
              <w:t>、身体评估：测</w:t>
            </w:r>
            <w:r>
              <w:rPr>
                <w:rFonts w:hint="default" w:ascii="Calibri" w:hAnsi="Calibri" w:eastAsia="宋体" w:cs="Calibri"/>
                <w:i w:val="0"/>
                <w:iCs w:val="0"/>
                <w:color w:val="000000" w:themeColor="text1"/>
                <w:kern w:val="0"/>
                <w:sz w:val="18"/>
                <w:szCs w:val="18"/>
                <w:u w:val="none"/>
                <w:lang w:val="en-US" w:eastAsia="zh-CN" w:bidi="ar"/>
              </w:rPr>
              <w:t>TP R BP</w:t>
            </w:r>
            <w:r>
              <w:rPr>
                <w:rFonts w:hint="eastAsia" w:ascii="宋体" w:hAnsi="宋体" w:eastAsia="宋体" w:cs="宋体"/>
                <w:i w:val="0"/>
                <w:iCs w:val="0"/>
                <w:color w:val="000000" w:themeColor="text1"/>
                <w:kern w:val="0"/>
                <w:sz w:val="18"/>
                <w:szCs w:val="18"/>
                <w:u w:val="none"/>
                <w:lang w:val="en-US" w:eastAsia="zh-CN" w:bidi="ar"/>
              </w:rPr>
              <w:t>、意识状态、头面颈检查、胸廓乳房检查、肺脏检查、心脏检查、肺部检查、四肢检查肌力判断、神经系统检查。</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①</w:t>
            </w:r>
            <w:r>
              <w:rPr>
                <w:rFonts w:hint="eastAsia" w:ascii="宋体" w:hAnsi="宋体" w:eastAsia="宋体" w:cs="宋体"/>
                <w:i w:val="0"/>
                <w:iCs w:val="0"/>
                <w:color w:val="000000" w:themeColor="text1"/>
                <w:kern w:val="0"/>
                <w:sz w:val="18"/>
                <w:szCs w:val="18"/>
                <w:u w:val="none"/>
                <w:lang w:val="en-US" w:eastAsia="zh-CN" w:bidi="ar"/>
              </w:rPr>
              <w:t>测</w:t>
            </w:r>
            <w:r>
              <w:rPr>
                <w:rFonts w:hint="default" w:ascii="Calibri" w:hAnsi="Calibri" w:eastAsia="宋体" w:cs="Calibri"/>
                <w:i w:val="0"/>
                <w:iCs w:val="0"/>
                <w:color w:val="000000" w:themeColor="text1"/>
                <w:kern w:val="0"/>
                <w:sz w:val="18"/>
                <w:szCs w:val="18"/>
                <w:u w:val="none"/>
                <w:lang w:val="en-US" w:eastAsia="zh-CN" w:bidi="ar"/>
              </w:rPr>
              <w:t>TP R BP:</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听诊器：拖动听诊器至人体模型后展现心肺听诊音（心率、支气管呼吸音、支气管肺泡呼吸音、肺泡呼吸音），还能够与正常呼吸音比较。</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体温计：包括患者体温、正常体温。</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血压计：包括血压、脉搏、正常脉搏范围。</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②</w:t>
            </w:r>
            <w:r>
              <w:rPr>
                <w:rFonts w:hint="eastAsia" w:ascii="宋体" w:hAnsi="宋体" w:eastAsia="宋体" w:cs="宋体"/>
                <w:i w:val="0"/>
                <w:iCs w:val="0"/>
                <w:color w:val="000000" w:themeColor="text1"/>
                <w:kern w:val="0"/>
                <w:sz w:val="18"/>
                <w:szCs w:val="18"/>
                <w:u w:val="none"/>
                <w:lang w:val="en-US" w:eastAsia="zh-CN" w:bidi="ar"/>
              </w:rPr>
              <w:t>意识状态：观察患者发育状况、营养状况、神志状况、精神状况并选择相应的选项。</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③</w:t>
            </w:r>
            <w:r>
              <w:rPr>
                <w:rFonts w:hint="eastAsia" w:ascii="宋体" w:hAnsi="宋体" w:eastAsia="宋体" w:cs="宋体"/>
                <w:i w:val="0"/>
                <w:iCs w:val="0"/>
                <w:color w:val="000000" w:themeColor="text1"/>
                <w:kern w:val="0"/>
                <w:sz w:val="18"/>
                <w:szCs w:val="18"/>
                <w:u w:val="none"/>
                <w:lang w:val="en-US" w:eastAsia="zh-CN" w:bidi="ar"/>
              </w:rPr>
              <w:t>头面颈检查：毛发观察、五官观察、颈部淋巴结观察。</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毛发观察：观察毛发色泽、多少、分布。</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五官观察：眼睛、鼻子、耳朵、面部、口唇，可用手电筒检查五官，眼部检查有放大窗口。</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颈部淋巴结观察：颈部淋巴结有无肿大、（点击查看淋巴结按钮，可查看到颈部周围的淋巴结具体位置）。</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④</w:t>
            </w:r>
            <w:r>
              <w:rPr>
                <w:rFonts w:hint="eastAsia" w:ascii="宋体" w:hAnsi="宋体" w:eastAsia="宋体" w:cs="宋体"/>
                <w:i w:val="0"/>
                <w:iCs w:val="0"/>
                <w:color w:val="000000" w:themeColor="text1"/>
                <w:kern w:val="0"/>
                <w:sz w:val="18"/>
                <w:szCs w:val="18"/>
                <w:u w:val="none"/>
                <w:lang w:val="en-US" w:eastAsia="zh-CN" w:bidi="ar"/>
              </w:rPr>
              <w:t>胸廓乳房检查：以题目形式选择乳房触诊四象限的顺序，错误后有提示。</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视诊：观察皮肤颜色、胸廓有无畸形，乳房视诊（乳头、乳房、皮肤）。</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触诊：四个象限顺序外伤</w:t>
            </w:r>
            <w:r>
              <w:rPr>
                <w:rFonts w:hint="default" w:ascii="Calibri" w:hAnsi="Calibri" w:eastAsia="宋体" w:cs="Calibri"/>
                <w:i w:val="0"/>
                <w:iCs w:val="0"/>
                <w:color w:val="000000" w:themeColor="text1"/>
                <w:kern w:val="0"/>
                <w:sz w:val="18"/>
                <w:szCs w:val="18"/>
                <w:u w:val="none"/>
                <w:lang w:val="en-US" w:eastAsia="zh-CN" w:bidi="ar"/>
              </w:rPr>
              <w:t>-</w:t>
            </w:r>
            <w:r>
              <w:rPr>
                <w:rFonts w:hint="eastAsia" w:ascii="宋体" w:hAnsi="宋体" w:eastAsia="宋体" w:cs="宋体"/>
                <w:i w:val="0"/>
                <w:iCs w:val="0"/>
                <w:color w:val="000000" w:themeColor="text1"/>
                <w:kern w:val="0"/>
                <w:sz w:val="18"/>
                <w:szCs w:val="18"/>
                <w:u w:val="none"/>
                <w:lang w:val="en-US" w:eastAsia="zh-CN" w:bidi="ar"/>
              </w:rPr>
              <w:t>外下</w:t>
            </w:r>
            <w:r>
              <w:rPr>
                <w:rFonts w:hint="default" w:ascii="Calibri" w:hAnsi="Calibri" w:eastAsia="宋体" w:cs="Calibri"/>
                <w:i w:val="0"/>
                <w:iCs w:val="0"/>
                <w:color w:val="000000" w:themeColor="text1"/>
                <w:kern w:val="0"/>
                <w:sz w:val="18"/>
                <w:szCs w:val="18"/>
                <w:u w:val="none"/>
                <w:lang w:val="en-US" w:eastAsia="zh-CN" w:bidi="ar"/>
              </w:rPr>
              <w:t>-</w:t>
            </w:r>
            <w:r>
              <w:rPr>
                <w:rFonts w:hint="eastAsia" w:ascii="宋体" w:hAnsi="宋体" w:eastAsia="宋体" w:cs="宋体"/>
                <w:i w:val="0"/>
                <w:iCs w:val="0"/>
                <w:color w:val="000000" w:themeColor="text1"/>
                <w:kern w:val="0"/>
                <w:sz w:val="18"/>
                <w:szCs w:val="18"/>
                <w:u w:val="none"/>
                <w:lang w:val="en-US" w:eastAsia="zh-CN" w:bidi="ar"/>
              </w:rPr>
              <w:t>内上</w:t>
            </w:r>
            <w:r>
              <w:rPr>
                <w:rFonts w:hint="default" w:ascii="Calibri" w:hAnsi="Calibri" w:eastAsia="宋体" w:cs="Calibri"/>
                <w:i w:val="0"/>
                <w:iCs w:val="0"/>
                <w:color w:val="000000" w:themeColor="text1"/>
                <w:kern w:val="0"/>
                <w:sz w:val="18"/>
                <w:szCs w:val="18"/>
                <w:u w:val="none"/>
                <w:lang w:val="en-US" w:eastAsia="zh-CN" w:bidi="ar"/>
              </w:rPr>
              <w:t>-</w:t>
            </w:r>
            <w:r>
              <w:rPr>
                <w:rFonts w:hint="eastAsia" w:ascii="宋体" w:hAnsi="宋体" w:eastAsia="宋体" w:cs="宋体"/>
                <w:i w:val="0"/>
                <w:iCs w:val="0"/>
                <w:color w:val="000000" w:themeColor="text1"/>
                <w:kern w:val="0"/>
                <w:sz w:val="18"/>
                <w:szCs w:val="18"/>
                <w:u w:val="none"/>
                <w:lang w:val="en-US" w:eastAsia="zh-CN" w:bidi="ar"/>
              </w:rPr>
              <w:t>内下。</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⑤</w:t>
            </w:r>
            <w:r>
              <w:rPr>
                <w:rFonts w:hint="eastAsia" w:ascii="宋体" w:hAnsi="宋体" w:eastAsia="宋体" w:cs="宋体"/>
                <w:i w:val="0"/>
                <w:iCs w:val="0"/>
                <w:color w:val="000000" w:themeColor="text1"/>
                <w:kern w:val="0"/>
                <w:sz w:val="18"/>
                <w:szCs w:val="18"/>
                <w:u w:val="none"/>
                <w:lang w:val="en-US" w:eastAsia="zh-CN" w:bidi="ar"/>
              </w:rPr>
              <w:t>肺脏检查：视诊、触诊、叩诊、听诊。</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视诊：三维虚拟仿真患者呼吸起伏，需要观察患者呼吸运动、呼吸频率、呼吸深度、呼吸节律。</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触诊：三维虚拟仿真演示检查者以下检查动作，胸廓扩张度（前）检查者两手放于前下胸部，大拇指沿着边缘指向剑突、胸廓扩张度（后）检查者双手掌平贴于肩胛下区对称的部位，两手拇指与后中线平行，然后将皮肤轻轻往后中线推、语音震颤在患者后背将双手放于患者肩胛间区，往下由上而下，由内而外、胸膜摩擦感（操作者手感受到）。</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叩诊：三维仿真模拟肺下界叩诊（叩诊方法、肺下界的位置、病理情況下</w:t>
            </w:r>
            <w:r>
              <w:rPr>
                <w:rFonts w:hint="default" w:ascii="Calibri" w:hAnsi="Calibri" w:eastAsia="宋体" w:cs="Calibri"/>
                <w:i w:val="0"/>
                <w:iCs w:val="0"/>
                <w:color w:val="000000" w:themeColor="text1"/>
                <w:kern w:val="0"/>
                <w:sz w:val="18"/>
                <w:szCs w:val="18"/>
                <w:u w:val="none"/>
                <w:lang w:val="en-US" w:eastAsia="zh-CN" w:bidi="ar"/>
              </w:rPr>
              <w:t>,</w:t>
            </w:r>
            <w:r>
              <w:rPr>
                <w:rFonts w:hint="eastAsia" w:ascii="宋体" w:hAnsi="宋体" w:eastAsia="宋体" w:cs="宋体"/>
                <w:i w:val="0"/>
                <w:iCs w:val="0"/>
                <w:color w:val="000000" w:themeColor="text1"/>
                <w:kern w:val="0"/>
                <w:sz w:val="18"/>
                <w:szCs w:val="18"/>
                <w:u w:val="none"/>
                <w:lang w:val="en-US" w:eastAsia="zh-CN" w:bidi="ar"/>
              </w:rPr>
              <w:t>肺下界情况）和肺下界移动度叩诊（叩诊方法、正常人肺下界的移动范围）的检查手法和相关简介。</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听诊：点击</w:t>
            </w:r>
            <w:r>
              <w:rPr>
                <w:rFonts w:hint="default" w:ascii="Calibri" w:hAnsi="Calibri" w:eastAsia="宋体" w:cs="Calibri"/>
                <w:i w:val="0"/>
                <w:iCs w:val="0"/>
                <w:color w:val="000000" w:themeColor="text1"/>
                <w:kern w:val="0"/>
                <w:sz w:val="18"/>
                <w:szCs w:val="18"/>
                <w:u w:val="none"/>
                <w:lang w:val="en-US" w:eastAsia="zh-CN" w:bidi="ar"/>
              </w:rPr>
              <w:t>breath1</w:t>
            </w:r>
            <w:r>
              <w:rPr>
                <w:rFonts w:hint="eastAsia" w:ascii="宋体" w:hAnsi="宋体" w:eastAsia="宋体" w:cs="宋体"/>
                <w:i w:val="0"/>
                <w:iCs w:val="0"/>
                <w:color w:val="000000" w:themeColor="text1"/>
                <w:kern w:val="0"/>
                <w:sz w:val="18"/>
                <w:szCs w:val="18"/>
                <w:u w:val="none"/>
                <w:lang w:val="en-US" w:eastAsia="zh-CN" w:bidi="ar"/>
              </w:rPr>
              <w:t>支气管呼吸音、</w:t>
            </w:r>
            <w:r>
              <w:rPr>
                <w:rFonts w:hint="default" w:ascii="Calibri" w:hAnsi="Calibri" w:eastAsia="宋体" w:cs="Calibri"/>
                <w:i w:val="0"/>
                <w:iCs w:val="0"/>
                <w:color w:val="000000" w:themeColor="text1"/>
                <w:kern w:val="0"/>
                <w:sz w:val="18"/>
                <w:szCs w:val="18"/>
                <w:u w:val="none"/>
                <w:lang w:val="en-US" w:eastAsia="zh-CN" w:bidi="ar"/>
              </w:rPr>
              <w:t>breath3</w:t>
            </w:r>
            <w:r>
              <w:rPr>
                <w:rFonts w:hint="eastAsia" w:ascii="宋体" w:hAnsi="宋体" w:eastAsia="宋体" w:cs="宋体"/>
                <w:i w:val="0"/>
                <w:iCs w:val="0"/>
                <w:color w:val="000000" w:themeColor="text1"/>
                <w:kern w:val="0"/>
                <w:sz w:val="18"/>
                <w:szCs w:val="18"/>
                <w:u w:val="none"/>
                <w:lang w:val="en-US" w:eastAsia="zh-CN" w:bidi="ar"/>
              </w:rPr>
              <w:t>支气管肺泡呼吸音、肺泡呼吸音，移动听诊器至相应位置即可进行听诊。</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⑥</w:t>
            </w:r>
            <w:r>
              <w:rPr>
                <w:rFonts w:hint="eastAsia" w:ascii="宋体" w:hAnsi="宋体" w:eastAsia="宋体" w:cs="宋体"/>
                <w:i w:val="0"/>
                <w:iCs w:val="0"/>
                <w:color w:val="000000" w:themeColor="text1"/>
                <w:kern w:val="0"/>
                <w:sz w:val="18"/>
                <w:szCs w:val="18"/>
                <w:u w:val="none"/>
                <w:lang w:val="en-US" w:eastAsia="zh-CN" w:bidi="ar"/>
              </w:rPr>
              <w:t>心脏检查：视诊、触诊、叩诊、听诊。</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视诊：侧视观察患者心尖搏动及简介（形成原因，搏动位置、波动范围）。</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触诊：三维虚拟仿真触诊患者心尖搏动，进一步确认心尖搏动位置，判断抬举性搏动。</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叩诊：三维虚拟仿真叩诊（叩诊部位展示，叩诊顺序先左后右，先上后下、由内向外、逐肋叩诊）。</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听诊：排序听诊顺序展示正确答案，将听诊器移动至相应位置，能够听到不同部位的心尖搏动声音。</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⑦</w:t>
            </w:r>
            <w:r>
              <w:rPr>
                <w:rFonts w:hint="eastAsia" w:ascii="宋体" w:hAnsi="宋体" w:eastAsia="宋体" w:cs="宋体"/>
                <w:i w:val="0"/>
                <w:iCs w:val="0"/>
                <w:color w:val="000000" w:themeColor="text1"/>
                <w:kern w:val="0"/>
                <w:sz w:val="18"/>
                <w:szCs w:val="18"/>
                <w:u w:val="none"/>
                <w:lang w:val="en-US" w:eastAsia="zh-CN" w:bidi="ar"/>
              </w:rPr>
              <w:t>肺部检查：点击腹壁紧张度、压痛、反跳痛、肝脾胆囊、液波震颤按钮，三维虚拟仿真检查腹壁紧张度、压痛、反跳痛、肝脾胆囊、液波震颤动作及展示简介。</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⑧</w:t>
            </w:r>
            <w:r>
              <w:rPr>
                <w:rFonts w:hint="eastAsia" w:ascii="宋体" w:hAnsi="宋体" w:eastAsia="宋体" w:cs="宋体"/>
                <w:i w:val="0"/>
                <w:iCs w:val="0"/>
                <w:color w:val="000000" w:themeColor="text1"/>
                <w:kern w:val="0"/>
                <w:sz w:val="18"/>
                <w:szCs w:val="18"/>
                <w:u w:val="none"/>
                <w:lang w:val="en-US" w:eastAsia="zh-CN" w:bidi="ar"/>
              </w:rPr>
              <w:t>四肢检查肌力判断：脊柱四肢检查畸形、四肢活动度、肌力判断。</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脊柱四肢检查畸形：可任意旋转、放大缩小视角，观察患者脊柱四肢是否畸形。</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四肢活动度：三维虚拟仿真展示患者肘关节屈伸、肩关节内收外展、膝关节屈曲伸展、背屈，趾屈、髋关节内收外展的动作。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肌力判断：</w:t>
            </w:r>
            <w:r>
              <w:rPr>
                <w:rFonts w:hint="default" w:ascii="Calibri" w:hAnsi="Calibri" w:eastAsia="宋体" w:cs="Calibri"/>
                <w:i w:val="0"/>
                <w:iCs w:val="0"/>
                <w:color w:val="000000" w:themeColor="text1"/>
                <w:kern w:val="0"/>
                <w:sz w:val="18"/>
                <w:szCs w:val="18"/>
                <w:u w:val="none"/>
                <w:lang w:val="en-US" w:eastAsia="zh-CN" w:bidi="ar"/>
              </w:rPr>
              <w:t>0-5</w:t>
            </w:r>
            <w:r>
              <w:rPr>
                <w:rFonts w:hint="eastAsia" w:ascii="宋体" w:hAnsi="宋体" w:eastAsia="宋体" w:cs="宋体"/>
                <w:i w:val="0"/>
                <w:iCs w:val="0"/>
                <w:color w:val="000000" w:themeColor="text1"/>
                <w:kern w:val="0"/>
                <w:sz w:val="18"/>
                <w:szCs w:val="18"/>
                <w:u w:val="none"/>
                <w:lang w:val="en-US" w:eastAsia="zh-CN" w:bidi="ar"/>
              </w:rPr>
              <w:t>级肌力的判断。</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⑨</w:t>
            </w:r>
            <w:r>
              <w:rPr>
                <w:rFonts w:hint="eastAsia" w:ascii="宋体" w:hAnsi="宋体" w:eastAsia="宋体" w:cs="宋体"/>
                <w:i w:val="0"/>
                <w:iCs w:val="0"/>
                <w:color w:val="000000" w:themeColor="text1"/>
                <w:kern w:val="0"/>
                <w:sz w:val="18"/>
                <w:szCs w:val="18"/>
                <w:u w:val="none"/>
                <w:lang w:val="en-US" w:eastAsia="zh-CN" w:bidi="ar"/>
              </w:rPr>
              <w:t>神经系统检查：神经反射、脑膜刺激征、病理反射。</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神经反射：使用棉签、叩诊锤检查患者神经反射（深反射：跟腱反射、膝反射；浅反射：角膜反射、腹壁反射）</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脑膜刺激征：三维虚拟仿真</w:t>
            </w:r>
            <w:r>
              <w:rPr>
                <w:rFonts w:hint="default" w:ascii="Calibri" w:hAnsi="Calibri" w:eastAsia="宋体" w:cs="Calibri"/>
                <w:i w:val="0"/>
                <w:iCs w:val="0"/>
                <w:color w:val="000000" w:themeColor="text1"/>
                <w:kern w:val="0"/>
                <w:sz w:val="18"/>
                <w:szCs w:val="18"/>
                <w:u w:val="none"/>
                <w:lang w:val="en-US" w:eastAsia="zh-CN" w:bidi="ar"/>
              </w:rPr>
              <w:t>Kerning</w:t>
            </w:r>
            <w:r>
              <w:rPr>
                <w:rFonts w:hint="eastAsia" w:ascii="宋体" w:hAnsi="宋体" w:eastAsia="宋体" w:cs="宋体"/>
                <w:i w:val="0"/>
                <w:iCs w:val="0"/>
                <w:color w:val="000000" w:themeColor="text1"/>
                <w:kern w:val="0"/>
                <w:sz w:val="18"/>
                <w:szCs w:val="18"/>
                <w:u w:val="none"/>
                <w:lang w:val="en-US" w:eastAsia="zh-CN" w:bidi="ar"/>
              </w:rPr>
              <w:t>征检查、</w:t>
            </w:r>
            <w:r>
              <w:rPr>
                <w:rFonts w:hint="default" w:ascii="Calibri" w:hAnsi="Calibri" w:eastAsia="宋体" w:cs="Calibri"/>
                <w:i w:val="0"/>
                <w:iCs w:val="0"/>
                <w:color w:val="000000" w:themeColor="text1"/>
                <w:kern w:val="0"/>
                <w:sz w:val="18"/>
                <w:szCs w:val="18"/>
                <w:u w:val="none"/>
                <w:lang w:val="en-US" w:eastAsia="zh-CN" w:bidi="ar"/>
              </w:rPr>
              <w:t>Brudzinski</w:t>
            </w:r>
            <w:r>
              <w:rPr>
                <w:rFonts w:hint="eastAsia" w:ascii="宋体" w:hAnsi="宋体" w:eastAsia="宋体" w:cs="宋体"/>
                <w:i w:val="0"/>
                <w:iCs w:val="0"/>
                <w:color w:val="000000" w:themeColor="text1"/>
                <w:kern w:val="0"/>
                <w:sz w:val="18"/>
                <w:szCs w:val="18"/>
                <w:u w:val="none"/>
                <w:lang w:val="en-US" w:eastAsia="zh-CN" w:bidi="ar"/>
              </w:rPr>
              <w:t>征检查。</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病理反射：</w:t>
            </w:r>
            <w:r>
              <w:rPr>
                <w:rFonts w:hint="default" w:ascii="Calibri" w:hAnsi="Calibri" w:eastAsia="宋体" w:cs="Calibri"/>
                <w:i w:val="0"/>
                <w:iCs w:val="0"/>
                <w:color w:val="000000" w:themeColor="text1"/>
                <w:kern w:val="0"/>
                <w:sz w:val="18"/>
                <w:szCs w:val="18"/>
                <w:u w:val="none"/>
                <w:lang w:val="en-US" w:eastAsia="zh-CN" w:bidi="ar"/>
              </w:rPr>
              <w:t>babinski</w:t>
            </w:r>
            <w:r>
              <w:rPr>
                <w:rFonts w:hint="eastAsia" w:ascii="宋体" w:hAnsi="宋体" w:eastAsia="宋体" w:cs="宋体"/>
                <w:i w:val="0"/>
                <w:iCs w:val="0"/>
                <w:color w:val="000000" w:themeColor="text1"/>
                <w:kern w:val="0"/>
                <w:sz w:val="18"/>
                <w:szCs w:val="18"/>
                <w:u w:val="none"/>
                <w:lang w:val="en-US" w:eastAsia="zh-CN" w:bidi="ar"/>
              </w:rPr>
              <w:t>征（移动叩诊锤沿着提示方向拖动检查患者病理反射）。</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2.3</w:t>
            </w:r>
            <w:r>
              <w:rPr>
                <w:rFonts w:hint="eastAsia" w:ascii="宋体" w:hAnsi="宋体" w:eastAsia="宋体" w:cs="宋体"/>
                <w:i w:val="0"/>
                <w:iCs w:val="0"/>
                <w:color w:val="000000" w:themeColor="text1"/>
                <w:kern w:val="0"/>
                <w:sz w:val="18"/>
                <w:szCs w:val="18"/>
                <w:u w:val="none"/>
                <w:lang w:val="en-US" w:eastAsia="zh-CN" w:bidi="ar"/>
              </w:rPr>
              <w:t>、考核模式：以视频演示、文字等题目形式考核学生入院评估检查的相关知识掌握，回答错误会进行正确答案的提示。</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5A1B3EB7">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ign w:val="center"/>
          </w:tcPr>
          <w:p w14:paraId="156E8725">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55C4B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103F311A">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eastAsia" w:eastAsia="宋体" w:cs="Calibri"/>
                <w:i w:val="0"/>
                <w:iCs w:val="0"/>
                <w:color w:val="000000" w:themeColor="text1"/>
                <w:kern w:val="0"/>
                <w:sz w:val="21"/>
                <w:szCs w:val="21"/>
                <w:u w:val="none"/>
                <w:lang w:val="en-US" w:eastAsia="zh-CN" w:bidi="ar"/>
              </w:rPr>
              <w:t>2</w:t>
            </w:r>
          </w:p>
        </w:tc>
        <w:tc>
          <w:tcPr>
            <w:tcW w:w="644" w:type="pct"/>
            <w:tcBorders>
              <w:top w:val="single" w:color="000000" w:sz="4" w:space="0"/>
              <w:left w:val="single" w:color="000000" w:sz="4" w:space="0"/>
              <w:bottom w:val="single" w:color="000000" w:sz="4" w:space="0"/>
              <w:right w:val="single" w:color="000000" w:sz="4" w:space="0"/>
            </w:tcBorders>
            <w:noWrap/>
            <w:vAlign w:val="top"/>
          </w:tcPr>
          <w:p w14:paraId="381C88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rPr>
            </w:pPr>
            <w:r>
              <w:rPr>
                <w:rStyle w:val="80"/>
                <w:color w:val="000000" w:themeColor="text1"/>
                <w:lang w:val="en-US" w:eastAsia="zh-CN" w:bidi="ar"/>
              </w:rPr>
              <w:t>老年护理虚拟现实仿真系统—冠心病护理</w:t>
            </w:r>
            <w:r>
              <w:rPr>
                <w:rStyle w:val="49"/>
                <w:rFonts w:eastAsia="宋体"/>
                <w:color w:val="000000" w:themeColor="text1"/>
                <w:lang w:val="en-US" w:eastAsia="zh-CN" w:bidi="ar"/>
              </w:rPr>
              <w:t>OSCE</w:t>
            </w:r>
            <w:r>
              <w:rPr>
                <w:rStyle w:val="80"/>
                <w:color w:val="000000" w:themeColor="text1"/>
                <w:lang w:val="en-US" w:eastAsia="zh-CN" w:bidi="ar"/>
              </w:rPr>
              <w:t>虚拟仿真系统</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3EAA7A28">
            <w:pPr>
              <w:keepNext w:val="0"/>
              <w:keepLines w:val="0"/>
              <w:widowControl/>
              <w:suppressLineNumbers w:val="0"/>
              <w:jc w:val="left"/>
              <w:textAlignment w:val="center"/>
              <w:rPr>
                <w:rFonts w:hint="default" w:ascii="宋体" w:hAnsi="宋体" w:eastAsia="宋体" w:cs="宋体"/>
                <w:i w:val="0"/>
                <w:iCs w:val="0"/>
                <w:color w:val="000000" w:themeColor="text1"/>
                <w:kern w:val="2"/>
                <w:sz w:val="18"/>
                <w:szCs w:val="18"/>
                <w:u w:val="none"/>
                <w:lang w:val="en-US" w:eastAsia="zh-CN" w:bidi="ar-SA"/>
              </w:rPr>
            </w:pPr>
            <w:r>
              <w:rPr>
                <w:rFonts w:hint="eastAsia" w:ascii="宋体" w:hAnsi="宋体" w:eastAsia="宋体" w:cs="宋体"/>
                <w:i w:val="0"/>
                <w:iCs w:val="0"/>
                <w:color w:val="000000" w:themeColor="text1"/>
                <w:kern w:val="0"/>
                <w:sz w:val="18"/>
                <w:szCs w:val="18"/>
                <w:u w:val="none"/>
                <w:lang w:val="en-US" w:eastAsia="zh-CN" w:bidi="ar"/>
              </w:rPr>
              <w:t>一、系统简介</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冠心病护理</w:t>
            </w:r>
            <w:r>
              <w:rPr>
                <w:rFonts w:hint="default" w:ascii="Calibri" w:hAnsi="Calibri" w:eastAsia="宋体" w:cs="Calibri"/>
                <w:i w:val="0"/>
                <w:iCs w:val="0"/>
                <w:color w:val="000000" w:themeColor="text1"/>
                <w:kern w:val="0"/>
                <w:sz w:val="18"/>
                <w:szCs w:val="18"/>
                <w:u w:val="none"/>
                <w:lang w:val="en-US" w:eastAsia="zh-CN" w:bidi="ar"/>
              </w:rPr>
              <w:t>OSCE</w:t>
            </w:r>
            <w:r>
              <w:rPr>
                <w:rFonts w:hint="eastAsia" w:ascii="宋体" w:hAnsi="宋体" w:eastAsia="宋体" w:cs="宋体"/>
                <w:i w:val="0"/>
                <w:iCs w:val="0"/>
                <w:color w:val="000000" w:themeColor="text1"/>
                <w:kern w:val="0"/>
                <w:sz w:val="18"/>
                <w:szCs w:val="18"/>
                <w:u w:val="none"/>
                <w:lang w:val="en-US" w:eastAsia="zh-CN" w:bidi="ar"/>
              </w:rPr>
              <w:t>虚拟仿真软件项目主要分为：病史采集、护理评估、专科护理、临床思维、健康教育</w:t>
            </w:r>
            <w:r>
              <w:rPr>
                <w:rFonts w:hint="default" w:ascii="Calibri" w:hAnsi="Calibri" w:eastAsia="宋体" w:cs="Calibri"/>
                <w:i w:val="0"/>
                <w:iCs w:val="0"/>
                <w:color w:val="000000" w:themeColor="text1"/>
                <w:kern w:val="0"/>
                <w:sz w:val="18"/>
                <w:szCs w:val="18"/>
                <w:u w:val="none"/>
                <w:lang w:val="en-US" w:eastAsia="zh-CN" w:bidi="ar"/>
              </w:rPr>
              <w:t>5</w:t>
            </w:r>
            <w:r>
              <w:rPr>
                <w:rFonts w:hint="eastAsia" w:ascii="宋体" w:hAnsi="宋体" w:eastAsia="宋体" w:cs="宋体"/>
                <w:i w:val="0"/>
                <w:iCs w:val="0"/>
                <w:color w:val="000000" w:themeColor="text1"/>
                <w:kern w:val="0"/>
                <w:sz w:val="18"/>
                <w:szCs w:val="18"/>
                <w:u w:val="none"/>
                <w:lang w:val="en-US" w:eastAsia="zh-CN" w:bidi="ar"/>
              </w:rPr>
              <w:t>个考站、数据管理平台组成，每个模块分为学习模式和考试模式。</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二、软件系统主要技术指标：</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w:t>
            </w:r>
            <w:r>
              <w:rPr>
                <w:rFonts w:hint="eastAsia" w:ascii="宋体" w:hAnsi="宋体" w:eastAsia="宋体" w:cs="宋体"/>
                <w:i w:val="0"/>
                <w:iCs w:val="0"/>
                <w:color w:val="000000" w:themeColor="text1"/>
                <w:kern w:val="0"/>
                <w:sz w:val="18"/>
                <w:szCs w:val="18"/>
                <w:u w:val="none"/>
                <w:lang w:val="en-US" w:eastAsia="zh-CN" w:bidi="ar"/>
              </w:rPr>
              <w:t>、采用</w:t>
            </w:r>
            <w:r>
              <w:rPr>
                <w:rFonts w:hint="default" w:ascii="Calibri" w:hAnsi="Calibri" w:eastAsia="宋体" w:cs="Calibri"/>
                <w:i w:val="0"/>
                <w:iCs w:val="0"/>
                <w:color w:val="000000" w:themeColor="text1"/>
                <w:kern w:val="0"/>
                <w:sz w:val="18"/>
                <w:szCs w:val="18"/>
                <w:u w:val="none"/>
                <w:lang w:val="en-US" w:eastAsia="zh-CN" w:bidi="ar"/>
              </w:rPr>
              <w:t>B/S</w:t>
            </w:r>
            <w:r>
              <w:rPr>
                <w:rFonts w:hint="eastAsia" w:ascii="宋体" w:hAnsi="宋体" w:eastAsia="宋体" w:cs="宋体"/>
                <w:i w:val="0"/>
                <w:iCs w:val="0"/>
                <w:color w:val="000000" w:themeColor="text1"/>
                <w:kern w:val="0"/>
                <w:sz w:val="18"/>
                <w:szCs w:val="18"/>
                <w:u w:val="none"/>
                <w:lang w:val="en-US" w:eastAsia="zh-CN" w:bidi="ar"/>
              </w:rPr>
              <w:t>架构进行的平台搭建，系统升级简单，操作便捷，开放性高。友好操作界面，简单易用的菜单操作。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2.2</w:t>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3D</w:t>
            </w:r>
            <w:r>
              <w:rPr>
                <w:rFonts w:hint="eastAsia" w:ascii="宋体" w:hAnsi="宋体" w:eastAsia="宋体" w:cs="宋体"/>
                <w:i w:val="0"/>
                <w:iCs w:val="0"/>
                <w:color w:val="000000" w:themeColor="text1"/>
                <w:kern w:val="0"/>
                <w:sz w:val="18"/>
                <w:szCs w:val="18"/>
                <w:u w:val="none"/>
                <w:lang w:val="en-US" w:eastAsia="zh-CN" w:bidi="ar"/>
              </w:rPr>
              <w:t>交互式虚拟仿真软件教学系统，将传统模拟人无法展现的一些视角盲点，使用计算机图形模拟技术通过软件的三维模型和动画效果直观呈现出来。</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2.3</w:t>
            </w:r>
            <w:r>
              <w:rPr>
                <w:rFonts w:hint="eastAsia" w:ascii="宋体" w:hAnsi="宋体" w:eastAsia="宋体" w:cs="宋体"/>
                <w:i w:val="0"/>
                <w:iCs w:val="0"/>
                <w:color w:val="000000" w:themeColor="text1"/>
                <w:kern w:val="0"/>
                <w:sz w:val="18"/>
                <w:szCs w:val="18"/>
                <w:u w:val="none"/>
                <w:lang w:val="en-US" w:eastAsia="zh-CN" w:bidi="ar"/>
              </w:rPr>
              <w:t>、游戏的形式是单人在线游戏，学生可以通过</w:t>
            </w:r>
            <w:r>
              <w:rPr>
                <w:rFonts w:hint="default" w:ascii="Calibri" w:hAnsi="Calibri" w:eastAsia="宋体" w:cs="Calibri"/>
                <w:i w:val="0"/>
                <w:iCs w:val="0"/>
                <w:color w:val="000000" w:themeColor="text1"/>
                <w:kern w:val="0"/>
                <w:sz w:val="18"/>
                <w:szCs w:val="18"/>
                <w:u w:val="none"/>
                <w:lang w:val="en-US" w:eastAsia="zh-CN" w:bidi="ar"/>
              </w:rPr>
              <w:t>PC</w:t>
            </w:r>
            <w:r>
              <w:rPr>
                <w:rFonts w:hint="eastAsia" w:ascii="宋体" w:hAnsi="宋体" w:eastAsia="宋体" w:cs="宋体"/>
                <w:i w:val="0"/>
                <w:iCs w:val="0"/>
                <w:color w:val="000000" w:themeColor="text1"/>
                <w:kern w:val="0"/>
                <w:sz w:val="18"/>
                <w:szCs w:val="18"/>
                <w:u w:val="none"/>
                <w:lang w:val="en-US" w:eastAsia="zh-CN" w:bidi="ar"/>
              </w:rPr>
              <w:t>端运行。</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2.4</w:t>
            </w:r>
            <w:r>
              <w:rPr>
                <w:rFonts w:hint="eastAsia" w:ascii="宋体" w:hAnsi="宋体" w:eastAsia="宋体" w:cs="宋体"/>
                <w:i w:val="0"/>
                <w:iCs w:val="0"/>
                <w:color w:val="000000" w:themeColor="text1"/>
                <w:kern w:val="0"/>
                <w:sz w:val="18"/>
                <w:szCs w:val="18"/>
                <w:u w:val="none"/>
                <w:lang w:val="en-US" w:eastAsia="zh-CN" w:bidi="ar"/>
              </w:rPr>
              <w:t>、软件内置交互操作说明，说明包括不限于操作目的、操作过程、操作结果等相关内容。内置操作引导对新手进行软件操作和重要功能进行指引。可以帮助用户在不熟悉软件的情况下，根据操作步骤的引导，查看软件的功能说明，帮助用户快速掌握软件的使用。</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2.5</w:t>
            </w:r>
            <w:r>
              <w:rPr>
                <w:rFonts w:hint="eastAsia" w:ascii="宋体" w:hAnsi="宋体" w:eastAsia="宋体" w:cs="宋体"/>
                <w:i w:val="0"/>
                <w:iCs w:val="0"/>
                <w:color w:val="000000" w:themeColor="text1"/>
                <w:kern w:val="0"/>
                <w:sz w:val="18"/>
                <w:szCs w:val="18"/>
                <w:u w:val="none"/>
                <w:lang w:val="en-US" w:eastAsia="zh-CN" w:bidi="ar"/>
              </w:rPr>
              <w:t>、交互操作支持鼠标、键盘进行。相关步骤的实验操作结果包含正确的、错误的、非建议操作三种操作行为的结果判断，并得出相应考核结果。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2.6</w:t>
            </w:r>
            <w:r>
              <w:rPr>
                <w:rFonts w:hint="eastAsia" w:ascii="宋体" w:hAnsi="宋体" w:eastAsia="宋体" w:cs="宋体"/>
                <w:i w:val="0"/>
                <w:iCs w:val="0"/>
                <w:color w:val="000000" w:themeColor="text1"/>
                <w:kern w:val="0"/>
                <w:sz w:val="18"/>
                <w:szCs w:val="18"/>
                <w:u w:val="none"/>
                <w:lang w:val="en-US" w:eastAsia="zh-CN" w:bidi="ar"/>
              </w:rPr>
              <w:t>、实验考核结果评分由系统提供实验过程和结果的记录，系统从实验中根据匹配评分规则，自动提取评分点，生成实验成绩，同时允许教师进行人工评分。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2.7</w:t>
            </w:r>
            <w:r>
              <w:rPr>
                <w:rFonts w:hint="eastAsia" w:ascii="宋体" w:hAnsi="宋体" w:eastAsia="宋体" w:cs="宋体"/>
                <w:i w:val="0"/>
                <w:iCs w:val="0"/>
                <w:color w:val="000000" w:themeColor="text1"/>
                <w:kern w:val="0"/>
                <w:sz w:val="18"/>
                <w:szCs w:val="18"/>
                <w:u w:val="none"/>
                <w:lang w:val="en-US" w:eastAsia="zh-CN" w:bidi="ar"/>
              </w:rPr>
              <w:t>、实验报告：基本信息包含实验名称、实验者姓名、学号、实验目的等，实验报告支持上传</w:t>
            </w:r>
            <w:r>
              <w:rPr>
                <w:rFonts w:hint="default" w:ascii="Calibri" w:hAnsi="Calibri" w:eastAsia="宋体" w:cs="Calibri"/>
                <w:i w:val="0"/>
                <w:iCs w:val="0"/>
                <w:color w:val="000000" w:themeColor="text1"/>
                <w:kern w:val="0"/>
                <w:sz w:val="18"/>
                <w:szCs w:val="18"/>
                <w:u w:val="none"/>
                <w:lang w:val="en-US" w:eastAsia="zh-CN" w:bidi="ar"/>
              </w:rPr>
              <w:t>PDF</w:t>
            </w:r>
            <w:r>
              <w:rPr>
                <w:rFonts w:hint="eastAsia" w:ascii="宋体" w:hAnsi="宋体" w:eastAsia="宋体" w:cs="宋体"/>
                <w:i w:val="0"/>
                <w:iCs w:val="0"/>
                <w:color w:val="000000" w:themeColor="text1"/>
                <w:kern w:val="0"/>
                <w:sz w:val="18"/>
                <w:szCs w:val="18"/>
                <w:u w:val="none"/>
                <w:lang w:val="en-US" w:eastAsia="zh-CN" w:bidi="ar"/>
              </w:rPr>
              <w:t>格式。系统根据学生的操作过程自动提取关键过程与参数、实验结果、生成详细得分、总成绩和评语的报告等数据形成学生实验报告，支持后续查询。</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2.8</w:t>
            </w:r>
            <w:r>
              <w:rPr>
                <w:rFonts w:hint="eastAsia" w:ascii="宋体" w:hAnsi="宋体" w:eastAsia="宋体" w:cs="宋体"/>
                <w:i w:val="0"/>
                <w:iCs w:val="0"/>
                <w:color w:val="000000" w:themeColor="text1"/>
                <w:kern w:val="0"/>
                <w:sz w:val="18"/>
                <w:szCs w:val="18"/>
                <w:u w:val="none"/>
                <w:lang w:val="en-US" w:eastAsia="zh-CN" w:bidi="ar"/>
              </w:rPr>
              <w:t>、用户登录：能够通过账号密码登录进行身份识别。支持关联现有平台的用户数据，进行登陆和成绩记录等操作。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2.9</w:t>
            </w:r>
            <w:r>
              <w:rPr>
                <w:rFonts w:hint="eastAsia" w:ascii="宋体" w:hAnsi="宋体" w:eastAsia="宋体" w:cs="宋体"/>
                <w:i w:val="0"/>
                <w:iCs w:val="0"/>
                <w:color w:val="000000" w:themeColor="text1"/>
                <w:kern w:val="0"/>
                <w:sz w:val="18"/>
                <w:szCs w:val="18"/>
                <w:u w:val="none"/>
                <w:lang w:val="en-US" w:eastAsia="zh-CN" w:bidi="ar"/>
              </w:rPr>
              <w:t>、实验结果能够保存到服务器，并可恢复。</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2.10</w:t>
            </w:r>
            <w:r>
              <w:rPr>
                <w:rFonts w:hint="eastAsia" w:ascii="宋体" w:hAnsi="宋体" w:eastAsia="宋体" w:cs="宋体"/>
                <w:i w:val="0"/>
                <w:iCs w:val="0"/>
                <w:color w:val="000000" w:themeColor="text1"/>
                <w:kern w:val="0"/>
                <w:sz w:val="18"/>
                <w:szCs w:val="18"/>
                <w:u w:val="none"/>
                <w:lang w:val="en-US" w:eastAsia="zh-CN" w:bidi="ar"/>
              </w:rPr>
              <w:t>、提供在线平台，支持教师在线指导。</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2.11</w:t>
            </w:r>
            <w:r>
              <w:rPr>
                <w:rFonts w:hint="eastAsia" w:ascii="宋体" w:hAnsi="宋体" w:eastAsia="宋体" w:cs="宋体"/>
                <w:i w:val="0"/>
                <w:iCs w:val="0"/>
                <w:color w:val="000000" w:themeColor="text1"/>
                <w:kern w:val="0"/>
                <w:sz w:val="18"/>
                <w:szCs w:val="18"/>
                <w:u w:val="none"/>
                <w:lang w:val="en-US" w:eastAsia="zh-CN" w:bidi="ar"/>
              </w:rPr>
              <w:t>、系统化流程设计开发，帮助学生进行系统化的学习。系统内置</w:t>
            </w:r>
            <w:r>
              <w:rPr>
                <w:rFonts w:hint="default" w:ascii="Calibri" w:hAnsi="Calibri" w:eastAsia="宋体" w:cs="Calibri"/>
                <w:i w:val="0"/>
                <w:iCs w:val="0"/>
                <w:color w:val="000000" w:themeColor="text1"/>
                <w:kern w:val="0"/>
                <w:sz w:val="18"/>
                <w:szCs w:val="18"/>
                <w:u w:val="none"/>
                <w:lang w:val="en-US" w:eastAsia="zh-CN" w:bidi="ar"/>
              </w:rPr>
              <w:t>AI</w:t>
            </w:r>
            <w:r>
              <w:rPr>
                <w:rFonts w:hint="eastAsia" w:ascii="宋体" w:hAnsi="宋体" w:eastAsia="宋体" w:cs="宋体"/>
                <w:i w:val="0"/>
                <w:iCs w:val="0"/>
                <w:color w:val="000000" w:themeColor="text1"/>
                <w:kern w:val="0"/>
                <w:sz w:val="18"/>
                <w:szCs w:val="18"/>
                <w:u w:val="none"/>
                <w:lang w:val="en-US" w:eastAsia="zh-CN" w:bidi="ar"/>
              </w:rPr>
              <w:t>语音互动，实时与虚拟人物进行语音对话。</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2.12</w:t>
            </w:r>
            <w:r>
              <w:rPr>
                <w:rFonts w:hint="eastAsia" w:ascii="宋体" w:hAnsi="宋体" w:eastAsia="宋体" w:cs="宋体"/>
                <w:i w:val="0"/>
                <w:iCs w:val="0"/>
                <w:color w:val="000000" w:themeColor="text1"/>
                <w:kern w:val="0"/>
                <w:sz w:val="18"/>
                <w:szCs w:val="18"/>
                <w:u w:val="none"/>
                <w:lang w:val="en-US" w:eastAsia="zh-CN" w:bidi="ar"/>
              </w:rPr>
              <w:t>、病例编辑：老师可以根据需要新增、删除、修改病例信息，包括且不限于基本信息、病例信息、病史采集对话内容、患者身体数据等内容。</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2.13</w:t>
            </w:r>
            <w:r>
              <w:rPr>
                <w:rFonts w:hint="eastAsia" w:ascii="宋体" w:hAnsi="宋体" w:eastAsia="宋体" w:cs="宋体"/>
                <w:i w:val="0"/>
                <w:iCs w:val="0"/>
                <w:color w:val="000000" w:themeColor="text1"/>
                <w:kern w:val="0"/>
                <w:sz w:val="18"/>
                <w:szCs w:val="18"/>
                <w:u w:val="none"/>
                <w:lang w:val="en-US" w:eastAsia="zh-CN" w:bidi="ar"/>
              </w:rPr>
              <w:t>、开放设计：操作过程可自由选用用物，学习模式会根据正确流程，提示当前选用的用物是否合适，考核模式则不提示正确流程，考核学生操作流程。</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三、软件主要功能：</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w:t>
            </w:r>
            <w:r>
              <w:rPr>
                <w:rFonts w:hint="eastAsia" w:ascii="宋体" w:hAnsi="宋体" w:eastAsia="宋体" w:cs="宋体"/>
                <w:i w:val="0"/>
                <w:iCs w:val="0"/>
                <w:color w:val="000000" w:themeColor="text1"/>
                <w:kern w:val="0"/>
                <w:sz w:val="18"/>
                <w:szCs w:val="18"/>
                <w:u w:val="none"/>
                <w:lang w:val="en-US" w:eastAsia="zh-CN" w:bidi="ar"/>
              </w:rPr>
              <w:t>病史采集：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3.1.1</w:t>
            </w:r>
            <w:r>
              <w:rPr>
                <w:rFonts w:hint="eastAsia" w:ascii="宋体" w:hAnsi="宋体" w:eastAsia="宋体" w:cs="宋体"/>
                <w:i w:val="0"/>
                <w:iCs w:val="0"/>
                <w:color w:val="000000" w:themeColor="text1"/>
                <w:kern w:val="0"/>
                <w:sz w:val="18"/>
                <w:szCs w:val="18"/>
                <w:u w:val="none"/>
                <w:lang w:val="en-US" w:eastAsia="zh-CN" w:bidi="ar"/>
              </w:rPr>
              <w:t>病史采集考站包括心绞痛、心肌梗死两个主要考试病例，每个病例分别设置学习模式和考核模式。</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宋体" w:hAnsi="宋体" w:eastAsia="宋体" w:cs="宋体"/>
                <w:i w:val="0"/>
                <w:iCs w:val="0"/>
                <w:color w:val="000000" w:themeColor="text1"/>
                <w:kern w:val="0"/>
                <w:sz w:val="18"/>
                <w:szCs w:val="18"/>
                <w:u w:val="none"/>
                <w:lang w:val="en-US" w:eastAsia="zh-CN" w:bidi="ar"/>
              </w:rPr>
              <w:t>）心绞痛：学习模式：学生根据软件的菜单栏，选择出需要提出的问题，与虚拟模拟病人（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）进行对话，可反复练习。</w:t>
            </w:r>
            <w:r>
              <w:rPr>
                <w:rFonts w:hint="default" w:ascii="Calibri" w:hAnsi="Calibri" w:eastAsia="宋体" w:cs="Calibri"/>
                <w:i w:val="0"/>
                <w:iCs w:val="0"/>
                <w:color w:val="000000" w:themeColor="text1"/>
                <w:kern w:val="0"/>
                <w:sz w:val="18"/>
                <w:szCs w:val="18"/>
                <w:u w:val="none"/>
                <w:lang w:val="en-US" w:eastAsia="zh-CN" w:bidi="ar"/>
              </w:rPr>
              <w:t>“</w:t>
            </w:r>
            <w:r>
              <w:rPr>
                <w:rFonts w:hint="eastAsia" w:ascii="宋体" w:hAnsi="宋体" w:eastAsia="宋体" w:cs="宋体"/>
                <w:i w:val="0"/>
                <w:iCs w:val="0"/>
                <w:color w:val="000000" w:themeColor="text1"/>
                <w:kern w:val="0"/>
                <w:sz w:val="18"/>
                <w:szCs w:val="18"/>
                <w:u w:val="none"/>
                <w:lang w:val="en-US" w:eastAsia="zh-CN" w:bidi="ar"/>
              </w:rPr>
              <w:t>心绞痛</w:t>
            </w:r>
            <w:r>
              <w:rPr>
                <w:rFonts w:hint="default" w:ascii="Calibri" w:hAnsi="Calibri" w:eastAsia="宋体" w:cs="Calibri"/>
                <w:i w:val="0"/>
                <w:iCs w:val="0"/>
                <w:color w:val="000000" w:themeColor="text1"/>
                <w:kern w:val="0"/>
                <w:sz w:val="18"/>
                <w:szCs w:val="18"/>
                <w:u w:val="none"/>
                <w:lang w:val="en-US" w:eastAsia="zh-CN" w:bidi="ar"/>
              </w:rPr>
              <w:t>”</w:t>
            </w:r>
            <w:r>
              <w:rPr>
                <w:rFonts w:hint="eastAsia" w:ascii="宋体" w:hAnsi="宋体" w:eastAsia="宋体" w:cs="宋体"/>
                <w:i w:val="0"/>
                <w:iCs w:val="0"/>
                <w:color w:val="000000" w:themeColor="text1"/>
                <w:kern w:val="0"/>
                <w:sz w:val="18"/>
                <w:szCs w:val="18"/>
                <w:u w:val="none"/>
                <w:lang w:val="en-US" w:eastAsia="zh-CN" w:bidi="ar"/>
              </w:rPr>
              <w:t>考核模式：通过语音输入的方式为心绞痛的患者进行病史采集。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2</w:t>
            </w:r>
            <w:r>
              <w:rPr>
                <w:rFonts w:hint="eastAsia" w:ascii="宋体" w:hAnsi="宋体" w:eastAsia="宋体" w:cs="宋体"/>
                <w:i w:val="0"/>
                <w:iCs w:val="0"/>
                <w:color w:val="000000" w:themeColor="text1"/>
                <w:kern w:val="0"/>
                <w:sz w:val="18"/>
                <w:szCs w:val="18"/>
                <w:u w:val="none"/>
                <w:lang w:val="en-US" w:eastAsia="zh-CN" w:bidi="ar"/>
              </w:rPr>
              <w:t>）心肌梗死：学习模式：患者心肌梗死入院，已完成心电图描记和肌钙蛋白等的操作，现对患者完成病史采集。考核模式：患者心肌梗死入院，已完成心电图描记和肌钙蛋白等采血的操作，现对患者完成病史采集。通过语音输入的方式为心梗的患者进行病史采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3.1.2</w:t>
            </w:r>
            <w:r>
              <w:rPr>
                <w:rFonts w:hint="eastAsia" w:ascii="宋体" w:hAnsi="宋体" w:eastAsia="宋体" w:cs="宋体"/>
                <w:i w:val="0"/>
                <w:iCs w:val="0"/>
                <w:color w:val="000000" w:themeColor="text1"/>
                <w:kern w:val="0"/>
                <w:sz w:val="18"/>
                <w:szCs w:val="18"/>
                <w:u w:val="none"/>
                <w:lang w:val="en-US" w:eastAsia="zh-CN" w:bidi="ar"/>
              </w:rPr>
              <w:t>学习模式学生根据软件的菜单栏，选择出需要提出的问题，与虚拟模拟病人（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）进行对话，可反复练习。</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3.1.3</w:t>
            </w:r>
            <w:r>
              <w:rPr>
                <w:rFonts w:hint="eastAsia" w:ascii="宋体" w:hAnsi="宋体" w:eastAsia="宋体" w:cs="宋体"/>
                <w:i w:val="0"/>
                <w:iCs w:val="0"/>
                <w:color w:val="000000" w:themeColor="text1"/>
                <w:kern w:val="0"/>
                <w:sz w:val="18"/>
                <w:szCs w:val="18"/>
                <w:u w:val="none"/>
                <w:lang w:val="en-US" w:eastAsia="zh-CN" w:bidi="ar"/>
              </w:rPr>
              <w:t>考核模式学生通过语音输入的方式为虚拟模拟病人（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）进行病史采集。系统自动根据语音语义识别内容判断区分相关专业知识点是否提问完成，根据病例情况插入相应的人文关怀特殊剧情，区分对应的人文关怀情节是否在采集病史过程中体现到位。</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3.1.4</w:t>
            </w:r>
            <w:r>
              <w:rPr>
                <w:rFonts w:hint="eastAsia" w:ascii="宋体" w:hAnsi="宋体" w:eastAsia="宋体" w:cs="宋体"/>
                <w:i w:val="0"/>
                <w:iCs w:val="0"/>
                <w:color w:val="000000" w:themeColor="text1"/>
                <w:kern w:val="0"/>
                <w:sz w:val="18"/>
                <w:szCs w:val="18"/>
                <w:u w:val="none"/>
                <w:lang w:val="en-US" w:eastAsia="zh-CN" w:bidi="ar"/>
              </w:rPr>
              <w:t>病史采集以虚拟护士的用户形象出现，对虚拟病人（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病史采集的内容包括：基本资料（自我介绍及病人基本情况采集）采集、现病史（就诊原因、起病情况、患病时间、诱因等）采集、主要症状（疼痛部位、疼痛性质、发作频率、持续时间、严重程度、缓解因素）采集、伴随症状采集、病情发展演变采集（心肌梗死）、诊疗和护理经过采集、日常生活状况（饮食情况、排泄情况、休息与睡眠情况、精神状态、个人性格、人文关怀、日常活动与自理能力、个人嗜好）采集、既往史采集、个人史采集、家族史采集等。</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3.1.5</w:t>
            </w:r>
            <w:r>
              <w:rPr>
                <w:rFonts w:hint="eastAsia" w:ascii="宋体" w:hAnsi="宋体" w:eastAsia="宋体" w:cs="宋体"/>
                <w:i w:val="0"/>
                <w:iCs w:val="0"/>
                <w:color w:val="000000" w:themeColor="text1"/>
                <w:kern w:val="0"/>
                <w:sz w:val="18"/>
                <w:szCs w:val="18"/>
                <w:u w:val="none"/>
                <w:lang w:val="en-US" w:eastAsia="zh-CN" w:bidi="ar"/>
              </w:rPr>
              <w:t>病史采集过程中所产生的采集问题对话，虚拟模拟病人（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）将通过语言语音识别功能自动对应预先设置的病历内容进行对应作答，在无关或重复提问的情况下，系统将通过虚拟模拟病人（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）自动进行相应的纠错或表态。</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3.1.6</w:t>
            </w:r>
            <w:r>
              <w:rPr>
                <w:rFonts w:hint="eastAsia" w:ascii="宋体" w:hAnsi="宋体" w:eastAsia="宋体" w:cs="宋体"/>
                <w:i w:val="0"/>
                <w:iCs w:val="0"/>
                <w:color w:val="000000" w:themeColor="text1"/>
                <w:kern w:val="0"/>
                <w:sz w:val="18"/>
                <w:szCs w:val="18"/>
                <w:u w:val="none"/>
                <w:lang w:val="en-US" w:eastAsia="zh-CN" w:bidi="ar"/>
              </w:rPr>
              <w:t>软件界面有对应诊疗过程的阶段模块按钮，根据诊疗过程可以通过不同标记或状态来显示已执行的和正在进行的和未执行的诊疗过程；界面有快捷菜单提供病历单查看、问诊记录回顾查看的入口，方便随时进行对应操作；语音识别图标设置在界面易操作的位置，能够提供语音识别输入激活、确认、切换语言</w:t>
            </w:r>
            <w:r>
              <w:rPr>
                <w:rFonts w:hint="default" w:ascii="Calibri" w:hAnsi="Calibri" w:eastAsia="宋体" w:cs="Calibri"/>
                <w:i w:val="0"/>
                <w:iCs w:val="0"/>
                <w:color w:val="000000" w:themeColor="text1"/>
                <w:kern w:val="0"/>
                <w:sz w:val="18"/>
                <w:szCs w:val="18"/>
                <w:u w:val="none"/>
                <w:lang w:val="en-US" w:eastAsia="zh-CN" w:bidi="ar"/>
              </w:rPr>
              <w:t>/</w:t>
            </w:r>
            <w:r>
              <w:rPr>
                <w:rFonts w:hint="eastAsia" w:ascii="宋体" w:hAnsi="宋体" w:eastAsia="宋体" w:cs="宋体"/>
                <w:i w:val="0"/>
                <w:iCs w:val="0"/>
                <w:color w:val="000000" w:themeColor="text1"/>
                <w:kern w:val="0"/>
                <w:sz w:val="18"/>
                <w:szCs w:val="18"/>
                <w:u w:val="none"/>
                <w:lang w:val="en-US" w:eastAsia="zh-CN" w:bidi="ar"/>
              </w:rPr>
              <w:t>输入法输入，根据不同输入状态图标显示不同效果。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3.1.7</w:t>
            </w:r>
            <w:r>
              <w:rPr>
                <w:rFonts w:hint="eastAsia" w:ascii="宋体" w:hAnsi="宋体" w:eastAsia="宋体" w:cs="宋体"/>
                <w:i w:val="0"/>
                <w:iCs w:val="0"/>
                <w:color w:val="000000" w:themeColor="text1"/>
                <w:kern w:val="0"/>
                <w:sz w:val="18"/>
                <w:szCs w:val="18"/>
                <w:u w:val="none"/>
                <w:lang w:val="en-US" w:eastAsia="zh-CN" w:bidi="ar"/>
              </w:rPr>
              <w:t>虚拟模拟病人（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）根据病史采集问题内容做出对应的动作，该动作可以通过后台进行编辑和设置，在问诊过程中，将通过三维动画闲置动画特效，对患者进行随机的情态动作表达，使问诊效果和病人更加拟真。</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3.2</w:t>
            </w:r>
            <w:r>
              <w:rPr>
                <w:rFonts w:hint="eastAsia" w:ascii="宋体" w:hAnsi="宋体" w:eastAsia="宋体" w:cs="宋体"/>
                <w:i w:val="0"/>
                <w:iCs w:val="0"/>
                <w:color w:val="000000" w:themeColor="text1"/>
                <w:kern w:val="0"/>
                <w:sz w:val="18"/>
                <w:szCs w:val="18"/>
                <w:u w:val="none"/>
                <w:lang w:val="en-US" w:eastAsia="zh-CN" w:bidi="ar"/>
              </w:rPr>
              <w:t>护理评估：</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3.2.1</w:t>
            </w:r>
            <w:r>
              <w:rPr>
                <w:rFonts w:hint="eastAsia" w:ascii="宋体" w:hAnsi="宋体" w:eastAsia="宋体" w:cs="宋体"/>
                <w:i w:val="0"/>
                <w:iCs w:val="0"/>
                <w:color w:val="000000" w:themeColor="text1"/>
                <w:kern w:val="0"/>
                <w:sz w:val="18"/>
                <w:szCs w:val="18"/>
                <w:u w:val="none"/>
                <w:lang w:val="en-US" w:eastAsia="zh-CN" w:bidi="ar"/>
              </w:rPr>
              <w:t>护理评估考站分为身体评估考站及风险评估考站两个部分。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3.2.2</w:t>
            </w:r>
            <w:r>
              <w:rPr>
                <w:rFonts w:hint="eastAsia" w:ascii="宋体" w:hAnsi="宋体" w:eastAsia="宋体" w:cs="宋体"/>
                <w:i w:val="0"/>
                <w:iCs w:val="0"/>
                <w:color w:val="000000" w:themeColor="text1"/>
                <w:kern w:val="0"/>
                <w:sz w:val="18"/>
                <w:szCs w:val="18"/>
                <w:u w:val="none"/>
                <w:lang w:val="en-US" w:eastAsia="zh-CN" w:bidi="ar"/>
              </w:rPr>
              <w:t>身体评估考站学习考核目的：学习两种类型（心绞痛、</w:t>
            </w:r>
            <w:r>
              <w:rPr>
                <w:rFonts w:hint="default" w:ascii="Calibri" w:hAnsi="Calibri" w:eastAsia="宋体" w:cs="Calibri"/>
                <w:i w:val="0"/>
                <w:iCs w:val="0"/>
                <w:color w:val="000000" w:themeColor="text1"/>
                <w:kern w:val="0"/>
                <w:sz w:val="18"/>
                <w:szCs w:val="18"/>
                <w:u w:val="none"/>
                <w:lang w:val="en-US" w:eastAsia="zh-CN" w:bidi="ar"/>
              </w:rPr>
              <w:t>ST</w:t>
            </w:r>
            <w:r>
              <w:rPr>
                <w:rFonts w:hint="eastAsia" w:ascii="宋体" w:hAnsi="宋体" w:eastAsia="宋体" w:cs="宋体"/>
                <w:i w:val="0"/>
                <w:iCs w:val="0"/>
                <w:color w:val="000000" w:themeColor="text1"/>
                <w:kern w:val="0"/>
                <w:sz w:val="18"/>
                <w:szCs w:val="18"/>
                <w:u w:val="none"/>
                <w:lang w:val="en-US" w:eastAsia="zh-CN" w:bidi="ar"/>
              </w:rPr>
              <w:t>段抬高型心机梗死）的生命体征的测量及听诊的特点。完成对心绞痛和心梗患者的生命体征的测量及心脏的听诊。</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3.2.2.1</w:t>
            </w:r>
            <w:r>
              <w:rPr>
                <w:rFonts w:hint="eastAsia" w:ascii="宋体" w:hAnsi="宋体" w:eastAsia="宋体" w:cs="宋体"/>
                <w:i w:val="0"/>
                <w:iCs w:val="0"/>
                <w:color w:val="000000" w:themeColor="text1"/>
                <w:kern w:val="0"/>
                <w:sz w:val="18"/>
                <w:szCs w:val="18"/>
                <w:u w:val="none"/>
                <w:lang w:val="en-US" w:eastAsia="zh-CN" w:bidi="ar"/>
              </w:rPr>
              <w:t>身体评估考站以虚拟护士的用户形象出现，对虚拟病人（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）进行身体评估内容包括：评估工具选择、体温测量、血压测量、脉搏和呼吸测量、心脏听诊等相关内容。学习模式下将自动对</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体格检查记录表根据检查进度进行自动填入，考核模式下将有学生进行自主检查记录，并自动考核记录情况。</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3.2.2.2</w:t>
            </w:r>
            <w:r>
              <w:rPr>
                <w:rFonts w:hint="eastAsia" w:ascii="宋体" w:hAnsi="宋体" w:eastAsia="宋体" w:cs="宋体"/>
                <w:i w:val="0"/>
                <w:iCs w:val="0"/>
                <w:color w:val="000000" w:themeColor="text1"/>
                <w:kern w:val="0"/>
                <w:sz w:val="18"/>
                <w:szCs w:val="18"/>
                <w:u w:val="none"/>
                <w:lang w:val="en-US" w:eastAsia="zh-CN" w:bidi="ar"/>
              </w:rPr>
              <w:t>将根据身体评估操作流程设置对应的人文关怀考核目标，并予以相应记录。</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3.2.3</w:t>
            </w:r>
            <w:r>
              <w:rPr>
                <w:rFonts w:hint="eastAsia" w:ascii="宋体" w:hAnsi="宋体" w:eastAsia="宋体" w:cs="宋体"/>
                <w:i w:val="0"/>
                <w:iCs w:val="0"/>
                <w:color w:val="000000" w:themeColor="text1"/>
                <w:kern w:val="0"/>
                <w:sz w:val="18"/>
                <w:szCs w:val="18"/>
                <w:u w:val="none"/>
                <w:lang w:val="en-US" w:eastAsia="zh-CN" w:bidi="ar"/>
              </w:rPr>
              <w:t>风险评估考站的学习和考核模式根据题目中</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的病史信息，从工具栏的评估表中，学习选择</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的首优评估量表，并完成评估量表的填写。</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 xml:space="preserve">3.3 </w:t>
            </w:r>
            <w:r>
              <w:rPr>
                <w:rFonts w:hint="eastAsia" w:ascii="宋体" w:hAnsi="宋体" w:eastAsia="宋体" w:cs="宋体"/>
                <w:i w:val="0"/>
                <w:iCs w:val="0"/>
                <w:color w:val="000000" w:themeColor="text1"/>
                <w:kern w:val="0"/>
                <w:sz w:val="18"/>
                <w:szCs w:val="18"/>
                <w:u w:val="none"/>
                <w:lang w:val="en-US" w:eastAsia="zh-CN" w:bidi="ar"/>
              </w:rPr>
              <w:t>专科护理：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3.3.1</w:t>
            </w:r>
            <w:r>
              <w:rPr>
                <w:rFonts w:hint="eastAsia" w:ascii="宋体" w:hAnsi="宋体" w:eastAsia="宋体" w:cs="宋体"/>
                <w:i w:val="0"/>
                <w:iCs w:val="0"/>
                <w:color w:val="000000" w:themeColor="text1"/>
                <w:kern w:val="0"/>
                <w:sz w:val="18"/>
                <w:szCs w:val="18"/>
                <w:u w:val="none"/>
                <w:lang w:val="en-US" w:eastAsia="zh-CN" w:bidi="ar"/>
              </w:rPr>
              <w:t>专科护理考站包括：心电监护、心电图描记、溶栓前后的护理、</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术前术后护理组成。</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宋体" w:hAnsi="宋体" w:eastAsia="宋体" w:cs="宋体"/>
                <w:i w:val="0"/>
                <w:iCs w:val="0"/>
                <w:color w:val="000000" w:themeColor="text1"/>
                <w:kern w:val="0"/>
                <w:sz w:val="18"/>
                <w:szCs w:val="18"/>
                <w:u w:val="none"/>
                <w:lang w:val="en-US" w:eastAsia="zh-CN" w:bidi="ar"/>
              </w:rPr>
              <w:t>）心电监护：学习模式：根据医嘱完成对患者的心电监护；考核模式：根据医嘱，为下面的患者进行持续地点心电监护。</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2</w:t>
            </w:r>
            <w:r>
              <w:rPr>
                <w:rFonts w:hint="eastAsia" w:ascii="宋体" w:hAnsi="宋体" w:eastAsia="宋体" w:cs="宋体"/>
                <w:i w:val="0"/>
                <w:iCs w:val="0"/>
                <w:color w:val="000000" w:themeColor="text1"/>
                <w:kern w:val="0"/>
                <w:sz w:val="18"/>
                <w:szCs w:val="18"/>
                <w:u w:val="none"/>
                <w:lang w:val="en-US" w:eastAsia="zh-CN" w:bidi="ar"/>
              </w:rPr>
              <w:t>）心电图描记：学习模式：根据医嘱完成对上面患者（心绞痛或者心肌梗死）进一步的心电图描记。考核模式：根据医嘱，对下面的患者进行心电图描记，并判断其心电图的结果。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3</w:t>
            </w:r>
            <w:r>
              <w:rPr>
                <w:rFonts w:hint="eastAsia" w:ascii="宋体" w:hAnsi="宋体" w:eastAsia="宋体" w:cs="宋体"/>
                <w:i w:val="0"/>
                <w:iCs w:val="0"/>
                <w:color w:val="000000" w:themeColor="text1"/>
                <w:kern w:val="0"/>
                <w:sz w:val="18"/>
                <w:szCs w:val="18"/>
                <w:u w:val="none"/>
                <w:lang w:val="en-US" w:eastAsia="zh-CN" w:bidi="ar"/>
              </w:rPr>
              <w:t>）溶栓前后的护理：学习模式：根据医嘱完成对心电图显示为</w:t>
            </w:r>
            <w:r>
              <w:rPr>
                <w:rFonts w:hint="default" w:ascii="Calibri" w:hAnsi="Calibri" w:eastAsia="宋体" w:cs="Calibri"/>
                <w:i w:val="0"/>
                <w:iCs w:val="0"/>
                <w:color w:val="000000" w:themeColor="text1"/>
                <w:kern w:val="0"/>
                <w:sz w:val="18"/>
                <w:szCs w:val="18"/>
                <w:u w:val="none"/>
                <w:lang w:val="en-US" w:eastAsia="zh-CN" w:bidi="ar"/>
              </w:rPr>
              <w:t>ST</w:t>
            </w:r>
            <w:r>
              <w:rPr>
                <w:rFonts w:hint="eastAsia" w:ascii="宋体" w:hAnsi="宋体" w:eastAsia="宋体" w:cs="宋体"/>
                <w:i w:val="0"/>
                <w:iCs w:val="0"/>
                <w:color w:val="000000" w:themeColor="text1"/>
                <w:kern w:val="0"/>
                <w:sz w:val="18"/>
                <w:szCs w:val="18"/>
                <w:u w:val="none"/>
                <w:lang w:val="en-US" w:eastAsia="zh-CN" w:bidi="ar"/>
              </w:rPr>
              <w:t>段抬高型心肌梗死的病例的溶栓前后的护理。考核模式：根据医嘱完成对心电图显示为</w:t>
            </w:r>
            <w:r>
              <w:rPr>
                <w:rFonts w:hint="default" w:ascii="Calibri" w:hAnsi="Calibri" w:eastAsia="宋体" w:cs="Calibri"/>
                <w:i w:val="0"/>
                <w:iCs w:val="0"/>
                <w:color w:val="000000" w:themeColor="text1"/>
                <w:kern w:val="0"/>
                <w:sz w:val="18"/>
                <w:szCs w:val="18"/>
                <w:u w:val="none"/>
                <w:lang w:val="en-US" w:eastAsia="zh-CN" w:bidi="ar"/>
              </w:rPr>
              <w:t>ST</w:t>
            </w:r>
            <w:r>
              <w:rPr>
                <w:rFonts w:hint="eastAsia" w:ascii="宋体" w:hAnsi="宋体" w:eastAsia="宋体" w:cs="宋体"/>
                <w:i w:val="0"/>
                <w:iCs w:val="0"/>
                <w:color w:val="000000" w:themeColor="text1"/>
                <w:kern w:val="0"/>
                <w:sz w:val="18"/>
                <w:szCs w:val="18"/>
                <w:u w:val="none"/>
                <w:lang w:val="en-US" w:eastAsia="zh-CN" w:bidi="ar"/>
              </w:rPr>
              <w:t>段抬高型心肌梗死的抢</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宋体" w:hAnsi="宋体" w:eastAsia="宋体" w:cs="宋体"/>
                <w:i w:val="0"/>
                <w:iCs w:val="0"/>
                <w:color w:val="000000" w:themeColor="text1"/>
                <w:kern w:val="0"/>
                <w:sz w:val="18"/>
                <w:szCs w:val="18"/>
                <w:u w:val="none"/>
                <w:lang w:val="en-US" w:eastAsia="zh-CN" w:bidi="ar"/>
              </w:rPr>
              <w:t>床张三一的溶栓前后的护理。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4</w:t>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术前术后护理：学习模式：根据医嘱完成对患者张三一完成</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术前、术后的护理。考核模式：根据医嘱完成对张三一完成</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术前、术后的护理。</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3.3.2</w:t>
            </w:r>
            <w:r>
              <w:rPr>
                <w:rFonts w:hint="eastAsia" w:ascii="宋体" w:hAnsi="宋体" w:eastAsia="宋体" w:cs="宋体"/>
                <w:i w:val="0"/>
                <w:iCs w:val="0"/>
                <w:color w:val="000000" w:themeColor="text1"/>
                <w:kern w:val="0"/>
                <w:sz w:val="18"/>
                <w:szCs w:val="18"/>
                <w:u w:val="none"/>
                <w:lang w:val="en-US" w:eastAsia="zh-CN" w:bidi="ar"/>
              </w:rPr>
              <w:t>心电监护将以虚拟护士的用户形象出现，对虚拟病人（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根据医嘱进行心电监护，包括：解释说明、询问过敏源、用物准备、人文关怀、协助脱衣、再次询问是否对酒精过敏、解释酒精（人文）、涂抹酒精棉球、连接电极片、扎袖带、置探头、心电活动的判断等心电监护流程操作。在学习模式下将根据流程提示进行对应操作选择，在考核模式下将有学生进行自主操作，各步骤流程将根据标准进行记录判断，同时根据人文关怀要求进行相应分数的核对。</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3.3.3</w:t>
            </w:r>
            <w:r>
              <w:rPr>
                <w:rFonts w:hint="eastAsia" w:ascii="宋体" w:hAnsi="宋体" w:eastAsia="宋体" w:cs="宋体"/>
                <w:i w:val="0"/>
                <w:iCs w:val="0"/>
                <w:color w:val="000000" w:themeColor="text1"/>
                <w:kern w:val="0"/>
                <w:sz w:val="18"/>
                <w:szCs w:val="18"/>
                <w:u w:val="none"/>
                <w:lang w:val="en-US" w:eastAsia="zh-CN" w:bidi="ar"/>
              </w:rPr>
              <w:t>心电图描记将以虚拟护士的用户形象出现，对心电监护中的虚拟病人（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）进行进一步的心电图描记，包括相应步骤的流程操作和相应的人文关怀引导，在学习模式下将根据流程提示进行对应操作选择，在考核模式下将有学生进行自主操作，各步骤流程将根据标准进行记录判断。</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3.3.4</w:t>
            </w:r>
            <w:r>
              <w:rPr>
                <w:rFonts w:hint="eastAsia" w:ascii="宋体" w:hAnsi="宋体" w:eastAsia="宋体" w:cs="宋体"/>
                <w:i w:val="0"/>
                <w:iCs w:val="0"/>
                <w:color w:val="000000" w:themeColor="text1"/>
                <w:kern w:val="0"/>
                <w:sz w:val="18"/>
                <w:szCs w:val="18"/>
                <w:u w:val="none"/>
                <w:lang w:val="en-US" w:eastAsia="zh-CN" w:bidi="ar"/>
              </w:rPr>
              <w:t>溶栓前后的护理将以虚拟护士的用户形象出现，对虚拟病人（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）进行护理操作，在学习模式下，根据流程提示进行对应操作选择，依照医嘱完成对心电图显示为</w:t>
            </w:r>
            <w:r>
              <w:rPr>
                <w:rFonts w:hint="default" w:ascii="Calibri" w:hAnsi="Calibri" w:eastAsia="宋体" w:cs="Calibri"/>
                <w:i w:val="0"/>
                <w:iCs w:val="0"/>
                <w:color w:val="000000" w:themeColor="text1"/>
                <w:kern w:val="0"/>
                <w:sz w:val="18"/>
                <w:szCs w:val="18"/>
                <w:u w:val="none"/>
                <w:lang w:val="en-US" w:eastAsia="zh-CN" w:bidi="ar"/>
              </w:rPr>
              <w:t>ST</w:t>
            </w:r>
            <w:r>
              <w:rPr>
                <w:rFonts w:hint="eastAsia" w:ascii="宋体" w:hAnsi="宋体" w:eastAsia="宋体" w:cs="宋体"/>
                <w:i w:val="0"/>
                <w:iCs w:val="0"/>
                <w:color w:val="000000" w:themeColor="text1"/>
                <w:kern w:val="0"/>
                <w:sz w:val="18"/>
                <w:szCs w:val="18"/>
                <w:u w:val="none"/>
                <w:lang w:val="en-US" w:eastAsia="zh-CN" w:bidi="ar"/>
              </w:rPr>
              <w:t>段抬高型心肌梗死的抢</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宋体" w:hAnsi="宋体" w:eastAsia="宋体" w:cs="宋体"/>
                <w:i w:val="0"/>
                <w:iCs w:val="0"/>
                <w:color w:val="000000" w:themeColor="text1"/>
                <w:kern w:val="0"/>
                <w:sz w:val="18"/>
                <w:szCs w:val="18"/>
                <w:u w:val="none"/>
                <w:lang w:val="en-US" w:eastAsia="zh-CN" w:bidi="ar"/>
              </w:rPr>
              <w:t>床张三一的溶栓前后的护理。在考核模式下将自主操作，根据医嘱完成对心电图显示为</w:t>
            </w:r>
            <w:r>
              <w:rPr>
                <w:rFonts w:hint="default" w:ascii="Calibri" w:hAnsi="Calibri" w:eastAsia="宋体" w:cs="Calibri"/>
                <w:i w:val="0"/>
                <w:iCs w:val="0"/>
                <w:color w:val="000000" w:themeColor="text1"/>
                <w:kern w:val="0"/>
                <w:sz w:val="18"/>
                <w:szCs w:val="18"/>
                <w:u w:val="none"/>
                <w:lang w:val="en-US" w:eastAsia="zh-CN" w:bidi="ar"/>
              </w:rPr>
              <w:t>ST</w:t>
            </w:r>
            <w:r>
              <w:rPr>
                <w:rFonts w:hint="eastAsia" w:ascii="宋体" w:hAnsi="宋体" w:eastAsia="宋体" w:cs="宋体"/>
                <w:i w:val="0"/>
                <w:iCs w:val="0"/>
                <w:color w:val="000000" w:themeColor="text1"/>
                <w:kern w:val="0"/>
                <w:sz w:val="18"/>
                <w:szCs w:val="18"/>
                <w:u w:val="none"/>
                <w:lang w:val="en-US" w:eastAsia="zh-CN" w:bidi="ar"/>
              </w:rPr>
              <w:t>段抬高型心肌梗死的抢</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宋体" w:hAnsi="宋体" w:eastAsia="宋体" w:cs="宋体"/>
                <w:i w:val="0"/>
                <w:iCs w:val="0"/>
                <w:color w:val="000000" w:themeColor="text1"/>
                <w:kern w:val="0"/>
                <w:sz w:val="18"/>
                <w:szCs w:val="18"/>
                <w:u w:val="none"/>
                <w:lang w:val="en-US" w:eastAsia="zh-CN" w:bidi="ar"/>
              </w:rPr>
              <w:t>床张三一的溶栓前后的护理。护理操作包括：核对医嘱、静脉采血、超声心动图检查、呼叫医师、医嘱口服给药、静脉给药、病情观察、评估患者胸痛情况、心电图监测、复查</w:t>
            </w:r>
            <w:r>
              <w:rPr>
                <w:rFonts w:hint="default" w:ascii="Calibri" w:hAnsi="Calibri" w:eastAsia="宋体" w:cs="Calibri"/>
                <w:i w:val="0"/>
                <w:iCs w:val="0"/>
                <w:color w:val="000000" w:themeColor="text1"/>
                <w:kern w:val="0"/>
                <w:sz w:val="18"/>
                <w:szCs w:val="18"/>
                <w:u w:val="none"/>
                <w:lang w:val="en-US" w:eastAsia="zh-CN" w:bidi="ar"/>
              </w:rPr>
              <w:t>cTnI/CK-MB</w:t>
            </w:r>
            <w:r>
              <w:rPr>
                <w:rFonts w:hint="eastAsia" w:ascii="宋体" w:hAnsi="宋体" w:eastAsia="宋体" w:cs="宋体"/>
                <w:i w:val="0"/>
                <w:iCs w:val="0"/>
                <w:color w:val="000000" w:themeColor="text1"/>
                <w:kern w:val="0"/>
                <w:sz w:val="18"/>
                <w:szCs w:val="18"/>
                <w:u w:val="none"/>
                <w:lang w:val="en-US" w:eastAsia="zh-CN" w:bidi="ar"/>
              </w:rPr>
              <w:t>、溶栓前后报告单对比等操作。各步骤流程将根据标准进行记录判断，同时根据人文关怀要求进行相应分数的核对。</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3.3.5 PCI</w:t>
            </w:r>
            <w:r>
              <w:rPr>
                <w:rFonts w:hint="eastAsia" w:ascii="宋体" w:hAnsi="宋体" w:eastAsia="宋体" w:cs="宋体"/>
                <w:i w:val="0"/>
                <w:iCs w:val="0"/>
                <w:color w:val="000000" w:themeColor="text1"/>
                <w:kern w:val="0"/>
                <w:sz w:val="18"/>
                <w:szCs w:val="18"/>
                <w:u w:val="none"/>
                <w:lang w:val="en-US" w:eastAsia="zh-CN" w:bidi="ar"/>
              </w:rPr>
              <w:t>术前术后护理将以虚拟护士的用户形象出现，对虚拟病人（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）进行术前与术后的护理，在学习模式下，根据流程提示进行对应操作选择，依照医嘱完成对患者的</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术前、术后的护理。在考核模式下，将自主操作，根据医嘱完成对患者的</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术前、术后的护理。护理内容包括：（</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宋体" w:hAnsi="宋体" w:eastAsia="宋体" w:cs="宋体"/>
                <w:i w:val="0"/>
                <w:iCs w:val="0"/>
                <w:color w:val="000000" w:themeColor="text1"/>
                <w:kern w:val="0"/>
                <w:sz w:val="18"/>
                <w:szCs w:val="18"/>
                <w:u w:val="none"/>
                <w:lang w:val="en-US" w:eastAsia="zh-CN" w:bidi="ar"/>
              </w:rPr>
              <w:t>）急诊行</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术前的核对患者信息、核对医嘱、解释</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术施术目的、口服给药、相关注意事项及人文关怀的操作；（</w:t>
            </w:r>
            <w:r>
              <w:rPr>
                <w:rFonts w:hint="default" w:ascii="Calibri" w:hAnsi="Calibri" w:eastAsia="宋体" w:cs="Calibri"/>
                <w:i w:val="0"/>
                <w:iCs w:val="0"/>
                <w:color w:val="000000" w:themeColor="text1"/>
                <w:kern w:val="0"/>
                <w:sz w:val="18"/>
                <w:szCs w:val="18"/>
                <w:u w:val="none"/>
                <w:lang w:val="en-US" w:eastAsia="zh-CN" w:bidi="ar"/>
              </w:rPr>
              <w:t>2</w:t>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PCI</w:t>
            </w:r>
            <w:r>
              <w:rPr>
                <w:rFonts w:hint="eastAsia" w:ascii="宋体" w:hAnsi="宋体" w:eastAsia="宋体" w:cs="宋体"/>
                <w:i w:val="0"/>
                <w:iCs w:val="0"/>
                <w:color w:val="000000" w:themeColor="text1"/>
                <w:kern w:val="0"/>
                <w:sz w:val="18"/>
                <w:szCs w:val="18"/>
                <w:u w:val="none"/>
                <w:lang w:val="en-US" w:eastAsia="zh-CN" w:bidi="ar"/>
              </w:rPr>
              <w:t>术后返回</w:t>
            </w:r>
            <w:r>
              <w:rPr>
                <w:rFonts w:hint="default" w:ascii="Calibri" w:hAnsi="Calibri" w:eastAsia="宋体" w:cs="Calibri"/>
                <w:i w:val="0"/>
                <w:iCs w:val="0"/>
                <w:color w:val="000000" w:themeColor="text1"/>
                <w:kern w:val="0"/>
                <w:sz w:val="18"/>
                <w:szCs w:val="18"/>
                <w:u w:val="none"/>
                <w:lang w:val="en-US" w:eastAsia="zh-CN" w:bidi="ar"/>
              </w:rPr>
              <w:t>CCU</w:t>
            </w:r>
            <w:r>
              <w:rPr>
                <w:rFonts w:hint="eastAsia" w:ascii="宋体" w:hAnsi="宋体" w:eastAsia="宋体" w:cs="宋体"/>
                <w:i w:val="0"/>
                <w:iCs w:val="0"/>
                <w:color w:val="000000" w:themeColor="text1"/>
                <w:kern w:val="0"/>
                <w:sz w:val="18"/>
                <w:szCs w:val="18"/>
                <w:u w:val="none"/>
                <w:lang w:val="en-US" w:eastAsia="zh-CN" w:bidi="ar"/>
              </w:rPr>
              <w:t>，人文关怀、生命体征监测、执行医嘱、术后注意事项操作、术后病情观察等操作。并完成术后评估单的填写。</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3.4</w:t>
            </w:r>
            <w:r>
              <w:rPr>
                <w:rFonts w:hint="eastAsia" w:ascii="宋体" w:hAnsi="宋体" w:eastAsia="宋体" w:cs="宋体"/>
                <w:i w:val="0"/>
                <w:iCs w:val="0"/>
                <w:color w:val="000000" w:themeColor="text1"/>
                <w:kern w:val="0"/>
                <w:sz w:val="18"/>
                <w:szCs w:val="18"/>
                <w:u w:val="none"/>
                <w:lang w:val="en-US" w:eastAsia="zh-CN" w:bidi="ar"/>
              </w:rPr>
              <w:t>临床思维：</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3.4.1</w:t>
            </w:r>
            <w:r>
              <w:rPr>
                <w:rFonts w:hint="eastAsia" w:ascii="宋体" w:hAnsi="宋体" w:eastAsia="宋体" w:cs="宋体"/>
                <w:i w:val="0"/>
                <w:iCs w:val="0"/>
                <w:color w:val="000000" w:themeColor="text1"/>
                <w:kern w:val="0"/>
                <w:sz w:val="18"/>
                <w:szCs w:val="18"/>
                <w:u w:val="none"/>
                <w:lang w:val="en-US" w:eastAsia="zh-CN" w:bidi="ar"/>
              </w:rPr>
              <w:t>临床思维考站由心梗伴发心衰、心梗伴发休克、心梗伴发室颤组成，在学习模式下，根据流程提示进行对应操作选择，在考核模式下，将自主操作，各步骤流程将根据标准进行记录判断，同时根据人文关怀要求进行相应分数的核对。</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3.4.2</w:t>
            </w:r>
            <w:r>
              <w:rPr>
                <w:rFonts w:hint="eastAsia" w:ascii="宋体" w:hAnsi="宋体" w:eastAsia="宋体" w:cs="宋体"/>
                <w:i w:val="0"/>
                <w:iCs w:val="0"/>
                <w:color w:val="000000" w:themeColor="text1"/>
                <w:kern w:val="0"/>
                <w:sz w:val="18"/>
                <w:szCs w:val="18"/>
                <w:u w:val="none"/>
                <w:lang w:val="en-US" w:eastAsia="zh-CN" w:bidi="ar"/>
              </w:rPr>
              <w:t>心梗伴发心衰的护理将以虚拟护士的用户形象出现，在</w:t>
            </w:r>
            <w:r>
              <w:rPr>
                <w:rFonts w:hint="default" w:ascii="Calibri" w:hAnsi="Calibri" w:eastAsia="宋体" w:cs="Calibri"/>
                <w:i w:val="0"/>
                <w:iCs w:val="0"/>
                <w:color w:val="000000" w:themeColor="text1"/>
                <w:kern w:val="0"/>
                <w:sz w:val="18"/>
                <w:szCs w:val="18"/>
                <w:u w:val="none"/>
                <w:lang w:val="en-US" w:eastAsia="zh-CN" w:bidi="ar"/>
              </w:rPr>
              <w:t>CCU</w:t>
            </w:r>
            <w:r>
              <w:rPr>
                <w:rFonts w:hint="eastAsia" w:ascii="宋体" w:hAnsi="宋体" w:eastAsia="宋体" w:cs="宋体"/>
                <w:i w:val="0"/>
                <w:iCs w:val="0"/>
                <w:color w:val="000000" w:themeColor="text1"/>
                <w:kern w:val="0"/>
                <w:sz w:val="18"/>
                <w:szCs w:val="18"/>
                <w:u w:val="none"/>
                <w:lang w:val="en-US" w:eastAsia="zh-CN" w:bidi="ar"/>
              </w:rPr>
              <w:t>病房中对虚拟病人（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）进行护理诊断、人文关怀、体位调整、呼叫医生、遵医嘱给氧、给药。</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3.4.3</w:t>
            </w:r>
            <w:r>
              <w:rPr>
                <w:rFonts w:hint="eastAsia" w:ascii="宋体" w:hAnsi="宋体" w:eastAsia="宋体" w:cs="宋体"/>
                <w:i w:val="0"/>
                <w:iCs w:val="0"/>
                <w:color w:val="000000" w:themeColor="text1"/>
                <w:kern w:val="0"/>
                <w:sz w:val="18"/>
                <w:szCs w:val="18"/>
                <w:u w:val="none"/>
                <w:lang w:val="en-US" w:eastAsia="zh-CN" w:bidi="ar"/>
              </w:rPr>
              <w:t>心梗伴发休克的护理将以虚拟护士的用户形象出现，在</w:t>
            </w:r>
            <w:r>
              <w:rPr>
                <w:rFonts w:hint="default" w:ascii="Calibri" w:hAnsi="Calibri" w:eastAsia="宋体" w:cs="Calibri"/>
                <w:i w:val="0"/>
                <w:iCs w:val="0"/>
                <w:color w:val="000000" w:themeColor="text1"/>
                <w:kern w:val="0"/>
                <w:sz w:val="18"/>
                <w:szCs w:val="18"/>
                <w:u w:val="none"/>
                <w:lang w:val="en-US" w:eastAsia="zh-CN" w:bidi="ar"/>
              </w:rPr>
              <w:t>CCU</w:t>
            </w:r>
            <w:r>
              <w:rPr>
                <w:rFonts w:hint="eastAsia" w:ascii="宋体" w:hAnsi="宋体" w:eastAsia="宋体" w:cs="宋体"/>
                <w:i w:val="0"/>
                <w:iCs w:val="0"/>
                <w:color w:val="000000" w:themeColor="text1"/>
                <w:kern w:val="0"/>
                <w:sz w:val="18"/>
                <w:szCs w:val="18"/>
                <w:u w:val="none"/>
                <w:lang w:val="en-US" w:eastAsia="zh-CN" w:bidi="ar"/>
              </w:rPr>
              <w:t>病房中对虚拟病人（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）进行护理诊断、体位调整、给氧、呼叫医生、遵医嘱给氧、给药。</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3.4.4</w:t>
            </w:r>
            <w:r>
              <w:rPr>
                <w:rFonts w:hint="eastAsia" w:ascii="宋体" w:hAnsi="宋体" w:eastAsia="宋体" w:cs="宋体"/>
                <w:i w:val="0"/>
                <w:iCs w:val="0"/>
                <w:color w:val="000000" w:themeColor="text1"/>
                <w:kern w:val="0"/>
                <w:sz w:val="18"/>
                <w:szCs w:val="18"/>
                <w:u w:val="none"/>
                <w:lang w:val="en-US" w:eastAsia="zh-CN" w:bidi="ar"/>
              </w:rPr>
              <w:t>心梗伴发室颤的护理将以虚拟护士的用户形象出现，在</w:t>
            </w:r>
            <w:r>
              <w:rPr>
                <w:rFonts w:hint="default" w:ascii="Calibri" w:hAnsi="Calibri" w:eastAsia="宋体" w:cs="Calibri"/>
                <w:i w:val="0"/>
                <w:iCs w:val="0"/>
                <w:color w:val="000000" w:themeColor="text1"/>
                <w:kern w:val="0"/>
                <w:sz w:val="18"/>
                <w:szCs w:val="18"/>
                <w:u w:val="none"/>
                <w:lang w:val="en-US" w:eastAsia="zh-CN" w:bidi="ar"/>
              </w:rPr>
              <w:t>CCU</w:t>
            </w:r>
            <w:r>
              <w:rPr>
                <w:rFonts w:hint="eastAsia" w:ascii="宋体" w:hAnsi="宋体" w:eastAsia="宋体" w:cs="宋体"/>
                <w:i w:val="0"/>
                <w:iCs w:val="0"/>
                <w:color w:val="000000" w:themeColor="text1"/>
                <w:kern w:val="0"/>
                <w:sz w:val="18"/>
                <w:szCs w:val="18"/>
                <w:u w:val="none"/>
                <w:lang w:val="en-US" w:eastAsia="zh-CN" w:bidi="ar"/>
              </w:rPr>
              <w:t>病房中对虚拟病人（</w:t>
            </w:r>
            <w:r>
              <w:rPr>
                <w:rFonts w:hint="default" w:ascii="Calibri" w:hAnsi="Calibri" w:eastAsia="宋体" w:cs="Calibri"/>
                <w:i w:val="0"/>
                <w:iCs w:val="0"/>
                <w:color w:val="000000" w:themeColor="text1"/>
                <w:kern w:val="0"/>
                <w:sz w:val="18"/>
                <w:szCs w:val="18"/>
                <w:u w:val="none"/>
                <w:lang w:val="en-US" w:eastAsia="zh-CN" w:bidi="ar"/>
              </w:rPr>
              <w:t>VSP</w:t>
            </w:r>
            <w:r>
              <w:rPr>
                <w:rFonts w:hint="eastAsia" w:ascii="宋体" w:hAnsi="宋体" w:eastAsia="宋体" w:cs="宋体"/>
                <w:i w:val="0"/>
                <w:iCs w:val="0"/>
                <w:color w:val="000000" w:themeColor="text1"/>
                <w:kern w:val="0"/>
                <w:sz w:val="18"/>
                <w:szCs w:val="18"/>
                <w:u w:val="none"/>
                <w:lang w:val="en-US" w:eastAsia="zh-CN" w:bidi="ar"/>
              </w:rPr>
              <w:t>）进行护理诊断、呼叫抢救成员、抢救时间记录、进行抢救、进行除颤、抢救后评估、人文关怀。</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3.5</w:t>
            </w:r>
            <w:r>
              <w:rPr>
                <w:rFonts w:hint="eastAsia" w:ascii="宋体" w:hAnsi="宋体" w:eastAsia="宋体" w:cs="宋体"/>
                <w:i w:val="0"/>
                <w:iCs w:val="0"/>
                <w:color w:val="000000" w:themeColor="text1"/>
                <w:kern w:val="0"/>
                <w:sz w:val="18"/>
                <w:szCs w:val="18"/>
                <w:u w:val="none"/>
                <w:lang w:val="en-US" w:eastAsia="zh-CN" w:bidi="ar"/>
              </w:rPr>
              <w:t>健康教育</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3.5.1</w:t>
            </w:r>
            <w:r>
              <w:rPr>
                <w:rFonts w:hint="eastAsia" w:ascii="宋体" w:hAnsi="宋体" w:eastAsia="宋体" w:cs="宋体"/>
                <w:i w:val="0"/>
                <w:iCs w:val="0"/>
                <w:color w:val="000000" w:themeColor="text1"/>
                <w:kern w:val="0"/>
                <w:sz w:val="18"/>
                <w:szCs w:val="18"/>
                <w:u w:val="none"/>
                <w:lang w:val="en-US" w:eastAsia="zh-CN" w:bidi="ar"/>
              </w:rPr>
              <w:t>健康教育考站中学生在学习模式下，根据流程提示进行对应操作选择，在考核模式下，将自主操作，各步骤流程将根据标准进行记录判断，同时根据人文关怀要求进行相应分数的核对。</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3.5.2</w:t>
            </w:r>
            <w:r>
              <w:rPr>
                <w:rFonts w:hint="eastAsia" w:ascii="宋体" w:hAnsi="宋体" w:eastAsia="宋体" w:cs="宋体"/>
                <w:i w:val="0"/>
                <w:iCs w:val="0"/>
                <w:color w:val="000000" w:themeColor="text1"/>
                <w:kern w:val="0"/>
                <w:sz w:val="18"/>
                <w:szCs w:val="18"/>
                <w:u w:val="none"/>
                <w:lang w:val="en-US" w:eastAsia="zh-CN" w:bidi="ar"/>
              </w:rPr>
              <w:t>健康教育中学生将以虚拟护士的用户形象出现，根据冠心病的二级预防对冠心病患者进行健康教育。内容包括：用药指导、饮食指导、运动指导、血压体重数据范围科普、戒烟宣教、血糖控制宣教、其他相关知识点的普及。</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2187338F">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ign w:val="center"/>
          </w:tcPr>
          <w:p w14:paraId="7E6000C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779FA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2BD6416A">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eastAsia" w:eastAsia="宋体" w:cs="Calibri"/>
                <w:i w:val="0"/>
                <w:iCs w:val="0"/>
                <w:color w:val="000000" w:themeColor="text1"/>
                <w:kern w:val="0"/>
                <w:sz w:val="21"/>
                <w:szCs w:val="21"/>
                <w:u w:val="none"/>
                <w:lang w:val="en-US" w:eastAsia="zh-CN" w:bidi="ar"/>
              </w:rPr>
              <w:t>3</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4A9AD0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rPr>
            </w:pPr>
            <w:r>
              <w:rPr>
                <w:rFonts w:hint="eastAsia" w:ascii="宋体" w:hAnsi="宋体" w:eastAsia="宋体" w:cs="宋体"/>
                <w:i w:val="0"/>
                <w:iCs w:val="0"/>
                <w:color w:val="000000" w:themeColor="text1"/>
                <w:kern w:val="0"/>
                <w:sz w:val="20"/>
                <w:szCs w:val="20"/>
                <w:u w:val="none"/>
                <w:lang w:val="en-US" w:eastAsia="zh-CN" w:bidi="ar"/>
              </w:rPr>
              <w:t>成人急救心肺复苏虚拟VR训练系统</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01A31F86">
            <w:pPr>
              <w:keepNext w:val="0"/>
              <w:keepLines w:val="0"/>
              <w:widowControl/>
              <w:numPr>
                <w:ilvl w:val="0"/>
                <w:numId w:val="12"/>
              </w:numPr>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软件功能：</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1.1</w:t>
            </w:r>
            <w:r>
              <w:rPr>
                <w:rFonts w:hint="eastAsia" w:ascii="宋体" w:hAnsi="宋体" w:eastAsia="宋体" w:cs="宋体"/>
                <w:i w:val="0"/>
                <w:iCs w:val="0"/>
                <w:color w:val="000000" w:themeColor="text1"/>
                <w:kern w:val="0"/>
                <w:sz w:val="18"/>
                <w:szCs w:val="18"/>
                <w:u w:val="none"/>
                <w:lang w:val="en-US" w:eastAsia="zh-CN" w:bidi="ar"/>
              </w:rPr>
              <w:t>、院内心肺复苏</w:t>
            </w:r>
            <w:r>
              <w:rPr>
                <w:rFonts w:hint="default" w:ascii="Calibri" w:hAnsi="Calibri" w:eastAsia="宋体" w:cs="Calibri"/>
                <w:i w:val="0"/>
                <w:iCs w:val="0"/>
                <w:color w:val="000000" w:themeColor="text1"/>
                <w:kern w:val="0"/>
                <w:sz w:val="18"/>
                <w:szCs w:val="18"/>
                <w:u w:val="none"/>
                <w:lang w:val="en-US" w:eastAsia="zh-CN" w:bidi="ar"/>
              </w:rPr>
              <w:t>VR</w:t>
            </w:r>
            <w:r>
              <w:rPr>
                <w:rFonts w:hint="eastAsia" w:ascii="宋体" w:hAnsi="宋体" w:eastAsia="宋体" w:cs="宋体"/>
                <w:i w:val="0"/>
                <w:iCs w:val="0"/>
                <w:color w:val="000000" w:themeColor="text1"/>
                <w:kern w:val="0"/>
                <w:sz w:val="18"/>
                <w:szCs w:val="18"/>
                <w:u w:val="none"/>
                <w:lang w:val="en-US" w:eastAsia="zh-CN" w:bidi="ar"/>
              </w:rPr>
              <w:t>虚拟仿真软件采用三维仿真技术，把真实病房三维虚拟模拟，操作者可以进入一个完全虚拟的病房，和真实世界中一样对各种操作器械进行交互式操作，软件在电脑加载运行，通过手指操作和佩戴</w:t>
            </w:r>
            <w:r>
              <w:rPr>
                <w:rFonts w:hint="default" w:ascii="Calibri" w:hAnsi="Calibri" w:eastAsia="宋体" w:cs="Calibri"/>
                <w:i w:val="0"/>
                <w:iCs w:val="0"/>
                <w:color w:val="000000" w:themeColor="text1"/>
                <w:kern w:val="0"/>
                <w:sz w:val="18"/>
                <w:szCs w:val="18"/>
                <w:u w:val="none"/>
                <w:lang w:val="en-US" w:eastAsia="zh-CN" w:bidi="ar"/>
              </w:rPr>
              <w:t>VR</w:t>
            </w:r>
            <w:r>
              <w:rPr>
                <w:rFonts w:hint="eastAsia" w:ascii="宋体" w:hAnsi="宋体" w:eastAsia="宋体" w:cs="宋体"/>
                <w:i w:val="0"/>
                <w:iCs w:val="0"/>
                <w:color w:val="000000" w:themeColor="text1"/>
                <w:kern w:val="0"/>
                <w:sz w:val="18"/>
                <w:szCs w:val="18"/>
                <w:u w:val="none"/>
                <w:lang w:val="en-US" w:eastAsia="zh-CN" w:bidi="ar"/>
              </w:rPr>
              <w:t>头盔，进行沉浸式的虚拟交互操作。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1.2</w:t>
            </w:r>
            <w:r>
              <w:rPr>
                <w:rFonts w:hint="eastAsia" w:ascii="宋体" w:hAnsi="宋体" w:eastAsia="宋体" w:cs="宋体"/>
                <w:i w:val="0"/>
                <w:iCs w:val="0"/>
                <w:color w:val="000000" w:themeColor="text1"/>
                <w:kern w:val="0"/>
                <w:sz w:val="18"/>
                <w:szCs w:val="18"/>
                <w:u w:val="none"/>
                <w:lang w:val="en-US" w:eastAsia="zh-CN" w:bidi="ar"/>
              </w:rPr>
              <w:t>、手指的交互性：可以精确的定位手指的运动从而实现用双手操控虚拟世界的三维对象，直接用手抓取虚拟现实世界中的物品来完成相应的操作。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1.3</w:t>
            </w:r>
            <w:r>
              <w:rPr>
                <w:rFonts w:hint="eastAsia" w:ascii="宋体" w:hAnsi="宋体" w:eastAsia="宋体" w:cs="宋体"/>
                <w:i w:val="0"/>
                <w:iCs w:val="0"/>
                <w:color w:val="000000" w:themeColor="text1"/>
                <w:kern w:val="0"/>
                <w:sz w:val="18"/>
                <w:szCs w:val="18"/>
                <w:u w:val="none"/>
                <w:lang w:val="en-US" w:eastAsia="zh-CN" w:bidi="ar"/>
              </w:rPr>
              <w:t>、答题系统：对每一步的操作或问题进行判断，结束后显示用时时间和得分详情。</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1.4</w:t>
            </w:r>
            <w:r>
              <w:rPr>
                <w:rFonts w:hint="eastAsia" w:ascii="宋体" w:hAnsi="宋体" w:eastAsia="宋体" w:cs="宋体"/>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3D</w:t>
            </w:r>
            <w:r>
              <w:rPr>
                <w:rFonts w:hint="eastAsia" w:ascii="宋体" w:hAnsi="宋体" w:eastAsia="宋体" w:cs="宋体"/>
                <w:i w:val="0"/>
                <w:iCs w:val="0"/>
                <w:color w:val="000000" w:themeColor="text1"/>
                <w:kern w:val="0"/>
                <w:sz w:val="18"/>
                <w:szCs w:val="18"/>
                <w:u w:val="none"/>
                <w:lang w:val="en-US" w:eastAsia="zh-CN" w:bidi="ar"/>
              </w:rPr>
              <w:t>六自由度功能：操作者可以在虚拟空间内，任意的走动，弯腰等，</w:t>
            </w:r>
            <w:r>
              <w:rPr>
                <w:rFonts w:hint="default" w:ascii="Calibri" w:hAnsi="Calibri" w:eastAsia="宋体" w:cs="Calibri"/>
                <w:i w:val="0"/>
                <w:iCs w:val="0"/>
                <w:color w:val="000000" w:themeColor="text1"/>
                <w:kern w:val="0"/>
                <w:sz w:val="18"/>
                <w:szCs w:val="18"/>
                <w:u w:val="none"/>
                <w:lang w:val="en-US" w:eastAsia="zh-CN" w:bidi="ar"/>
              </w:rPr>
              <w:t>360</w:t>
            </w:r>
            <w:r>
              <w:rPr>
                <w:rFonts w:hint="eastAsia" w:ascii="宋体" w:hAnsi="宋体" w:eastAsia="宋体" w:cs="宋体"/>
                <w:i w:val="0"/>
                <w:iCs w:val="0"/>
                <w:color w:val="000000" w:themeColor="text1"/>
                <w:kern w:val="0"/>
                <w:sz w:val="18"/>
                <w:szCs w:val="18"/>
                <w:u w:val="none"/>
                <w:lang w:val="en-US" w:eastAsia="zh-CN" w:bidi="ar"/>
              </w:rPr>
              <w:t>度任意视角查看细节。</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1.5</w:t>
            </w:r>
            <w:r>
              <w:rPr>
                <w:rFonts w:hint="eastAsia" w:ascii="宋体" w:hAnsi="宋体" w:eastAsia="宋体" w:cs="宋体"/>
                <w:i w:val="0"/>
                <w:iCs w:val="0"/>
                <w:color w:val="000000" w:themeColor="text1"/>
                <w:kern w:val="0"/>
                <w:sz w:val="18"/>
                <w:szCs w:val="18"/>
                <w:u w:val="none"/>
                <w:lang w:val="en-US" w:eastAsia="zh-CN" w:bidi="ar"/>
              </w:rPr>
              <w:t>、语音讲解：全程中有实时语音的提示功能，可引导操作者操作。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1.6</w:t>
            </w:r>
            <w:r>
              <w:rPr>
                <w:rFonts w:hint="eastAsia" w:ascii="宋体" w:hAnsi="宋体" w:eastAsia="宋体" w:cs="宋体"/>
                <w:i w:val="0"/>
                <w:iCs w:val="0"/>
                <w:color w:val="000000" w:themeColor="text1"/>
                <w:kern w:val="0"/>
                <w:sz w:val="18"/>
                <w:szCs w:val="18"/>
                <w:u w:val="none"/>
                <w:lang w:val="en-US" w:eastAsia="zh-CN" w:bidi="ar"/>
              </w:rPr>
              <w:t>、功能菜单：包括开始、重置、关闭、透视按钮。</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1.7</w:t>
            </w:r>
            <w:r>
              <w:rPr>
                <w:rFonts w:hint="eastAsia" w:ascii="宋体" w:hAnsi="宋体" w:eastAsia="宋体" w:cs="宋体"/>
                <w:i w:val="0"/>
                <w:iCs w:val="0"/>
                <w:color w:val="000000" w:themeColor="text1"/>
                <w:kern w:val="0"/>
                <w:sz w:val="18"/>
                <w:szCs w:val="18"/>
                <w:u w:val="none"/>
                <w:lang w:val="en-US" w:eastAsia="zh-CN" w:bidi="ar"/>
              </w:rPr>
              <w:t>、透视视角：通过透视患者体内状态，清楚地查看病人内部三维结构的变化情况。</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w:t>
            </w:r>
            <w:r>
              <w:rPr>
                <w:rFonts w:hint="eastAsia" w:ascii="宋体" w:hAnsi="宋体" w:eastAsia="宋体" w:cs="宋体"/>
                <w:i w:val="0"/>
                <w:iCs w:val="0"/>
                <w:color w:val="000000" w:themeColor="text1"/>
                <w:kern w:val="0"/>
                <w:sz w:val="18"/>
                <w:szCs w:val="18"/>
                <w:u w:val="none"/>
                <w:lang w:val="en-US" w:eastAsia="zh-CN" w:bidi="ar"/>
              </w:rPr>
              <w:t>、系统参数：</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w:t>
            </w:r>
            <w:r>
              <w:rPr>
                <w:rFonts w:hint="eastAsia" w:ascii="宋体" w:hAnsi="宋体" w:eastAsia="宋体" w:cs="宋体"/>
                <w:i w:val="0"/>
                <w:iCs w:val="0"/>
                <w:color w:val="000000" w:themeColor="text1"/>
                <w:kern w:val="0"/>
                <w:sz w:val="18"/>
                <w:szCs w:val="18"/>
                <w:u w:val="none"/>
                <w:lang w:val="en-US" w:eastAsia="zh-CN" w:bidi="ar"/>
              </w:rPr>
              <w:t>、判断患者意识：操作者用双眼观察患者是否有意识并使用手指直接选择相应的问题答案。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2.2</w:t>
            </w:r>
            <w:r>
              <w:rPr>
                <w:rFonts w:hint="eastAsia" w:ascii="宋体" w:hAnsi="宋体" w:eastAsia="宋体" w:cs="宋体"/>
                <w:i w:val="0"/>
                <w:iCs w:val="0"/>
                <w:color w:val="000000" w:themeColor="text1"/>
                <w:kern w:val="0"/>
                <w:sz w:val="18"/>
                <w:szCs w:val="18"/>
                <w:u w:val="none"/>
                <w:lang w:val="en-US" w:eastAsia="zh-CN" w:bidi="ar"/>
              </w:rPr>
              <w:t>、判断呼吸：操作者使用双手检查患者大动脉搏动处，检查结束使用手指直接选择相应的问题答案。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2.3</w:t>
            </w:r>
            <w:r>
              <w:rPr>
                <w:rFonts w:hint="eastAsia" w:ascii="宋体" w:hAnsi="宋体" w:eastAsia="宋体" w:cs="宋体"/>
                <w:i w:val="0"/>
                <w:iCs w:val="0"/>
                <w:color w:val="000000" w:themeColor="text1"/>
                <w:kern w:val="0"/>
                <w:sz w:val="18"/>
                <w:szCs w:val="18"/>
                <w:u w:val="none"/>
                <w:lang w:val="en-US" w:eastAsia="zh-CN" w:bidi="ar"/>
              </w:rPr>
              <w:t>、呼叫：操作者使用双手拾取呼叫器进行呼叫。</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2.4</w:t>
            </w:r>
            <w:r>
              <w:rPr>
                <w:rFonts w:hint="eastAsia" w:ascii="宋体" w:hAnsi="宋体" w:eastAsia="宋体" w:cs="宋体"/>
                <w:i w:val="0"/>
                <w:iCs w:val="0"/>
                <w:color w:val="000000" w:themeColor="text1"/>
                <w:kern w:val="0"/>
                <w:sz w:val="18"/>
                <w:szCs w:val="18"/>
                <w:u w:val="none"/>
                <w:lang w:val="en-US" w:eastAsia="zh-CN" w:bidi="ar"/>
              </w:rPr>
              <w:t>、判断患者体位：操作者使用手指直接选择相应的问题答案。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2.5</w:t>
            </w:r>
            <w:r>
              <w:rPr>
                <w:rFonts w:hint="eastAsia" w:ascii="宋体" w:hAnsi="宋体" w:eastAsia="宋体" w:cs="宋体"/>
                <w:i w:val="0"/>
                <w:iCs w:val="0"/>
                <w:color w:val="000000" w:themeColor="text1"/>
                <w:kern w:val="0"/>
                <w:sz w:val="18"/>
                <w:szCs w:val="18"/>
                <w:u w:val="none"/>
                <w:lang w:val="en-US" w:eastAsia="zh-CN" w:bidi="ar"/>
              </w:rPr>
              <w:t>、去枕：操作者使用双手拾取枕头放到旁边并使用手指直接选择相应的问题答案。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2.6</w:t>
            </w:r>
            <w:r>
              <w:rPr>
                <w:rFonts w:hint="eastAsia" w:ascii="宋体" w:hAnsi="宋体" w:eastAsia="宋体" w:cs="宋体"/>
                <w:i w:val="0"/>
                <w:iCs w:val="0"/>
                <w:color w:val="000000" w:themeColor="text1"/>
                <w:kern w:val="0"/>
                <w:sz w:val="18"/>
                <w:szCs w:val="18"/>
                <w:u w:val="none"/>
                <w:lang w:val="en-US" w:eastAsia="zh-CN" w:bidi="ar"/>
              </w:rPr>
              <w:t>、解开患者衣物：操作者使用双手解开患者的衣物。</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2.7</w:t>
            </w:r>
            <w:r>
              <w:rPr>
                <w:rFonts w:hint="eastAsia" w:ascii="宋体" w:hAnsi="宋体" w:eastAsia="宋体" w:cs="宋体"/>
                <w:i w:val="0"/>
                <w:iCs w:val="0"/>
                <w:color w:val="000000" w:themeColor="text1"/>
                <w:kern w:val="0"/>
                <w:sz w:val="18"/>
                <w:szCs w:val="18"/>
                <w:u w:val="none"/>
                <w:lang w:val="en-US" w:eastAsia="zh-CN" w:bidi="ar"/>
              </w:rPr>
              <w:t>、按压：操作者使用双手进行胸外按压，按压过程中可清楚的看见胸廓的起伏以及可通过透视视角透视患者胸腔，能实时看清胸部内部心脏跳动变化。</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2.8</w:t>
            </w:r>
            <w:r>
              <w:rPr>
                <w:rFonts w:hint="eastAsia" w:ascii="宋体" w:hAnsi="宋体" w:eastAsia="宋体" w:cs="宋体"/>
                <w:i w:val="0"/>
                <w:iCs w:val="0"/>
                <w:color w:val="000000" w:themeColor="text1"/>
                <w:kern w:val="0"/>
                <w:sz w:val="18"/>
                <w:szCs w:val="18"/>
                <w:u w:val="none"/>
                <w:lang w:val="en-US" w:eastAsia="zh-CN" w:bidi="ar"/>
              </w:rPr>
              <w:t>检查口腔：操作者使用双手进行检查口腔的操作，并使用双手直接拾取纱布进行清除口腔分泌物。</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2.9</w:t>
            </w:r>
            <w:r>
              <w:rPr>
                <w:rFonts w:hint="eastAsia" w:ascii="宋体" w:hAnsi="宋体" w:eastAsia="宋体" w:cs="宋体"/>
                <w:i w:val="0"/>
                <w:iCs w:val="0"/>
                <w:color w:val="000000" w:themeColor="text1"/>
                <w:kern w:val="0"/>
                <w:sz w:val="18"/>
                <w:szCs w:val="18"/>
                <w:u w:val="none"/>
                <w:lang w:val="en-US" w:eastAsia="zh-CN" w:bidi="ar"/>
              </w:rPr>
              <w:t>、开放气道：操作者使用手指直接选择相应的问题答案并使用双手进行开放气道的操作。</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2.10</w:t>
            </w:r>
            <w:r>
              <w:rPr>
                <w:rFonts w:hint="eastAsia" w:ascii="宋体" w:hAnsi="宋体" w:eastAsia="宋体" w:cs="宋体"/>
                <w:i w:val="0"/>
                <w:iCs w:val="0"/>
                <w:color w:val="000000" w:themeColor="text1"/>
                <w:kern w:val="0"/>
                <w:sz w:val="18"/>
                <w:szCs w:val="18"/>
                <w:u w:val="none"/>
                <w:lang w:val="en-US" w:eastAsia="zh-CN" w:bidi="ar"/>
              </w:rPr>
              <w:t>、人工呼吸：操作者使用双手捏住患者鼻子进行人工呼吸。</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2.11</w:t>
            </w:r>
            <w:r>
              <w:rPr>
                <w:rFonts w:hint="eastAsia" w:ascii="宋体" w:hAnsi="宋体" w:eastAsia="宋体" w:cs="宋体"/>
                <w:i w:val="0"/>
                <w:iCs w:val="0"/>
                <w:color w:val="000000" w:themeColor="text1"/>
                <w:kern w:val="0"/>
                <w:sz w:val="18"/>
                <w:szCs w:val="18"/>
                <w:u w:val="none"/>
                <w:lang w:val="en-US" w:eastAsia="zh-CN" w:bidi="ar"/>
              </w:rPr>
              <w:t>、判断自主呼吸：操作者使用双手检查患者大动脉搏动处，检查结束使用手指直接选择相应的问题答案。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2.12</w:t>
            </w:r>
            <w:r>
              <w:rPr>
                <w:rFonts w:hint="eastAsia" w:ascii="宋体" w:hAnsi="宋体" w:eastAsia="宋体" w:cs="宋体"/>
                <w:i w:val="0"/>
                <w:iCs w:val="0"/>
                <w:color w:val="000000" w:themeColor="text1"/>
                <w:kern w:val="0"/>
                <w:sz w:val="18"/>
                <w:szCs w:val="18"/>
                <w:u w:val="none"/>
                <w:lang w:val="en-US" w:eastAsia="zh-CN" w:bidi="ar"/>
              </w:rPr>
              <w:t>、瞳孔检查：操作者使用双手拾取手电筒对患者进行对光反射的检查，并使用手指直接选择相应的问题答案。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2.13</w:t>
            </w:r>
            <w:r>
              <w:rPr>
                <w:rFonts w:hint="eastAsia" w:ascii="宋体" w:hAnsi="宋体" w:eastAsia="宋体" w:cs="宋体"/>
                <w:i w:val="0"/>
                <w:iCs w:val="0"/>
                <w:color w:val="000000" w:themeColor="text1"/>
                <w:kern w:val="0"/>
                <w:sz w:val="18"/>
                <w:szCs w:val="18"/>
                <w:u w:val="none"/>
                <w:lang w:val="en-US" w:eastAsia="zh-CN" w:bidi="ar"/>
              </w:rPr>
              <w:t>、血压检查：操作者使用双手拾取血压计对患者进行血压的测量，并使用手指直接选择相应的问题答案。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2.14</w:t>
            </w:r>
            <w:r>
              <w:rPr>
                <w:rFonts w:hint="eastAsia" w:ascii="宋体" w:hAnsi="宋体" w:eastAsia="宋体" w:cs="宋体"/>
                <w:i w:val="0"/>
                <w:iCs w:val="0"/>
                <w:color w:val="000000" w:themeColor="text1"/>
                <w:kern w:val="0"/>
                <w:sz w:val="18"/>
                <w:szCs w:val="18"/>
                <w:u w:val="none"/>
                <w:lang w:val="en-US" w:eastAsia="zh-CN" w:bidi="ar"/>
              </w:rPr>
              <w:t>、检查患者皮肤色泽：操作者用双眼观察患者皮肤色泽并使用手指直接选择相应的问题答案。</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2.15</w:t>
            </w:r>
            <w:r>
              <w:rPr>
                <w:rFonts w:hint="eastAsia" w:ascii="宋体" w:hAnsi="宋体" w:eastAsia="宋体" w:cs="宋体"/>
                <w:i w:val="0"/>
                <w:iCs w:val="0"/>
                <w:color w:val="000000" w:themeColor="text1"/>
                <w:kern w:val="0"/>
                <w:sz w:val="18"/>
                <w:szCs w:val="18"/>
                <w:u w:val="none"/>
                <w:lang w:val="en-US" w:eastAsia="zh-CN" w:bidi="ar"/>
              </w:rPr>
              <w:t>、整理用物：操作者将所有用物分类放置即可。</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2.16</w:t>
            </w:r>
            <w:r>
              <w:rPr>
                <w:rFonts w:hint="eastAsia" w:ascii="宋体" w:hAnsi="宋体" w:eastAsia="宋体" w:cs="宋体"/>
                <w:i w:val="0"/>
                <w:iCs w:val="0"/>
                <w:color w:val="000000" w:themeColor="text1"/>
                <w:kern w:val="0"/>
                <w:sz w:val="18"/>
                <w:szCs w:val="18"/>
                <w:u w:val="none"/>
                <w:lang w:val="en-US" w:eastAsia="zh-CN" w:bidi="ar"/>
              </w:rPr>
              <w:t>、六步洗手：操作者使用手消液进行六步洗手。</w:t>
            </w:r>
            <w:r>
              <w:rPr>
                <w:rFonts w:hint="default" w:ascii="Calibri" w:hAnsi="Calibri" w:eastAsia="宋体" w:cs="Calibri"/>
                <w:i w:val="0"/>
                <w:iCs w:val="0"/>
                <w:color w:val="000000" w:themeColor="text1"/>
                <w:kern w:val="0"/>
                <w:sz w:val="18"/>
                <w:szCs w:val="18"/>
                <w:u w:val="none"/>
                <w:lang w:val="en-US" w:eastAsia="zh-CN" w:bidi="ar"/>
              </w:rPr>
              <w:br w:type="textWrapping"/>
            </w:r>
            <w:r>
              <w:rPr>
                <w:rFonts w:hint="default" w:ascii="Calibri" w:hAnsi="Calibri" w:eastAsia="宋体" w:cs="Calibri"/>
                <w:i w:val="0"/>
                <w:iCs w:val="0"/>
                <w:color w:val="000000" w:themeColor="text1"/>
                <w:kern w:val="0"/>
                <w:sz w:val="18"/>
                <w:szCs w:val="18"/>
                <w:u w:val="none"/>
                <w:lang w:val="en-US" w:eastAsia="zh-CN" w:bidi="ar"/>
              </w:rPr>
              <w:t>2.17</w:t>
            </w:r>
            <w:r>
              <w:rPr>
                <w:rFonts w:hint="eastAsia" w:ascii="宋体" w:hAnsi="宋体" w:eastAsia="宋体" w:cs="宋体"/>
                <w:i w:val="0"/>
                <w:iCs w:val="0"/>
                <w:color w:val="000000" w:themeColor="text1"/>
                <w:kern w:val="0"/>
                <w:sz w:val="18"/>
                <w:szCs w:val="18"/>
                <w:u w:val="none"/>
                <w:lang w:val="en-US" w:eastAsia="zh-CN" w:bidi="ar"/>
              </w:rPr>
              <w:t>、记录：操作者使用双手拾取记录单进行记录。</w:t>
            </w:r>
          </w:p>
          <w:p w14:paraId="678E2E77">
            <w:pPr>
              <w:keepNext w:val="0"/>
              <w:keepLines w:val="0"/>
              <w:widowControl/>
              <w:numPr>
                <w:ilvl w:val="0"/>
                <w:numId w:val="0"/>
              </w:numPr>
              <w:suppressLineNumbers w:val="0"/>
              <w:ind w:leftChars="0"/>
              <w:jc w:val="left"/>
              <w:textAlignment w:val="center"/>
              <w:rPr>
                <w:rFonts w:hint="eastAsia"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3、模拟人参数要求</w:t>
            </w:r>
          </w:p>
          <w:p w14:paraId="6C589F09">
            <w:pPr>
              <w:keepNext w:val="0"/>
              <w:keepLines w:val="0"/>
              <w:widowControl/>
              <w:numPr>
                <w:ilvl w:val="0"/>
                <w:numId w:val="0"/>
              </w:numPr>
              <w:suppressLineNumbers w:val="0"/>
              <w:ind w:leftChars="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3.1、</w:t>
            </w:r>
            <w:r>
              <w:rPr>
                <w:rFonts w:hint="default" w:ascii="Calibri" w:hAnsi="Calibri" w:eastAsia="宋体" w:cs="Calibri"/>
                <w:i w:val="0"/>
                <w:iCs w:val="0"/>
                <w:color w:val="000000" w:themeColor="text1"/>
                <w:kern w:val="0"/>
                <w:sz w:val="18"/>
                <w:szCs w:val="18"/>
                <w:u w:val="none"/>
                <w:lang w:val="en-US" w:eastAsia="zh-CN" w:bidi="ar"/>
              </w:rPr>
              <w:t>要求模拟人具有真实的解剖结构,和真实的按压手感，可按压50万次以上；</w:t>
            </w:r>
          </w:p>
          <w:p w14:paraId="0B072A62">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正确的头后仰/压额抬下颌动作才可以打开气道；</w:t>
            </w:r>
          </w:p>
          <w:p w14:paraId="61046DE3">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模拟人的胸部硬度要求有3种选择，分别为30公斤、50公斤和60公斤体重；并可方便的进行男、女和少年胸部硬度的更换；</w:t>
            </w:r>
            <w:r>
              <w:rPr>
                <w:rFonts w:hint="eastAsia" w:ascii="Calibri" w:hAnsi="Calibri" w:eastAsia="宋体" w:cs="Calibri"/>
                <w:i w:val="0"/>
                <w:iCs w:val="0"/>
                <w:color w:val="000000" w:themeColor="text1"/>
                <w:kern w:val="0"/>
                <w:sz w:val="18"/>
                <w:szCs w:val="18"/>
                <w:u w:val="none"/>
                <w:lang w:val="en-US" w:eastAsia="zh-CN" w:bidi="ar"/>
              </w:rPr>
              <w:t>（投标时需带样品对该条参数功能进行演示，未带样品或未能演示出参数功能则该条参数项不得分）</w:t>
            </w:r>
          </w:p>
          <w:p w14:paraId="4A63BEC8">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4、</w:t>
            </w:r>
            <w:r>
              <w:rPr>
                <w:rFonts w:hint="default" w:ascii="Calibri" w:hAnsi="Calibri" w:eastAsia="宋体" w:cs="Calibri"/>
                <w:i w:val="0"/>
                <w:iCs w:val="0"/>
                <w:color w:val="000000" w:themeColor="text1"/>
                <w:kern w:val="0"/>
                <w:sz w:val="18"/>
                <w:szCs w:val="18"/>
                <w:u w:val="none"/>
                <w:lang w:val="en-US" w:eastAsia="zh-CN" w:bidi="ar"/>
              </w:rPr>
              <w:t>使用复苏球和口对口通气时，通气系统提供适当的胸部起伏；</w:t>
            </w:r>
          </w:p>
          <w:p w14:paraId="37C8E552">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5、</w:t>
            </w:r>
            <w:r>
              <w:rPr>
                <w:rFonts w:hint="default" w:ascii="Calibri" w:hAnsi="Calibri" w:eastAsia="宋体" w:cs="Calibri"/>
                <w:i w:val="0"/>
                <w:iCs w:val="0"/>
                <w:color w:val="000000" w:themeColor="text1"/>
                <w:kern w:val="0"/>
                <w:sz w:val="18"/>
                <w:szCs w:val="18"/>
                <w:u w:val="none"/>
                <w:lang w:val="en-US" w:eastAsia="zh-CN" w:bidi="ar"/>
              </w:rPr>
              <w:t>按压深度、回弹程度，电脑报告仪上用动画显示；</w:t>
            </w:r>
          </w:p>
          <w:p w14:paraId="6DA3ED05">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6、</w:t>
            </w:r>
            <w:r>
              <w:rPr>
                <w:rFonts w:hint="default" w:ascii="Calibri" w:hAnsi="Calibri" w:eastAsia="宋体" w:cs="Calibri"/>
                <w:i w:val="0"/>
                <w:iCs w:val="0"/>
                <w:color w:val="000000" w:themeColor="text1"/>
                <w:kern w:val="0"/>
                <w:sz w:val="18"/>
                <w:szCs w:val="18"/>
                <w:u w:val="none"/>
                <w:lang w:val="en-US" w:eastAsia="zh-CN" w:bidi="ar"/>
              </w:rPr>
              <w:t>按压速率,用仪表式指针图形显示；</w:t>
            </w:r>
          </w:p>
          <w:p w14:paraId="1340F0BD">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7、</w:t>
            </w:r>
            <w:r>
              <w:rPr>
                <w:rFonts w:hint="default" w:ascii="Calibri" w:hAnsi="Calibri" w:eastAsia="宋体" w:cs="Calibri"/>
                <w:i w:val="0"/>
                <w:iCs w:val="0"/>
                <w:color w:val="000000" w:themeColor="text1"/>
                <w:kern w:val="0"/>
                <w:sz w:val="18"/>
                <w:szCs w:val="18"/>
                <w:u w:val="none"/>
                <w:lang w:val="en-US" w:eastAsia="zh-CN" w:bidi="ar"/>
              </w:rPr>
              <w:t>通气量过大、正常和过小均用柱状动画图形显示；</w:t>
            </w:r>
          </w:p>
          <w:p w14:paraId="11F56A46">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8、</w:t>
            </w:r>
            <w:r>
              <w:rPr>
                <w:rFonts w:hint="default" w:ascii="Calibri" w:hAnsi="Calibri" w:eastAsia="宋体" w:cs="Calibri"/>
                <w:i w:val="0"/>
                <w:iCs w:val="0"/>
                <w:color w:val="000000" w:themeColor="text1"/>
                <w:kern w:val="0"/>
                <w:sz w:val="18"/>
                <w:szCs w:val="18"/>
                <w:u w:val="none"/>
                <w:lang w:val="en-US" w:eastAsia="zh-CN" w:bidi="ar"/>
              </w:rPr>
              <w:t>模型具有蓝牙功能，平板电脑报告仪通过蓝牙方式可同时连接1-6台心肺复苏模拟人，实现同时反馈1-6位学员心肺复苏训练或考核时的数据；</w:t>
            </w:r>
          </w:p>
          <w:p w14:paraId="39EDF8A1">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9、</w:t>
            </w:r>
            <w:r>
              <w:rPr>
                <w:rFonts w:hint="default" w:ascii="Calibri" w:hAnsi="Calibri" w:eastAsia="宋体" w:cs="Calibri"/>
                <w:i w:val="0"/>
                <w:iCs w:val="0"/>
                <w:color w:val="000000" w:themeColor="text1"/>
                <w:kern w:val="0"/>
                <w:sz w:val="18"/>
                <w:szCs w:val="18"/>
                <w:u w:val="none"/>
                <w:lang w:val="en-US" w:eastAsia="zh-CN" w:bidi="ar"/>
              </w:rPr>
              <w:t>带有CPR考试模式，考试结束可显示成绩；</w:t>
            </w:r>
          </w:p>
          <w:p w14:paraId="09B768AB">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10</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可监测平均换气量、平均呼气次数、一分钟换气量合计次数、正常次数、吹气正确率、并均有数字和图形显示并给出评估结果；</w:t>
            </w:r>
          </w:p>
          <w:p w14:paraId="6B411066">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3.1</w:t>
            </w:r>
            <w:r>
              <w:rPr>
                <w:rFonts w:hint="default" w:ascii="Calibri" w:hAnsi="Calibri" w:eastAsia="宋体" w:cs="Calibri"/>
                <w:i w:val="0"/>
                <w:iCs w:val="0"/>
                <w:color w:val="000000" w:themeColor="text1"/>
                <w:kern w:val="0"/>
                <w:sz w:val="18"/>
                <w:szCs w:val="18"/>
                <w:u w:val="none"/>
                <w:lang w:val="en-US" w:eastAsia="zh-CN" w:bidi="ar"/>
              </w:rPr>
              <w:t>1</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可监测平均按压深度、平均按压次数、平均按压频率、按压总数、按压正确率、按压频率错误率、按压不完全释放比例、通气按压比、操作总时间数等，并均有数据显示和评估结果，需带实物进行展示；</w:t>
            </w:r>
            <w:r>
              <w:rPr>
                <w:rFonts w:hint="eastAsia" w:ascii="Calibri" w:hAnsi="Calibri" w:eastAsia="宋体" w:cs="Calibri"/>
                <w:i w:val="0"/>
                <w:iCs w:val="0"/>
                <w:color w:val="000000" w:themeColor="text1"/>
                <w:kern w:val="0"/>
                <w:sz w:val="18"/>
                <w:szCs w:val="18"/>
                <w:u w:val="none"/>
                <w:lang w:val="en-US" w:eastAsia="zh-CN" w:bidi="ar"/>
              </w:rPr>
              <w:t>（投标时需带样品对该条参数功能进行演示，未带样品或未能演示出参数功能则该条参数项不得分）</w:t>
            </w:r>
          </w:p>
          <w:p w14:paraId="7CEF1AF6">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12</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可显示并监测学员操作的整体时间；</w:t>
            </w:r>
          </w:p>
          <w:p w14:paraId="0E59F6D5">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13</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配置有报告仪，帮助判断是否实施正确的心肺复苏操作；</w:t>
            </w:r>
          </w:p>
          <w:p w14:paraId="392F3DF6">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14</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报告仪可用无线蓝牙方式连接心肺复苏模型；</w:t>
            </w:r>
          </w:p>
          <w:p w14:paraId="222512D5">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15</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导师可在报告仪的学员APP上对单个学员个人操作进行评估；</w:t>
            </w:r>
          </w:p>
          <w:p w14:paraId="02A74154">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16</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导师可在报告仪的导师APP对多个学员的操作进行同时评估；</w:t>
            </w:r>
          </w:p>
          <w:p w14:paraId="281E8ECD">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17</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导师可在报告仪上对多个学员操作完成后进行分别打分；</w:t>
            </w:r>
          </w:p>
          <w:p w14:paraId="49E1CF2B">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18</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导师可在报告仪上对多个学员的操作完成后进行详细评价，行程详细成绩报告，对学员的操作不足之处提出改进意见；</w:t>
            </w:r>
            <w:r>
              <w:rPr>
                <w:rFonts w:hint="eastAsia" w:ascii="Calibri" w:hAnsi="Calibri" w:eastAsia="宋体" w:cs="Calibri"/>
                <w:i w:val="0"/>
                <w:iCs w:val="0"/>
                <w:color w:val="000000" w:themeColor="text1"/>
                <w:kern w:val="0"/>
                <w:sz w:val="18"/>
                <w:szCs w:val="18"/>
                <w:u w:val="none"/>
                <w:lang w:val="en-US" w:eastAsia="zh-CN" w:bidi="ar"/>
              </w:rPr>
              <w:t>（投标时需带样品对该条参数功能进行演示，未带样品或未能演示出参数功能则该条参数项不得分）</w:t>
            </w:r>
          </w:p>
          <w:p w14:paraId="13233897">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19</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报告仪可精确监测学员的吹气量，并给出动画图形显示；</w:t>
            </w:r>
          </w:p>
          <w:p w14:paraId="4B681353">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20</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报告仪可以对各种错误的按压位置给予图形显示；</w:t>
            </w:r>
          </w:p>
          <w:p w14:paraId="3F9BA4EB">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21</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报告仪可对按压深度进行精确监测，并用动画进行显示；</w:t>
            </w:r>
          </w:p>
          <w:p w14:paraId="75777B32">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22</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报告仪可对回弹情况进行精确监测，并用动画进行显示；</w:t>
            </w:r>
          </w:p>
          <w:p w14:paraId="238D07A3">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23</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报告仪可以对按压合格率给予自动评估；</w:t>
            </w:r>
          </w:p>
          <w:p w14:paraId="1D4E055B">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24</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报告仪可以对通气合格率给予自动评估；</w:t>
            </w:r>
          </w:p>
          <w:p w14:paraId="317A0AA7">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25</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告仪可以对二次按压中断的时间给予记录及评估；</w:t>
            </w:r>
          </w:p>
          <w:p w14:paraId="534BE713">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26</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吹气速度过快或通气不足除有图形显示外还有声音提示；</w:t>
            </w:r>
            <w:r>
              <w:rPr>
                <w:rFonts w:hint="eastAsia" w:ascii="Calibri" w:hAnsi="Calibri" w:eastAsia="宋体" w:cs="Calibri"/>
                <w:i w:val="0"/>
                <w:iCs w:val="0"/>
                <w:color w:val="000000" w:themeColor="text1"/>
                <w:kern w:val="0"/>
                <w:sz w:val="18"/>
                <w:szCs w:val="18"/>
                <w:u w:val="none"/>
                <w:lang w:val="en-US" w:eastAsia="zh-CN" w:bidi="ar"/>
              </w:rPr>
              <w:t>（投标时需带样品对该条参数功能进行演示，未带样品或未能演示出参数功能则该条参数项不得分）</w:t>
            </w:r>
          </w:p>
          <w:p w14:paraId="1E159350">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27</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反馈系统必须具备竞赛模式，可以同时连接多个模型进行比赛，各个选手的比赛情况、排名以实时动画的形式显示，比赛结束后按照打分进行最终排名，结果精确至小数点后两位。</w:t>
            </w:r>
            <w:r>
              <w:rPr>
                <w:rFonts w:hint="eastAsia" w:ascii="Calibri" w:hAnsi="Calibri" w:eastAsia="宋体" w:cs="Calibri"/>
                <w:i w:val="0"/>
                <w:iCs w:val="0"/>
                <w:color w:val="000000" w:themeColor="text1"/>
                <w:kern w:val="0"/>
                <w:sz w:val="18"/>
                <w:szCs w:val="18"/>
                <w:u w:val="none"/>
                <w:lang w:val="en-US" w:eastAsia="zh-CN" w:bidi="ar"/>
              </w:rPr>
              <w:t>（投标时需带样品对该条参数功能进行演示，未带样品或未能演示出参数功能则该条参数项不得分）</w:t>
            </w:r>
          </w:p>
          <w:p w14:paraId="0CB3F6FC">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28</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须具备至少两种竞赛模式可供不同情况下选择：仅按压和30:2 CPR。</w:t>
            </w:r>
          </w:p>
          <w:p w14:paraId="4CCD2E1E">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29</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导师App有“仅按压”和“30：2”两种模式，计时器可设置为1-10分钟，或无限长。导师可对模型名称重新编辑。</w:t>
            </w:r>
            <w:r>
              <w:rPr>
                <w:rFonts w:hint="eastAsia" w:ascii="Calibri" w:hAnsi="Calibri" w:eastAsia="宋体" w:cs="Calibri"/>
                <w:i w:val="0"/>
                <w:iCs w:val="0"/>
                <w:color w:val="000000" w:themeColor="text1"/>
                <w:kern w:val="0"/>
                <w:sz w:val="18"/>
                <w:szCs w:val="18"/>
                <w:u w:val="none"/>
                <w:lang w:val="en-US" w:eastAsia="zh-CN" w:bidi="ar"/>
              </w:rPr>
              <w:t>（投标时需带样品对该条参数功能进行演示，未带样品或未能演示出参数功能则该条参数项不得分）</w:t>
            </w:r>
          </w:p>
          <w:p w14:paraId="59E780CD">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30</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模型在长时间不用时，具有自动关机功能，以便节能并保护模型；</w:t>
            </w:r>
          </w:p>
          <w:p w14:paraId="5EB3F81F">
            <w:pPr>
              <w:keepNext w:val="0"/>
              <w:keepLines w:val="0"/>
              <w:widowControl/>
              <w:numPr>
                <w:ilvl w:val="0"/>
                <w:numId w:val="0"/>
              </w:numPr>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31</w:t>
            </w:r>
            <w:r>
              <w:rPr>
                <w:rFonts w:hint="eastAsia" w:ascii="Calibri" w:hAnsi="Calibri" w:eastAsia="宋体" w:cs="Calibri"/>
                <w:i w:val="0"/>
                <w:iCs w:val="0"/>
                <w:color w:val="000000" w:themeColor="text1"/>
                <w:kern w:val="0"/>
                <w:sz w:val="18"/>
                <w:szCs w:val="18"/>
                <w:u w:val="none"/>
                <w:lang w:val="en-US" w:eastAsia="zh-CN" w:bidi="ar"/>
              </w:rPr>
              <w:t>、</w:t>
            </w:r>
            <w:r>
              <w:rPr>
                <w:rFonts w:hint="default" w:ascii="Calibri" w:hAnsi="Calibri" w:eastAsia="宋体" w:cs="Calibri"/>
                <w:i w:val="0"/>
                <w:iCs w:val="0"/>
                <w:color w:val="000000" w:themeColor="text1"/>
                <w:kern w:val="0"/>
                <w:sz w:val="18"/>
                <w:szCs w:val="18"/>
                <w:u w:val="none"/>
                <w:lang w:val="en-US" w:eastAsia="zh-CN" w:bidi="ar"/>
              </w:rPr>
              <w:t>模型能源系统为可循环充电的锂电池；</w:t>
            </w:r>
          </w:p>
          <w:p w14:paraId="1BDA0AC0">
            <w:pPr>
              <w:keepNext w:val="0"/>
              <w:keepLines w:val="0"/>
              <w:widowControl/>
              <w:numPr>
                <w:ilvl w:val="0"/>
                <w:numId w:val="0"/>
              </w:numPr>
              <w:suppressLineNumbers w:val="0"/>
              <w:ind w:left="0" w:leftChars="0" w:firstLine="0" w:firstLineChars="0"/>
              <w:jc w:val="left"/>
              <w:textAlignment w:val="center"/>
              <w:rPr>
                <w:rFonts w:hint="default" w:ascii="Calibri" w:hAnsi="Calibri" w:eastAsia="宋体" w:cs="Calibri"/>
                <w:i w:val="0"/>
                <w:iCs w:val="0"/>
                <w:color w:val="000000" w:themeColor="text1"/>
                <w:kern w:val="2"/>
                <w:sz w:val="18"/>
                <w:szCs w:val="18"/>
                <w:u w:val="none"/>
                <w:lang w:val="en-US" w:eastAsia="zh-CN" w:bidi="ar-SA"/>
              </w:rPr>
            </w:pPr>
            <w:r>
              <w:rPr>
                <w:rFonts w:hint="eastAsia" w:ascii="Calibri" w:hAnsi="Calibri" w:eastAsia="宋体" w:cs="Calibri"/>
                <w:i w:val="0"/>
                <w:iCs w:val="0"/>
                <w:color w:val="000000" w:themeColor="text1"/>
                <w:kern w:val="0"/>
                <w:sz w:val="18"/>
                <w:szCs w:val="18"/>
                <w:u w:val="none"/>
                <w:lang w:val="en-US" w:eastAsia="zh-CN" w:bidi="ar"/>
              </w:rPr>
              <w:t>3.</w:t>
            </w:r>
            <w:r>
              <w:rPr>
                <w:rFonts w:hint="default" w:ascii="Calibri" w:hAnsi="Calibri" w:eastAsia="宋体" w:cs="Calibri"/>
                <w:i w:val="0"/>
                <w:iCs w:val="0"/>
                <w:color w:val="000000" w:themeColor="text1"/>
                <w:kern w:val="0"/>
                <w:sz w:val="18"/>
                <w:szCs w:val="18"/>
                <w:u w:val="none"/>
                <w:lang w:val="en-US" w:eastAsia="zh-CN" w:bidi="ar"/>
              </w:rPr>
              <w:t>3</w:t>
            </w:r>
            <w:r>
              <w:rPr>
                <w:rFonts w:hint="eastAsia" w:ascii="Calibri" w:hAnsi="Calibri" w:eastAsia="宋体" w:cs="Calibri"/>
                <w:i w:val="0"/>
                <w:iCs w:val="0"/>
                <w:color w:val="000000" w:themeColor="text1"/>
                <w:kern w:val="0"/>
                <w:sz w:val="18"/>
                <w:szCs w:val="18"/>
                <w:u w:val="none"/>
                <w:lang w:val="en-US" w:eastAsia="zh-CN" w:bidi="ar"/>
              </w:rPr>
              <w:t>2、</w:t>
            </w:r>
            <w:r>
              <w:rPr>
                <w:rFonts w:hint="default" w:ascii="Calibri" w:hAnsi="Calibri" w:eastAsia="宋体" w:cs="Calibri"/>
                <w:i w:val="0"/>
                <w:iCs w:val="0"/>
                <w:color w:val="000000" w:themeColor="text1"/>
                <w:kern w:val="0"/>
                <w:sz w:val="18"/>
                <w:szCs w:val="18"/>
                <w:u w:val="none"/>
                <w:lang w:val="en-US" w:eastAsia="zh-CN" w:bidi="ar"/>
              </w:rPr>
              <w:t>该模型需要由专业心脏协会心血管急救委员会成员参与研发，模型的评分反馈标准必须基于临床证据，和复苏和教育专家的共识。</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07B33991">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5B09B2F7">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5F14C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4BFE0FCA">
            <w:pPr>
              <w:keepNext w:val="0"/>
              <w:keepLines w:val="0"/>
              <w:widowControl/>
              <w:suppressLineNumbers w:val="0"/>
              <w:jc w:val="center"/>
              <w:textAlignment w:val="center"/>
              <w:rPr>
                <w:rFonts w:hint="default" w:eastAsia="宋体" w:cs="Calibri"/>
                <w:i w:val="0"/>
                <w:iCs w:val="0"/>
                <w:color w:val="000000" w:themeColor="text1"/>
                <w:kern w:val="0"/>
                <w:sz w:val="21"/>
                <w:szCs w:val="21"/>
                <w:u w:val="none"/>
                <w:lang w:val="en-US" w:eastAsia="zh-CN" w:bidi="ar"/>
              </w:rPr>
            </w:pPr>
            <w:r>
              <w:rPr>
                <w:rFonts w:hint="eastAsia" w:cs="Calibri"/>
                <w:i w:val="0"/>
                <w:iCs w:val="0"/>
                <w:color w:val="000000" w:themeColor="text1"/>
                <w:kern w:val="0"/>
                <w:sz w:val="21"/>
                <w:szCs w:val="21"/>
                <w:u w:val="none"/>
                <w:lang w:val="en-US" w:eastAsia="zh-CN" w:bidi="ar"/>
              </w:rPr>
              <w:t>4</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09515179">
            <w:pPr>
              <w:keepNext w:val="0"/>
              <w:keepLines w:val="0"/>
              <w:widowControl/>
              <w:suppressLineNumbers w:val="0"/>
              <w:jc w:val="center"/>
              <w:textAlignment w:val="center"/>
              <w:rPr>
                <w:rStyle w:val="80"/>
                <w:rFonts w:hint="eastAsia" w:ascii="宋体" w:hAnsi="宋体" w:eastAsia="宋体" w:cs="宋体"/>
                <w:color w:val="000000" w:themeColor="text1"/>
                <w:lang w:val="en-US" w:eastAsia="zh-CN" w:bidi="ar"/>
              </w:rPr>
            </w:pPr>
            <w:r>
              <w:rPr>
                <w:rStyle w:val="80"/>
                <w:rFonts w:hint="eastAsia" w:ascii="宋体" w:hAnsi="宋体" w:eastAsia="宋体" w:cs="宋体"/>
                <w:color w:val="000000" w:themeColor="text1"/>
                <w:lang w:val="en-US" w:eastAsia="zh-CN" w:bidi="ar"/>
              </w:rPr>
              <w:t>儿科护理三维虚拟现实仿真系统—小儿头皮静脉护理</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49289E12">
            <w:pPr>
              <w:keepNext w:val="0"/>
              <w:keepLines w:val="0"/>
              <w:widowControl/>
              <w:numPr>
                <w:ilvl w:val="0"/>
                <w:numId w:val="0"/>
              </w:numPr>
              <w:suppressLineNumbers w:val="0"/>
              <w:ind w:left="0" w:leftChars="0" w:firstLine="0" w:firstLineChars="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kern w:val="0"/>
                <w:sz w:val="18"/>
                <w:szCs w:val="18"/>
                <w:u w:val="none"/>
                <w:lang w:val="en-US" w:eastAsia="zh-CN" w:bidi="ar"/>
              </w:rPr>
              <w:t xml:space="preserve"> 1</w:t>
            </w:r>
            <w:r>
              <w:rPr>
                <w:rFonts w:hint="eastAsia" w:ascii="宋体" w:hAnsi="宋体" w:eastAsia="宋体" w:cs="宋体"/>
                <w:i w:val="0"/>
                <w:iCs w:val="0"/>
                <w:color w:val="000000"/>
                <w:kern w:val="0"/>
                <w:sz w:val="18"/>
                <w:szCs w:val="18"/>
                <w:u w:val="none"/>
                <w:lang w:val="en-US" w:eastAsia="zh-CN" w:bidi="ar"/>
              </w:rPr>
              <w:t>、软件功能：</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1.1</w:t>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3D</w:t>
            </w:r>
            <w:r>
              <w:rPr>
                <w:rFonts w:hint="eastAsia" w:ascii="宋体" w:hAnsi="宋体" w:eastAsia="宋体" w:cs="宋体"/>
                <w:i w:val="0"/>
                <w:iCs w:val="0"/>
                <w:color w:val="000000"/>
                <w:kern w:val="0"/>
                <w:sz w:val="18"/>
                <w:szCs w:val="18"/>
                <w:u w:val="none"/>
                <w:lang w:val="en-US" w:eastAsia="zh-CN" w:bidi="ar"/>
              </w:rPr>
              <w:t>交互式虚拟仿真软件教学系统，将传统教学无法展现的一些视角盲点，使用计算机图形模拟技术通过软件直观呈现出来。</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1.2</w:t>
            </w:r>
            <w:r>
              <w:rPr>
                <w:rFonts w:hint="eastAsia" w:ascii="宋体" w:hAnsi="宋体" w:eastAsia="宋体" w:cs="宋体"/>
                <w:i w:val="0"/>
                <w:iCs w:val="0"/>
                <w:color w:val="000000"/>
                <w:kern w:val="0"/>
                <w:sz w:val="18"/>
                <w:szCs w:val="18"/>
                <w:u w:val="none"/>
                <w:lang w:val="en-US" w:eastAsia="zh-CN" w:bidi="ar"/>
              </w:rPr>
              <w:t>、在操作过程中，默认情况下自动跳转步骤，也可手动选择操作步骤。</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1.3</w:t>
            </w:r>
            <w:r>
              <w:rPr>
                <w:rFonts w:hint="eastAsia" w:ascii="宋体" w:hAnsi="宋体" w:eastAsia="宋体" w:cs="宋体"/>
                <w:i w:val="0"/>
                <w:iCs w:val="0"/>
                <w:color w:val="000000"/>
                <w:kern w:val="0"/>
                <w:sz w:val="18"/>
                <w:szCs w:val="18"/>
                <w:u w:val="none"/>
                <w:lang w:val="en-US" w:eastAsia="zh-CN" w:bidi="ar"/>
              </w:rPr>
              <w:t>、操作自由性和可重复性：软件可自由切换到任意步骤或重复操作任何步骤。</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1.4</w:t>
            </w:r>
            <w:r>
              <w:rPr>
                <w:rFonts w:hint="eastAsia" w:ascii="宋体" w:hAnsi="宋体" w:eastAsia="宋体" w:cs="宋体"/>
                <w:i w:val="0"/>
                <w:iCs w:val="0"/>
                <w:color w:val="000000"/>
                <w:kern w:val="0"/>
                <w:sz w:val="18"/>
                <w:szCs w:val="18"/>
                <w:u w:val="none"/>
                <w:lang w:val="en-US" w:eastAsia="zh-CN" w:bidi="ar"/>
              </w:rPr>
              <w:t>、透视视角：在某个步骤中可自动局部透视患儿头部，清楚的看见血管的位置。</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1.5</w:t>
            </w:r>
            <w:r>
              <w:rPr>
                <w:rFonts w:hint="eastAsia" w:ascii="宋体" w:hAnsi="宋体" w:eastAsia="宋体" w:cs="宋体"/>
                <w:i w:val="0"/>
                <w:iCs w:val="0"/>
                <w:color w:val="000000"/>
                <w:kern w:val="0"/>
                <w:sz w:val="18"/>
                <w:szCs w:val="18"/>
                <w:u w:val="none"/>
                <w:lang w:val="en-US" w:eastAsia="zh-CN" w:bidi="ar"/>
              </w:rPr>
              <w:t>、软件必须通过三维仿真技术手段详细全方位体现小儿头皮针的整个过程。</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、系统参数：</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2.1</w:t>
            </w:r>
            <w:r>
              <w:rPr>
                <w:rFonts w:hint="eastAsia" w:ascii="宋体" w:hAnsi="宋体" w:eastAsia="宋体" w:cs="宋体"/>
                <w:i w:val="0"/>
                <w:iCs w:val="0"/>
                <w:color w:val="000000"/>
                <w:kern w:val="0"/>
                <w:sz w:val="18"/>
                <w:szCs w:val="18"/>
                <w:u w:val="none"/>
                <w:lang w:val="en-US" w:eastAsia="zh-CN" w:bidi="ar"/>
              </w:rPr>
              <w:t>、目的：文字及语音介绍小儿头皮针静脉穿刺的作用和目的。</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2.2</w:t>
            </w:r>
            <w:r>
              <w:rPr>
                <w:rFonts w:hint="eastAsia" w:ascii="宋体" w:hAnsi="宋体" w:eastAsia="宋体" w:cs="宋体"/>
                <w:i w:val="0"/>
                <w:iCs w:val="0"/>
                <w:color w:val="000000"/>
                <w:kern w:val="0"/>
                <w:sz w:val="18"/>
                <w:szCs w:val="18"/>
                <w:u w:val="none"/>
                <w:lang w:val="en-US" w:eastAsia="zh-CN" w:bidi="ar"/>
              </w:rPr>
              <w:t>、案例：文字及语音介绍患者病例的详细情况。</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2.3</w:t>
            </w:r>
            <w:r>
              <w:rPr>
                <w:rFonts w:hint="eastAsia" w:ascii="宋体" w:hAnsi="宋体" w:eastAsia="宋体" w:cs="宋体"/>
                <w:i w:val="0"/>
                <w:iCs w:val="0"/>
                <w:color w:val="000000"/>
                <w:kern w:val="0"/>
                <w:sz w:val="18"/>
                <w:szCs w:val="18"/>
                <w:u w:val="none"/>
                <w:lang w:val="en-US" w:eastAsia="zh-CN" w:bidi="ar"/>
              </w:rPr>
              <w:t>、核对、评估、解释步骤中通过三维虚拟仿真技术展示核对医嘱、核对患者、评估患者内容。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2.4</w:t>
            </w:r>
            <w:r>
              <w:rPr>
                <w:rFonts w:hint="eastAsia" w:ascii="宋体" w:hAnsi="宋体" w:eastAsia="宋体" w:cs="宋体"/>
                <w:i w:val="0"/>
                <w:iCs w:val="0"/>
                <w:color w:val="000000"/>
                <w:kern w:val="0"/>
                <w:sz w:val="18"/>
                <w:szCs w:val="18"/>
                <w:u w:val="none"/>
                <w:lang w:val="en-US" w:eastAsia="zh-CN" w:bidi="ar"/>
              </w:rPr>
              <w:t>、护士准备步骤中通过三维虚拟仿真技术展示洗手、检查着装内容。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2.5</w:t>
            </w:r>
            <w:r>
              <w:rPr>
                <w:rFonts w:hint="eastAsia" w:ascii="宋体" w:hAnsi="宋体" w:eastAsia="宋体" w:cs="宋体"/>
                <w:i w:val="0"/>
                <w:iCs w:val="0"/>
                <w:color w:val="000000"/>
                <w:kern w:val="0"/>
                <w:sz w:val="18"/>
                <w:szCs w:val="18"/>
                <w:u w:val="none"/>
                <w:lang w:val="en-US" w:eastAsia="zh-CN" w:bidi="ar"/>
              </w:rPr>
              <w:t>、用物准备步骤中三维虚拟仿真展示护士准备小儿头皮针所需的用物，点击物品会触发显示物品名称和语音说明。</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2.6</w:t>
            </w:r>
            <w:r>
              <w:rPr>
                <w:rFonts w:hint="eastAsia" w:ascii="宋体" w:hAnsi="宋体" w:eastAsia="宋体" w:cs="宋体"/>
                <w:i w:val="0"/>
                <w:iCs w:val="0"/>
                <w:color w:val="000000"/>
                <w:kern w:val="0"/>
                <w:sz w:val="18"/>
                <w:szCs w:val="18"/>
                <w:u w:val="none"/>
                <w:lang w:val="en-US" w:eastAsia="zh-CN" w:bidi="ar"/>
              </w:rPr>
              <w:t>、配药步骤回答相应问题后，通过三维虚拟仿真技术展示护士在核对输液贴与输液卡后进行配药操作。</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2.7</w:t>
            </w:r>
            <w:r>
              <w:rPr>
                <w:rFonts w:hint="eastAsia" w:ascii="宋体" w:hAnsi="宋体" w:eastAsia="宋体" w:cs="宋体"/>
                <w:i w:val="0"/>
                <w:iCs w:val="0"/>
                <w:color w:val="000000"/>
                <w:kern w:val="0"/>
                <w:sz w:val="18"/>
                <w:szCs w:val="18"/>
                <w:u w:val="none"/>
                <w:lang w:val="en-US" w:eastAsia="zh-CN" w:bidi="ar"/>
              </w:rPr>
              <w:t>、穿刺前准备步骤中包括核对患者、调节输液架、首次排气、铺巾。</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①</w:t>
            </w:r>
            <w:r>
              <w:rPr>
                <w:rFonts w:hint="eastAsia" w:ascii="宋体" w:hAnsi="宋体" w:eastAsia="宋体" w:cs="宋体"/>
                <w:i w:val="0"/>
                <w:iCs w:val="0"/>
                <w:color w:val="000000"/>
                <w:kern w:val="0"/>
                <w:sz w:val="18"/>
                <w:szCs w:val="18"/>
                <w:u w:val="none"/>
                <w:lang w:val="en-US" w:eastAsia="zh-CN" w:bidi="ar"/>
              </w:rPr>
              <w:t>核对患者步骤中通过三维虚拟仿真展示护士携治疗车至床旁核对患者姓名及手腕带信息。</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②</w:t>
            </w:r>
            <w:r>
              <w:rPr>
                <w:rFonts w:hint="eastAsia" w:ascii="宋体" w:hAnsi="宋体" w:eastAsia="宋体" w:cs="宋体"/>
                <w:i w:val="0"/>
                <w:iCs w:val="0"/>
                <w:color w:val="000000"/>
                <w:kern w:val="0"/>
                <w:sz w:val="18"/>
                <w:szCs w:val="18"/>
                <w:u w:val="none"/>
                <w:lang w:val="en-US" w:eastAsia="zh-CN" w:bidi="ar"/>
              </w:rPr>
              <w:t>调节输液架步骤中通过三维虚拟仿真技术展示护士调节输液器的位置和高度。</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③</w:t>
            </w:r>
            <w:r>
              <w:rPr>
                <w:rFonts w:hint="eastAsia" w:ascii="宋体" w:hAnsi="宋体" w:eastAsia="宋体" w:cs="宋体"/>
                <w:i w:val="0"/>
                <w:iCs w:val="0"/>
                <w:color w:val="000000"/>
                <w:kern w:val="0"/>
                <w:sz w:val="18"/>
                <w:szCs w:val="18"/>
                <w:u w:val="none"/>
                <w:lang w:val="en-US" w:eastAsia="zh-CN" w:bidi="ar"/>
              </w:rPr>
              <w:t>首次排气步骤中三维虚拟仿真展示护士按照正确的方法进行排气操作，并展示排气的注意事项。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④</w:t>
            </w:r>
            <w:r>
              <w:rPr>
                <w:rFonts w:hint="eastAsia" w:ascii="宋体" w:hAnsi="宋体" w:eastAsia="宋体" w:cs="宋体"/>
                <w:i w:val="0"/>
                <w:iCs w:val="0"/>
                <w:color w:val="000000"/>
                <w:kern w:val="0"/>
                <w:sz w:val="18"/>
                <w:szCs w:val="18"/>
                <w:u w:val="none"/>
                <w:lang w:val="en-US" w:eastAsia="zh-CN" w:bidi="ar"/>
              </w:rPr>
              <w:t>铺巾步骤中通过三维虚拟仿真交互技术展示护士铺治疗巾与患儿头下。</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2.8</w:t>
            </w:r>
            <w:r>
              <w:rPr>
                <w:rFonts w:hint="eastAsia" w:ascii="宋体" w:hAnsi="宋体" w:eastAsia="宋体" w:cs="宋体"/>
                <w:i w:val="0"/>
                <w:iCs w:val="0"/>
                <w:color w:val="000000"/>
                <w:kern w:val="0"/>
                <w:sz w:val="18"/>
                <w:szCs w:val="18"/>
                <w:u w:val="none"/>
                <w:lang w:val="en-US" w:eastAsia="zh-CN" w:bidi="ar"/>
              </w:rPr>
              <w:t>、小儿头皮穿刺步骤中包括选择血管、消毒穿刺部位、静脉穿刺、固定、输液前核对、消毒肝素帽、输液、固定输液管、调节滴速、操作后核对。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①</w:t>
            </w:r>
            <w:r>
              <w:rPr>
                <w:rFonts w:hint="eastAsia" w:ascii="宋体" w:hAnsi="宋体" w:eastAsia="宋体" w:cs="宋体"/>
                <w:i w:val="0"/>
                <w:iCs w:val="0"/>
                <w:color w:val="000000"/>
                <w:kern w:val="0"/>
                <w:sz w:val="18"/>
                <w:szCs w:val="18"/>
                <w:u w:val="none"/>
                <w:lang w:val="en-US" w:eastAsia="zh-CN" w:bidi="ar"/>
              </w:rPr>
              <w:t>选择血管步骤中通过三维虚拟仿真技术展示选择穿刺血管，过程中可透视患儿头部显示其各个血管。</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②</w:t>
            </w:r>
            <w:r>
              <w:rPr>
                <w:rFonts w:hint="eastAsia" w:ascii="宋体" w:hAnsi="宋体" w:eastAsia="宋体" w:cs="宋体"/>
                <w:i w:val="0"/>
                <w:iCs w:val="0"/>
                <w:color w:val="000000"/>
                <w:kern w:val="0"/>
                <w:sz w:val="18"/>
                <w:szCs w:val="18"/>
                <w:u w:val="none"/>
                <w:lang w:val="en-US" w:eastAsia="zh-CN" w:bidi="ar"/>
              </w:rPr>
              <w:t>消毒穿刺部位步骤中通过三维虚拟仿真技术展示护士为患儿消毒穿刺部位，过程中可根据消毒标识进行消毒并可实时显示消毒痕迹。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③</w:t>
            </w:r>
            <w:r>
              <w:rPr>
                <w:rFonts w:hint="eastAsia" w:ascii="宋体" w:hAnsi="宋体" w:eastAsia="宋体" w:cs="宋体"/>
                <w:i w:val="0"/>
                <w:iCs w:val="0"/>
                <w:color w:val="000000"/>
                <w:kern w:val="0"/>
                <w:sz w:val="18"/>
                <w:szCs w:val="18"/>
                <w:u w:val="none"/>
                <w:lang w:val="en-US" w:eastAsia="zh-CN" w:bidi="ar"/>
              </w:rPr>
              <w:t>静脉穿刺步骤中通过三维虚拟仿真技术展示护士按照正确的穿刺流程为患儿进行穿刺操作，先将留置针排气后实施静脉穿刺。</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④</w:t>
            </w:r>
            <w:r>
              <w:rPr>
                <w:rFonts w:hint="eastAsia" w:ascii="宋体" w:hAnsi="宋体" w:eastAsia="宋体" w:cs="宋体"/>
                <w:i w:val="0"/>
                <w:iCs w:val="0"/>
                <w:color w:val="000000"/>
                <w:kern w:val="0"/>
                <w:sz w:val="18"/>
                <w:szCs w:val="18"/>
                <w:u w:val="none"/>
                <w:lang w:val="en-US" w:eastAsia="zh-CN" w:bidi="ar"/>
              </w:rPr>
              <w:t>固定步骤中根据擦拭标识自主擦干穿刺处的汗渍后，通过三维虚拟仿真技术展示护士使用胶布固定穿刺位置。</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⑤</w:t>
            </w:r>
            <w:r>
              <w:rPr>
                <w:rFonts w:hint="eastAsia" w:ascii="宋体" w:hAnsi="宋体" w:eastAsia="宋体" w:cs="宋体"/>
                <w:i w:val="0"/>
                <w:iCs w:val="0"/>
                <w:color w:val="000000"/>
                <w:kern w:val="0"/>
                <w:sz w:val="18"/>
                <w:szCs w:val="18"/>
                <w:u w:val="none"/>
                <w:lang w:val="en-US" w:eastAsia="zh-CN" w:bidi="ar"/>
              </w:rPr>
              <w:t>输液前核对步骤中通过三维虚拟仿真展示核对患者、核对药液内容。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⑥</w:t>
            </w:r>
            <w:r>
              <w:rPr>
                <w:rFonts w:hint="eastAsia" w:ascii="宋体" w:hAnsi="宋体" w:eastAsia="宋体" w:cs="宋体"/>
                <w:i w:val="0"/>
                <w:iCs w:val="0"/>
                <w:color w:val="000000"/>
                <w:kern w:val="0"/>
                <w:sz w:val="18"/>
                <w:szCs w:val="18"/>
                <w:u w:val="none"/>
                <w:lang w:val="en-US" w:eastAsia="zh-CN" w:bidi="ar"/>
              </w:rPr>
              <w:t>消毒肝素帽步骤中通过三维虚拟仿真技术展示护士使用棉签常规消毒肝素帽两遍。</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⑦</w:t>
            </w:r>
            <w:r>
              <w:rPr>
                <w:rFonts w:hint="eastAsia" w:ascii="宋体" w:hAnsi="宋体" w:eastAsia="宋体" w:cs="宋体"/>
                <w:i w:val="0"/>
                <w:iCs w:val="0"/>
                <w:color w:val="000000"/>
                <w:kern w:val="0"/>
                <w:sz w:val="18"/>
                <w:szCs w:val="18"/>
                <w:u w:val="none"/>
                <w:lang w:val="en-US" w:eastAsia="zh-CN" w:bidi="ar"/>
              </w:rPr>
              <w:t>输液步骤中通过三维虚拟仿真技术展示输液操作，过程中可实时控制针头刺入肝素帽并可实时控制调节器，打开留置针卡扣进行输液。</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⑧</w:t>
            </w:r>
            <w:r>
              <w:rPr>
                <w:rFonts w:hint="eastAsia" w:ascii="宋体" w:hAnsi="宋体" w:eastAsia="宋体" w:cs="宋体"/>
                <w:i w:val="0"/>
                <w:iCs w:val="0"/>
                <w:color w:val="000000"/>
                <w:kern w:val="0"/>
                <w:sz w:val="18"/>
                <w:szCs w:val="18"/>
                <w:u w:val="none"/>
                <w:lang w:val="en-US" w:eastAsia="zh-CN" w:bidi="ar"/>
              </w:rPr>
              <w:t>固定输液管步骤中通过三维虚拟仿真技术展示护士使用胶布固定输液管。</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⑨</w:t>
            </w:r>
            <w:r>
              <w:rPr>
                <w:rFonts w:hint="eastAsia" w:ascii="宋体" w:hAnsi="宋体" w:eastAsia="宋体" w:cs="宋体"/>
                <w:i w:val="0"/>
                <w:iCs w:val="0"/>
                <w:color w:val="000000"/>
                <w:kern w:val="0"/>
                <w:sz w:val="18"/>
                <w:szCs w:val="18"/>
                <w:u w:val="none"/>
                <w:lang w:val="en-US" w:eastAsia="zh-CN" w:bidi="ar"/>
              </w:rPr>
              <w:t>调节滴速步骤中回答相应问题后，通过三维虚拟仿真技术展示护士调节滴速过程。</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⑩</w:t>
            </w:r>
            <w:r>
              <w:rPr>
                <w:rFonts w:hint="eastAsia" w:ascii="宋体" w:hAnsi="宋体" w:eastAsia="宋体" w:cs="宋体"/>
                <w:i w:val="0"/>
                <w:iCs w:val="0"/>
                <w:color w:val="000000"/>
                <w:kern w:val="0"/>
                <w:sz w:val="18"/>
                <w:szCs w:val="18"/>
                <w:u w:val="none"/>
                <w:lang w:val="en-US" w:eastAsia="zh-CN" w:bidi="ar"/>
              </w:rPr>
              <w:t>操作后核对步骤中三维虚拟仿真展示护士核对输液贴、核对患者、叮嘱输液过程中应注意的事项并文字及语音展示注意事项。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2.9</w:t>
            </w:r>
            <w:r>
              <w:rPr>
                <w:rFonts w:hint="eastAsia" w:ascii="宋体" w:hAnsi="宋体" w:eastAsia="宋体" w:cs="宋体"/>
                <w:i w:val="0"/>
                <w:iCs w:val="0"/>
                <w:color w:val="000000"/>
                <w:kern w:val="0"/>
                <w:sz w:val="18"/>
                <w:szCs w:val="18"/>
                <w:u w:val="none"/>
                <w:lang w:val="en-US" w:eastAsia="zh-CN" w:bidi="ar"/>
              </w:rPr>
              <w:t>、穿刺后处理：洗手、记录、推车出病房。</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①</w:t>
            </w:r>
            <w:r>
              <w:rPr>
                <w:rFonts w:hint="eastAsia" w:ascii="宋体" w:hAnsi="宋体" w:eastAsia="宋体" w:cs="宋体"/>
                <w:i w:val="0"/>
                <w:iCs w:val="0"/>
                <w:color w:val="000000"/>
                <w:kern w:val="0"/>
                <w:sz w:val="18"/>
                <w:szCs w:val="18"/>
                <w:u w:val="none"/>
                <w:lang w:val="en-US" w:eastAsia="zh-CN" w:bidi="ar"/>
              </w:rPr>
              <w:t>洗手步骤中三维虚拟仿真展示护士按照七步洗手法洗手。</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②</w:t>
            </w:r>
            <w:r>
              <w:rPr>
                <w:rFonts w:hint="eastAsia" w:ascii="宋体" w:hAnsi="宋体" w:eastAsia="宋体" w:cs="宋体"/>
                <w:i w:val="0"/>
                <w:iCs w:val="0"/>
                <w:color w:val="000000"/>
                <w:kern w:val="0"/>
                <w:sz w:val="18"/>
                <w:szCs w:val="18"/>
                <w:u w:val="none"/>
                <w:lang w:val="en-US" w:eastAsia="zh-CN" w:bidi="ar"/>
              </w:rPr>
              <w:t>记录步骤中通过三维虚拟仿真技术展示护士在输液卡上记录相应信息后将输液卡挂到输液架上。</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③</w:t>
            </w:r>
            <w:r>
              <w:rPr>
                <w:rFonts w:hint="eastAsia" w:ascii="宋体" w:hAnsi="宋体" w:eastAsia="宋体" w:cs="宋体"/>
                <w:i w:val="0"/>
                <w:iCs w:val="0"/>
                <w:color w:val="000000"/>
                <w:kern w:val="0"/>
                <w:sz w:val="18"/>
                <w:szCs w:val="18"/>
                <w:u w:val="none"/>
                <w:lang w:val="en-US" w:eastAsia="zh-CN" w:bidi="ar"/>
              </w:rPr>
              <w:t>推车出病房步骤中展示护士推车出病房并文字及语音显示穿刺后的注意事项。</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2.10</w:t>
            </w:r>
            <w:r>
              <w:rPr>
                <w:rFonts w:hint="eastAsia" w:ascii="宋体" w:hAnsi="宋体" w:eastAsia="宋体" w:cs="宋体"/>
                <w:i w:val="0"/>
                <w:iCs w:val="0"/>
                <w:color w:val="000000"/>
                <w:kern w:val="0"/>
                <w:sz w:val="18"/>
                <w:szCs w:val="18"/>
                <w:u w:val="none"/>
                <w:lang w:val="en-US" w:eastAsia="zh-CN" w:bidi="ar"/>
              </w:rPr>
              <w:t>、输液结束步骤包括：核对患者、拔针、处理用物、交代患者、洗手、记录、推车出病房。</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①</w:t>
            </w:r>
            <w:r>
              <w:rPr>
                <w:rFonts w:hint="eastAsia" w:ascii="宋体" w:hAnsi="宋体" w:eastAsia="宋体" w:cs="宋体"/>
                <w:i w:val="0"/>
                <w:iCs w:val="0"/>
                <w:color w:val="000000"/>
                <w:kern w:val="0"/>
                <w:sz w:val="18"/>
                <w:szCs w:val="18"/>
                <w:u w:val="none"/>
                <w:lang w:val="en-US" w:eastAsia="zh-CN" w:bidi="ar"/>
              </w:rPr>
              <w:t>核对患者步骤中通过三维虚拟仿真展示护士携拔针用物至床旁并核对患儿信息。</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②</w:t>
            </w:r>
            <w:r>
              <w:rPr>
                <w:rFonts w:hint="eastAsia" w:ascii="宋体" w:hAnsi="宋体" w:eastAsia="宋体" w:cs="宋体"/>
                <w:i w:val="0"/>
                <w:iCs w:val="0"/>
                <w:color w:val="000000"/>
                <w:kern w:val="0"/>
                <w:sz w:val="18"/>
                <w:szCs w:val="18"/>
                <w:u w:val="none"/>
                <w:lang w:val="en-US" w:eastAsia="zh-CN" w:bidi="ar"/>
              </w:rPr>
              <w:t>拔针步骤中通过三维虚拟仿真技术展示拔针过程，关闭留置针卡扣、关闭输液调节器及撤去胶布后将头皮针从留置针中拔出。</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③</w:t>
            </w:r>
            <w:r>
              <w:rPr>
                <w:rFonts w:hint="eastAsia" w:ascii="宋体" w:hAnsi="宋体" w:eastAsia="宋体" w:cs="宋体"/>
                <w:i w:val="0"/>
                <w:iCs w:val="0"/>
                <w:color w:val="000000"/>
                <w:kern w:val="0"/>
                <w:sz w:val="18"/>
                <w:szCs w:val="18"/>
                <w:u w:val="none"/>
                <w:lang w:val="en-US" w:eastAsia="zh-CN" w:bidi="ar"/>
              </w:rPr>
              <w:t>处理用物步骤中通过三维虚拟仿真技术展示护士处理相关用物过程。</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④</w:t>
            </w:r>
            <w:r>
              <w:rPr>
                <w:rFonts w:hint="eastAsia" w:ascii="宋体" w:hAnsi="宋体" w:eastAsia="宋体" w:cs="宋体"/>
                <w:i w:val="0"/>
                <w:iCs w:val="0"/>
                <w:color w:val="000000"/>
                <w:kern w:val="0"/>
                <w:sz w:val="18"/>
                <w:szCs w:val="18"/>
                <w:u w:val="none"/>
                <w:lang w:val="en-US" w:eastAsia="zh-CN" w:bidi="ar"/>
              </w:rPr>
              <w:t>交代患者步骤中通过三维虚拟仿真技术展示护士交代患者过程。</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⑤</w:t>
            </w:r>
            <w:r>
              <w:rPr>
                <w:rFonts w:hint="eastAsia" w:ascii="宋体" w:hAnsi="宋体" w:eastAsia="宋体" w:cs="宋体"/>
                <w:i w:val="0"/>
                <w:iCs w:val="0"/>
                <w:color w:val="000000"/>
                <w:kern w:val="0"/>
                <w:sz w:val="18"/>
                <w:szCs w:val="18"/>
                <w:u w:val="none"/>
                <w:lang w:val="en-US" w:eastAsia="zh-CN" w:bidi="ar"/>
              </w:rPr>
              <w:t>洗手步骤中三维虚拟仿真展示护士按照七步洗手法洗手。</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⑥</w:t>
            </w:r>
            <w:r>
              <w:rPr>
                <w:rFonts w:hint="eastAsia" w:ascii="宋体" w:hAnsi="宋体" w:eastAsia="宋体" w:cs="宋体"/>
                <w:i w:val="0"/>
                <w:iCs w:val="0"/>
                <w:color w:val="000000"/>
                <w:kern w:val="0"/>
                <w:sz w:val="18"/>
                <w:szCs w:val="18"/>
                <w:u w:val="none"/>
                <w:lang w:val="en-US" w:eastAsia="zh-CN" w:bidi="ar"/>
              </w:rPr>
              <w:t>记录步骤中展示在输液卡上自主记录相应信息。</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⑦</w:t>
            </w:r>
            <w:r>
              <w:rPr>
                <w:rFonts w:hint="eastAsia" w:ascii="宋体" w:hAnsi="宋体" w:eastAsia="宋体" w:cs="宋体"/>
                <w:i w:val="0"/>
                <w:iCs w:val="0"/>
                <w:color w:val="000000"/>
                <w:kern w:val="0"/>
                <w:sz w:val="18"/>
                <w:szCs w:val="18"/>
                <w:u w:val="none"/>
                <w:lang w:val="en-US" w:eastAsia="zh-CN" w:bidi="ar"/>
              </w:rPr>
              <w:t>推车出病房步骤中通过三维虚拟仿真展示护士推车出病房并文字及语音展示注意事项内容。</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516FC261">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u w:val="none"/>
                <w:lang w:val="en-US" w:eastAsia="zh-CN" w:bidi="ar"/>
              </w:rPr>
            </w:pPr>
            <w:r>
              <w:rPr>
                <w:rFonts w:hint="default" w:ascii="宋体" w:hAnsi="宋体" w:eastAsia="宋体" w:cs="宋体"/>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19653078">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rPr>
              <w:t>套</w:t>
            </w:r>
          </w:p>
        </w:tc>
      </w:tr>
      <w:tr w14:paraId="0C127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3DD622E2">
            <w:pPr>
              <w:keepNext w:val="0"/>
              <w:keepLines w:val="0"/>
              <w:widowControl/>
              <w:suppressLineNumbers w:val="0"/>
              <w:jc w:val="center"/>
              <w:textAlignment w:val="center"/>
              <w:rPr>
                <w:rFonts w:hint="default" w:eastAsia="宋体" w:cs="Calibri"/>
                <w:i w:val="0"/>
                <w:iCs w:val="0"/>
                <w:color w:val="000000" w:themeColor="text1"/>
                <w:kern w:val="0"/>
                <w:sz w:val="21"/>
                <w:szCs w:val="21"/>
                <w:u w:val="none"/>
                <w:lang w:val="en-US" w:eastAsia="zh-CN" w:bidi="ar"/>
              </w:rPr>
            </w:pPr>
            <w:r>
              <w:rPr>
                <w:rFonts w:hint="eastAsia" w:cs="Calibri"/>
                <w:i w:val="0"/>
                <w:iCs w:val="0"/>
                <w:color w:val="000000" w:themeColor="text1"/>
                <w:kern w:val="0"/>
                <w:sz w:val="21"/>
                <w:szCs w:val="21"/>
                <w:u w:val="none"/>
                <w:lang w:val="en-US" w:eastAsia="zh-CN" w:bidi="ar"/>
              </w:rPr>
              <w:t>5</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34B43663">
            <w:pPr>
              <w:keepNext w:val="0"/>
              <w:keepLines w:val="0"/>
              <w:widowControl/>
              <w:suppressLineNumbers w:val="0"/>
              <w:jc w:val="center"/>
              <w:textAlignment w:val="center"/>
              <w:rPr>
                <w:rStyle w:val="80"/>
                <w:rFonts w:hint="eastAsia" w:ascii="宋体" w:hAnsi="宋体" w:eastAsia="宋体" w:cs="宋体"/>
                <w:color w:val="000000" w:themeColor="text1"/>
                <w:lang w:val="en-US" w:eastAsia="zh-CN" w:bidi="ar"/>
              </w:rPr>
            </w:pPr>
            <w:r>
              <w:rPr>
                <w:rStyle w:val="80"/>
                <w:rFonts w:hint="eastAsia" w:ascii="宋体" w:hAnsi="宋体" w:eastAsia="宋体" w:cs="宋体"/>
                <w:color w:val="000000" w:themeColor="text1"/>
                <w:lang w:val="en-US" w:eastAsia="zh-CN" w:bidi="ar"/>
              </w:rPr>
              <w:t>产科护理三维虚拟仿真系统—四步触诊</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34E31BF7">
            <w:pPr>
              <w:keepNext w:val="0"/>
              <w:keepLines w:val="0"/>
              <w:widowControl/>
              <w:numPr>
                <w:ilvl w:val="0"/>
                <w:numId w:val="0"/>
              </w:numPr>
              <w:suppressLineNumbers w:val="0"/>
              <w:ind w:left="0" w:leftChars="0" w:firstLine="0" w:firstLineChars="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1</w:t>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3D</w:t>
            </w:r>
            <w:r>
              <w:rPr>
                <w:rFonts w:hint="eastAsia" w:ascii="宋体" w:hAnsi="宋体" w:eastAsia="宋体" w:cs="宋体"/>
                <w:i w:val="0"/>
                <w:iCs w:val="0"/>
                <w:color w:val="000000"/>
                <w:kern w:val="0"/>
                <w:sz w:val="18"/>
                <w:szCs w:val="18"/>
                <w:u w:val="none"/>
                <w:lang w:val="en-US" w:eastAsia="zh-CN" w:bidi="ar"/>
              </w:rPr>
              <w:t>交互式虚拟仿真软件产科教学系统，采用三维仿真技术，所有的三维场景和动作均可以被操作者介入进行交互式操作，将传统模拟人无法展现的一些视角盲点，使用计算机图形模拟技术通过软件直观呈现出来。</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2</w:t>
            </w:r>
            <w:r>
              <w:rPr>
                <w:rFonts w:hint="eastAsia" w:ascii="宋体" w:hAnsi="宋体" w:eastAsia="宋体" w:cs="宋体"/>
                <w:i w:val="0"/>
                <w:iCs w:val="0"/>
                <w:color w:val="000000"/>
                <w:kern w:val="0"/>
                <w:sz w:val="18"/>
                <w:szCs w:val="18"/>
                <w:u w:val="none"/>
                <w:lang w:val="en-US" w:eastAsia="zh-CN" w:bidi="ar"/>
              </w:rPr>
              <w:t>）运动变化过程，必须可以在运动过程中</w:t>
            </w:r>
            <w:r>
              <w:rPr>
                <w:rFonts w:hint="default" w:ascii="Calibri" w:hAnsi="Calibri" w:eastAsia="宋体" w:cs="Calibri"/>
                <w:i w:val="0"/>
                <w:iCs w:val="0"/>
                <w:color w:val="000000"/>
                <w:kern w:val="0"/>
                <w:sz w:val="18"/>
                <w:szCs w:val="18"/>
                <w:u w:val="none"/>
                <w:lang w:val="en-US" w:eastAsia="zh-CN" w:bidi="ar"/>
              </w:rPr>
              <w:t>360°</w:t>
            </w:r>
            <w:r>
              <w:rPr>
                <w:rFonts w:hint="eastAsia" w:ascii="宋体" w:hAnsi="宋体" w:eastAsia="宋体" w:cs="宋体"/>
                <w:i w:val="0"/>
                <w:iCs w:val="0"/>
                <w:color w:val="000000"/>
                <w:kern w:val="0"/>
                <w:sz w:val="18"/>
                <w:szCs w:val="18"/>
                <w:u w:val="none"/>
                <w:lang w:val="en-US" w:eastAsia="zh-CN" w:bidi="ar"/>
              </w:rPr>
              <w:t>任意角度观察整个动态过程。即可实现边旋转视角边运动变化。</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3</w:t>
            </w:r>
            <w:r>
              <w:rPr>
                <w:rFonts w:hint="eastAsia" w:ascii="宋体" w:hAnsi="宋体" w:eastAsia="宋体" w:cs="宋体"/>
                <w:i w:val="0"/>
                <w:iCs w:val="0"/>
                <w:color w:val="000000"/>
                <w:kern w:val="0"/>
                <w:sz w:val="18"/>
                <w:szCs w:val="18"/>
                <w:u w:val="none"/>
                <w:lang w:val="en-US" w:eastAsia="zh-CN" w:bidi="ar"/>
              </w:rPr>
              <w:t>）自由视角：可任意</w:t>
            </w:r>
            <w:r>
              <w:rPr>
                <w:rFonts w:hint="default" w:ascii="Calibri" w:hAnsi="Calibri" w:eastAsia="宋体" w:cs="Calibri"/>
                <w:i w:val="0"/>
                <w:iCs w:val="0"/>
                <w:color w:val="000000"/>
                <w:kern w:val="0"/>
                <w:sz w:val="18"/>
                <w:szCs w:val="18"/>
                <w:u w:val="none"/>
                <w:lang w:val="en-US" w:eastAsia="zh-CN" w:bidi="ar"/>
              </w:rPr>
              <w:t>720°</w:t>
            </w:r>
            <w:r>
              <w:rPr>
                <w:rFonts w:hint="eastAsia" w:ascii="宋体" w:hAnsi="宋体" w:eastAsia="宋体" w:cs="宋体"/>
                <w:i w:val="0"/>
                <w:iCs w:val="0"/>
                <w:color w:val="000000"/>
                <w:kern w:val="0"/>
                <w:sz w:val="18"/>
                <w:szCs w:val="18"/>
                <w:u w:val="none"/>
                <w:lang w:val="en-US" w:eastAsia="zh-CN" w:bidi="ar"/>
              </w:rPr>
              <w:t>旋转、缩放，可以通过鼠标中键上下左右平移。</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）可隐藏周围环境及器具，方便特定要点视图观看。</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5</w:t>
            </w:r>
            <w:r>
              <w:rPr>
                <w:rFonts w:hint="eastAsia" w:ascii="宋体" w:hAnsi="宋体" w:eastAsia="宋体" w:cs="宋体"/>
                <w:i w:val="0"/>
                <w:iCs w:val="0"/>
                <w:color w:val="000000"/>
                <w:kern w:val="0"/>
                <w:sz w:val="18"/>
                <w:szCs w:val="18"/>
                <w:u w:val="none"/>
                <w:lang w:val="en-US" w:eastAsia="zh-CN" w:bidi="ar"/>
              </w:rPr>
              <w:t>）操作自由性：在操作过程中，可自由切换到任意步骤，例如在执行第三步操作后可直接跳至第六步或者第一步等其他步骤。</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）运动变化可以通过即可手动拖动滑动条实现任意播放控制，也可自动播放。</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）透视视角：通过</w:t>
            </w:r>
            <w:r>
              <w:rPr>
                <w:rFonts w:hint="default" w:ascii="Calibri" w:hAnsi="Calibri" w:eastAsia="宋体" w:cs="Calibri"/>
                <w:i w:val="0"/>
                <w:iCs w:val="0"/>
                <w:color w:val="000000"/>
                <w:kern w:val="0"/>
                <w:sz w:val="18"/>
                <w:szCs w:val="18"/>
                <w:u w:val="none"/>
                <w:lang w:val="en-US" w:eastAsia="zh-CN" w:bidi="ar"/>
              </w:rPr>
              <w:t>720°</w:t>
            </w:r>
            <w:r>
              <w:rPr>
                <w:rFonts w:hint="eastAsia" w:ascii="宋体" w:hAnsi="宋体" w:eastAsia="宋体" w:cs="宋体"/>
                <w:i w:val="0"/>
                <w:iCs w:val="0"/>
                <w:color w:val="000000"/>
                <w:kern w:val="0"/>
                <w:sz w:val="18"/>
                <w:szCs w:val="18"/>
                <w:u w:val="none"/>
                <w:lang w:val="en-US" w:eastAsia="zh-CN" w:bidi="ar"/>
              </w:rPr>
              <w:t>旋转透视产妇体内胎儿状态，清楚地掌握胎儿、子宫、骨盆的三维空间位置关系及相互运动反馈变化。</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8</w:t>
            </w:r>
            <w:r>
              <w:rPr>
                <w:rFonts w:hint="eastAsia" w:ascii="宋体" w:hAnsi="宋体" w:eastAsia="宋体" w:cs="宋体"/>
                <w:i w:val="0"/>
                <w:iCs w:val="0"/>
                <w:color w:val="000000"/>
                <w:kern w:val="0"/>
                <w:sz w:val="18"/>
                <w:szCs w:val="18"/>
                <w:u w:val="none"/>
                <w:lang w:val="en-US" w:eastAsia="zh-CN" w:bidi="ar"/>
              </w:rPr>
              <w:t>）病例设置：可设置胎产式、胎先露、胎方位。胎产式可设置横产式、斜产式、纵产式。胎先露可设置肩先露、斜产式胎先露、枕先露、臀先露、面先露。胎方位可设置肩左前、肩左后、肩右前、肩右后、斜产式胎方位、枕左前、枕左横、枕左后、枕右前、枕右横、枕右后、骶左前、骶左横、骶左后、骶右前、骶右横、骶右后、颏左前、颏左横、颏左后、颏右前、颏右横、颏右后。</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9</w:t>
            </w:r>
            <w:r>
              <w:rPr>
                <w:rFonts w:hint="eastAsia" w:ascii="宋体" w:hAnsi="宋体" w:eastAsia="宋体" w:cs="宋体"/>
                <w:i w:val="0"/>
                <w:iCs w:val="0"/>
                <w:color w:val="000000"/>
                <w:kern w:val="0"/>
                <w:sz w:val="18"/>
                <w:szCs w:val="18"/>
                <w:u w:val="none"/>
                <w:lang w:val="en-US" w:eastAsia="zh-CN" w:bidi="ar"/>
              </w:rPr>
              <w:t>）测量宫高、腹围时，实时展示测量的过程，测量的结果和病例设置是相互协调的，测量的结果随着病例的设置而变化。</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w:t>
            </w:r>
            <w:r>
              <w:rPr>
                <w:rFonts w:hint="default" w:ascii="Calibri" w:hAnsi="Calibri" w:eastAsia="宋体" w:cs="Calibri"/>
                <w:i w:val="0"/>
                <w:iCs w:val="0"/>
                <w:color w:val="000000"/>
                <w:kern w:val="0"/>
                <w:sz w:val="18"/>
                <w:szCs w:val="18"/>
                <w:u w:val="none"/>
                <w:lang w:val="en-US" w:eastAsia="zh-CN" w:bidi="ar"/>
              </w:rPr>
              <w:t>10</w:t>
            </w:r>
            <w:r>
              <w:rPr>
                <w:rFonts w:hint="eastAsia" w:ascii="宋体" w:hAnsi="宋体" w:eastAsia="宋体" w:cs="宋体"/>
                <w:i w:val="0"/>
                <w:iCs w:val="0"/>
                <w:color w:val="000000"/>
                <w:kern w:val="0"/>
                <w:sz w:val="18"/>
                <w:szCs w:val="18"/>
                <w:u w:val="none"/>
                <w:lang w:val="en-US" w:eastAsia="zh-CN" w:bidi="ar"/>
              </w:rPr>
              <w:t>）四步触诊：完整、清楚地展示了四步触诊的步骤。</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①</w:t>
            </w:r>
            <w:r>
              <w:rPr>
                <w:rFonts w:hint="eastAsia" w:ascii="宋体" w:hAnsi="宋体" w:eastAsia="宋体" w:cs="宋体"/>
                <w:i w:val="0"/>
                <w:iCs w:val="0"/>
                <w:color w:val="000000"/>
                <w:kern w:val="0"/>
                <w:sz w:val="18"/>
                <w:szCs w:val="18"/>
                <w:u w:val="none"/>
                <w:lang w:val="en-US" w:eastAsia="zh-CN" w:bidi="ar"/>
              </w:rPr>
              <w:t>第一步：以正确的手法展示四步触诊的第一步，并且触诊后以文本框的形式展示触诊的结果，触诊的结果和病例设置是相互协调的，触诊的结果随着病例的设置而变化。</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②</w:t>
            </w:r>
            <w:r>
              <w:rPr>
                <w:rFonts w:hint="eastAsia" w:ascii="宋体" w:hAnsi="宋体" w:eastAsia="宋体" w:cs="宋体"/>
                <w:i w:val="0"/>
                <w:iCs w:val="0"/>
                <w:color w:val="000000"/>
                <w:kern w:val="0"/>
                <w:sz w:val="18"/>
                <w:szCs w:val="18"/>
                <w:u w:val="none"/>
                <w:lang w:val="en-US" w:eastAsia="zh-CN" w:bidi="ar"/>
              </w:rPr>
              <w:t>第二步：以正确的手法展示四步触诊的第二步，并且触诊后以文本框的形式展示触诊的结果，触诊的结果和病例设置是相互协调的，触诊的结果随着病例的设置而变化。</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③</w:t>
            </w:r>
            <w:r>
              <w:rPr>
                <w:rFonts w:hint="eastAsia" w:ascii="宋体" w:hAnsi="宋体" w:eastAsia="宋体" w:cs="宋体"/>
                <w:i w:val="0"/>
                <w:iCs w:val="0"/>
                <w:color w:val="000000"/>
                <w:kern w:val="0"/>
                <w:sz w:val="18"/>
                <w:szCs w:val="18"/>
                <w:u w:val="none"/>
                <w:lang w:val="en-US" w:eastAsia="zh-CN" w:bidi="ar"/>
              </w:rPr>
              <w:t>第三步：以正确的手法展示四步触诊的第三步，并且触诊后以文本框的形式展示触诊的结果，触诊的结果和病例设置是相互协调的，触诊的结果随着病例的设置而变化。</w:t>
            </w:r>
            <w:r>
              <w:rPr>
                <w:rFonts w:hint="default" w:ascii="Calibri" w:hAnsi="Calibri" w:eastAsia="宋体" w:cs="Calibri"/>
                <w:i w:val="0"/>
                <w:iCs w:val="0"/>
                <w:color w:val="000000"/>
                <w:kern w:val="0"/>
                <w:sz w:val="18"/>
                <w:szCs w:val="18"/>
                <w:u w:val="none"/>
                <w:lang w:val="en-US" w:eastAsia="zh-CN" w:bidi="ar"/>
              </w:rPr>
              <w:br w:type="textWrapping"/>
            </w:r>
            <w:r>
              <w:rPr>
                <w:rFonts w:hint="default" w:ascii="Calibri" w:hAnsi="Calibri" w:eastAsia="宋体" w:cs="Calibri"/>
                <w:i w:val="0"/>
                <w:iCs w:val="0"/>
                <w:color w:val="000000"/>
                <w:kern w:val="0"/>
                <w:sz w:val="18"/>
                <w:szCs w:val="18"/>
                <w:u w:val="none"/>
                <w:lang w:val="en-US" w:eastAsia="zh-CN" w:bidi="ar"/>
              </w:rPr>
              <w:t>④</w:t>
            </w:r>
            <w:r>
              <w:rPr>
                <w:rFonts w:hint="eastAsia" w:ascii="宋体" w:hAnsi="宋体" w:eastAsia="宋体" w:cs="宋体"/>
                <w:i w:val="0"/>
                <w:iCs w:val="0"/>
                <w:color w:val="000000"/>
                <w:kern w:val="0"/>
                <w:sz w:val="18"/>
                <w:szCs w:val="18"/>
                <w:u w:val="none"/>
                <w:lang w:val="en-US" w:eastAsia="zh-CN" w:bidi="ar"/>
              </w:rPr>
              <w:t>第四步：以正确的手法展示四步触诊的第四步，并且触诊后以文本框的形式展示触诊的结果，触诊的结果和病例设置是相互协调的，触诊的结果随着病例的设置而变化。</w:t>
            </w:r>
            <w:r>
              <w:rPr>
                <w:rFonts w:hint="default" w:ascii="Calibri" w:hAnsi="Calibri" w:eastAsia="宋体" w:cs="Calibri"/>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四步触诊特点：</w:t>
            </w:r>
            <w:r>
              <w:rPr>
                <w:rFonts w:hint="default" w:ascii="Calibri" w:hAnsi="Calibri" w:eastAsia="宋体" w:cs="Calibri"/>
                <w:i w:val="0"/>
                <w:iCs w:val="0"/>
                <w:color w:val="000000"/>
                <w:kern w:val="0"/>
                <w:sz w:val="18"/>
                <w:szCs w:val="18"/>
                <w:u w:val="none"/>
                <w:lang w:val="en-US" w:eastAsia="zh-CN" w:bidi="ar"/>
              </w:rPr>
              <w:t>①</w:t>
            </w:r>
            <w:r>
              <w:rPr>
                <w:rFonts w:hint="eastAsia" w:ascii="宋体" w:hAnsi="宋体" w:eastAsia="宋体" w:cs="宋体"/>
                <w:i w:val="0"/>
                <w:iCs w:val="0"/>
                <w:color w:val="000000"/>
                <w:kern w:val="0"/>
                <w:sz w:val="18"/>
                <w:szCs w:val="18"/>
                <w:u w:val="none"/>
                <w:lang w:val="en-US" w:eastAsia="zh-CN" w:bidi="ar"/>
              </w:rPr>
              <w:t>可以完整、清楚地展示四步触诊的步骤，从多个模式、多个方位对操作步骤逐一进行观看，例如，在透视模式下可以显示出子宫内胎儿情况。</w:t>
            </w:r>
            <w:r>
              <w:rPr>
                <w:rFonts w:hint="default" w:ascii="Calibri" w:hAnsi="Calibri" w:eastAsia="宋体" w:cs="Calibri"/>
                <w:i w:val="0"/>
                <w:iCs w:val="0"/>
                <w:color w:val="000000"/>
                <w:kern w:val="0"/>
                <w:sz w:val="18"/>
                <w:szCs w:val="18"/>
                <w:u w:val="none"/>
                <w:lang w:val="en-US" w:eastAsia="zh-CN" w:bidi="ar"/>
              </w:rPr>
              <w:t>②</w:t>
            </w:r>
            <w:r>
              <w:rPr>
                <w:rFonts w:hint="eastAsia" w:ascii="宋体" w:hAnsi="宋体" w:eastAsia="宋体" w:cs="宋体"/>
                <w:i w:val="0"/>
                <w:iCs w:val="0"/>
                <w:color w:val="000000"/>
                <w:kern w:val="0"/>
                <w:sz w:val="18"/>
                <w:szCs w:val="18"/>
                <w:u w:val="none"/>
                <w:lang w:val="en-US" w:eastAsia="zh-CN" w:bidi="ar"/>
              </w:rPr>
              <w:t>可设置胎产式、胎先露、胎方位，设置后实时更新胎儿在子宫的位置和状态。</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602F9F85">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u w:val="none"/>
                <w:lang w:val="en-US" w:eastAsia="zh-CN" w:bidi="ar"/>
              </w:rPr>
            </w:pPr>
            <w:r>
              <w:rPr>
                <w:rFonts w:hint="default" w:ascii="宋体" w:hAnsi="宋体" w:eastAsia="宋体" w:cs="宋体"/>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09C40D14">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u w:val="none"/>
                <w:lang w:val="en-US" w:eastAsia="zh-CN" w:bidi="ar"/>
              </w:rPr>
            </w:pPr>
            <w:r>
              <w:rPr>
                <w:rFonts w:hint="eastAsia" w:ascii="宋体" w:hAnsi="宋体" w:eastAsia="宋体" w:cs="宋体"/>
                <w:i w:val="0"/>
                <w:iCs w:val="0"/>
                <w:color w:val="000000" w:themeColor="text1"/>
                <w:kern w:val="0"/>
                <w:sz w:val="21"/>
                <w:szCs w:val="21"/>
                <w:u w:val="none"/>
                <w:lang w:val="en-US" w:eastAsia="zh-CN" w:bidi="ar"/>
              </w:rPr>
              <w:t>套</w:t>
            </w:r>
          </w:p>
        </w:tc>
      </w:tr>
      <w:tr w14:paraId="757C4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03A64F4E">
            <w:pPr>
              <w:keepNext w:val="0"/>
              <w:keepLines w:val="0"/>
              <w:widowControl/>
              <w:suppressLineNumbers w:val="0"/>
              <w:jc w:val="center"/>
              <w:textAlignment w:val="center"/>
              <w:rPr>
                <w:rFonts w:hint="default" w:ascii="Calibri" w:hAnsi="Calibri" w:eastAsia="宋体" w:cs="Calibri"/>
                <w:i w:val="0"/>
                <w:iCs w:val="0"/>
                <w:color w:val="000000" w:themeColor="text1"/>
                <w:kern w:val="0"/>
                <w:sz w:val="21"/>
                <w:szCs w:val="21"/>
                <w:u w:val="none"/>
                <w:lang w:val="en-US" w:eastAsia="zh-CN" w:bidi="ar"/>
              </w:rPr>
            </w:pPr>
            <w:r>
              <w:rPr>
                <w:rFonts w:hint="eastAsia" w:cs="Calibri"/>
                <w:i w:val="0"/>
                <w:iCs w:val="0"/>
                <w:color w:val="000000" w:themeColor="text1"/>
                <w:kern w:val="0"/>
                <w:sz w:val="21"/>
                <w:szCs w:val="21"/>
                <w:u w:val="none"/>
                <w:lang w:val="en-US" w:eastAsia="zh-CN" w:bidi="ar"/>
              </w:rPr>
              <w:t>6</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550C8F14">
            <w:pPr>
              <w:keepNext w:val="0"/>
              <w:keepLines w:val="0"/>
              <w:widowControl/>
              <w:suppressLineNumbers w:val="0"/>
              <w:jc w:val="center"/>
              <w:textAlignment w:val="center"/>
              <w:rPr>
                <w:rFonts w:hint="eastAsia" w:ascii="Calibri" w:hAnsi="Calibri" w:eastAsia="宋体" w:cs="Times New Roman"/>
                <w:color w:val="000000" w:themeColor="text1"/>
                <w:kern w:val="2"/>
                <w:sz w:val="24"/>
                <w:szCs w:val="24"/>
                <w:lang w:val="en-US" w:eastAsia="zh-CN" w:bidi="ar-SA"/>
              </w:rPr>
            </w:pPr>
            <w:r>
              <w:rPr>
                <w:rStyle w:val="80"/>
                <w:rFonts w:hint="eastAsia"/>
                <w:color w:val="000000" w:themeColor="text1"/>
                <w:lang w:val="en-US" w:eastAsia="zh-CN" w:bidi="ar"/>
              </w:rPr>
              <w:t>产科护理虚拟现实VR交互系统-平产接生</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39B52F03">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1、软件功能：</w:t>
            </w:r>
          </w:p>
          <w:p w14:paraId="55BB7D52">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1.1、本系统完全采用三维仿真技术，所有的三维场景完全模拟真实病房环境和真实情景，为操作者提供完全沉浸式的临床操作。操作者可以使用和现实中一样的各种器械进行交互式操作，对病人进行救治。软件在电脑加载运行，通过手指操作和VR头盔，进行沉浸式的虚拟交互操作。</w:t>
            </w:r>
          </w:p>
          <w:p w14:paraId="7065A75F">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1.2、可对手术操作的正确度进行判断，正确才能触发操作。</w:t>
            </w:r>
          </w:p>
          <w:p w14:paraId="15AA3B42">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1.3、手指的交互性：可以精确的定位手指的运动从而实现用虚拟双手操控虚拟世界的三维对象，使用手抓取虚拟现实世界中的手术器械来完成相应的手术操作。</w:t>
            </w:r>
          </w:p>
          <w:p w14:paraId="3ADD16B8">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1.4、特点：系统具备识别手指功能，通过手进行物品的抓取操作，更加贴近真实的临床护理，学生有真实的参与感与代入感。（而传统的手指点击按键，只需点击，就能触发下一步的动画，缺少真实的代入，缺少人机交互功能）。</w:t>
            </w:r>
          </w:p>
          <w:p w14:paraId="3A4585BB">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1.5、3D六自由度功能：操作者可以在虚拟空间内，任意的走动，弯腰等，360度任意视角查看细节。</w:t>
            </w:r>
          </w:p>
          <w:p w14:paraId="4B3DF722">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1.6、物品使用提示：当操作某一步骤时，可以准确的提醒操作者需要的工具器械，以便准确完成这一步骤。</w:t>
            </w:r>
          </w:p>
          <w:p w14:paraId="3B83C8A7">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1.7、流程提示：当操作某一步骤时，可以准确的提醒操作者所在的操作流程。</w:t>
            </w:r>
          </w:p>
          <w:p w14:paraId="65703D8D">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1.8、透视视角：通过透视产妇体内胎儿状态，清楚地掌握胎儿、子宫、骨盆、胎盘、脐带的三维空间位置关系及相互运动反馈变化。</w:t>
            </w:r>
          </w:p>
          <w:p w14:paraId="551DA3F5">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1.9、三维剖视视角：通过三维剖视视角，展现人体内部解剖状态，并精确体现各组织器官三维空间位置关系。</w:t>
            </w:r>
          </w:p>
          <w:p w14:paraId="0D561D4B">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2、系统参数：</w:t>
            </w:r>
          </w:p>
          <w:p w14:paraId="505D05F9">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2.1从接产前准备：冲洗外阴、消毒外阴、铺巾，到接产步骤：指导用力、保护会阴、助娩胎头、助娩胎身、断脐、清理新生儿呼吸道、娩出胎盘，完整、清楚地展示平产接生的步骤，从多个模式、多个方位对操作步骤逐一进行观看，例如，可以在透视模式下观看接生手法。能够完全将胎儿在子宫内部的运动过程通过三维透视和剖视实时的表达出来可以表达出胎儿如何通过软产道和硬产道。孕妇分娩过程的体势及身体的变化（如：腹部的收缩变化、外阴的扩张收缩）均需完整细致地实时三维体现。</w:t>
            </w:r>
          </w:p>
          <w:p w14:paraId="0FEFA167">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2.2、产前准备：冲洗外阴的正确顺序、消毒外阴的正确顺序、铺巾。</w:t>
            </w:r>
          </w:p>
          <w:p w14:paraId="5B871682">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①冲洗外阴：操作者自主在场景中的手术车上选择便盆、卵圆钳、纱布棉球摆放到正确位置，根据正确的顺序对外阴进行擦洗。</w:t>
            </w:r>
          </w:p>
          <w:p w14:paraId="49C01154">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②消毒外阴：操作者自主在场景中的手术车上更换棉球、选择碘伏棉球、使用卵圆钳夹取碘伏棉球对外阴进行消毒，消毒时实时显示消毒痕迹。需要正确的消毒顺序才能进入到下一步骤。</w:t>
            </w:r>
          </w:p>
          <w:p w14:paraId="6FFA3AE9">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③铺巾：操作者根据场景提示为孕妇依次选择臀垫、腿套、治疗巾、洞巾，为孕妇铺巾。</w:t>
            </w:r>
          </w:p>
          <w:p w14:paraId="4A2B46CC">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2.3、接产步骤：指导用力、胎头拨露、着冠、保护会阴、助娩胎头、助娩胎身、断脐、清理呼吸道、娩出胎盘。</w:t>
            </w:r>
          </w:p>
          <w:p w14:paraId="4C6D4F80">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①指导用力：根据场景提示开始指导产妇手脚如何放置以及如何吸气呼气，过程中可切换透视或剖视视角。</w:t>
            </w:r>
          </w:p>
          <w:p w14:paraId="127513A7">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②胎头拨露：可选择透视视角进行查看，可以直观的呈现胎儿胎头剥露的过程。</w:t>
            </w:r>
          </w:p>
          <w:p w14:paraId="1AE08945">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③着冠：当胎头双顶径越过骨盆出口，胎头于宫缩间歇期也不再缩回阴道内，过程中可切换透视或剖视视角。</w:t>
            </w:r>
          </w:p>
          <w:p w14:paraId="70B0E024">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④保护会阴：操作者可以用双手模拟真实保护会阴的操作。过程中可切换透视或剖视视角。</w:t>
            </w:r>
          </w:p>
          <w:p w14:paraId="54623E87">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⑤助娩胎头：操作者可以用双手进行协助抬头娩出操作，如果正确的手势和位置，则胎头就跟随操作者双手逐步娩出。过程中可切换透视或剖视视角。</w:t>
            </w:r>
          </w:p>
          <w:p w14:paraId="0765E16E">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⑥助娩胎身：助娩胎身时，操作者需要实时根据胎儿情况变化手势，协助胎儿娩出前肩继而娩出后肩的具体操作。过程中可切换透视或剖视视角。</w:t>
            </w:r>
          </w:p>
          <w:p w14:paraId="0FDC8144">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⑦断脐：根据场景提示，操作者使用双手拾取手术车上的取止血钳在脐带上进行固定、使用剪刀剪短脐带。</w:t>
            </w:r>
          </w:p>
          <w:p w14:paraId="4D306BA5">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⑧清理呼吸道：根据场景提示，操作者使用双手拾取手术车上的吸球进行吸尽口、鼻腔内黏液的操作。</w:t>
            </w:r>
          </w:p>
          <w:p w14:paraId="08C56542">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⑨娩出胎盘：娩出胎盘过程中，操作者需要实时根据胎儿情况变化手势，将胎盘和胎膜进行娩出。过程中可切换透视或剖视视角。</w:t>
            </w:r>
          </w:p>
          <w:p w14:paraId="15A6C3FC">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2.4、平产接生的特点：真实模拟平产接生过程，可以自主操作整个手术流程，加深操作者平产接生印象。</w:t>
            </w:r>
          </w:p>
          <w:p w14:paraId="213E6C12">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现场演示内容（演示内容为加分项）：</w:t>
            </w:r>
          </w:p>
          <w:p w14:paraId="36BCE321">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1、手指的交互性：可以精确的定位手指的运动从而实现用虚拟双手操控虚拟世界的三维对象，使用手抓取虚拟现实世界中的手术器械来完成相应的手术操作。</w:t>
            </w:r>
          </w:p>
          <w:p w14:paraId="5216BB5E">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2、消毒外阴：操作者自主在场景中的手术车上更换棉球、选择碘伏棉球、使用卵圆钳夹取碘伏棉球对外阴进行消毒，消毒时实时显示消毒痕迹。需要正确的消毒顺序才能进入到下一步骤。</w:t>
            </w:r>
          </w:p>
          <w:p w14:paraId="3C9A4E18">
            <w:pPr>
              <w:keepNext w:val="0"/>
              <w:keepLines w:val="0"/>
              <w:widowControl/>
              <w:suppressLineNumbers w:val="0"/>
              <w:jc w:val="left"/>
              <w:textAlignment w:val="center"/>
              <w:rPr>
                <w:rFonts w:hint="default"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3、助娩胎头时，操作者需要实时根据胎儿情况变化手势，做好协助胎头娩出和清除口鼻的粘液和羊水的具体操作。过程中可切换透视或剖视视角。</w:t>
            </w:r>
          </w:p>
          <w:p w14:paraId="6B25F49F">
            <w:pPr>
              <w:keepNext w:val="0"/>
              <w:keepLines w:val="0"/>
              <w:widowControl/>
              <w:suppressLineNumbers w:val="0"/>
              <w:jc w:val="left"/>
              <w:textAlignment w:val="center"/>
              <w:rPr>
                <w:rFonts w:hint="eastAsia" w:ascii="Calibri" w:hAnsi="Calibri" w:eastAsia="宋体" w:cs="Calibri"/>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18"/>
                <w:szCs w:val="18"/>
                <w:u w:val="none"/>
                <w:lang w:val="en-US" w:eastAsia="zh-CN" w:bidi="ar"/>
              </w:rPr>
              <w:t>4、软件具有透视、剖视功能，能多方位角度展示产妇情况。</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47619869">
            <w:pPr>
              <w:keepNext w:val="0"/>
              <w:keepLines w:val="0"/>
              <w:widowControl/>
              <w:suppressLineNumbers w:val="0"/>
              <w:jc w:val="center"/>
              <w:textAlignment w:val="center"/>
              <w:rPr>
                <w:rFonts w:hint="default" w:ascii="Calibri" w:hAnsi="Calibri" w:eastAsia="宋体" w:cs="Calibri"/>
                <w:i w:val="0"/>
                <w:iCs w:val="0"/>
                <w:color w:val="000000" w:themeColor="text1"/>
                <w:kern w:val="0"/>
                <w:sz w:val="21"/>
                <w:szCs w:val="21"/>
                <w:u w:val="none"/>
                <w:lang w:val="en-US" w:eastAsia="zh-CN" w:bidi="ar"/>
              </w:rPr>
            </w:pPr>
            <w:r>
              <w:rPr>
                <w:rFonts w:hint="eastAsia"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05E00026">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u w:val="none"/>
                <w:lang w:val="en-US" w:eastAsia="zh-CN" w:bidi="ar"/>
              </w:rPr>
            </w:pPr>
            <w:r>
              <w:rPr>
                <w:rStyle w:val="83"/>
                <w:rFonts w:hint="eastAsia"/>
                <w:color w:val="000000" w:themeColor="text1"/>
                <w:lang w:val="en-US" w:eastAsia="zh-CN" w:bidi="ar"/>
              </w:rPr>
              <w:t>套</w:t>
            </w:r>
          </w:p>
        </w:tc>
      </w:tr>
      <w:tr w14:paraId="3EC78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1BBAF2B9">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eastAsia" w:cs="Calibri"/>
                <w:i w:val="0"/>
                <w:iCs w:val="0"/>
                <w:color w:val="000000" w:themeColor="text1"/>
                <w:kern w:val="0"/>
                <w:sz w:val="21"/>
                <w:szCs w:val="21"/>
                <w:u w:val="none"/>
                <w:lang w:val="en-US" w:eastAsia="zh-CN" w:bidi="ar"/>
              </w:rPr>
              <w:t>7</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0549CB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rPr>
            </w:pPr>
            <w:r>
              <w:rPr>
                <w:rStyle w:val="80"/>
                <w:color w:val="000000" w:themeColor="text1"/>
                <w:lang w:val="en-US" w:eastAsia="zh-CN" w:bidi="ar"/>
              </w:rPr>
              <w:t>人工智能回应性照护仿真婴儿</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3D3FA3AD">
            <w:pPr>
              <w:keepNext w:val="0"/>
              <w:keepLines w:val="0"/>
              <w:widowControl/>
              <w:numPr>
                <w:ilvl w:val="0"/>
                <w:numId w:val="13"/>
              </w:numPr>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模拟婴儿基本参数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1.规格：人工智能仿真婴儿身长和重量与真实的婴儿一致，身长 47-52cm，重量 2500-4000g；</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2.材质：可食用硅胶，无毒，无辐射；</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3.外观：模拟真实婴儿状态，四肢自然弯曲。</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 xml:space="preserve">二、功能描述                                    </w:t>
            </w:r>
          </w:p>
          <w:p w14:paraId="316FD220">
            <w:pPr>
              <w:keepNext w:val="0"/>
              <w:keepLines w:val="0"/>
              <w:widowControl/>
              <w:numPr>
                <w:ilvl w:val="0"/>
                <w:numId w:val="14"/>
              </w:numPr>
              <w:suppressLineNumbers w:val="0"/>
              <w:jc w:val="left"/>
              <w:textAlignment w:val="center"/>
              <w:rPr>
                <w:rFonts w:hint="eastAsia" w:ascii="宋体" w:hAnsi="宋体" w:eastAsia="宋体" w:cs="宋体"/>
                <w:i w:val="0"/>
                <w:iCs w:val="0"/>
                <w:color w:val="000000" w:themeColor="text1"/>
                <w:sz w:val="18"/>
                <w:szCs w:val="18"/>
                <w:u w:val="none"/>
              </w:rPr>
            </w:pPr>
            <w:r>
              <w:rPr>
                <w:rFonts w:hint="eastAsia" w:ascii="宋体" w:hAnsi="宋体" w:eastAsia="宋体" w:cs="宋体"/>
                <w:i w:val="0"/>
                <w:iCs w:val="0"/>
                <w:color w:val="000000" w:themeColor="text1"/>
                <w:kern w:val="0"/>
                <w:sz w:val="18"/>
                <w:szCs w:val="18"/>
                <w:u w:val="none"/>
                <w:lang w:val="en-US" w:eastAsia="zh-CN" w:bidi="ar"/>
              </w:rPr>
              <w:t xml:space="preserve">人工智能仿真婴儿内置传感器与各配件中智能芯片进行匹配，匹配成功有声音提示；                 </w:t>
            </w:r>
          </w:p>
          <w:p w14:paraId="4C7D9EAC">
            <w:pPr>
              <w:keepNext w:val="0"/>
              <w:keepLines w:val="0"/>
              <w:widowControl/>
              <w:numPr>
                <w:ilvl w:val="0"/>
                <w:numId w:val="14"/>
              </w:numPr>
              <w:suppressLineNumbers w:val="0"/>
              <w:ind w:left="0" w:leftChars="0" w:firstLine="0" w:firstLineChars="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 xml:space="preserve">人工智能仿真婴儿内置充电电池，充满后能运行 4-5 天；                                          </w:t>
            </w:r>
          </w:p>
          <w:p w14:paraId="53EC276E">
            <w:pPr>
              <w:keepNext w:val="0"/>
              <w:keepLines w:val="0"/>
              <w:widowControl/>
              <w:numPr>
                <w:ilvl w:val="0"/>
                <w:numId w:val="0"/>
              </w:numPr>
              <w:suppressLineNumbers w:val="0"/>
              <w:ind w:left="0" w:leftChars="0" w:firstLine="0" w:firstLineChars="0"/>
              <w:jc w:val="left"/>
              <w:textAlignment w:val="center"/>
              <w:rPr>
                <w:rFonts w:hint="default" w:ascii="宋体" w:hAnsi="宋体" w:eastAsia="宋体" w:cs="宋体"/>
                <w:i w:val="0"/>
                <w:iCs w:val="0"/>
                <w:color w:val="000000" w:themeColor="text1"/>
                <w:kern w:val="2"/>
                <w:sz w:val="18"/>
                <w:szCs w:val="18"/>
                <w:u w:val="none"/>
                <w:lang w:val="en-US" w:eastAsia="zh-CN" w:bidi="ar-SA"/>
              </w:rPr>
            </w:pPr>
            <w:r>
              <w:rPr>
                <w:rFonts w:hint="eastAsia" w:ascii="宋体" w:hAnsi="宋体" w:eastAsia="宋体" w:cs="宋体"/>
                <w:i w:val="0"/>
                <w:iCs w:val="0"/>
                <w:color w:val="000000" w:themeColor="text1"/>
                <w:kern w:val="0"/>
                <w:sz w:val="18"/>
                <w:szCs w:val="18"/>
                <w:u w:val="none"/>
                <w:lang w:val="en-US" w:eastAsia="zh-CN" w:bidi="ar"/>
              </w:rPr>
              <w:t>3.人工智能仿真婴儿可与学生实训任务相结合，在领养期间，学生不可自行关闭电源提前结束实训任务；</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4.人工智能仿真婴儿体内具备内置传感器，并提供以下 11 项功能检测 (并提供数据记录界面截图)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 喂奶：当人工智能仿真婴儿因发生喂奶需求而哭泣时，拿起奶瓶或母乳喂养胸针接触婴儿嘴唇，哭泣声会停止并发出吮吸声音；</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 拍嗝：当人工智能仿真婴儿因发生拍嗝需求而哭泣时，抱起婴儿轻轻拍打背部会停止哭泣，发出打嗝声；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 换尿布：当人工智能仿真婴儿因发生换尿布需求而哭泣时，当替换新尿布后会停止哭泣，发出愉悦的声音；</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 轻摇安抚：当人工智能仿真婴儿因发生轻摇安抚需求而哭泣时，抱起婴儿并持续轻摇安抚，哭泣声音会自动停止，发出愉悦声音；</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(5) 头部支撑失败：婴儿在头部未得到支撑情况下会发出剧烈哭声；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(6) 猛烈摇晃：婴儿在受到猛烈摇晃情况下会发出剧烈哭声；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 受到虐待：婴儿在受到猛烈拍打情况下会发出剧烈哭声；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 头低脚高：婴儿在处于头低脚高的情况下会发出咳嗽声；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(9) 错误睡姿：婴儿具有错误睡姿数据记录和数据上传功能；</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(10) 温度感知：婴儿具有对不同时间段周围温度感知数据记录和数据上传功能；</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(11) 着装感知：婴儿在不同时间段对外出服、睡衣、 连身衣、尿布着装类型感知数据记录和数据上传功能；</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三、配件明细</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1.外出服 1 件 (内置无线智能芯片)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2.睡衣 1 件 (内置无线智能芯片)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3.连身衣 1 件 (内置无线智能芯片)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4.尿布 2 块 (内置无线智能芯片)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 xml:space="preserve">5.奶瓶 1 个 (内置无线智能芯片) ；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 xml:space="preserve">6.母乳喂养胸针 1 个 (内置无线智能芯片) ；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7.身份识别卡 1 个 (内置无线智能芯片) ；</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8.一次性腕带 2条；</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9.学生照顾卡 1 个；</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10.充电器 1 个；" 20</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四、管理系统技术参数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 xml:space="preserve">  控制软件为无线传输装置，可在 15 公尺内作多只娃娃的遥控与数据传输。婴儿在软件设定时可无线使用，使用电子式 ID 和腕带来辨识照顾者婴儿之设定与传输均为无线式感应。</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1、教师可通过操作管理软件系统控制十个仿真婴儿。当婴儿在开机状态下在系统中显示全部已经开机的婴儿，系统会记录辨别这些全部开机的婴儿是否可以使用以及是否被配置任务。</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电池电量正常、通讯正常，婴儿会在“可用”中显示，在此，教师控制婴儿进入各个模式的教学任务。比如可演示每一个照护任务，可设置照护任务的持续时间、任务之间的间隔时间、任务之间的出现顺序等。</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3、在实训模式下，即可激活配置可用婴儿，可以设置实训课程名称、命名婴儿的名字、配置婴儿与照护者的ID账号等工作。</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4、教师可通过过软件设置照护任务的起始/终止时间、照护难易度、安静时间、数据传输等。 喂奶、轻拍、摇晃、换尿片均可经由其配备之感应片将正确或错误照护结果自动记录。</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5、系统记录婴儿被照护的质量、婴儿穿脱衣物的状态、婴儿处于环境的物理温度等，以表格、图片的方式展现所有的照护情况。</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6、教师可在查看并下载学生的操作报告，可添加、编辑、删除、重命名报告文件夹，随时掌握学生的实训情况。</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7、系统保存婴儿的出生证明，可实现自我故障检测、排除故障。</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8、可设置日托，当处于日托模式时，婴儿处于安静状态。</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9、系统记录婴儿受虐待的状况，当虐待状况出现多次时，系统做出特定的反应并记录。</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064CC47D">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ign w:val="center"/>
          </w:tcPr>
          <w:p w14:paraId="38366371">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46084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35D35336">
            <w:pPr>
              <w:keepNext w:val="0"/>
              <w:keepLines w:val="0"/>
              <w:widowControl/>
              <w:suppressLineNumbers w:val="0"/>
              <w:jc w:val="center"/>
              <w:textAlignment w:val="center"/>
              <w:rPr>
                <w:rFonts w:hint="default" w:cs="Calibri"/>
                <w:i w:val="0"/>
                <w:iCs w:val="0"/>
                <w:color w:val="000000" w:themeColor="text1"/>
                <w:kern w:val="0"/>
                <w:sz w:val="21"/>
                <w:szCs w:val="21"/>
                <w:u w:val="none"/>
                <w:lang w:val="en-US" w:eastAsia="zh-CN" w:bidi="ar"/>
              </w:rPr>
            </w:pPr>
            <w:r>
              <w:rPr>
                <w:rFonts w:hint="eastAsia" w:cs="Calibri"/>
                <w:i w:val="0"/>
                <w:iCs w:val="0"/>
                <w:color w:val="000000" w:themeColor="text1"/>
                <w:kern w:val="0"/>
                <w:sz w:val="21"/>
                <w:szCs w:val="21"/>
                <w:u w:val="none"/>
                <w:lang w:val="en-US" w:eastAsia="zh-CN" w:bidi="ar"/>
              </w:rPr>
              <w:t>8</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413652D3">
            <w:pPr>
              <w:keepNext w:val="0"/>
              <w:keepLines w:val="0"/>
              <w:widowControl/>
              <w:suppressLineNumbers w:val="0"/>
              <w:jc w:val="center"/>
              <w:textAlignment w:val="center"/>
              <w:rPr>
                <w:rStyle w:val="80"/>
                <w:rFonts w:hint="default"/>
                <w:color w:val="000000" w:themeColor="text1"/>
                <w:lang w:val="en-US" w:eastAsia="zh-CN" w:bidi="ar"/>
              </w:rPr>
            </w:pPr>
            <w:r>
              <w:rPr>
                <w:rStyle w:val="80"/>
                <w:rFonts w:hint="eastAsia"/>
                <w:color w:val="000000" w:themeColor="text1"/>
                <w:lang w:val="en-US" w:eastAsia="zh-CN" w:bidi="ar"/>
              </w:rPr>
              <w:t>智能心肺复苏除颤训练系统</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3D4BC1C5">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1.1 该系统应包含1台无线蓝牙连接的成人半身模型、心肺复苏反馈系统一套、智能AED训练器一台；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*1.2 设计用于进行逼真的基础生命支持培训，符合国际2020年心肺复苏操作指南；</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1.3 通气和按压反应与真人有较高一致性；</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1.4 按压深度正确有声音提示；</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*1.5 带有蓝牙技术，可以无线连接到平板控制系统或手机,对CPR操作进行评估和反馈；</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1.6 平板控制系统通过导师APP可连接6台模型，通过班级APP可连接至少40台模型，当培训人数较多时也可以提供高质量的CPR培训；</w:t>
            </w:r>
          </w:p>
          <w:p w14:paraId="3FB493C7">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1.7 平板控制系统可通过HDMI设备转接头连接投影/电视/显示器等大屏幕,可将实时操作反馈画面投影到大屏幕上，供更多人观看；</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2.头部和颈部：</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2.1 模型气道在正常体位下是自然关闭的；</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2.2 模型下颌带关节并且可以活动；</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2.3 正确的压额抬下颌手法方可以打开气道；</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2.4 可以进行口对口，口对鼻，面罩对口鼻（便携面罩和球囊面罩均可）通气；</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2.5 通气正确时模型胸部可以看到起伏；</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2.6 模型面皮可以容易的拆卸和安装来进行清洁；</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3.气道：</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3.1 气道可以很容易的进行更换以保证通气效果，气道更换不需借助工具；</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3.2 气道具有单向阀，使用过程更卫生；</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4.躯干：</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4.1 模型具有完整的胸皮，胸皮柔软有弹性，培训手感更真实；</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4.2 胸部解剖标记真实，有助于胸部按压时进行正确的手部位置定位；</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4.3 胸部按压深度正确时有声音提示，声音提示可以选择打开或关闭；</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4.4 胸部阻力和胸廓回弹模拟真实成人胸部；</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4.5 胸皮可以不借助工具打开，方便更换气道；</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5.反馈软件应用程序：</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*5.1 应用程序包括培训APP和班级APP两种，可以从应用市场上免费下载；(投标时需提供针对该参数的视频演示，不提供或演示不合格视为该参数不满足）</w:t>
            </w:r>
          </w:p>
          <w:p w14:paraId="2B1B27A2">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5.2 APP系统根据当前使用的模型数量，CPR反馈窗口可随连接的模型数量进行调整；</w:t>
            </w:r>
          </w:p>
          <w:p w14:paraId="0EBF5A74">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*6.培训APP内提供导师和学员两种用户角色供选择使用；(投标时需提供针对该参数的视频演示，不提供或演示不合格视为该参数不满足）</w:t>
            </w:r>
          </w:p>
          <w:p w14:paraId="0328826F">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6.1 培训APP心肺复苏计时器可设置为1分钟、2分钟、3分钟、4分钟、5分钟、10分钟或手动结束；</w:t>
            </w:r>
          </w:p>
          <w:p w14:paraId="1ABDAF82">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6.2 学员角色可选择“只是按压”和“心肺复苏术”两种模式；</w:t>
            </w:r>
          </w:p>
          <w:p w14:paraId="41DE8275">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6.3 学员角色下可提供单个学员的实时反馈和总结性反馈，并可查看详细报告；</w:t>
            </w:r>
          </w:p>
          <w:p w14:paraId="7C52553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*6.4 导师有“心肺复苏术”和“心肺复苏比赛”两种模式；(投标时需提供针对该参数的视频演示，不提供或演示不合格视为该参数不满足）</w:t>
            </w:r>
          </w:p>
          <w:p w14:paraId="7BC474DC">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*6.5 导师角色可选择培训指南：AHA 、ERC 和SRFAC，最少三种最新复苏指南；</w:t>
            </w:r>
          </w:p>
          <w:p w14:paraId="700574C8">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*6.6 导师可根据本地实际设置操作标准，可选择深度单位为英制还是公制，心肺复苏算法是单个施救者还是两个施救者等；</w:t>
            </w:r>
          </w:p>
          <w:p w14:paraId="7FC23CB7">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*6.7 导师可以连接6台模型，并可对模型编号重新编辑；(投标时需提供针对该参数的视频演示，不提供或演示不合格视为该参数不满足）</w:t>
            </w:r>
          </w:p>
          <w:p w14:paraId="59E5AC36">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7.班级APP可连接至少40台模型；</w:t>
            </w:r>
          </w:p>
          <w:p w14:paraId="3D7CD81A">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*7.1 班级APP可设置CPR反馈分数合格的阈值，针对不同的学员水平进行不同的分数设置，可以设置为简单，中等，高级三个级别；</w:t>
            </w:r>
          </w:p>
          <w:p w14:paraId="44F6893E">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7.2 班级APP可选择“仅按压”、“仅通气”和“心肺复苏术”三种模式；</w:t>
            </w:r>
          </w:p>
          <w:p w14:paraId="5005D99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7.3 在课程中可随时切换模式，单次环节考核结果会显示在考核反馈中；</w:t>
            </w:r>
          </w:p>
          <w:p w14:paraId="501DEA2C">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8.CPR操作表现反馈：</w:t>
            </w:r>
          </w:p>
          <w:p w14:paraId="7801A496">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*8.1 APP系统有实时反馈，总结性反馈和比赛三种模式；(投标时需提供针对该参数的视频演示，不提供或演示不合格视为该参数不满足）</w:t>
            </w:r>
          </w:p>
          <w:p w14:paraId="0AA79E2E">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8.2 培训APP实时反馈包括：操作时间、按压深度、按压回弹、按压频率、按压中断时间、通气量良好或通气量过高；</w:t>
            </w:r>
          </w:p>
          <w:p w14:paraId="0C7EAFE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8.3 班级APP实时反馈包括：正确按压、正确呼吸、按压速度过慢、按压速度过快、按压深度不足、按压没有完全回弹、通气过量；</w:t>
            </w:r>
          </w:p>
          <w:p w14:paraId="0B55C25C">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*8.4 培训APP总结性反馈包括：操作总分数、操作时间、改进建议、按压分数、按压次数、充分回弹百分比、按压深度充分百分比、平均按压深度、按压频率正确百分比、平均按压频率、通气分数、通气次数、通气量良好次数，通气量过高次数、按压和通气循环比、按压比例（CCF）、按压总时间、暂停总时间、单次循环最久暂停时间；</w:t>
            </w:r>
          </w:p>
          <w:p w14:paraId="193E31D1">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8.5 班级APP总结性反馈包括：班级学员数量，班级整体分数，操作时间，班级整体改进建议，单次环节分数、班级平均按压次数、班级平均充分回弹次数，班级平均按压深度，班级平均按压频率，班级平均呼吸次数，班级平均纠正呼吸次数；</w:t>
            </w:r>
          </w:p>
          <w:p w14:paraId="018C41E5">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9.必须具备比赛模式，可以同时连接6个模型进行比赛，各个选手的比赛情况、排名以实时动画的形式显示，比赛结束后按照打分进行最终排名，可显示各个选手成绩结果；(投标时需提供针对该参数的视频演示，不提供或演示不合格视为该参数不满足）</w:t>
            </w:r>
          </w:p>
          <w:p w14:paraId="04749143">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*9.1 须具备至少两种比赛模式可供不同情况下选择：仅按压和30:2 CPR；(投标时需提供针对该参数的视频演示，不提供或演示不合格视为该参数不满足）</w:t>
            </w:r>
          </w:p>
          <w:p w14:paraId="0FE0B9C7">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10.要求提供六台成人复苏训练比赛模型（半身）同时连接于一个系统上，并同时应用在比赛模式中的动画的软件截图和现场照片作为依据；9、9.1投标参数无偏离，但是无法提供或提供不正确软件截图和现场照片的投标人9、9.1和10技术参数不得分；</w:t>
            </w:r>
          </w:p>
          <w:p w14:paraId="46A3BC4F">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*11.要求提供至少40台心肺复苏训练比赛模型同时连接与一个班级APP中的操作软件截图以及班级模式下连接至少40台模型进行考核的现场照片并且加盖厂家公章；</w:t>
            </w:r>
          </w:p>
          <w:p w14:paraId="3134BF05">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12.为确保复苏标准的准确性，模型的评分反馈标准必须基于临床证据，和复苏和教育专家的共识；要求模型由生产厂家与国际权威的复苏指南机构共同开发；需提供国际权威复苏机构对生产厂家开具的证明文件；</w:t>
            </w:r>
          </w:p>
          <w:p w14:paraId="1B785D52">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13.通用AED训练器设计，让学员可适应任何品牌AED训练器。</w:t>
            </w:r>
          </w:p>
          <w:p w14:paraId="1A8451D2">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14.AED训练器小巧便携，节省空间。</w:t>
            </w:r>
          </w:p>
          <w:p w14:paraId="226E6B1E">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15.AED训练器材料不添加天然乳胶，避免使用者过敏。</w:t>
            </w:r>
          </w:p>
          <w:p w14:paraId="0ACFA37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16.AED训练器具备蓝牙模块，可使用手机或平板 APP做为遥控设备。(投标时需提供针对该参数的视频演示，不提供或演示不合格视为该参数不满足）</w:t>
            </w:r>
          </w:p>
          <w:p w14:paraId="7C8A1080">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*17.连接AED训练器的应用程序可通过应用市场或二维码免费下载。(投标时需提供针对该参数的视频演示，不提供或演示不合格视为该参数不满足）</w:t>
            </w:r>
          </w:p>
          <w:p w14:paraId="6BD95966">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18.配置灵活，通过蓝牙连接APP可调节病例参数，实现操作软件更新和访问。</w:t>
            </w:r>
          </w:p>
          <w:p w14:paraId="68D97CF2">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19.预置病例可通过APP选择，也可通过AED侧面按钮切换。</w:t>
            </w:r>
          </w:p>
          <w:p w14:paraId="0CD37B23">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*20.预置6个病例，模拟真实的心脏骤停场景：</w:t>
            </w:r>
          </w:p>
          <w:p w14:paraId="2A18DA3B">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病例1：可电击心律，可电击心律，不可电击心律；</w:t>
            </w:r>
          </w:p>
          <w:p w14:paraId="7F06FFFC">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病例2：不可电击心律，可电击心律，不可电击心律；</w:t>
            </w:r>
          </w:p>
          <w:p w14:paraId="50C0A5E4">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病例3：可电击心律，不可电击心律，可电击心律；</w:t>
            </w:r>
          </w:p>
          <w:p w14:paraId="1299F7A2">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病例4：可电击心律，循环提示；</w:t>
            </w:r>
          </w:p>
          <w:p w14:paraId="4033490D">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病例5：不可电击心律，循环提示；</w:t>
            </w:r>
          </w:p>
          <w:p w14:paraId="2BBA843A">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病例6：电极片故障，可电击心律，不可电击心律。(投标时需提供针对该参数的视频演示，不提供或演示不合格视为该参数不满足）</w:t>
            </w:r>
          </w:p>
          <w:p w14:paraId="7CDDEAC0">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21.具备扬声器功能，音量可通过APP调节，也可通过AED侧面按钮切换；</w:t>
            </w:r>
          </w:p>
          <w:p w14:paraId="618C0F7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*22.APP可同时控制6台AED训练器。可选择多个AED训练器同步进行设置，也可选择单个AED训练器分别进行设置；(投标时需提供针对该参数的视频演示，不提供或演示不合格视为该参数不满足）</w:t>
            </w:r>
          </w:p>
          <w:p w14:paraId="7E74A69D">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23.APP可选择心肺复苏术周期时长：2分钟或3分钟；</w:t>
            </w:r>
          </w:p>
          <w:p w14:paraId="431E4012">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12.导师可在APP上手动选择停止病例按钮，远程遥控关闭AED训练器模块，操作便捷；</w:t>
            </w:r>
          </w:p>
          <w:p w14:paraId="7105BFF5">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*24.导师可在APP上手动选择已放置电极片按钮，以便快速进入下一步操作；(投标时需提供针对该参数的视频演示，不提供或演示不合格视为该参数不满足）</w:t>
            </w:r>
          </w:p>
          <w:p w14:paraId="121D540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*25.APP具备成人和儿童AED训练器功能，提示音可切换为儿童模式；(投标时需提供针对该参数的视频演示，不提供或演示不合格视为该参数不满足）</w:t>
            </w:r>
          </w:p>
          <w:p w14:paraId="479A8EED">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*26.APP可选择打开或关闭完全自动模式，模拟如何使用可自动电击的全自动AED训练器进行训练；(投标时需提供针对该参数的视频演示，不提供或演示不合格视为该参数不满足）</w:t>
            </w:r>
          </w:p>
          <w:p w14:paraId="235353C3">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*27.APP具备节拍器功能，可选择打开或关闭节拍器；(投标时需提供针对该参数的视频演示，不提供或演示不合格视为该参数不满足）</w:t>
            </w:r>
          </w:p>
          <w:p w14:paraId="580B22C0">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28.AED训练器电量过低时可通过AED训练器本身的灯光提示，也可在APP上显示；</w:t>
            </w:r>
          </w:p>
          <w:p w14:paraId="4CC4E070">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*29.APP可选择提示语言，为证明泛用性，可选择包括中文在内的至少14种提示语言；</w:t>
            </w:r>
          </w:p>
          <w:p w14:paraId="324FC7E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备注：8、10和14投标参数无偏离，但是无法提供或提供不正确软件截图和的投标人，8、10和14技术参数不得分。</w:t>
            </w:r>
          </w:p>
          <w:p w14:paraId="7B3117CA">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*30.投标时需带样品对星号参数进行演示。</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0CF0C4E8">
            <w:pPr>
              <w:keepNext w:val="0"/>
              <w:keepLines w:val="0"/>
              <w:widowControl/>
              <w:suppressLineNumbers w:val="0"/>
              <w:jc w:val="center"/>
              <w:textAlignment w:val="center"/>
              <w:rPr>
                <w:rFonts w:hint="default" w:ascii="Calibri" w:hAnsi="Calibri" w:eastAsia="宋体" w:cs="Calibri"/>
                <w:i w:val="0"/>
                <w:iCs w:val="0"/>
                <w:color w:val="000000" w:themeColor="text1"/>
                <w:kern w:val="0"/>
                <w:sz w:val="21"/>
                <w:szCs w:val="21"/>
                <w:u w:val="none"/>
                <w:lang w:val="en-US" w:eastAsia="zh-CN" w:bidi="ar"/>
              </w:rPr>
            </w:pPr>
            <w:r>
              <w:rPr>
                <w:rFonts w:hint="eastAsia"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ign w:val="center"/>
          </w:tcPr>
          <w:p w14:paraId="1992C299">
            <w:pPr>
              <w:keepNext w:val="0"/>
              <w:keepLines w:val="0"/>
              <w:widowControl/>
              <w:suppressLineNumbers w:val="0"/>
              <w:jc w:val="center"/>
              <w:textAlignment w:val="center"/>
              <w:rPr>
                <w:rStyle w:val="83"/>
                <w:rFonts w:hint="default"/>
                <w:color w:val="000000" w:themeColor="text1"/>
                <w:lang w:val="en-US" w:eastAsia="zh-CN" w:bidi="ar"/>
              </w:rPr>
            </w:pPr>
            <w:r>
              <w:rPr>
                <w:rStyle w:val="83"/>
                <w:rFonts w:hint="eastAsia"/>
                <w:color w:val="000000" w:themeColor="text1"/>
                <w:lang w:val="en-US" w:eastAsia="zh-CN" w:bidi="ar"/>
              </w:rPr>
              <w:t>套</w:t>
            </w:r>
          </w:p>
        </w:tc>
      </w:tr>
      <w:tr w14:paraId="6B2CA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554A36FC">
            <w:pPr>
              <w:keepNext w:val="0"/>
              <w:keepLines w:val="0"/>
              <w:widowControl/>
              <w:suppressLineNumbers w:val="0"/>
              <w:jc w:val="center"/>
              <w:textAlignment w:val="center"/>
              <w:rPr>
                <w:rFonts w:hint="eastAsia" w:ascii="Calibri" w:hAnsi="Calibri" w:eastAsia="宋体" w:cs="Calibri"/>
                <w:i w:val="0"/>
                <w:iCs w:val="0"/>
                <w:color w:val="000000" w:themeColor="text1"/>
                <w:sz w:val="21"/>
                <w:szCs w:val="21"/>
                <w:u w:val="none"/>
                <w:lang w:val="en-US" w:eastAsia="zh-CN"/>
              </w:rPr>
            </w:pPr>
            <w:r>
              <w:rPr>
                <w:rFonts w:hint="eastAsia" w:cs="Calibri"/>
                <w:i w:val="0"/>
                <w:iCs w:val="0"/>
                <w:color w:val="000000" w:themeColor="text1"/>
                <w:sz w:val="21"/>
                <w:szCs w:val="21"/>
                <w:u w:val="none"/>
                <w:lang w:val="en-US" w:eastAsia="zh-CN"/>
              </w:rPr>
              <w:t>9</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1ABDEC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rPr>
            </w:pPr>
            <w:r>
              <w:rPr>
                <w:rStyle w:val="80"/>
                <w:rFonts w:hint="eastAsia"/>
                <w:color w:val="000000" w:themeColor="text1"/>
                <w:lang w:val="en-US" w:eastAsia="zh-CN" w:bidi="ar"/>
              </w:rPr>
              <w:t>理实一体护理技能竞赛训练系统</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71986672">
            <w:pPr>
              <w:keepNext w:val="0"/>
              <w:keepLines w:val="0"/>
              <w:widowControl/>
              <w:suppressLineNumbers w:val="0"/>
              <w:jc w:val="left"/>
              <w:textAlignment w:val="center"/>
              <w:rPr>
                <w:rFonts w:hint="default" w:ascii="宋体" w:hAnsi="宋体" w:eastAsia="宋体" w:cs="宋体"/>
                <w:i w:val="0"/>
                <w:iCs w:val="0"/>
                <w:color w:val="000000" w:themeColor="text1"/>
                <w:kern w:val="2"/>
                <w:sz w:val="18"/>
                <w:szCs w:val="18"/>
                <w:u w:val="none"/>
                <w:lang w:val="en-US" w:eastAsia="zh-CN" w:bidi="ar-SA"/>
              </w:rPr>
            </w:pPr>
            <w:r>
              <w:rPr>
                <w:rFonts w:hint="eastAsia" w:ascii="宋体" w:hAnsi="宋体" w:eastAsia="宋体" w:cs="宋体"/>
                <w:i w:val="0"/>
                <w:iCs w:val="0"/>
                <w:color w:val="000000" w:themeColor="text1"/>
                <w:kern w:val="0"/>
                <w:sz w:val="18"/>
                <w:szCs w:val="18"/>
                <w:u w:val="none"/>
                <w:lang w:val="en-US" w:eastAsia="zh-CN" w:bidi="ar"/>
              </w:rPr>
              <w:t>概述：本系统适用于医学院校、医院等进行各种竞赛选拔种子选手、赛前突击训练，系统可以显著提高训练效率，短时间内帮助参赛选手提高成绩，增强选手信心；也可用来比赛评分，结果客观、公正、科学，可以留存评分记录。</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产品特点：软件操作界面简洁，易于上手，页面设计大气、美观、简洁，突出主要信息，导航层次清晰，栏目设置合理，符合国人使用习惯，操作者可以通过尽可能少的操作步骤即可找到需要的信息。在充分考虑软件性能的同时，软件还格外重视软件的安全和稳定性，软件使用了防SQL注入、上传文件验收、关键数据加密等方式保证了软件安全可靠。最后，结合医学行业特点，功能特色鲜明、独具风格。</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1、系统为B/S架构，包含管理端、教师端、学生端等功能模块，每个端分别具有对应的功能；界面简洁易用，维护升级方便。</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2、*具有理论考核站和技能考核站功能，内置全国职业院校技能大赛护理高职、中职比赛真题，可反复进行练习，并支持用户自主添加新题库。</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3、技能考核站，模拟真实大赛流程，包括单人徒手心肺复苏术、静脉留置针输液技术、气管切开护理技术、前臂骨折固定包扎技术等常规技能考试项，支持用户无限添加评分表。</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4、*模拟比赛:系统可自动对理论站考核进行评分，指导老师模拟裁判通过PAD手持评分系统给选手主观题或技能操作打分，选手每次训练成绩可记录形成成长曲线，对所有训练选手进行排名。</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5、手持评分系统通过无线通信技术与管理端连接，保证数据实时更新。</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系统自动统计学生答错次数最多的题，以便对知识薄弱环境进行针对性突破训练。</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6、系统具有强大的题库管理功能，用户可无限更新题库。</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7、管理账号，可对用户（教师端、学生端），进行增加、修改、删除等管理。</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8、*虚拟赛场：用市场主流三维引擎Unity开发，系统具有逼真的虚拟赛场，还原比赛场地如亲临现场，可赛前熟悉比赛氛围，消除紧张感，增强学生信心。虚拟赛场内查看不同赛站，查看准备用物等。</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9、教师端可查看学生整体和个人训练情况，掌握学生易错知识点、进步速度等。</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10、*学生可以收藏易错题，教师可以查看学生收藏的易错题，以了解学生薄弱知识点，从而针对性的进行训练。</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11、*系统支持快速自主添加评分表，用户可自定义评分规则。</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12、*系统支持自主创建比赛规则，可根据实际需求随时进行不同类型比赛。</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13、比赛时具有答题版功能，可只管查看答题情况。</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14、技能考核时系统显示操作时间和考核内容。</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15、提供软件著作权登记证书。</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16、为保证货物来源真实可靠，必提供完整的生产厂家授权许可，须提供技术参数的支持资料，包括但不限于生产商公开发布的资料（含生产商出具的产品规格表、产品宣传彩页、技术白皮书、制造商官方网站发布的产品信息、说明书、产权证书等）。</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17、此产品为核心产品，参数不可偏离，且需要提供相关技术证明资料。</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配置：</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1、护理技能竞赛智能辅助交互系统软件 1套</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2、手持评分PAD平板电脑 1台</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7423D35E">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33ADFB78">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0A87E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27535BF5">
            <w:pPr>
              <w:jc w:val="center"/>
              <w:rPr>
                <w:rFonts w:hint="default" w:ascii="宋体" w:hAnsi="宋体" w:eastAsia="宋体" w:cs="宋体"/>
                <w:i w:val="0"/>
                <w:iCs w:val="0"/>
                <w:color w:val="000000" w:themeColor="text1"/>
                <w:sz w:val="21"/>
                <w:szCs w:val="21"/>
                <w:u w:val="none"/>
                <w:lang w:val="en-US" w:eastAsia="zh-CN"/>
              </w:rPr>
            </w:pPr>
            <w:r>
              <w:rPr>
                <w:rFonts w:hint="eastAsia" w:ascii="宋体" w:hAnsi="宋体" w:cs="宋体"/>
                <w:i w:val="0"/>
                <w:iCs w:val="0"/>
                <w:color w:val="000000" w:themeColor="text1"/>
                <w:sz w:val="21"/>
                <w:szCs w:val="21"/>
                <w:u w:val="none"/>
                <w:lang w:val="en-US" w:eastAsia="zh-CN"/>
              </w:rPr>
              <w:t>10</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5A8A9C8B">
            <w:pPr>
              <w:keepNext w:val="0"/>
              <w:keepLines w:val="0"/>
              <w:widowControl/>
              <w:suppressLineNumbers w:val="0"/>
              <w:jc w:val="center"/>
              <w:textAlignment w:val="center"/>
              <w:rPr>
                <w:rFonts w:hint="default" w:ascii="Calibri" w:hAnsi="Calibri" w:eastAsia="宋体" w:cs="Calibri"/>
                <w:i w:val="0"/>
                <w:iCs w:val="0"/>
                <w:color w:val="000000" w:themeColor="text1"/>
                <w:sz w:val="20"/>
                <w:szCs w:val="20"/>
                <w:u w:val="none"/>
              </w:rPr>
            </w:pPr>
            <w:r>
              <w:rPr>
                <w:rStyle w:val="49"/>
                <w:rFonts w:eastAsia="宋体"/>
                <w:color w:val="000000" w:themeColor="text1"/>
                <w:lang w:val="en-US" w:eastAsia="zh-CN" w:bidi="ar"/>
              </w:rPr>
              <w:t>VR</w:t>
            </w:r>
            <w:r>
              <w:rPr>
                <w:rStyle w:val="80"/>
                <w:color w:val="000000" w:themeColor="text1"/>
                <w:lang w:val="en-US" w:eastAsia="zh-CN" w:bidi="ar"/>
              </w:rPr>
              <w:t>设备</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00464F27">
            <w:pPr>
              <w:keepNext w:val="0"/>
              <w:keepLines w:val="0"/>
              <w:widowControl/>
              <w:suppressLineNumbers w:val="0"/>
              <w:jc w:val="left"/>
              <w:textAlignment w:val="center"/>
              <w:rPr>
                <w:rFonts w:hint="default" w:ascii="宋体" w:hAnsi="宋体" w:eastAsia="宋体" w:cs="宋体"/>
                <w:i w:val="0"/>
                <w:iCs w:val="0"/>
                <w:color w:val="000000" w:themeColor="text1"/>
                <w:kern w:val="2"/>
                <w:sz w:val="18"/>
                <w:szCs w:val="18"/>
                <w:u w:val="none"/>
                <w:lang w:val="en-US" w:eastAsia="zh-CN" w:bidi="ar-SA"/>
              </w:rPr>
            </w:pPr>
            <w:r>
              <w:rPr>
                <w:rFonts w:hint="eastAsia" w:ascii="宋体" w:hAnsi="宋体" w:eastAsia="宋体" w:cs="宋体"/>
                <w:i w:val="0"/>
                <w:iCs w:val="0"/>
                <w:color w:val="000000" w:themeColor="text1"/>
                <w:kern w:val="0"/>
                <w:sz w:val="18"/>
                <w:szCs w:val="18"/>
                <w:u w:val="none"/>
                <w:lang w:val="en-US" w:eastAsia="zh-CN" w:bidi="ar"/>
              </w:rPr>
              <w:t>1、系统尺寸：长92cm 宽54cm 高110cm，配置无声四轮，可随意移动放置</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2、VR虚拟教学工作站具备VR交互模式，支持佩戴头盔沉浸式操作。</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3、支持学生通过手势位置跟踪器定位手指各关节位置，可以精确的定位手指的运动从而实现用双手操控虚拟世界的三维对象，直接用手抓取虚拟现实世界中的手术器械来完成相应的手术操作。十指跟踪使用双手直接进行各种操作。</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4、支持手指交互：可以精确的定位手指的运动从而实现用虚拟双手操控虚拟世界的三维对象，使用双手模拟正确手法来完成相应的手术操作。</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5、屏幕比例16:9 ，屏幕尺寸24寸，可升降角度可调，屏幕分辨率：1920*1080P。</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6、眼球跟踪（通过眼球注视实现核对操作）、语音沟通（可以看着虚拟病人与其语音对话，3D虚拟病人会做出相应回答）。</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7、头盔立体显示器</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7.1、单眼屏幕分辨率 1440×1600，总分辨率2880×1600。</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7.2、位置追踪范围：提供 5mx5m 的位置追踪范围，最大支持跟踪识别的空间高达10M*10M，动补追踪范围≥7.8*7.8米，支持同时多个跟踪目标，追踪精度0.1度，延迟：4.3MS，实现360度无缝追踪。</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7.3、光学透镜:≥130°FOV。定位：支持头部6自由度和手部6自由度追踪</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7.4、刷新率: 默认120HZ、向下兼容90HZ、最高能达到140HZ。</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7.5、显示调节部分: 机械的IPD调节结构，以及眼睛与透镜距离调节功能，尽可能带来更宽的FOV。</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7.6、可拓展性:带有USB3.0 Type A的插槽，具备后续功能的拓展性。</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8、头盔专用手势跟踪器</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8.1、手部跟踪目的设计: 允许模仿手部操作进行（根据项目支持抓、握住、推、捏等操作）。</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8.2、手指跟踪: 跟踪所有手指位置，并进行交互。可以直接用双手类似在真实世界中自由的和虚拟病人或医疗器械进行交互。</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8.3、传感器: ≥86个传感器，可以感应定位、压力、陀螺仪等信息。</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8.4、舒适性: 具备伸缩松紧固定手部的功能，会自动根据使用者手部进行扫描动态调整。</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8.5、按钮设置: 普通按钮，滑块触摸板，扳机，摇杆。</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8.6、电池、充电性能: TypeC充电接口，具备7小时的使用时间。</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8.7 人体差异兼容性：可以兼容所有正常人手指（十指）。由于每只手都不同，因此控制器会进行自我校准，以匹配不同人的手的大小和不断变化的皮肤电容。</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8.8、可输入项：具备以下几种输入方式（触发器，拇指操纵杆，带有力传感器的跟踪按钮，握力传感器，手指跟踪，IMU）。</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9、处理单元：</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核心处理器主频：≥2.7GHz，核心：六核心，线程：六线程，制程：14纳米，三级缓存：9MB，可支持最大内存：128GB</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内存配置：内存：16GB，类型：DDR4 2666MHz</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显示适配器：显存容量：6GB。显存位宽：192bit，支持最大分辨率：7680*4320，显卡接口：PCI Express 3.0 16X，I/O接口：至少支持HDMI接口，DisplayPort接口。</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网卡：1000Mbps 网卡</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存储设备：≥120GB SSD + 1TB HDD</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电源：≥650W</w:t>
            </w:r>
            <w:r>
              <w:rPr>
                <w:rFonts w:hint="eastAsia" w:ascii="宋体" w:hAnsi="宋体" w:eastAsia="宋体" w:cs="宋体"/>
                <w:i w:val="0"/>
                <w:iCs w:val="0"/>
                <w:color w:val="000000" w:themeColor="text1"/>
                <w:kern w:val="0"/>
                <w:sz w:val="18"/>
                <w:szCs w:val="18"/>
                <w:u w:val="none"/>
                <w:lang w:val="en-US" w:eastAsia="zh-CN" w:bidi="ar"/>
              </w:rPr>
              <w:br w:type="textWrapping"/>
            </w:r>
            <w:r>
              <w:rPr>
                <w:rFonts w:hint="eastAsia" w:ascii="宋体" w:hAnsi="宋体" w:eastAsia="宋体" w:cs="宋体"/>
                <w:i w:val="0"/>
                <w:iCs w:val="0"/>
                <w:color w:val="000000" w:themeColor="text1"/>
                <w:kern w:val="0"/>
                <w:sz w:val="18"/>
                <w:szCs w:val="18"/>
                <w:u w:val="none"/>
                <w:lang w:val="en-US" w:eastAsia="zh-CN" w:bidi="ar"/>
              </w:rPr>
              <w:t>系统：win10 及以上</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67278F96">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4B1D4EB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0714D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7741C9AD">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lang w:val="en-US"/>
              </w:rPr>
            </w:pPr>
            <w:r>
              <w:rPr>
                <w:rFonts w:hint="eastAsia" w:eastAsia="宋体" w:cs="Calibri"/>
                <w:i w:val="0"/>
                <w:iCs w:val="0"/>
                <w:color w:val="000000" w:themeColor="text1"/>
                <w:kern w:val="0"/>
                <w:sz w:val="21"/>
                <w:szCs w:val="21"/>
                <w:u w:val="none"/>
                <w:lang w:val="en-US" w:eastAsia="zh-CN" w:bidi="ar"/>
              </w:rPr>
              <w:t>1</w:t>
            </w:r>
            <w:r>
              <w:rPr>
                <w:rFonts w:hint="eastAsia" w:cs="Calibri"/>
                <w:i w:val="0"/>
                <w:iCs w:val="0"/>
                <w:color w:val="000000" w:themeColor="text1"/>
                <w:kern w:val="0"/>
                <w:sz w:val="21"/>
                <w:szCs w:val="21"/>
                <w:u w:val="none"/>
                <w:lang w:val="en-US" w:eastAsia="zh-CN" w:bidi="ar"/>
              </w:rPr>
              <w:t>1</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29EF3E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rPr>
            </w:pPr>
            <w:r>
              <w:rPr>
                <w:rStyle w:val="80"/>
                <w:color w:val="000000" w:themeColor="text1"/>
                <w:lang w:val="en-US" w:eastAsia="zh-CN" w:bidi="ar"/>
              </w:rPr>
              <w:t>电脑</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2894CCC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1、处理器：国产</w:t>
            </w:r>
            <w:r>
              <w:rPr>
                <w:rFonts w:hint="default" w:ascii="宋体" w:hAnsi="宋体" w:eastAsia="宋体" w:cs="宋体"/>
                <w:i w:val="0"/>
                <w:iCs w:val="0"/>
                <w:color w:val="000000" w:themeColor="text1"/>
                <w:kern w:val="0"/>
                <w:sz w:val="18"/>
                <w:szCs w:val="18"/>
                <w:u w:val="none"/>
                <w:lang w:val="en-US" w:eastAsia="zh-CN" w:bidi="ar"/>
              </w:rPr>
              <w:t>处理器满足c86-3G，并且</w:t>
            </w:r>
            <w:r>
              <w:rPr>
                <w:rFonts w:hint="eastAsia" w:ascii="宋体" w:hAnsi="宋体" w:eastAsia="宋体" w:cs="宋体"/>
                <w:i w:val="0"/>
                <w:iCs w:val="0"/>
                <w:color w:val="000000" w:themeColor="text1"/>
                <w:kern w:val="0"/>
                <w:sz w:val="18"/>
                <w:szCs w:val="18"/>
                <w:u w:val="none"/>
                <w:lang w:val="en-US" w:eastAsia="zh-CN" w:bidi="ar"/>
              </w:rPr>
              <w:t>≥海光3350；</w:t>
            </w:r>
          </w:p>
          <w:p w14:paraId="3717763C">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2、主板：与处理器相匹配芯片组主板；</w:t>
            </w:r>
          </w:p>
          <w:p w14:paraId="2F6952CC">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3、内存：≥8GB DDR4 内存，≥4个内存扩展槽；</w:t>
            </w:r>
          </w:p>
          <w:p w14:paraId="501E3F8A">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4、硬盘：≥512GB M.2 NVME SSD+1TB机械硬盘；</w:t>
            </w:r>
          </w:p>
          <w:p w14:paraId="0E77CEAA">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5、显卡：≥2GB</w:t>
            </w:r>
            <w:r>
              <w:rPr>
                <w:rFonts w:hint="eastAsia" w:ascii="宋体" w:hAnsi="宋体" w:cs="宋体"/>
                <w:i w:val="0"/>
                <w:iCs w:val="0"/>
                <w:color w:val="000000" w:themeColor="text1"/>
                <w:kern w:val="0"/>
                <w:sz w:val="18"/>
                <w:szCs w:val="18"/>
                <w:u w:val="none"/>
                <w:lang w:val="en-US" w:eastAsia="zh-CN" w:bidi="ar"/>
              </w:rPr>
              <w:t>独</w:t>
            </w:r>
            <w:r>
              <w:rPr>
                <w:rFonts w:hint="eastAsia" w:ascii="宋体" w:hAnsi="宋体" w:eastAsia="宋体" w:cs="宋体"/>
                <w:i w:val="0"/>
                <w:iCs w:val="0"/>
                <w:color w:val="000000" w:themeColor="text1"/>
                <w:kern w:val="0"/>
                <w:sz w:val="18"/>
                <w:szCs w:val="18"/>
                <w:u w:val="none"/>
                <w:lang w:val="en-US" w:eastAsia="zh-CN" w:bidi="ar"/>
              </w:rPr>
              <w:t>显；</w:t>
            </w:r>
          </w:p>
          <w:p w14:paraId="1113FE48">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6、音频：集成声卡，≥5个音频接口（前2后3）；</w:t>
            </w:r>
          </w:p>
          <w:p w14:paraId="2051BE01">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7、网卡：集成千兆网卡；</w:t>
            </w:r>
          </w:p>
          <w:p w14:paraId="1C789F49">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8、主板扩展：≥4个PCIe，其中PCIe x16≥2个；</w:t>
            </w:r>
          </w:p>
          <w:p w14:paraId="095FCED3">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9、I/O扩展：主板原生≥10个USB，其中USB3.2 Gen1≥8个；1个串口；1个RJ-45千兆网口；</w:t>
            </w:r>
          </w:p>
          <w:p w14:paraId="147A0C14">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10、键盘鼠标：USB接口防泼溅键盘、光电鼠标；</w:t>
            </w:r>
          </w:p>
          <w:p w14:paraId="4E4D2711">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11、电源：≥200W电源；</w:t>
            </w:r>
          </w:p>
          <w:p w14:paraId="62B31E14">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12、机箱：体积≤11L机箱，可选可拆洗防尘网；</w:t>
            </w:r>
          </w:p>
          <w:p w14:paraId="7575D725">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13、操作系统：预装国产统信桌面操作系统；</w:t>
            </w:r>
          </w:p>
          <w:p w14:paraId="372197EE">
            <w:pPr>
              <w:keepNext w:val="0"/>
              <w:keepLines w:val="0"/>
              <w:widowControl/>
              <w:suppressLineNumbers w:val="0"/>
              <w:jc w:val="left"/>
              <w:textAlignment w:val="center"/>
              <w:rPr>
                <w:rFonts w:hint="eastAsia"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14、显示器：≥23.8英寸液晶显示器，分辨率≥1920x1080、最大刷新率≥100Hz，亮度≥300 cd/m²，静态对比度≥3000:1，VGA + HDMI+ DP接口带原厂HDMI 线缆、支持VESA壁挂，内置电源；</w:t>
            </w:r>
          </w:p>
          <w:p w14:paraId="43138B58">
            <w:pPr>
              <w:keepNext w:val="0"/>
              <w:keepLines w:val="0"/>
              <w:widowControl/>
              <w:suppressLineNumbers w:val="0"/>
              <w:jc w:val="left"/>
              <w:textAlignment w:val="center"/>
              <w:rPr>
                <w:rFonts w:hint="eastAsia" w:ascii="宋体" w:hAnsi="宋体" w:eastAsia="宋体" w:cs="宋体"/>
                <w:i w:val="0"/>
                <w:iCs w:val="0"/>
                <w:color w:val="000000" w:themeColor="text1"/>
                <w:kern w:val="2"/>
                <w:sz w:val="18"/>
                <w:szCs w:val="18"/>
                <w:u w:val="none"/>
                <w:lang w:val="en-US" w:eastAsia="zh-CN" w:bidi="ar-SA"/>
              </w:rPr>
            </w:pPr>
            <w:r>
              <w:rPr>
                <w:rFonts w:hint="eastAsia" w:ascii="宋体" w:hAnsi="宋体" w:cs="宋体"/>
                <w:i w:val="0"/>
                <w:iCs w:val="0"/>
                <w:color w:val="000000" w:themeColor="text1"/>
                <w:kern w:val="0"/>
                <w:sz w:val="18"/>
                <w:szCs w:val="18"/>
                <w:u w:val="none"/>
                <w:lang w:val="en-US" w:eastAsia="zh-CN" w:bidi="ar"/>
              </w:rPr>
              <w:t>15、</w:t>
            </w:r>
            <w:r>
              <w:rPr>
                <w:rFonts w:hint="eastAsia" w:ascii="宋体" w:hAnsi="宋体" w:eastAsia="宋体" w:cs="宋体"/>
                <w:i w:val="0"/>
                <w:iCs w:val="0"/>
                <w:color w:val="000000" w:themeColor="text1"/>
                <w:kern w:val="0"/>
                <w:sz w:val="18"/>
                <w:szCs w:val="18"/>
                <w:u w:val="none"/>
                <w:lang w:val="en-US" w:eastAsia="zh-CN" w:bidi="ar"/>
              </w:rPr>
              <w:t>所投台式计算机通过国家级GB/T 9813.1-2016《计算机通用规范 第1部分：台式微型计算机》标准中可靠性检验平均无故障时间MTBF值达到50万小时（提供通过CNAS认可的独立第三方检测机构检测证书扫描件）；</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508D7440">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lang w:val="en-US" w:eastAsia="zh-CN"/>
              </w:rPr>
            </w:pPr>
            <w:r>
              <w:rPr>
                <w:rFonts w:hint="eastAsia" w:eastAsia="宋体" w:cs="Calibri"/>
                <w:i w:val="0"/>
                <w:iCs w:val="0"/>
                <w:color w:val="000000" w:themeColor="text1"/>
                <w:sz w:val="21"/>
                <w:szCs w:val="21"/>
                <w:u w:val="none"/>
                <w:lang w:val="en-US" w:eastAsia="zh-CN"/>
              </w:rPr>
              <w:t>12</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1B5DC55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1EE2D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67D73714">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lang w:val="en-US"/>
              </w:rPr>
            </w:pPr>
            <w:r>
              <w:rPr>
                <w:rFonts w:hint="eastAsia" w:eastAsia="宋体" w:cs="Calibri"/>
                <w:i w:val="0"/>
                <w:iCs w:val="0"/>
                <w:color w:val="000000" w:themeColor="text1"/>
                <w:kern w:val="0"/>
                <w:sz w:val="21"/>
                <w:szCs w:val="21"/>
                <w:u w:val="none"/>
                <w:lang w:val="en-US" w:eastAsia="zh-CN" w:bidi="ar"/>
              </w:rPr>
              <w:t>1</w:t>
            </w:r>
            <w:r>
              <w:rPr>
                <w:rFonts w:hint="eastAsia" w:cs="Calibri"/>
                <w:i w:val="0"/>
                <w:iCs w:val="0"/>
                <w:color w:val="000000" w:themeColor="text1"/>
                <w:kern w:val="0"/>
                <w:sz w:val="21"/>
                <w:szCs w:val="21"/>
                <w:u w:val="none"/>
                <w:lang w:val="en-US" w:eastAsia="zh-CN" w:bidi="ar"/>
              </w:rPr>
              <w:t>2</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784A83FD">
            <w:pPr>
              <w:keepNext w:val="0"/>
              <w:keepLines w:val="0"/>
              <w:widowControl/>
              <w:suppressLineNumbers w:val="0"/>
              <w:jc w:val="center"/>
              <w:textAlignment w:val="center"/>
              <w:rPr>
                <w:rStyle w:val="80"/>
                <w:rFonts w:hint="eastAsia"/>
                <w:color w:val="000000" w:themeColor="text1"/>
                <w:lang w:val="en-US" w:eastAsia="zh-CN" w:bidi="ar"/>
              </w:rPr>
            </w:pPr>
            <w:r>
              <w:rPr>
                <w:rStyle w:val="80"/>
                <w:rFonts w:hint="eastAsia"/>
                <w:color w:val="000000" w:themeColor="text1"/>
                <w:lang w:val="en-US" w:eastAsia="zh-CN" w:bidi="ar"/>
              </w:rPr>
              <w:t>六边电脑拼接桌椅</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3D8A4F9B">
            <w:pPr>
              <w:keepNext w:val="0"/>
              <w:keepLines w:val="0"/>
              <w:widowControl/>
              <w:suppressLineNumbers w:val="0"/>
              <w:jc w:val="left"/>
              <w:textAlignment w:val="center"/>
              <w:rPr>
                <w:rFonts w:hint="eastAsia" w:ascii="宋体" w:hAnsi="宋体" w:eastAsia="宋体" w:cs="宋体"/>
                <w:i w:val="0"/>
                <w:iCs w:val="0"/>
                <w:color w:val="000000" w:themeColor="text1"/>
                <w:kern w:val="2"/>
                <w:sz w:val="18"/>
                <w:szCs w:val="18"/>
                <w:u w:val="none"/>
                <w:lang w:val="en-US" w:eastAsia="zh-CN" w:bidi="ar-SA"/>
              </w:rPr>
            </w:pPr>
            <w:r>
              <w:rPr>
                <w:rFonts w:hint="eastAsia" w:ascii="宋体" w:hAnsi="宋体" w:eastAsia="宋体" w:cs="宋体"/>
                <w:i w:val="0"/>
                <w:iCs w:val="0"/>
                <w:color w:val="000000" w:themeColor="text1"/>
                <w:kern w:val="0"/>
                <w:sz w:val="18"/>
                <w:szCs w:val="18"/>
                <w:u w:val="none"/>
                <w:lang w:val="en-US" w:eastAsia="zh-CN" w:bidi="ar"/>
              </w:rPr>
              <w:t>桌子：金属骨架，坚固实木版面，简约风格、可拼接组合，5-6人位/组；椅子：金属骨架，坚固实木版面。尺寸：六边桌直径1.6米，边长0.8米，高度0.75米。</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12A856CF">
            <w:pPr>
              <w:keepNext w:val="0"/>
              <w:keepLines w:val="0"/>
              <w:widowControl/>
              <w:suppressLineNumbers w:val="0"/>
              <w:jc w:val="center"/>
              <w:textAlignment w:val="center"/>
              <w:rPr>
                <w:rFonts w:hint="eastAsia" w:ascii="Calibri" w:hAnsi="Calibri" w:eastAsia="宋体" w:cs="Calibri"/>
                <w:b/>
                <w:bCs/>
                <w:i w:val="0"/>
                <w:iCs w:val="0"/>
                <w:color w:val="000000" w:themeColor="text1"/>
                <w:sz w:val="21"/>
                <w:szCs w:val="21"/>
                <w:u w:val="none"/>
                <w:lang w:val="en-US" w:eastAsia="zh-CN"/>
              </w:rPr>
            </w:pPr>
            <w:r>
              <w:rPr>
                <w:rFonts w:hint="eastAsia" w:eastAsia="宋体" w:cs="Calibri"/>
                <w:b/>
                <w:bCs/>
                <w:i w:val="0"/>
                <w:iCs w:val="0"/>
                <w:color w:val="000000" w:themeColor="text1"/>
                <w:sz w:val="21"/>
                <w:szCs w:val="21"/>
                <w:u w:val="none"/>
                <w:lang w:val="en-US" w:eastAsia="zh-CN"/>
              </w:rPr>
              <w:t>4</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1F1B5582">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3AFA8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1578112C">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lang w:val="en-US"/>
              </w:rPr>
            </w:pPr>
            <w:r>
              <w:rPr>
                <w:rFonts w:hint="eastAsia" w:eastAsia="宋体" w:cs="Calibri"/>
                <w:i w:val="0"/>
                <w:iCs w:val="0"/>
                <w:color w:val="000000" w:themeColor="text1"/>
                <w:kern w:val="0"/>
                <w:sz w:val="21"/>
                <w:szCs w:val="21"/>
                <w:u w:val="none"/>
                <w:lang w:val="en-US" w:eastAsia="zh-CN" w:bidi="ar"/>
              </w:rPr>
              <w:t>1</w:t>
            </w:r>
            <w:r>
              <w:rPr>
                <w:rFonts w:hint="eastAsia" w:cs="Calibri"/>
                <w:i w:val="0"/>
                <w:iCs w:val="0"/>
                <w:color w:val="000000" w:themeColor="text1"/>
                <w:kern w:val="0"/>
                <w:sz w:val="21"/>
                <w:szCs w:val="21"/>
                <w:u w:val="none"/>
                <w:lang w:val="en-US" w:eastAsia="zh-CN" w:bidi="ar"/>
              </w:rPr>
              <w:t>3</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5BCEBD7C">
            <w:pPr>
              <w:keepNext w:val="0"/>
              <w:keepLines w:val="0"/>
              <w:widowControl/>
              <w:suppressLineNumbers w:val="0"/>
              <w:jc w:val="center"/>
              <w:textAlignment w:val="center"/>
              <w:rPr>
                <w:rStyle w:val="80"/>
                <w:rFonts w:hint="eastAsia"/>
                <w:color w:val="000000" w:themeColor="text1"/>
                <w:lang w:val="en-US" w:eastAsia="zh-CN" w:bidi="ar"/>
              </w:rPr>
            </w:pPr>
            <w:r>
              <w:rPr>
                <w:rStyle w:val="80"/>
                <w:color w:val="000000" w:themeColor="text1"/>
                <w:lang w:val="en-US" w:eastAsia="zh-CN" w:bidi="ar"/>
              </w:rPr>
              <w:t>智慧控制台</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69E7AB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外观要求：</w:t>
            </w:r>
          </w:p>
          <w:p w14:paraId="3565D6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1、产品尺寸L*W*H（mm）：1000*650*1065mm（闭合） ；865mm(±5)（桌面离地高度）</w:t>
            </w:r>
          </w:p>
          <w:p w14:paraId="039CFD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材料结构：钢木结合，讲桌上下层钣金采用1.0—2.0mm冷轧钢板，保证产品的结构稳定性。钣金零件全部都通过酸洗磷化喷涂后再进行高温烘烤，可以有效防锈；讲桌喷涂细致，颗粒均匀；（见《冷轧钢架测试报告》）。桌面及背板采用18MM木质耐刮材料。</w:t>
            </w:r>
          </w:p>
          <w:p w14:paraId="6459BC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3、整体采用环抱式设计，前面采用前倾式结构设计，两侧边角采用模具圆弧开模一体成型，中间设计厚18mm高厚度木质材料，结合处无明显缝隙设计工艺；木质部分也可安装学校的LOGO；</w:t>
            </w:r>
          </w:p>
          <w:p w14:paraId="363CC5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布局设计：桌面左侧设计放置21.5寸触控显示器装置，仰角为26°；显示器装置下方位具备一个嵌入式物理键盘，桌面右侧整体平整设计，为教学教具提供更大放置区域，桌面右侧设计可安装隐藏升降快排仪，不占用桌面空间，设计一个抽屉可放置教学教学教具使用。设计可安装可隐藏式水杯架固定位。</w:t>
            </w:r>
          </w:p>
          <w:p w14:paraId="00C3AF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功能描述（标配功能）</w:t>
            </w:r>
          </w:p>
          <w:p w14:paraId="4A0417D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1、桌面左侧嵌入支持10点触控的21.5寸触摸显示器，可反控任意品牌的教室交互大屏，同教室显示大屏同步显示以及互动；方便面对面教学模式。</w:t>
            </w:r>
          </w:p>
          <w:p w14:paraId="2B0D42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智能讲桌显示器装置上部具备硬按键式专业书写软件，大大减少老师学习成本，按物理按键就可进行书写批注功能，按按键可对书写过程撤销、按按键可对书写内容键清屏等功能，每个按键也可以自行定义书写的功能;显示器装置侧面具备专业书写笔一只（为防丢失，固定设计且配伸缩式连接线）。</w:t>
            </w:r>
          </w:p>
          <w:p w14:paraId="5E2CAB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3、智能讲桌具备Windows融合设计，一键返回桌面，一键快速启动Windows中任意软件，方便教学场景自由切换。</w:t>
            </w:r>
          </w:p>
          <w:p w14:paraId="300832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4、智能讲桌集成USB HUB功能，提供不低于6口USB接入。</w:t>
            </w:r>
          </w:p>
          <w:p w14:paraId="4576EB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5、智能讲桌提供外接输入端口（USB*1，HDMI*1，RJ45网口*1）</w:t>
            </w:r>
          </w:p>
          <w:p w14:paraId="2AD35B69">
            <w:pPr>
              <w:keepNext w:val="0"/>
              <w:keepLines w:val="0"/>
              <w:widowControl/>
              <w:suppressLineNumbers w:val="0"/>
              <w:jc w:val="left"/>
              <w:textAlignment w:val="center"/>
              <w:rPr>
                <w:rFonts w:hint="default" w:ascii="宋体" w:hAnsi="宋体" w:eastAsia="宋体" w:cs="宋体"/>
                <w:i w:val="0"/>
                <w:iCs w:val="0"/>
                <w:color w:val="000000" w:themeColor="text1"/>
                <w:kern w:val="2"/>
                <w:sz w:val="18"/>
                <w:szCs w:val="18"/>
                <w:u w:val="none"/>
                <w:lang w:val="en-US" w:eastAsia="zh-CN" w:bidi="ar-SA"/>
              </w:rPr>
            </w:pPr>
            <w:r>
              <w:rPr>
                <w:rFonts w:hint="eastAsia" w:ascii="宋体" w:hAnsi="宋体" w:eastAsia="宋体" w:cs="宋体"/>
                <w:i w:val="0"/>
                <w:iCs w:val="0"/>
                <w:color w:val="000000"/>
                <w:sz w:val="18"/>
                <w:szCs w:val="18"/>
                <w:u w:val="none"/>
              </w:rPr>
              <w:t>6、机柜：标准钣金机柜设计，机柜的安装空间13U。</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442E1E87">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14C7C04D">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70452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685FD100">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lang w:val="en-US"/>
              </w:rPr>
            </w:pPr>
            <w:r>
              <w:rPr>
                <w:rFonts w:hint="eastAsia" w:eastAsia="宋体" w:cs="Calibri"/>
                <w:i w:val="0"/>
                <w:iCs w:val="0"/>
                <w:color w:val="000000" w:themeColor="text1"/>
                <w:kern w:val="0"/>
                <w:sz w:val="21"/>
                <w:szCs w:val="21"/>
                <w:u w:val="none"/>
                <w:lang w:val="en-US" w:eastAsia="zh-CN" w:bidi="ar"/>
              </w:rPr>
              <w:t>1</w:t>
            </w:r>
            <w:r>
              <w:rPr>
                <w:rFonts w:hint="eastAsia" w:cs="Calibri"/>
                <w:i w:val="0"/>
                <w:iCs w:val="0"/>
                <w:color w:val="000000" w:themeColor="text1"/>
                <w:kern w:val="0"/>
                <w:sz w:val="21"/>
                <w:szCs w:val="21"/>
                <w:u w:val="none"/>
                <w:lang w:val="en-US" w:eastAsia="zh-CN" w:bidi="ar"/>
              </w:rPr>
              <w:t>4</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2E5166DB">
            <w:pPr>
              <w:keepNext w:val="0"/>
              <w:keepLines w:val="0"/>
              <w:widowControl/>
              <w:suppressLineNumbers w:val="0"/>
              <w:jc w:val="center"/>
              <w:textAlignment w:val="center"/>
              <w:rPr>
                <w:rFonts w:hint="default" w:ascii="宋体" w:hAnsi="宋体" w:eastAsia="宋体" w:cs="宋体"/>
                <w:i w:val="0"/>
                <w:iCs w:val="0"/>
                <w:color w:val="000000" w:themeColor="text1"/>
                <w:sz w:val="20"/>
                <w:szCs w:val="20"/>
                <w:u w:val="none"/>
                <w:lang w:val="en-US"/>
              </w:rPr>
            </w:pPr>
            <w:r>
              <w:rPr>
                <w:rStyle w:val="80"/>
                <w:rFonts w:hint="eastAsia"/>
                <w:color w:val="000000" w:themeColor="text1"/>
                <w:lang w:val="en-US" w:eastAsia="zh-CN" w:bidi="ar"/>
              </w:rPr>
              <w:t>触控一体机（带支架）</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57546A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bookmarkStart w:id="41" w:name="_Hlk100236469"/>
            <w:r>
              <w:rPr>
                <w:rFonts w:hint="eastAsia" w:ascii="宋体" w:hAnsi="宋体" w:eastAsia="宋体" w:cs="宋体"/>
                <w:i w:val="0"/>
                <w:iCs w:val="0"/>
                <w:color w:val="000000"/>
                <w:sz w:val="18"/>
                <w:szCs w:val="18"/>
                <w:u w:val="none"/>
                <w:lang w:val="en-US" w:eastAsia="zh-CN"/>
              </w:rPr>
              <w:t>1、</w:t>
            </w:r>
            <w:r>
              <w:rPr>
                <w:rFonts w:hint="eastAsia" w:ascii="宋体" w:hAnsi="宋体" w:eastAsia="宋体" w:cs="宋体"/>
                <w:i w:val="0"/>
                <w:iCs w:val="0"/>
                <w:color w:val="000000"/>
                <w:sz w:val="18"/>
                <w:szCs w:val="18"/>
                <w:u w:val="none"/>
              </w:rPr>
              <w:t>一体机显示尺寸：≥86英寸；DLED背光；全贴合触控显示模组；水平可视角度：≥178°；分辨率：≥3840×2160 ；灰阶等级：≥256级；A级屏；亮度均匀性≥90%；亮度≥400cd/㎡；（提供具有CMA或CNAS资质认定的第三方权威检测机构出具的检测报告扫描件，加盖投标人公章）</w:t>
            </w:r>
          </w:p>
          <w:p w14:paraId="62434D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2、</w:t>
            </w:r>
            <w:r>
              <w:rPr>
                <w:rFonts w:hint="eastAsia" w:ascii="宋体" w:hAnsi="宋体" w:eastAsia="宋体" w:cs="宋体"/>
                <w:i w:val="0"/>
                <w:iCs w:val="0"/>
                <w:color w:val="000000"/>
                <w:sz w:val="18"/>
                <w:szCs w:val="18"/>
                <w:u w:val="none"/>
              </w:rPr>
              <w:t>采用红外触控技术。在Android、Windows双系统支持≥20点触控，支持多人同时书写和擦除，触控框遮挡不影响书写，定位精度：±0.1mm，触摸物体直径支持≤2mm；</w:t>
            </w:r>
          </w:p>
          <w:p w14:paraId="7FC8C4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3、</w:t>
            </w:r>
            <w:r>
              <w:rPr>
                <w:rFonts w:hint="eastAsia" w:ascii="宋体" w:hAnsi="宋体" w:eastAsia="宋体" w:cs="宋体"/>
                <w:i w:val="0"/>
                <w:iCs w:val="0"/>
                <w:color w:val="000000"/>
                <w:sz w:val="18"/>
                <w:szCs w:val="18"/>
                <w:u w:val="none"/>
              </w:rPr>
              <w:t>采用≤3mm厚防眩光钢化玻璃，具备防飞溅功能，玻璃破碎后不伤人，玻璃表面硬度≥9H，透光率≥95%，雾度≤5%，光泽度≥79。</w:t>
            </w:r>
          </w:p>
          <w:p w14:paraId="3D6B1A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4、</w:t>
            </w:r>
            <w:r>
              <w:rPr>
                <w:rFonts w:hint="eastAsia" w:ascii="宋体" w:hAnsi="宋体" w:eastAsia="宋体" w:cs="宋体"/>
                <w:i w:val="0"/>
                <w:iCs w:val="0"/>
                <w:color w:val="000000"/>
                <w:sz w:val="18"/>
                <w:szCs w:val="18"/>
                <w:u w:val="none"/>
              </w:rPr>
              <w:t>一体机内置≥Android 9.0系统 ；安卓搭载≥10 核处理器；RAM≥2G，ROM≥8G；支持H.265 解码；（提供具有CMA或CNAS资质认定的第三方权威检测机构出具的检测报告扫描件，加盖投标人公章）</w:t>
            </w:r>
          </w:p>
          <w:p w14:paraId="0814B6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5、</w:t>
            </w:r>
            <w:r>
              <w:rPr>
                <w:rFonts w:hint="eastAsia" w:ascii="宋体" w:hAnsi="宋体" w:eastAsia="宋体" w:cs="宋体"/>
                <w:i w:val="0"/>
                <w:iCs w:val="0"/>
                <w:color w:val="000000"/>
                <w:sz w:val="18"/>
                <w:szCs w:val="18"/>
                <w:u w:val="none"/>
              </w:rPr>
              <w:t>前置至少具备4路USB接口（包含≥2路USB3.0，≥1路Type-C），USB接口支持在双系统下读取。（提供具有CMA或CNAS资质认定的第三方权威检测机构出具的检测报告扫描件，加盖投标人公章）</w:t>
            </w:r>
          </w:p>
          <w:p w14:paraId="530059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6、</w:t>
            </w:r>
            <w:r>
              <w:rPr>
                <w:rFonts w:hint="eastAsia" w:ascii="宋体" w:hAnsi="宋体" w:eastAsia="宋体" w:cs="宋体"/>
                <w:i w:val="0"/>
                <w:iCs w:val="0"/>
                <w:color w:val="000000"/>
                <w:sz w:val="18"/>
                <w:szCs w:val="18"/>
                <w:u w:val="none"/>
              </w:rPr>
              <w:t>一体机内置至少15W*2功率扬声器，具备DTS音效解码和杜比音效解码，支持手动开启DTS音效。</w:t>
            </w:r>
          </w:p>
          <w:p w14:paraId="05EB9B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7、</w:t>
            </w:r>
            <w:r>
              <w:rPr>
                <w:rFonts w:hint="eastAsia" w:ascii="宋体" w:hAnsi="宋体" w:eastAsia="宋体" w:cs="宋体"/>
                <w:i w:val="0"/>
                <w:iCs w:val="0"/>
                <w:color w:val="000000"/>
                <w:sz w:val="18"/>
                <w:szCs w:val="18"/>
                <w:u w:val="none"/>
              </w:rPr>
              <w:t>内置≥1300万像素摄像头，水平视场角≥95°，支持3D降噪、人脸识别、扫描二维码；内置≥4路麦克风阵列，支持不少于1</w:t>
            </w:r>
            <w:r>
              <w:rPr>
                <w:rFonts w:hint="default" w:ascii="宋体" w:hAnsi="宋体" w:eastAsia="宋体" w:cs="宋体"/>
                <w:i w:val="0"/>
                <w:iCs w:val="0"/>
                <w:color w:val="000000"/>
                <w:sz w:val="18"/>
                <w:szCs w:val="18"/>
                <w:u w:val="none"/>
              </w:rPr>
              <w:t>0</w:t>
            </w:r>
            <w:r>
              <w:rPr>
                <w:rFonts w:hint="eastAsia" w:ascii="宋体" w:hAnsi="宋体" w:eastAsia="宋体" w:cs="宋体"/>
                <w:i w:val="0"/>
                <w:iCs w:val="0"/>
                <w:color w:val="000000"/>
                <w:sz w:val="18"/>
                <w:szCs w:val="18"/>
                <w:u w:val="none"/>
              </w:rPr>
              <w:t>M拾音。（提供具有CMA或CNAS资质认定的第三方权威检测机构出具的检测报告扫描件，加盖投标人公章）</w:t>
            </w:r>
          </w:p>
          <w:p w14:paraId="50F31C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8、</w:t>
            </w:r>
            <w:r>
              <w:rPr>
                <w:rFonts w:hint="eastAsia" w:ascii="宋体" w:hAnsi="宋体" w:eastAsia="宋体" w:cs="宋体"/>
                <w:i w:val="0"/>
                <w:iCs w:val="0"/>
                <w:color w:val="000000"/>
                <w:sz w:val="18"/>
                <w:szCs w:val="18"/>
                <w:u w:val="none"/>
              </w:rPr>
              <w:t>一体机安卓内置 2.4G/5G双频WiFi，支持建立热点，支持蓝牙5.1通信；</w:t>
            </w:r>
          </w:p>
          <w:p w14:paraId="1CB83C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9、</w:t>
            </w:r>
            <w:r>
              <w:rPr>
                <w:rFonts w:hint="eastAsia" w:ascii="宋体" w:hAnsi="宋体" w:eastAsia="宋体" w:cs="宋体"/>
                <w:i w:val="0"/>
                <w:iCs w:val="0"/>
                <w:color w:val="000000"/>
                <w:sz w:val="18"/>
                <w:szCs w:val="18"/>
                <w:u w:val="none"/>
              </w:rPr>
              <w:t>支持任意使用场景调取软控菜单，菜单包含：安卓、信号源、半屏显示、息屏、待机、电脑开关、护眼、音量加减、设置、返回等。支持任意使用场景两指调取工具菜单，菜单包含：上一级、锁屏、截图、冻结、批注、视频展台、白板、计时器、放大镜、任务视窗等；</w:t>
            </w:r>
          </w:p>
          <w:p w14:paraId="0C6D0A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10、</w:t>
            </w:r>
            <w:r>
              <w:rPr>
                <w:rFonts w:hint="eastAsia" w:ascii="宋体" w:hAnsi="宋体" w:eastAsia="宋体" w:cs="宋体"/>
                <w:i w:val="0"/>
                <w:iCs w:val="0"/>
                <w:color w:val="000000"/>
                <w:sz w:val="18"/>
                <w:szCs w:val="18"/>
                <w:u w:val="none"/>
              </w:rPr>
              <w:t>一体机支持不少于2种显示模式，支持根据环境光线自动调节屏幕亮度，支持触控时自动降低背光亮度，支持根据环境光自动关闭背光进入节能模式；</w:t>
            </w:r>
          </w:p>
          <w:p w14:paraId="535711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11、</w:t>
            </w:r>
            <w:r>
              <w:rPr>
                <w:rFonts w:hint="eastAsia" w:ascii="宋体" w:hAnsi="宋体" w:eastAsia="宋体" w:cs="宋体"/>
                <w:i w:val="0"/>
                <w:iCs w:val="0"/>
                <w:color w:val="000000"/>
                <w:sz w:val="18"/>
                <w:szCs w:val="18"/>
                <w:u w:val="none"/>
              </w:rPr>
              <w:t>防撞设计：一体机具备前置端子防撞、防尘挡板模块，防止侧拉绿板撞坏前置外接设备，避免灰尘进入端子内部。</w:t>
            </w:r>
          </w:p>
          <w:p w14:paraId="21BD7788">
            <w:pPr>
              <w:keepNext w:val="0"/>
              <w:keepLines w:val="0"/>
              <w:widowControl/>
              <w:suppressLineNumbers w:val="0"/>
              <w:jc w:val="left"/>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val="en-US" w:eastAsia="zh-CN"/>
              </w:rPr>
              <w:t>12、可选配</w:t>
            </w:r>
            <w:r>
              <w:rPr>
                <w:rFonts w:hint="eastAsia" w:ascii="宋体" w:hAnsi="宋体" w:eastAsia="宋体" w:cs="宋体"/>
                <w:i w:val="0"/>
                <w:iCs w:val="0"/>
                <w:color w:val="000000"/>
                <w:sz w:val="18"/>
                <w:szCs w:val="18"/>
                <w:u w:val="none"/>
              </w:rPr>
              <w:t>OPS</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采用模块化设计，采用INTEL标准80pin数据传输接口</w:t>
            </w:r>
            <w:bookmarkEnd w:id="41"/>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电脑 I5 12代8+256</w:t>
            </w:r>
            <w:r>
              <w:rPr>
                <w:rFonts w:hint="eastAsia" w:ascii="宋体" w:hAnsi="宋体" w:eastAsia="宋体" w:cs="宋体"/>
                <w:i w:val="0"/>
                <w:iCs w:val="0"/>
                <w:color w:val="000000"/>
                <w:sz w:val="18"/>
                <w:szCs w:val="18"/>
                <w:u w:val="none"/>
                <w:lang w:eastAsia="zh-CN"/>
              </w:rPr>
              <w:t>。</w:t>
            </w:r>
          </w:p>
          <w:p w14:paraId="021A69BA">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13、需配备专用移动支架。</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1318A605">
            <w:pPr>
              <w:keepNext w:val="0"/>
              <w:keepLines w:val="0"/>
              <w:widowControl/>
              <w:suppressLineNumbers w:val="0"/>
              <w:jc w:val="center"/>
              <w:textAlignment w:val="center"/>
              <w:rPr>
                <w:rFonts w:hint="default" w:ascii="Calibri" w:hAnsi="Calibri" w:eastAsia="宋体" w:cs="Calibri"/>
                <w:i w:val="0"/>
                <w:iCs w:val="0"/>
                <w:color w:val="000000" w:themeColor="text1"/>
                <w:sz w:val="21"/>
                <w:szCs w:val="21"/>
                <w:u w:val="none"/>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5AD6C95E">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u w:val="none"/>
              </w:rPr>
            </w:pPr>
            <w:r>
              <w:rPr>
                <w:rStyle w:val="83"/>
                <w:color w:val="000000" w:themeColor="text1"/>
                <w:lang w:val="en-US" w:eastAsia="zh-CN" w:bidi="ar"/>
              </w:rPr>
              <w:t>套</w:t>
            </w:r>
          </w:p>
        </w:tc>
      </w:tr>
      <w:tr w14:paraId="3A307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295" w:type="pct"/>
            <w:tcBorders>
              <w:top w:val="single" w:color="000000" w:sz="4" w:space="0"/>
              <w:left w:val="single" w:color="000000" w:sz="4" w:space="0"/>
              <w:bottom w:val="single" w:color="000000" w:sz="4" w:space="0"/>
              <w:right w:val="single" w:color="000000" w:sz="4" w:space="0"/>
            </w:tcBorders>
            <w:noWrap w:val="0"/>
            <w:vAlign w:val="top"/>
          </w:tcPr>
          <w:p w14:paraId="08AD5593">
            <w:pPr>
              <w:keepNext w:val="0"/>
              <w:keepLines w:val="0"/>
              <w:widowControl/>
              <w:suppressLineNumbers w:val="0"/>
              <w:jc w:val="center"/>
              <w:textAlignment w:val="center"/>
              <w:rPr>
                <w:rFonts w:hint="default" w:ascii="宋体" w:hAnsi="宋体" w:eastAsia="宋体" w:cs="宋体"/>
                <w:i w:val="0"/>
                <w:iCs w:val="0"/>
                <w:color w:val="000000" w:themeColor="text1"/>
                <w:kern w:val="0"/>
                <w:sz w:val="18"/>
                <w:szCs w:val="18"/>
                <w:u w:val="none"/>
                <w:lang w:val="en-US" w:eastAsia="zh-CN" w:bidi="ar"/>
              </w:rPr>
            </w:pPr>
            <w:r>
              <w:rPr>
                <w:rFonts w:hint="eastAsia" w:eastAsia="宋体" w:cs="Calibri"/>
                <w:i w:val="0"/>
                <w:iCs w:val="0"/>
                <w:color w:val="000000" w:themeColor="text1"/>
                <w:kern w:val="0"/>
                <w:sz w:val="21"/>
                <w:szCs w:val="21"/>
                <w:u w:val="none"/>
                <w:lang w:val="en-US" w:eastAsia="zh-CN" w:bidi="ar"/>
              </w:rPr>
              <w:t>1</w:t>
            </w:r>
            <w:r>
              <w:rPr>
                <w:rFonts w:hint="eastAsia" w:cs="Calibri"/>
                <w:i w:val="0"/>
                <w:iCs w:val="0"/>
                <w:color w:val="000000" w:themeColor="text1"/>
                <w:kern w:val="0"/>
                <w:sz w:val="21"/>
                <w:szCs w:val="21"/>
                <w:u w:val="none"/>
                <w:lang w:val="en-US" w:eastAsia="zh-CN" w:bidi="ar"/>
              </w:rPr>
              <w:t>5</w:t>
            </w:r>
          </w:p>
        </w:tc>
        <w:tc>
          <w:tcPr>
            <w:tcW w:w="644" w:type="pct"/>
            <w:tcBorders>
              <w:top w:val="single" w:color="000000" w:sz="4" w:space="0"/>
              <w:left w:val="single" w:color="000000" w:sz="4" w:space="0"/>
              <w:bottom w:val="single" w:color="000000" w:sz="4" w:space="0"/>
              <w:right w:val="single" w:color="000000" w:sz="4" w:space="0"/>
            </w:tcBorders>
            <w:noWrap w:val="0"/>
            <w:vAlign w:val="top"/>
          </w:tcPr>
          <w:p w14:paraId="67657E64">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rPr>
            </w:pPr>
            <w:r>
              <w:rPr>
                <w:rStyle w:val="80"/>
                <w:color w:val="000000" w:themeColor="text1"/>
                <w:lang w:val="en-US" w:eastAsia="zh-CN" w:bidi="ar"/>
              </w:rPr>
              <w:t>布线</w:t>
            </w:r>
          </w:p>
        </w:tc>
        <w:tc>
          <w:tcPr>
            <w:tcW w:w="3346" w:type="pct"/>
            <w:tcBorders>
              <w:top w:val="single" w:color="000000" w:sz="4" w:space="0"/>
              <w:left w:val="single" w:color="000000" w:sz="4" w:space="0"/>
              <w:bottom w:val="single" w:color="000000" w:sz="4" w:space="0"/>
              <w:right w:val="single" w:color="000000" w:sz="4" w:space="0"/>
            </w:tcBorders>
            <w:noWrap w:val="0"/>
            <w:vAlign w:val="center"/>
          </w:tcPr>
          <w:p w14:paraId="39A6DCDB">
            <w:pPr>
              <w:keepNext w:val="0"/>
              <w:keepLines w:val="0"/>
              <w:widowControl/>
              <w:suppressLineNumbers w:val="0"/>
              <w:jc w:val="left"/>
              <w:textAlignment w:val="center"/>
              <w:rPr>
                <w:rFonts w:hint="default" w:ascii="宋体" w:hAnsi="宋体" w:eastAsia="宋体" w:cs="宋体"/>
                <w:i w:val="0"/>
                <w:iCs w:val="0"/>
                <w:color w:val="000000" w:themeColor="text1"/>
                <w:kern w:val="0"/>
                <w:sz w:val="18"/>
                <w:szCs w:val="18"/>
                <w:u w:val="none"/>
                <w:lang w:val="en-US" w:eastAsia="zh-CN" w:bidi="ar"/>
              </w:rPr>
            </w:pPr>
            <w:r>
              <w:rPr>
                <w:rFonts w:hint="eastAsia" w:ascii="宋体" w:hAnsi="宋体" w:eastAsia="宋体" w:cs="宋体"/>
                <w:i w:val="0"/>
                <w:iCs w:val="0"/>
                <w:color w:val="000000" w:themeColor="text1"/>
                <w:kern w:val="0"/>
                <w:sz w:val="18"/>
                <w:szCs w:val="18"/>
                <w:u w:val="none"/>
                <w:lang w:val="en-US" w:eastAsia="zh-CN" w:bidi="ar"/>
              </w:rPr>
              <w:t>房间内电脑桌、智慧黑板、智慧讲台强弱电布线安装</w:t>
            </w:r>
          </w:p>
        </w:tc>
        <w:tc>
          <w:tcPr>
            <w:tcW w:w="347" w:type="pct"/>
            <w:tcBorders>
              <w:top w:val="single" w:color="000000" w:sz="4" w:space="0"/>
              <w:left w:val="single" w:color="000000" w:sz="4" w:space="0"/>
              <w:bottom w:val="single" w:color="000000" w:sz="4" w:space="0"/>
              <w:right w:val="single" w:color="000000" w:sz="4" w:space="0"/>
            </w:tcBorders>
            <w:noWrap w:val="0"/>
            <w:vAlign w:val="center"/>
          </w:tcPr>
          <w:p w14:paraId="53217469">
            <w:pPr>
              <w:keepNext w:val="0"/>
              <w:keepLines w:val="0"/>
              <w:widowControl/>
              <w:suppressLineNumbers w:val="0"/>
              <w:jc w:val="center"/>
              <w:textAlignment w:val="center"/>
              <w:rPr>
                <w:rFonts w:hint="default" w:ascii="宋体" w:hAnsi="宋体" w:eastAsia="宋体" w:cs="宋体"/>
                <w:i w:val="0"/>
                <w:iCs w:val="0"/>
                <w:color w:val="000000" w:themeColor="text1"/>
                <w:kern w:val="0"/>
                <w:sz w:val="18"/>
                <w:szCs w:val="18"/>
                <w:u w:val="none"/>
                <w:lang w:val="en-US" w:eastAsia="zh-CN" w:bidi="ar"/>
              </w:rPr>
            </w:pPr>
            <w:r>
              <w:rPr>
                <w:rFonts w:hint="default" w:ascii="Calibri" w:hAnsi="Calibri" w:eastAsia="宋体" w:cs="Calibri"/>
                <w:i w:val="0"/>
                <w:iCs w:val="0"/>
                <w:color w:val="000000" w:themeColor="text1"/>
                <w:kern w:val="0"/>
                <w:sz w:val="21"/>
                <w:szCs w:val="21"/>
                <w:u w:val="none"/>
                <w:lang w:val="en-US" w:eastAsia="zh-CN" w:bidi="ar"/>
              </w:rPr>
              <w:t>1</w:t>
            </w:r>
          </w:p>
        </w:tc>
        <w:tc>
          <w:tcPr>
            <w:tcW w:w="366" w:type="pct"/>
            <w:tcBorders>
              <w:top w:val="single" w:color="000000" w:sz="4" w:space="0"/>
              <w:left w:val="single" w:color="000000" w:sz="4" w:space="0"/>
              <w:bottom w:val="single" w:color="000000" w:sz="4" w:space="0"/>
              <w:right w:val="single" w:color="000000" w:sz="4" w:space="0"/>
            </w:tcBorders>
            <w:noWrap w:val="0"/>
            <w:vAlign w:val="center"/>
          </w:tcPr>
          <w:p w14:paraId="243A22E3">
            <w:pPr>
              <w:keepNext w:val="0"/>
              <w:keepLines w:val="0"/>
              <w:widowControl/>
              <w:suppressLineNumbers w:val="0"/>
              <w:jc w:val="center"/>
              <w:textAlignment w:val="center"/>
              <w:rPr>
                <w:rFonts w:hint="eastAsia" w:ascii="宋体" w:hAnsi="宋体" w:eastAsia="宋体" w:cs="宋体"/>
                <w:i w:val="0"/>
                <w:iCs w:val="0"/>
                <w:color w:val="000000" w:themeColor="text1"/>
                <w:kern w:val="0"/>
                <w:sz w:val="18"/>
                <w:szCs w:val="18"/>
                <w:u w:val="none"/>
                <w:lang w:val="en-US" w:eastAsia="zh-CN" w:bidi="ar"/>
              </w:rPr>
            </w:pPr>
            <w:r>
              <w:rPr>
                <w:rStyle w:val="83"/>
                <w:color w:val="000000" w:themeColor="text1"/>
                <w:lang w:val="en-US" w:eastAsia="zh-CN" w:bidi="ar"/>
              </w:rPr>
              <w:t>套</w:t>
            </w:r>
          </w:p>
        </w:tc>
      </w:tr>
    </w:tbl>
    <w:p w14:paraId="739E852D">
      <w:pPr>
        <w:pStyle w:val="2"/>
        <w:rPr>
          <w:rFonts w:hint="eastAsia"/>
          <w:lang w:val="en-US" w:eastAsia="zh-CN"/>
        </w:rPr>
      </w:pPr>
    </w:p>
    <w:p w14:paraId="4D4F9536">
      <w:pPr>
        <w:pStyle w:val="2"/>
        <w:bidi w:val="0"/>
        <w:jc w:val="left"/>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6D97BD73">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w:t>
      </w:r>
      <w:r>
        <w:rPr>
          <w:rStyle w:val="66"/>
          <w:rFonts w:hint="eastAsia" w:ascii="宋体" w:hAnsi="宋体" w:cs="宋体"/>
          <w:color w:val="000000"/>
          <w:sz w:val="24"/>
          <w:lang w:val="en-US" w:eastAsia="zh-CN"/>
        </w:rPr>
        <w:t>售后质保年限3年</w:t>
      </w:r>
      <w:r>
        <w:rPr>
          <w:rStyle w:val="66"/>
          <w:rFonts w:hint="eastAsia" w:ascii="宋体" w:hAnsi="宋体" w:cs="宋体"/>
          <w:color w:val="000000"/>
          <w:sz w:val="24"/>
          <w:lang w:val="zh-CN"/>
        </w:rPr>
        <w:t>,在接到采购方服务请求后，1小时响应，</w:t>
      </w:r>
      <w:r>
        <w:rPr>
          <w:rStyle w:val="66"/>
          <w:rFonts w:hint="eastAsia" w:ascii="宋体" w:hAnsi="宋体" w:cs="宋体"/>
          <w:color w:val="000000"/>
          <w:sz w:val="24"/>
          <w:lang w:val="en-US" w:eastAsia="zh-CN"/>
        </w:rPr>
        <w:t>4</w:t>
      </w:r>
      <w:r>
        <w:rPr>
          <w:rStyle w:val="66"/>
          <w:rFonts w:hint="eastAsia" w:ascii="宋体" w:hAnsi="宋体" w:cs="宋体"/>
          <w:color w:val="000000"/>
          <w:sz w:val="24"/>
          <w:lang w:val="zh-CN"/>
        </w:rPr>
        <w:t>小时内上门解决问题；质保期内提供免费上门服务，质保期外的收费按相关行业规则或由双方协商收取。</w:t>
      </w:r>
    </w:p>
    <w:p w14:paraId="27D1AB5D">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14:paraId="41A438BA">
      <w:pPr>
        <w:spacing w:line="420" w:lineRule="exact"/>
        <w:ind w:firstLine="480" w:firstLineChars="200"/>
        <w:rPr>
          <w:rStyle w:val="66"/>
          <w:rFonts w:ascii="宋体" w:hAnsi="宋体" w:cs="宋体"/>
          <w:color w:val="auto"/>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Fonts w:hint="eastAsia" w:asciiTheme="minorEastAsia" w:hAnsiTheme="minorEastAsia" w:eastAsiaTheme="minorEastAsia" w:cstheme="minorEastAsia"/>
          <w:color w:val="auto"/>
          <w:sz w:val="24"/>
        </w:rPr>
        <w:t>自合同签订之日起120日历天。</w:t>
      </w:r>
    </w:p>
    <w:p w14:paraId="2FD93972">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078F65A2">
      <w:pPr>
        <w:pStyle w:val="35"/>
        <w:ind w:left="0" w:leftChars="0" w:firstLine="0" w:firstLineChars="0"/>
        <w:rPr>
          <w:rFonts w:ascii="宋体" w:hAnsi="宋体" w:cs="宋体"/>
          <w:sz w:val="24"/>
        </w:rPr>
      </w:pPr>
    </w:p>
    <w:p w14:paraId="015E0E51">
      <w:pPr>
        <w:spacing w:line="480" w:lineRule="auto"/>
        <w:jc w:val="center"/>
        <w:rPr>
          <w:rFonts w:ascii="宋体" w:hAnsi="宋体" w:cs="宋体"/>
          <w:sz w:val="24"/>
        </w:rPr>
      </w:pPr>
      <w:r>
        <w:rPr>
          <w:rFonts w:hint="eastAsia" w:ascii="宋体" w:hAnsi="宋体" w:cs="宋体"/>
          <w:b/>
          <w:bCs/>
          <w:sz w:val="24"/>
        </w:rPr>
        <w:t>第四章  响应性文件内容及格式</w:t>
      </w:r>
    </w:p>
    <w:p w14:paraId="418057DB">
      <w:pPr>
        <w:widowControl/>
        <w:spacing w:line="520" w:lineRule="exact"/>
        <w:ind w:firstLine="480" w:firstLineChars="200"/>
        <w:jc w:val="center"/>
        <w:rPr>
          <w:rFonts w:ascii="宋体" w:hAnsi="宋体" w:cs="宋体"/>
          <w:sz w:val="24"/>
        </w:rPr>
      </w:pPr>
    </w:p>
    <w:p w14:paraId="6364D7B9">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05A736FE">
      <w:pPr>
        <w:spacing w:line="560" w:lineRule="exact"/>
        <w:ind w:firstLine="482" w:firstLineChars="200"/>
        <w:rPr>
          <w:rFonts w:ascii="宋体" w:hAnsi="宋体" w:cs="宋体"/>
          <w:b/>
          <w:sz w:val="24"/>
        </w:rPr>
      </w:pPr>
      <w:r>
        <w:rPr>
          <w:rFonts w:hint="eastAsia" w:ascii="宋体" w:hAnsi="宋体" w:cs="宋体"/>
          <w:b/>
          <w:sz w:val="24"/>
        </w:rPr>
        <w:t>重要提示：</w:t>
      </w:r>
    </w:p>
    <w:p w14:paraId="1EBEA608">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6901F53A">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3C6F0A86">
      <w:pPr>
        <w:snapToGrid w:val="0"/>
        <w:jc w:val="left"/>
        <w:rPr>
          <w:rFonts w:ascii="宋体" w:hAnsi="宋体" w:cs="宋体"/>
          <w:sz w:val="24"/>
        </w:rPr>
      </w:pPr>
    </w:p>
    <w:p w14:paraId="313EF9EC">
      <w:pPr>
        <w:snapToGrid w:val="0"/>
        <w:jc w:val="left"/>
        <w:rPr>
          <w:rFonts w:ascii="宋体" w:hAnsi="宋体" w:cs="宋体"/>
          <w:sz w:val="24"/>
        </w:rPr>
      </w:pPr>
    </w:p>
    <w:p w14:paraId="1BF7D1B7">
      <w:pPr>
        <w:snapToGrid w:val="0"/>
        <w:jc w:val="left"/>
        <w:rPr>
          <w:rFonts w:ascii="宋体" w:hAnsi="宋体" w:cs="宋体"/>
          <w:sz w:val="24"/>
        </w:rPr>
      </w:pPr>
    </w:p>
    <w:p w14:paraId="483B188F">
      <w:pPr>
        <w:snapToGrid w:val="0"/>
        <w:jc w:val="left"/>
        <w:rPr>
          <w:rFonts w:ascii="宋体" w:hAnsi="宋体" w:cs="宋体"/>
          <w:sz w:val="24"/>
        </w:rPr>
      </w:pPr>
    </w:p>
    <w:p w14:paraId="2524C69C">
      <w:pPr>
        <w:snapToGrid w:val="0"/>
        <w:jc w:val="left"/>
        <w:rPr>
          <w:rFonts w:ascii="宋体" w:hAnsi="宋体" w:cs="宋体"/>
          <w:sz w:val="24"/>
        </w:rPr>
      </w:pPr>
    </w:p>
    <w:p w14:paraId="4A127B03">
      <w:pPr>
        <w:snapToGrid w:val="0"/>
        <w:jc w:val="left"/>
        <w:rPr>
          <w:rFonts w:ascii="宋体" w:hAnsi="宋体" w:cs="宋体"/>
          <w:sz w:val="24"/>
        </w:rPr>
      </w:pPr>
    </w:p>
    <w:p w14:paraId="770230EC">
      <w:pPr>
        <w:snapToGrid w:val="0"/>
        <w:jc w:val="left"/>
        <w:rPr>
          <w:rFonts w:ascii="宋体" w:hAnsi="宋体" w:cs="宋体"/>
          <w:sz w:val="24"/>
        </w:rPr>
      </w:pPr>
    </w:p>
    <w:p w14:paraId="167F6F41">
      <w:pPr>
        <w:snapToGrid w:val="0"/>
        <w:jc w:val="left"/>
        <w:rPr>
          <w:rFonts w:ascii="宋体" w:hAnsi="宋体" w:cs="宋体"/>
          <w:sz w:val="24"/>
        </w:rPr>
      </w:pPr>
    </w:p>
    <w:p w14:paraId="0ECDFAE3">
      <w:pPr>
        <w:snapToGrid w:val="0"/>
        <w:jc w:val="left"/>
        <w:rPr>
          <w:rFonts w:ascii="宋体" w:hAnsi="宋体" w:cs="宋体"/>
          <w:sz w:val="24"/>
        </w:rPr>
      </w:pPr>
    </w:p>
    <w:p w14:paraId="0E345A56">
      <w:pPr>
        <w:snapToGrid w:val="0"/>
        <w:jc w:val="left"/>
        <w:rPr>
          <w:rFonts w:ascii="宋体" w:hAnsi="宋体" w:cs="宋体"/>
          <w:sz w:val="24"/>
        </w:rPr>
      </w:pPr>
    </w:p>
    <w:p w14:paraId="6EB1A864">
      <w:pPr>
        <w:snapToGrid w:val="0"/>
        <w:jc w:val="left"/>
        <w:rPr>
          <w:rFonts w:ascii="宋体" w:hAnsi="宋体" w:cs="宋体"/>
          <w:sz w:val="24"/>
        </w:rPr>
      </w:pPr>
    </w:p>
    <w:p w14:paraId="00180D96">
      <w:pPr>
        <w:snapToGrid w:val="0"/>
        <w:jc w:val="left"/>
        <w:rPr>
          <w:rFonts w:ascii="宋体" w:hAnsi="宋体" w:cs="宋体"/>
          <w:sz w:val="24"/>
        </w:rPr>
      </w:pPr>
    </w:p>
    <w:p w14:paraId="612D698A">
      <w:pPr>
        <w:snapToGrid w:val="0"/>
        <w:jc w:val="left"/>
        <w:rPr>
          <w:rFonts w:ascii="宋体" w:hAnsi="宋体" w:cs="宋体"/>
          <w:sz w:val="24"/>
        </w:rPr>
      </w:pPr>
    </w:p>
    <w:p w14:paraId="6A5D22F1">
      <w:pPr>
        <w:snapToGrid w:val="0"/>
        <w:jc w:val="left"/>
        <w:rPr>
          <w:rFonts w:ascii="宋体" w:hAnsi="宋体" w:cs="宋体"/>
          <w:sz w:val="24"/>
        </w:rPr>
      </w:pPr>
    </w:p>
    <w:p w14:paraId="3AABECF3">
      <w:pPr>
        <w:pStyle w:val="26"/>
        <w:ind w:firstLine="480"/>
        <w:rPr>
          <w:rFonts w:ascii="宋体" w:hAnsi="宋体" w:eastAsia="宋体" w:cs="宋体"/>
          <w:sz w:val="24"/>
        </w:rPr>
      </w:pPr>
    </w:p>
    <w:p w14:paraId="5562F769">
      <w:pPr>
        <w:pStyle w:val="26"/>
        <w:ind w:firstLine="480"/>
        <w:rPr>
          <w:rFonts w:ascii="宋体" w:hAnsi="宋体" w:eastAsia="宋体" w:cs="宋体"/>
          <w:sz w:val="24"/>
        </w:rPr>
      </w:pPr>
    </w:p>
    <w:p w14:paraId="551B5BCD">
      <w:pPr>
        <w:pStyle w:val="26"/>
        <w:ind w:firstLine="480"/>
        <w:rPr>
          <w:rFonts w:ascii="宋体" w:hAnsi="宋体" w:eastAsia="宋体" w:cs="宋体"/>
          <w:sz w:val="24"/>
        </w:rPr>
      </w:pPr>
    </w:p>
    <w:p w14:paraId="7EBC11DC">
      <w:pPr>
        <w:pStyle w:val="26"/>
        <w:ind w:firstLine="480"/>
        <w:rPr>
          <w:rFonts w:ascii="宋体" w:hAnsi="宋体" w:eastAsia="宋体" w:cs="宋体"/>
          <w:sz w:val="24"/>
        </w:rPr>
      </w:pPr>
    </w:p>
    <w:p w14:paraId="2EF966CF">
      <w:pPr>
        <w:snapToGrid w:val="0"/>
        <w:jc w:val="left"/>
        <w:rPr>
          <w:rFonts w:ascii="宋体" w:hAnsi="宋体" w:cs="宋体"/>
          <w:sz w:val="24"/>
        </w:rPr>
      </w:pPr>
    </w:p>
    <w:p w14:paraId="51118C48">
      <w:pPr>
        <w:snapToGrid w:val="0"/>
        <w:jc w:val="left"/>
        <w:rPr>
          <w:rFonts w:ascii="宋体" w:hAnsi="宋体" w:cs="宋体"/>
          <w:sz w:val="24"/>
        </w:rPr>
      </w:pPr>
    </w:p>
    <w:p w14:paraId="3658572C">
      <w:pPr>
        <w:snapToGrid w:val="0"/>
        <w:jc w:val="left"/>
        <w:rPr>
          <w:rFonts w:ascii="宋体" w:hAnsi="宋体" w:cs="宋体"/>
          <w:sz w:val="24"/>
        </w:rPr>
      </w:pPr>
    </w:p>
    <w:p w14:paraId="2AABE2CF">
      <w:pPr>
        <w:snapToGrid w:val="0"/>
        <w:jc w:val="left"/>
        <w:rPr>
          <w:rFonts w:ascii="宋体" w:hAnsi="宋体" w:cs="宋体"/>
          <w:sz w:val="24"/>
        </w:rPr>
      </w:pPr>
    </w:p>
    <w:p w14:paraId="1771F8B3">
      <w:pPr>
        <w:snapToGrid w:val="0"/>
        <w:jc w:val="left"/>
        <w:rPr>
          <w:rFonts w:ascii="宋体" w:hAnsi="宋体" w:cs="宋体"/>
          <w:sz w:val="24"/>
        </w:rPr>
      </w:pPr>
    </w:p>
    <w:p w14:paraId="32747780">
      <w:pPr>
        <w:snapToGrid w:val="0"/>
        <w:jc w:val="left"/>
        <w:rPr>
          <w:rFonts w:ascii="宋体" w:hAnsi="宋体" w:cs="宋体"/>
          <w:sz w:val="24"/>
        </w:rPr>
      </w:pPr>
    </w:p>
    <w:p w14:paraId="0546D81B">
      <w:pPr>
        <w:snapToGrid w:val="0"/>
        <w:jc w:val="left"/>
        <w:rPr>
          <w:rFonts w:ascii="宋体" w:hAnsi="宋体" w:cs="宋体"/>
          <w:sz w:val="24"/>
        </w:rPr>
      </w:pPr>
    </w:p>
    <w:p w14:paraId="350D50FD">
      <w:pPr>
        <w:snapToGrid w:val="0"/>
        <w:jc w:val="left"/>
        <w:rPr>
          <w:rFonts w:ascii="宋体" w:hAnsi="宋体" w:cs="宋体"/>
          <w:sz w:val="24"/>
        </w:rPr>
      </w:pPr>
    </w:p>
    <w:p w14:paraId="031C0C36">
      <w:pPr>
        <w:pStyle w:val="26"/>
        <w:ind w:firstLine="480"/>
        <w:rPr>
          <w:rFonts w:ascii="宋体" w:hAnsi="宋体" w:eastAsia="宋体" w:cs="宋体"/>
          <w:sz w:val="24"/>
        </w:rPr>
      </w:pPr>
    </w:p>
    <w:p w14:paraId="7DB50B17">
      <w:pPr>
        <w:snapToGrid w:val="0"/>
        <w:jc w:val="left"/>
        <w:rPr>
          <w:rFonts w:ascii="宋体" w:hAnsi="宋体" w:cs="宋体"/>
          <w:sz w:val="24"/>
        </w:rPr>
      </w:pPr>
    </w:p>
    <w:p w14:paraId="429AD5B8">
      <w:pPr>
        <w:snapToGrid w:val="0"/>
        <w:jc w:val="left"/>
        <w:rPr>
          <w:rFonts w:ascii="宋体" w:hAnsi="宋体" w:cs="宋体"/>
          <w:sz w:val="24"/>
        </w:rPr>
      </w:pPr>
    </w:p>
    <w:p w14:paraId="337234DF">
      <w:pPr>
        <w:pStyle w:val="26"/>
        <w:ind w:firstLine="480"/>
        <w:rPr>
          <w:rFonts w:ascii="宋体" w:hAnsi="宋体" w:eastAsia="宋体" w:cs="宋体"/>
          <w:sz w:val="24"/>
        </w:rPr>
      </w:pPr>
    </w:p>
    <w:p w14:paraId="65CCD93E">
      <w:pPr>
        <w:snapToGrid w:val="0"/>
        <w:jc w:val="left"/>
        <w:rPr>
          <w:rFonts w:ascii="宋体" w:hAnsi="宋体" w:cs="宋体"/>
          <w:sz w:val="24"/>
        </w:rPr>
      </w:pPr>
    </w:p>
    <w:p w14:paraId="39165C8A">
      <w:pPr>
        <w:pStyle w:val="35"/>
        <w:ind w:firstLine="210"/>
      </w:pPr>
    </w:p>
    <w:p w14:paraId="0CD996A3">
      <w:pPr>
        <w:spacing w:line="360" w:lineRule="auto"/>
        <w:jc w:val="left"/>
        <w:rPr>
          <w:rFonts w:ascii="宋体" w:hAnsi="宋体" w:cs="宋体"/>
          <w:sz w:val="24"/>
        </w:rPr>
      </w:pPr>
    </w:p>
    <w:p w14:paraId="441DEB87">
      <w:pPr>
        <w:spacing w:line="360" w:lineRule="auto"/>
        <w:jc w:val="left"/>
        <w:rPr>
          <w:rFonts w:ascii="宋体" w:hAnsi="宋体" w:cs="宋体"/>
          <w:sz w:val="24"/>
        </w:rPr>
      </w:pPr>
    </w:p>
    <w:p w14:paraId="1D1C5A02">
      <w:pPr>
        <w:spacing w:line="360" w:lineRule="auto"/>
        <w:jc w:val="left"/>
        <w:rPr>
          <w:rFonts w:ascii="宋体" w:hAnsi="宋体" w:cs="宋体"/>
          <w:sz w:val="24"/>
        </w:rPr>
      </w:pPr>
      <w:r>
        <w:rPr>
          <w:rFonts w:hint="eastAsia" w:ascii="宋体" w:hAnsi="宋体" w:cs="宋体"/>
          <w:sz w:val="24"/>
        </w:rPr>
        <w:t>格式2-1</w:t>
      </w:r>
    </w:p>
    <w:p w14:paraId="262FB68B">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4FC6972C">
      <w:pPr>
        <w:pStyle w:val="35"/>
        <w:rPr>
          <w:rFonts w:hint="eastAsia"/>
          <w:lang w:eastAsia="zh-CN"/>
        </w:rPr>
      </w:pPr>
    </w:p>
    <w:p w14:paraId="633D4553">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4712C508">
      <w:pPr>
        <w:spacing w:line="360" w:lineRule="auto"/>
        <w:jc w:val="center"/>
        <w:rPr>
          <w:rFonts w:ascii="宋体" w:hAnsi="宋体" w:cs="宋体"/>
          <w:sz w:val="24"/>
        </w:rPr>
      </w:pPr>
      <w:r>
        <w:rPr>
          <w:rFonts w:hint="eastAsia" w:ascii="宋体" w:hAnsi="宋体" w:cs="宋体"/>
          <w:sz w:val="24"/>
        </w:rPr>
        <w:t>法定代表人身份证明书</w:t>
      </w:r>
    </w:p>
    <w:p w14:paraId="04AB741F">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378032A">
      <w:pPr>
        <w:spacing w:line="360" w:lineRule="auto"/>
        <w:ind w:firstLine="480" w:firstLineChars="200"/>
        <w:rPr>
          <w:rFonts w:ascii="宋体" w:hAnsi="宋体" w:cs="宋体"/>
          <w:sz w:val="24"/>
        </w:rPr>
      </w:pPr>
    </w:p>
    <w:p w14:paraId="11134017">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DC706FE">
      <w:pPr>
        <w:spacing w:line="360" w:lineRule="auto"/>
        <w:ind w:firstLine="480" w:firstLineChars="200"/>
        <w:rPr>
          <w:rFonts w:ascii="宋体" w:hAnsi="宋体" w:cs="宋体"/>
          <w:sz w:val="24"/>
        </w:rPr>
      </w:pPr>
      <w:r>
        <w:rPr>
          <w:rFonts w:hint="eastAsia" w:ascii="宋体" w:hAnsi="宋体" w:cs="宋体"/>
          <w:sz w:val="24"/>
        </w:rPr>
        <w:t>特此证明。</w:t>
      </w:r>
    </w:p>
    <w:p w14:paraId="3571E721">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5DAC04A2">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DAF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A3C34F4">
            <w:pPr>
              <w:spacing w:line="480" w:lineRule="exact"/>
              <w:rPr>
                <w:rFonts w:ascii="宋体" w:hAnsi="宋体" w:cs="宋体"/>
                <w:b/>
                <w:bCs/>
                <w:sz w:val="24"/>
              </w:rPr>
            </w:pPr>
          </w:p>
          <w:p w14:paraId="28C25435">
            <w:pPr>
              <w:spacing w:line="480" w:lineRule="exact"/>
              <w:rPr>
                <w:rFonts w:ascii="宋体" w:hAnsi="宋体" w:cs="宋体"/>
                <w:b/>
                <w:bCs/>
                <w:sz w:val="24"/>
              </w:rPr>
            </w:pPr>
          </w:p>
          <w:p w14:paraId="40C48375">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16DB6BD4">
            <w:pPr>
              <w:spacing w:line="480" w:lineRule="exact"/>
              <w:rPr>
                <w:rFonts w:ascii="宋体" w:hAnsi="宋体" w:cs="宋体"/>
                <w:sz w:val="24"/>
              </w:rPr>
            </w:pPr>
          </w:p>
          <w:p w14:paraId="477E5554">
            <w:pPr>
              <w:spacing w:line="480" w:lineRule="exact"/>
              <w:rPr>
                <w:rFonts w:ascii="宋体" w:hAnsi="宋体" w:cs="宋体"/>
                <w:sz w:val="24"/>
              </w:rPr>
            </w:pPr>
          </w:p>
        </w:tc>
      </w:tr>
    </w:tbl>
    <w:p w14:paraId="7E309F84">
      <w:pPr>
        <w:spacing w:line="360" w:lineRule="auto"/>
        <w:ind w:firstLine="960" w:firstLineChars="400"/>
        <w:rPr>
          <w:rFonts w:ascii="宋体" w:hAnsi="宋体" w:cs="宋体"/>
          <w:sz w:val="24"/>
        </w:rPr>
      </w:pPr>
    </w:p>
    <w:p w14:paraId="7A088CA1">
      <w:pPr>
        <w:spacing w:line="360" w:lineRule="auto"/>
        <w:ind w:firstLine="3840" w:firstLineChars="1600"/>
        <w:rPr>
          <w:rFonts w:ascii="宋体" w:hAnsi="宋体" w:cs="宋体"/>
          <w:sz w:val="24"/>
        </w:rPr>
      </w:pPr>
    </w:p>
    <w:p w14:paraId="7869B8D1">
      <w:pPr>
        <w:spacing w:line="360" w:lineRule="auto"/>
        <w:ind w:firstLine="3840" w:firstLineChars="1600"/>
        <w:rPr>
          <w:rFonts w:ascii="宋体" w:hAnsi="宋体" w:cs="宋体"/>
          <w:sz w:val="24"/>
        </w:rPr>
      </w:pPr>
    </w:p>
    <w:p w14:paraId="44E7BD0D">
      <w:pPr>
        <w:spacing w:line="360" w:lineRule="auto"/>
        <w:ind w:firstLine="3840" w:firstLineChars="1600"/>
        <w:rPr>
          <w:rFonts w:ascii="宋体" w:hAnsi="宋体" w:cs="宋体"/>
          <w:sz w:val="24"/>
        </w:rPr>
      </w:pPr>
    </w:p>
    <w:p w14:paraId="0A16EFE8">
      <w:pPr>
        <w:spacing w:line="360" w:lineRule="auto"/>
        <w:jc w:val="center"/>
        <w:rPr>
          <w:rFonts w:ascii="宋体" w:hAnsi="宋体" w:cs="宋体"/>
          <w:sz w:val="24"/>
        </w:rPr>
      </w:pPr>
    </w:p>
    <w:p w14:paraId="540F9C27">
      <w:pPr>
        <w:spacing w:line="360" w:lineRule="auto"/>
        <w:jc w:val="center"/>
        <w:rPr>
          <w:rFonts w:ascii="宋体" w:hAnsi="宋体" w:cs="宋体"/>
          <w:sz w:val="24"/>
        </w:rPr>
      </w:pPr>
    </w:p>
    <w:p w14:paraId="455FDAC5">
      <w:pPr>
        <w:spacing w:line="360" w:lineRule="auto"/>
        <w:jc w:val="center"/>
        <w:rPr>
          <w:rFonts w:ascii="宋体" w:hAnsi="宋体" w:cs="宋体"/>
          <w:sz w:val="24"/>
        </w:rPr>
      </w:pPr>
    </w:p>
    <w:p w14:paraId="0D69A91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2223125">
      <w:pPr>
        <w:spacing w:line="360" w:lineRule="auto"/>
        <w:jc w:val="center"/>
        <w:rPr>
          <w:rFonts w:ascii="宋体" w:hAnsi="宋体" w:cs="宋体"/>
          <w:sz w:val="24"/>
        </w:rPr>
      </w:pPr>
      <w:r>
        <w:rPr>
          <w:rFonts w:hint="eastAsia" w:ascii="宋体" w:hAnsi="宋体" w:cs="宋体"/>
          <w:sz w:val="24"/>
        </w:rPr>
        <w:t xml:space="preserve">                年   月  日</w:t>
      </w:r>
    </w:p>
    <w:p w14:paraId="3F6C09BB">
      <w:pPr>
        <w:spacing w:line="360" w:lineRule="auto"/>
        <w:jc w:val="center"/>
        <w:rPr>
          <w:rFonts w:ascii="宋体" w:hAnsi="宋体" w:cs="宋体"/>
          <w:sz w:val="24"/>
        </w:rPr>
      </w:pPr>
    </w:p>
    <w:p w14:paraId="10D81CF0">
      <w:pPr>
        <w:spacing w:line="360" w:lineRule="auto"/>
        <w:jc w:val="center"/>
        <w:rPr>
          <w:rFonts w:ascii="宋体" w:hAnsi="宋体" w:cs="宋体"/>
          <w:sz w:val="24"/>
        </w:rPr>
      </w:pPr>
    </w:p>
    <w:p w14:paraId="6CD71A65">
      <w:pPr>
        <w:spacing w:line="360" w:lineRule="auto"/>
        <w:jc w:val="center"/>
        <w:rPr>
          <w:rFonts w:ascii="宋体" w:hAnsi="宋体" w:cs="宋体"/>
          <w:sz w:val="24"/>
        </w:rPr>
      </w:pPr>
    </w:p>
    <w:p w14:paraId="7182B446">
      <w:pPr>
        <w:pStyle w:val="35"/>
        <w:ind w:firstLine="240"/>
        <w:rPr>
          <w:rFonts w:ascii="宋体" w:hAnsi="宋体" w:cs="宋体"/>
          <w:sz w:val="24"/>
        </w:rPr>
      </w:pPr>
    </w:p>
    <w:p w14:paraId="00B01A94">
      <w:pPr>
        <w:pStyle w:val="35"/>
        <w:ind w:firstLine="240"/>
        <w:rPr>
          <w:rFonts w:ascii="宋体" w:hAnsi="宋体" w:cs="宋体"/>
          <w:sz w:val="24"/>
        </w:rPr>
      </w:pPr>
    </w:p>
    <w:p w14:paraId="66B0E253">
      <w:pPr>
        <w:pStyle w:val="35"/>
        <w:ind w:firstLine="240"/>
        <w:rPr>
          <w:rFonts w:ascii="宋体" w:hAnsi="宋体" w:cs="宋体"/>
          <w:sz w:val="24"/>
        </w:rPr>
      </w:pPr>
    </w:p>
    <w:p w14:paraId="4747F690">
      <w:pPr>
        <w:pStyle w:val="35"/>
        <w:ind w:firstLine="240"/>
        <w:rPr>
          <w:rFonts w:ascii="宋体" w:hAnsi="宋体" w:cs="宋体"/>
          <w:sz w:val="24"/>
        </w:rPr>
      </w:pPr>
    </w:p>
    <w:p w14:paraId="14E6730F">
      <w:pPr>
        <w:pStyle w:val="35"/>
        <w:ind w:firstLine="240"/>
        <w:rPr>
          <w:rFonts w:ascii="宋体" w:hAnsi="宋体" w:cs="宋体"/>
          <w:sz w:val="24"/>
        </w:rPr>
      </w:pPr>
    </w:p>
    <w:p w14:paraId="176C964D">
      <w:pPr>
        <w:pStyle w:val="35"/>
        <w:ind w:firstLine="240"/>
        <w:rPr>
          <w:rFonts w:ascii="宋体" w:hAnsi="宋体" w:cs="宋体"/>
          <w:sz w:val="24"/>
        </w:rPr>
      </w:pPr>
    </w:p>
    <w:p w14:paraId="475BE60F">
      <w:pPr>
        <w:pStyle w:val="35"/>
        <w:ind w:firstLine="240"/>
        <w:rPr>
          <w:rFonts w:ascii="宋体" w:hAnsi="宋体" w:cs="宋体"/>
          <w:sz w:val="24"/>
        </w:rPr>
      </w:pPr>
    </w:p>
    <w:p w14:paraId="75BADA4A">
      <w:pPr>
        <w:pStyle w:val="35"/>
        <w:ind w:firstLine="240"/>
        <w:rPr>
          <w:rFonts w:ascii="宋体" w:hAnsi="宋体" w:cs="宋体"/>
          <w:sz w:val="24"/>
        </w:rPr>
      </w:pPr>
    </w:p>
    <w:p w14:paraId="238D08A0">
      <w:pPr>
        <w:spacing w:line="360" w:lineRule="auto"/>
        <w:jc w:val="center"/>
        <w:rPr>
          <w:rFonts w:ascii="宋体" w:hAnsi="宋体" w:cs="宋体"/>
          <w:sz w:val="24"/>
        </w:rPr>
      </w:pPr>
    </w:p>
    <w:p w14:paraId="655749A6">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3DB0BB89">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33EA502">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000BB584">
      <w:pPr>
        <w:spacing w:line="360" w:lineRule="auto"/>
        <w:ind w:firstLine="480" w:firstLineChars="200"/>
        <w:rPr>
          <w:rFonts w:ascii="宋体" w:hAnsi="宋体" w:cs="宋体"/>
          <w:sz w:val="24"/>
        </w:rPr>
      </w:pPr>
    </w:p>
    <w:p w14:paraId="6DFD16BA">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DB3106B">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78DD290">
      <w:pPr>
        <w:spacing w:line="360" w:lineRule="auto"/>
        <w:rPr>
          <w:rFonts w:ascii="宋体" w:hAnsi="宋体" w:cs="宋体"/>
          <w:sz w:val="24"/>
        </w:rPr>
      </w:pPr>
    </w:p>
    <w:p w14:paraId="29467437">
      <w:pPr>
        <w:spacing w:line="360" w:lineRule="auto"/>
        <w:ind w:firstLine="480" w:firstLineChars="200"/>
        <w:rPr>
          <w:rFonts w:hint="eastAsia" w:ascii="宋体" w:hAnsi="宋体" w:cs="宋体"/>
          <w:sz w:val="24"/>
        </w:rPr>
      </w:pPr>
      <w:r>
        <w:rPr>
          <w:rFonts w:hint="eastAsia" w:ascii="宋体" w:hAnsi="宋体" w:cs="宋体"/>
          <w:sz w:val="24"/>
        </w:rPr>
        <w:t>委托人：</w:t>
      </w:r>
    </w:p>
    <w:p w14:paraId="6D54B3AB">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5EFD3B2D">
      <w:pPr>
        <w:spacing w:line="360" w:lineRule="auto"/>
        <w:ind w:firstLine="480" w:firstLineChars="200"/>
        <w:rPr>
          <w:rFonts w:hint="eastAsia" w:ascii="宋体" w:hAnsi="宋体" w:cs="宋体"/>
          <w:sz w:val="24"/>
        </w:rPr>
      </w:pPr>
      <w:r>
        <w:rPr>
          <w:rFonts w:hint="eastAsia" w:ascii="宋体" w:hAnsi="宋体" w:cs="宋体"/>
          <w:sz w:val="24"/>
        </w:rPr>
        <w:t>被委托人：</w:t>
      </w:r>
    </w:p>
    <w:p w14:paraId="4644506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4FB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3CF7CDA">
            <w:pPr>
              <w:spacing w:line="480" w:lineRule="exact"/>
              <w:rPr>
                <w:rFonts w:ascii="宋体" w:hAnsi="宋体" w:cs="宋体"/>
                <w:b/>
                <w:bCs/>
                <w:sz w:val="24"/>
              </w:rPr>
            </w:pPr>
          </w:p>
          <w:p w14:paraId="6776B2F1">
            <w:pPr>
              <w:spacing w:line="480" w:lineRule="exact"/>
              <w:rPr>
                <w:rFonts w:ascii="宋体" w:hAnsi="宋体" w:cs="宋体"/>
                <w:b/>
                <w:bCs/>
                <w:sz w:val="24"/>
              </w:rPr>
            </w:pPr>
          </w:p>
          <w:p w14:paraId="34C2FD5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2AECE79">
      <w:pPr>
        <w:spacing w:line="360" w:lineRule="auto"/>
        <w:ind w:firstLine="480" w:firstLineChars="200"/>
        <w:rPr>
          <w:rFonts w:ascii="宋体" w:hAnsi="宋体" w:cs="宋体"/>
          <w:sz w:val="24"/>
        </w:rPr>
      </w:pPr>
    </w:p>
    <w:p w14:paraId="1906F47A">
      <w:pPr>
        <w:spacing w:line="360" w:lineRule="auto"/>
        <w:ind w:firstLine="480" w:firstLineChars="200"/>
        <w:rPr>
          <w:rFonts w:ascii="宋体" w:hAnsi="宋体" w:cs="宋体"/>
          <w:sz w:val="24"/>
        </w:rPr>
      </w:pPr>
    </w:p>
    <w:p w14:paraId="3D6D6400">
      <w:pPr>
        <w:spacing w:line="360" w:lineRule="auto"/>
        <w:ind w:firstLine="480" w:firstLineChars="200"/>
        <w:rPr>
          <w:rFonts w:ascii="宋体" w:hAnsi="宋体" w:cs="宋体"/>
          <w:sz w:val="24"/>
        </w:rPr>
      </w:pPr>
    </w:p>
    <w:p w14:paraId="253A9A5E">
      <w:pPr>
        <w:spacing w:line="360" w:lineRule="auto"/>
        <w:ind w:firstLine="4920" w:firstLineChars="2050"/>
        <w:rPr>
          <w:rFonts w:ascii="宋体" w:hAnsi="宋体" w:cs="宋体"/>
          <w:sz w:val="24"/>
        </w:rPr>
      </w:pPr>
    </w:p>
    <w:p w14:paraId="5F670D3A">
      <w:pPr>
        <w:spacing w:line="360" w:lineRule="auto"/>
        <w:jc w:val="center"/>
        <w:rPr>
          <w:rFonts w:ascii="宋体" w:hAnsi="宋体" w:cs="宋体"/>
          <w:sz w:val="24"/>
        </w:rPr>
      </w:pPr>
    </w:p>
    <w:p w14:paraId="3A351CCE">
      <w:pPr>
        <w:spacing w:line="360" w:lineRule="auto"/>
        <w:jc w:val="center"/>
        <w:rPr>
          <w:rFonts w:hint="eastAsia" w:ascii="宋体" w:hAnsi="宋体" w:cs="宋体"/>
          <w:sz w:val="24"/>
        </w:rPr>
      </w:pPr>
    </w:p>
    <w:p w14:paraId="551742AE">
      <w:pPr>
        <w:spacing w:line="360" w:lineRule="auto"/>
        <w:jc w:val="center"/>
        <w:rPr>
          <w:rFonts w:hint="eastAsia" w:ascii="宋体" w:hAnsi="宋体" w:cs="宋体"/>
          <w:sz w:val="24"/>
        </w:rPr>
      </w:pPr>
    </w:p>
    <w:p w14:paraId="378E948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5854E99">
      <w:pPr>
        <w:spacing w:line="360" w:lineRule="auto"/>
        <w:jc w:val="center"/>
        <w:rPr>
          <w:rFonts w:ascii="宋体" w:hAnsi="宋体" w:cs="宋体"/>
          <w:sz w:val="24"/>
        </w:rPr>
      </w:pPr>
      <w:r>
        <w:rPr>
          <w:rFonts w:hint="eastAsia" w:ascii="宋体" w:hAnsi="宋体" w:cs="宋体"/>
          <w:sz w:val="24"/>
        </w:rPr>
        <w:t xml:space="preserve">                                      </w:t>
      </w:r>
    </w:p>
    <w:p w14:paraId="244D7709">
      <w:pPr>
        <w:spacing w:line="360" w:lineRule="auto"/>
        <w:jc w:val="center"/>
        <w:rPr>
          <w:rFonts w:hint="eastAsia" w:ascii="宋体" w:hAnsi="宋体" w:cs="宋体"/>
          <w:sz w:val="24"/>
        </w:rPr>
      </w:pPr>
      <w:r>
        <w:rPr>
          <w:rFonts w:hint="eastAsia" w:ascii="宋体" w:hAnsi="宋体" w:cs="宋体"/>
          <w:sz w:val="24"/>
        </w:rPr>
        <w:t xml:space="preserve"> 年   月   日</w:t>
      </w:r>
    </w:p>
    <w:p w14:paraId="276F2E29">
      <w:pPr>
        <w:pStyle w:val="35"/>
      </w:pPr>
    </w:p>
    <w:p w14:paraId="6E9570BF">
      <w:pPr>
        <w:pStyle w:val="35"/>
      </w:pPr>
    </w:p>
    <w:p w14:paraId="48202D60">
      <w:pPr>
        <w:pStyle w:val="35"/>
      </w:pPr>
    </w:p>
    <w:p w14:paraId="0F2A9EC1">
      <w:pPr>
        <w:pStyle w:val="35"/>
      </w:pPr>
    </w:p>
    <w:p w14:paraId="336E817D">
      <w:pPr>
        <w:pStyle w:val="35"/>
      </w:pPr>
    </w:p>
    <w:p w14:paraId="41DF7EE0">
      <w:pPr>
        <w:spacing w:line="360" w:lineRule="auto"/>
        <w:jc w:val="left"/>
        <w:rPr>
          <w:rFonts w:ascii="宋体" w:hAnsi="宋体" w:cs="宋体"/>
          <w:sz w:val="24"/>
        </w:rPr>
      </w:pPr>
    </w:p>
    <w:p w14:paraId="6C520367">
      <w:pPr>
        <w:spacing w:line="360" w:lineRule="auto"/>
        <w:jc w:val="left"/>
        <w:rPr>
          <w:rFonts w:ascii="宋体" w:hAnsi="宋体" w:cs="宋体"/>
          <w:sz w:val="24"/>
        </w:rPr>
      </w:pPr>
    </w:p>
    <w:p w14:paraId="05C05717">
      <w:pPr>
        <w:spacing w:line="360" w:lineRule="auto"/>
        <w:jc w:val="left"/>
        <w:rPr>
          <w:rFonts w:ascii="宋体" w:hAnsi="宋体" w:cs="宋体"/>
          <w:sz w:val="24"/>
        </w:rPr>
      </w:pPr>
    </w:p>
    <w:p w14:paraId="4324C7B5">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CB67CBD">
      <w:pPr>
        <w:spacing w:line="360" w:lineRule="auto"/>
        <w:jc w:val="left"/>
        <w:rPr>
          <w:rFonts w:ascii="宋体" w:hAnsi="宋体" w:cs="宋体"/>
          <w:sz w:val="24"/>
        </w:rPr>
      </w:pPr>
    </w:p>
    <w:p w14:paraId="20799807">
      <w:pPr>
        <w:spacing w:line="360" w:lineRule="auto"/>
        <w:jc w:val="left"/>
        <w:rPr>
          <w:rFonts w:ascii="宋体" w:hAnsi="宋体" w:cs="宋体"/>
          <w:sz w:val="24"/>
        </w:rPr>
      </w:pPr>
    </w:p>
    <w:p w14:paraId="13346858">
      <w:pPr>
        <w:spacing w:line="360" w:lineRule="auto"/>
        <w:jc w:val="left"/>
        <w:rPr>
          <w:rFonts w:ascii="宋体" w:hAnsi="宋体" w:cs="宋体"/>
          <w:sz w:val="24"/>
        </w:rPr>
      </w:pPr>
    </w:p>
    <w:p w14:paraId="27CE0E46">
      <w:pPr>
        <w:spacing w:line="360" w:lineRule="auto"/>
        <w:jc w:val="left"/>
        <w:rPr>
          <w:rFonts w:ascii="宋体" w:hAnsi="宋体" w:cs="宋体"/>
          <w:sz w:val="24"/>
        </w:rPr>
      </w:pPr>
    </w:p>
    <w:p w14:paraId="3A5EAFC0">
      <w:pPr>
        <w:spacing w:line="360" w:lineRule="auto"/>
        <w:jc w:val="left"/>
        <w:rPr>
          <w:rFonts w:ascii="宋体" w:hAnsi="宋体" w:cs="宋体"/>
          <w:sz w:val="24"/>
        </w:rPr>
      </w:pPr>
      <w:r>
        <w:rPr>
          <w:rFonts w:hint="eastAsia" w:ascii="宋体" w:hAnsi="宋体" w:cs="宋体"/>
          <w:sz w:val="24"/>
        </w:rPr>
        <w:t>格式3</w:t>
      </w:r>
    </w:p>
    <w:p w14:paraId="4E7C7FA9">
      <w:pPr>
        <w:spacing w:line="560" w:lineRule="exact"/>
        <w:jc w:val="center"/>
        <w:rPr>
          <w:rFonts w:ascii="宋体" w:hAnsi="宋体" w:cs="宋体"/>
          <w:sz w:val="24"/>
        </w:rPr>
      </w:pPr>
      <w:r>
        <w:rPr>
          <w:rFonts w:hint="eastAsia" w:ascii="宋体" w:hAnsi="宋体" w:cs="宋体"/>
          <w:sz w:val="24"/>
        </w:rPr>
        <w:t>投标函</w:t>
      </w:r>
    </w:p>
    <w:p w14:paraId="59E253F5">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5C5735B5">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60B78D6">
      <w:pPr>
        <w:ind w:firstLine="568" w:firstLineChars="237"/>
        <w:rPr>
          <w:rFonts w:ascii="宋体" w:hAnsi="宋体" w:cs="宋体"/>
          <w:sz w:val="24"/>
        </w:rPr>
      </w:pPr>
      <w:r>
        <w:rPr>
          <w:rFonts w:hint="eastAsia" w:ascii="宋体" w:hAnsi="宋体" w:cs="宋体"/>
          <w:sz w:val="24"/>
        </w:rPr>
        <w:t>据此函，宣布同意如下：</w:t>
      </w:r>
    </w:p>
    <w:p w14:paraId="3CA04F6D">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0CA1A9D2">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6FE919C">
      <w:pPr>
        <w:numPr>
          <w:ilvl w:val="0"/>
          <w:numId w:val="1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10DD0A3B">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C00B9E1">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420AFCD0">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5E4D3E2">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14B85DF1">
      <w:pPr>
        <w:ind w:firstLine="480" w:firstLineChars="200"/>
        <w:rPr>
          <w:rFonts w:ascii="宋体" w:hAnsi="宋体" w:cs="宋体"/>
          <w:sz w:val="24"/>
        </w:rPr>
      </w:pPr>
      <w:r>
        <w:rPr>
          <w:rFonts w:hint="eastAsia" w:ascii="宋体" w:hAnsi="宋体" w:cs="宋体"/>
          <w:sz w:val="24"/>
        </w:rPr>
        <w:t>(8)与本次竞争性磋商有关的正式通讯地址为：</w:t>
      </w:r>
    </w:p>
    <w:p w14:paraId="3CA39ACF">
      <w:pPr>
        <w:ind w:firstLine="480" w:firstLineChars="200"/>
        <w:rPr>
          <w:rFonts w:ascii="宋体" w:hAnsi="宋体" w:cs="宋体"/>
          <w:sz w:val="24"/>
        </w:rPr>
      </w:pPr>
      <w:r>
        <w:rPr>
          <w:rFonts w:hint="eastAsia" w:ascii="宋体" w:hAnsi="宋体" w:cs="宋体"/>
          <w:sz w:val="24"/>
        </w:rPr>
        <w:t>地 址：                  邮 编：</w:t>
      </w:r>
    </w:p>
    <w:p w14:paraId="3EDA6E44">
      <w:pPr>
        <w:ind w:firstLine="480" w:firstLineChars="200"/>
        <w:rPr>
          <w:rFonts w:ascii="宋体" w:hAnsi="宋体" w:cs="宋体"/>
          <w:sz w:val="24"/>
        </w:rPr>
      </w:pPr>
      <w:r>
        <w:rPr>
          <w:rFonts w:hint="eastAsia" w:ascii="宋体" w:hAnsi="宋体" w:cs="宋体"/>
          <w:sz w:val="24"/>
        </w:rPr>
        <w:t>电 话：                  电子信箱：</w:t>
      </w:r>
    </w:p>
    <w:p w14:paraId="5615C408">
      <w:pPr>
        <w:ind w:firstLine="480" w:firstLineChars="200"/>
        <w:jc w:val="left"/>
        <w:rPr>
          <w:rFonts w:ascii="宋体" w:hAnsi="宋体" w:cs="宋体"/>
          <w:sz w:val="24"/>
        </w:rPr>
      </w:pPr>
      <w:r>
        <w:rPr>
          <w:rFonts w:hint="eastAsia" w:ascii="宋体" w:hAnsi="宋体" w:cs="宋体"/>
          <w:sz w:val="24"/>
        </w:rPr>
        <w:t>我们保证：</w:t>
      </w:r>
    </w:p>
    <w:p w14:paraId="79AAE5CF">
      <w:pPr>
        <w:ind w:firstLine="480" w:firstLineChars="200"/>
        <w:jc w:val="left"/>
        <w:rPr>
          <w:rFonts w:ascii="宋体" w:hAnsi="宋体" w:cs="宋体"/>
          <w:sz w:val="24"/>
        </w:rPr>
      </w:pPr>
      <w:r>
        <w:rPr>
          <w:rFonts w:hint="eastAsia" w:ascii="宋体" w:hAnsi="宋体" w:cs="宋体"/>
          <w:sz w:val="24"/>
        </w:rPr>
        <w:t>(1)不提供虚假材料谋取成交；</w:t>
      </w:r>
    </w:p>
    <w:p w14:paraId="159A5D36">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B02C577">
      <w:pPr>
        <w:ind w:firstLine="480" w:firstLineChars="200"/>
        <w:jc w:val="left"/>
        <w:rPr>
          <w:rFonts w:ascii="宋体" w:hAnsi="宋体" w:cs="宋体"/>
          <w:sz w:val="24"/>
        </w:rPr>
      </w:pPr>
      <w:r>
        <w:rPr>
          <w:rFonts w:hint="eastAsia" w:ascii="宋体" w:hAnsi="宋体" w:cs="宋体"/>
          <w:sz w:val="24"/>
        </w:rPr>
        <w:t>(3)不与采购人和其它供应商恶意串通；</w:t>
      </w:r>
    </w:p>
    <w:p w14:paraId="4E49A724">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07E0E89">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703EEB0B">
      <w:pPr>
        <w:spacing w:line="560" w:lineRule="exact"/>
        <w:jc w:val="left"/>
        <w:rPr>
          <w:rFonts w:ascii="宋体" w:hAnsi="宋体" w:cs="宋体"/>
          <w:sz w:val="24"/>
        </w:rPr>
      </w:pPr>
    </w:p>
    <w:p w14:paraId="30B98423">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1B7EC4C3">
      <w:pPr>
        <w:spacing w:line="360" w:lineRule="auto"/>
        <w:jc w:val="left"/>
        <w:rPr>
          <w:rFonts w:ascii="宋体" w:hAnsi="宋体" w:cs="宋体"/>
          <w:sz w:val="24"/>
        </w:rPr>
      </w:pPr>
    </w:p>
    <w:p w14:paraId="33F8185C">
      <w:pPr>
        <w:spacing w:line="360" w:lineRule="auto"/>
        <w:jc w:val="left"/>
        <w:rPr>
          <w:rFonts w:ascii="宋体" w:hAnsi="宋体" w:cs="宋体"/>
          <w:sz w:val="24"/>
        </w:rPr>
      </w:pPr>
    </w:p>
    <w:p w14:paraId="6C231C5C">
      <w:pPr>
        <w:spacing w:line="360" w:lineRule="auto"/>
        <w:jc w:val="left"/>
        <w:rPr>
          <w:rFonts w:ascii="宋体" w:hAnsi="宋体" w:cs="宋体"/>
          <w:sz w:val="24"/>
        </w:rPr>
      </w:pPr>
    </w:p>
    <w:p w14:paraId="5842C6B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67809EA">
      <w:pPr>
        <w:spacing w:line="360" w:lineRule="auto"/>
        <w:jc w:val="center"/>
        <w:rPr>
          <w:rFonts w:ascii="宋体" w:hAnsi="宋体" w:cs="宋体"/>
          <w:sz w:val="24"/>
        </w:rPr>
      </w:pPr>
      <w:r>
        <w:rPr>
          <w:rFonts w:hint="eastAsia" w:ascii="宋体" w:hAnsi="宋体" w:cs="宋体"/>
          <w:sz w:val="24"/>
        </w:rPr>
        <w:t xml:space="preserve">      年   月   日</w:t>
      </w:r>
    </w:p>
    <w:p w14:paraId="51A73B82">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32216555">
      <w:pPr>
        <w:pStyle w:val="4"/>
        <w:jc w:val="center"/>
        <w:rPr>
          <w:rFonts w:ascii="宋体" w:hAnsi="宋体" w:cs="宋体"/>
          <w:b w:val="0"/>
          <w:sz w:val="24"/>
          <w:szCs w:val="24"/>
        </w:rPr>
      </w:pPr>
      <w:bookmarkStart w:id="42" w:name="_Toc495414231"/>
      <w:bookmarkStart w:id="43" w:name="_Toc197934561"/>
      <w:r>
        <w:rPr>
          <w:rFonts w:hint="eastAsia" w:ascii="宋体" w:hAnsi="宋体" w:cs="宋体"/>
          <w:b w:val="0"/>
          <w:sz w:val="24"/>
          <w:szCs w:val="24"/>
        </w:rPr>
        <w:t>一．报价一览表</w:t>
      </w:r>
      <w:bookmarkEnd w:id="42"/>
      <w:bookmarkEnd w:id="43"/>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CA4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CC8FB0E">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B405230">
            <w:pPr>
              <w:spacing w:line="360" w:lineRule="exact"/>
              <w:jc w:val="center"/>
              <w:rPr>
                <w:rFonts w:ascii="宋体" w:hAnsi="宋体" w:cs="宋体"/>
                <w:sz w:val="24"/>
              </w:rPr>
            </w:pPr>
          </w:p>
        </w:tc>
      </w:tr>
      <w:tr w14:paraId="0E921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983AF67">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5A4E16F1">
            <w:pPr>
              <w:spacing w:line="360" w:lineRule="auto"/>
              <w:rPr>
                <w:rFonts w:ascii="宋体" w:hAnsi="宋体" w:cs="宋体"/>
                <w:sz w:val="24"/>
              </w:rPr>
            </w:pPr>
          </w:p>
        </w:tc>
      </w:tr>
      <w:tr w14:paraId="642C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ABC500D">
            <w:pPr>
              <w:spacing w:line="360" w:lineRule="exact"/>
              <w:jc w:val="center"/>
              <w:rPr>
                <w:rFonts w:ascii="宋体" w:hAnsi="宋体" w:cs="宋体"/>
                <w:sz w:val="24"/>
              </w:rPr>
            </w:pPr>
            <w:r>
              <w:rPr>
                <w:rFonts w:hint="eastAsia" w:ascii="宋体" w:hAnsi="宋体" w:cs="宋体"/>
                <w:sz w:val="24"/>
              </w:rPr>
              <w:t>最终投标报价（包：）</w:t>
            </w:r>
          </w:p>
          <w:p w14:paraId="6B874197">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25AF02E">
            <w:pPr>
              <w:spacing w:line="360" w:lineRule="auto"/>
              <w:ind w:right="-670"/>
              <w:rPr>
                <w:rFonts w:ascii="宋体" w:hAnsi="宋体" w:cs="宋体"/>
                <w:sz w:val="24"/>
              </w:rPr>
            </w:pPr>
            <w:r>
              <w:rPr>
                <w:rFonts w:hint="eastAsia" w:ascii="宋体" w:hAnsi="宋体" w:cs="宋体"/>
                <w:sz w:val="24"/>
              </w:rPr>
              <w:t xml:space="preserve">投标总价：       大写：           </w:t>
            </w:r>
          </w:p>
        </w:tc>
      </w:tr>
      <w:tr w14:paraId="067D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32E95D2">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0DECF632">
            <w:pPr>
              <w:spacing w:line="360" w:lineRule="auto"/>
              <w:jc w:val="left"/>
              <w:rPr>
                <w:rFonts w:ascii="宋体" w:hAnsi="宋体" w:cs="宋体"/>
                <w:sz w:val="24"/>
              </w:rPr>
            </w:pPr>
          </w:p>
        </w:tc>
      </w:tr>
    </w:tbl>
    <w:p w14:paraId="182EB11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02A9DD0">
      <w:pPr>
        <w:spacing w:line="360" w:lineRule="auto"/>
        <w:rPr>
          <w:rFonts w:hint="eastAsia" w:ascii="宋体" w:hAnsi="宋体" w:eastAsia="宋体" w:cs="宋体"/>
          <w:sz w:val="24"/>
          <w:lang w:eastAsia="zh-CN"/>
        </w:rPr>
      </w:pPr>
      <w:r>
        <w:rPr>
          <w:rFonts w:hint="eastAsia" w:ascii="宋体" w:hAnsi="宋体" w:cs="宋体"/>
          <w:sz w:val="24"/>
        </w:rPr>
        <w:t>备注：</w:t>
      </w:r>
    </w:p>
    <w:p w14:paraId="0646AFED">
      <w:pPr>
        <w:spacing w:line="360" w:lineRule="auto"/>
        <w:rPr>
          <w:rFonts w:ascii="宋体" w:hAnsi="宋体" w:cs="宋体"/>
          <w:sz w:val="24"/>
        </w:rPr>
      </w:pPr>
      <w:r>
        <w:rPr>
          <w:rFonts w:hint="eastAsia" w:ascii="宋体" w:hAnsi="宋体" w:cs="宋体"/>
          <w:sz w:val="24"/>
        </w:rPr>
        <w:t>1、此表用于开标会唱标之用。</w:t>
      </w:r>
    </w:p>
    <w:p w14:paraId="51EFBEEF">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C4E493D">
      <w:pPr>
        <w:spacing w:line="360" w:lineRule="auto"/>
        <w:jc w:val="left"/>
        <w:rPr>
          <w:rFonts w:ascii="宋体" w:hAnsi="宋体" w:cs="宋体"/>
          <w:sz w:val="24"/>
        </w:rPr>
      </w:pPr>
      <w:bookmarkStart w:id="44" w:name="_Toc220232409"/>
      <w:bookmarkStart w:id="45" w:name="_Toc495414234"/>
    </w:p>
    <w:p w14:paraId="2391BB5E">
      <w:pPr>
        <w:pStyle w:val="35"/>
        <w:ind w:firstLine="240"/>
        <w:rPr>
          <w:rFonts w:ascii="宋体" w:hAnsi="宋体" w:cs="宋体"/>
          <w:sz w:val="24"/>
        </w:rPr>
      </w:pPr>
    </w:p>
    <w:p w14:paraId="6E75F3D2">
      <w:pPr>
        <w:pStyle w:val="35"/>
        <w:ind w:firstLine="240"/>
        <w:rPr>
          <w:rFonts w:ascii="宋体" w:hAnsi="宋体" w:cs="宋体"/>
          <w:sz w:val="24"/>
        </w:rPr>
      </w:pPr>
    </w:p>
    <w:p w14:paraId="296A47C3">
      <w:pPr>
        <w:pStyle w:val="35"/>
        <w:ind w:firstLine="240"/>
        <w:rPr>
          <w:rFonts w:ascii="宋体" w:hAnsi="宋体" w:cs="宋体"/>
          <w:sz w:val="24"/>
        </w:rPr>
      </w:pPr>
    </w:p>
    <w:p w14:paraId="01320747">
      <w:pPr>
        <w:pStyle w:val="35"/>
        <w:ind w:firstLine="240"/>
        <w:rPr>
          <w:rFonts w:ascii="宋体" w:hAnsi="宋体" w:cs="宋体"/>
          <w:sz w:val="24"/>
        </w:rPr>
      </w:pPr>
    </w:p>
    <w:p w14:paraId="4987E4F8">
      <w:pPr>
        <w:pStyle w:val="35"/>
        <w:ind w:firstLine="240"/>
        <w:rPr>
          <w:rFonts w:ascii="宋体" w:hAnsi="宋体" w:cs="宋体"/>
          <w:sz w:val="24"/>
        </w:rPr>
      </w:pPr>
    </w:p>
    <w:p w14:paraId="05384312">
      <w:pPr>
        <w:pStyle w:val="35"/>
        <w:ind w:firstLine="240"/>
        <w:rPr>
          <w:rFonts w:ascii="宋体" w:hAnsi="宋体" w:cs="宋体"/>
          <w:sz w:val="24"/>
        </w:rPr>
      </w:pPr>
    </w:p>
    <w:p w14:paraId="79760931">
      <w:pPr>
        <w:spacing w:line="360" w:lineRule="auto"/>
        <w:jc w:val="left"/>
        <w:rPr>
          <w:rFonts w:ascii="宋体" w:hAnsi="宋体" w:cs="宋体"/>
          <w:sz w:val="24"/>
        </w:rPr>
      </w:pPr>
    </w:p>
    <w:p w14:paraId="2D2BF1CB">
      <w:pPr>
        <w:spacing w:line="360" w:lineRule="auto"/>
        <w:jc w:val="left"/>
        <w:rPr>
          <w:rFonts w:ascii="宋体" w:hAnsi="宋体" w:cs="宋体"/>
          <w:sz w:val="24"/>
        </w:rPr>
      </w:pPr>
      <w:r>
        <w:rPr>
          <w:rFonts w:hint="eastAsia" w:ascii="宋体" w:hAnsi="宋体" w:cs="宋体"/>
          <w:sz w:val="24"/>
        </w:rPr>
        <w:t>格式5</w:t>
      </w:r>
    </w:p>
    <w:p w14:paraId="7D9CD637">
      <w:pPr>
        <w:pStyle w:val="4"/>
        <w:jc w:val="center"/>
        <w:rPr>
          <w:rFonts w:ascii="宋体" w:hAnsi="宋体" w:cs="宋体"/>
          <w:b w:val="0"/>
          <w:sz w:val="24"/>
          <w:szCs w:val="24"/>
        </w:rPr>
      </w:pPr>
      <w:r>
        <w:rPr>
          <w:rFonts w:hint="eastAsia" w:ascii="宋体" w:hAnsi="宋体" w:cs="宋体"/>
          <w:b w:val="0"/>
          <w:sz w:val="24"/>
          <w:szCs w:val="24"/>
        </w:rPr>
        <w:t>投标分项报价表</w:t>
      </w:r>
      <w:bookmarkEnd w:id="44"/>
      <w:bookmarkEnd w:id="45"/>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CE5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E99F182">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220403C3">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68DAF991">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292A3C8B">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7F4FC2">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786EAAD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4399555">
            <w:pPr>
              <w:spacing w:line="340" w:lineRule="exact"/>
              <w:jc w:val="center"/>
              <w:rPr>
                <w:rFonts w:ascii="宋体" w:hAnsi="宋体" w:cs="宋体"/>
                <w:sz w:val="24"/>
              </w:rPr>
            </w:pPr>
            <w:r>
              <w:rPr>
                <w:rFonts w:hint="eastAsia" w:ascii="宋体" w:hAnsi="宋体" w:cs="宋体"/>
                <w:sz w:val="24"/>
              </w:rPr>
              <w:t>备注</w:t>
            </w:r>
          </w:p>
        </w:tc>
      </w:tr>
      <w:tr w14:paraId="01B8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8515298">
            <w:pPr>
              <w:spacing w:line="340" w:lineRule="exact"/>
              <w:jc w:val="center"/>
              <w:rPr>
                <w:rFonts w:ascii="宋体" w:hAnsi="宋体" w:cs="宋体"/>
                <w:sz w:val="24"/>
              </w:rPr>
            </w:pPr>
            <w:r>
              <w:rPr>
                <w:rFonts w:hint="eastAsia" w:ascii="宋体" w:hAnsi="宋体" w:cs="宋体"/>
                <w:sz w:val="24"/>
              </w:rPr>
              <w:t>1</w:t>
            </w:r>
          </w:p>
        </w:tc>
        <w:tc>
          <w:tcPr>
            <w:tcW w:w="2205" w:type="dxa"/>
          </w:tcPr>
          <w:p w14:paraId="4FE490E7">
            <w:pPr>
              <w:spacing w:line="340" w:lineRule="exact"/>
              <w:rPr>
                <w:rFonts w:ascii="宋体" w:hAnsi="宋体" w:cs="宋体"/>
                <w:sz w:val="24"/>
              </w:rPr>
            </w:pPr>
          </w:p>
        </w:tc>
        <w:tc>
          <w:tcPr>
            <w:tcW w:w="957" w:type="dxa"/>
          </w:tcPr>
          <w:p w14:paraId="1D7F6C1C">
            <w:pPr>
              <w:spacing w:line="340" w:lineRule="exact"/>
              <w:rPr>
                <w:rFonts w:ascii="宋体" w:hAnsi="宋体" w:cs="宋体"/>
                <w:sz w:val="24"/>
              </w:rPr>
            </w:pPr>
          </w:p>
        </w:tc>
        <w:tc>
          <w:tcPr>
            <w:tcW w:w="840" w:type="dxa"/>
          </w:tcPr>
          <w:p w14:paraId="64BB9F52">
            <w:pPr>
              <w:spacing w:line="340" w:lineRule="exact"/>
              <w:rPr>
                <w:rFonts w:ascii="宋体" w:hAnsi="宋体" w:cs="宋体"/>
                <w:sz w:val="24"/>
              </w:rPr>
            </w:pPr>
          </w:p>
        </w:tc>
        <w:tc>
          <w:tcPr>
            <w:tcW w:w="1260" w:type="dxa"/>
          </w:tcPr>
          <w:p w14:paraId="3521B384">
            <w:pPr>
              <w:spacing w:line="340" w:lineRule="exact"/>
              <w:rPr>
                <w:rFonts w:ascii="宋体" w:hAnsi="宋体" w:cs="宋体"/>
                <w:sz w:val="24"/>
              </w:rPr>
            </w:pPr>
          </w:p>
        </w:tc>
        <w:tc>
          <w:tcPr>
            <w:tcW w:w="1340" w:type="dxa"/>
          </w:tcPr>
          <w:p w14:paraId="421C40E0">
            <w:pPr>
              <w:spacing w:line="340" w:lineRule="exact"/>
              <w:rPr>
                <w:rFonts w:ascii="宋体" w:hAnsi="宋体" w:cs="宋体"/>
                <w:sz w:val="24"/>
              </w:rPr>
            </w:pPr>
          </w:p>
        </w:tc>
        <w:tc>
          <w:tcPr>
            <w:tcW w:w="1347" w:type="dxa"/>
          </w:tcPr>
          <w:p w14:paraId="0C5B9460">
            <w:pPr>
              <w:spacing w:line="340" w:lineRule="exact"/>
              <w:rPr>
                <w:rFonts w:ascii="宋体" w:hAnsi="宋体" w:cs="宋体"/>
                <w:sz w:val="24"/>
              </w:rPr>
            </w:pPr>
          </w:p>
        </w:tc>
      </w:tr>
      <w:tr w14:paraId="04B6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21CC86B">
            <w:pPr>
              <w:spacing w:line="340" w:lineRule="exact"/>
              <w:jc w:val="center"/>
              <w:rPr>
                <w:rFonts w:ascii="宋体" w:hAnsi="宋体" w:cs="宋体"/>
                <w:sz w:val="24"/>
              </w:rPr>
            </w:pPr>
            <w:r>
              <w:rPr>
                <w:rFonts w:hint="eastAsia" w:ascii="宋体" w:hAnsi="宋体" w:cs="宋体"/>
                <w:sz w:val="24"/>
              </w:rPr>
              <w:t>2</w:t>
            </w:r>
          </w:p>
        </w:tc>
        <w:tc>
          <w:tcPr>
            <w:tcW w:w="2205" w:type="dxa"/>
          </w:tcPr>
          <w:p w14:paraId="0165AF5B">
            <w:pPr>
              <w:spacing w:line="340" w:lineRule="exact"/>
              <w:rPr>
                <w:rFonts w:ascii="宋体" w:hAnsi="宋体" w:cs="宋体"/>
                <w:sz w:val="24"/>
              </w:rPr>
            </w:pPr>
          </w:p>
        </w:tc>
        <w:tc>
          <w:tcPr>
            <w:tcW w:w="957" w:type="dxa"/>
          </w:tcPr>
          <w:p w14:paraId="14856259">
            <w:pPr>
              <w:spacing w:line="340" w:lineRule="exact"/>
              <w:rPr>
                <w:rFonts w:ascii="宋体" w:hAnsi="宋体" w:cs="宋体"/>
                <w:sz w:val="24"/>
              </w:rPr>
            </w:pPr>
          </w:p>
        </w:tc>
        <w:tc>
          <w:tcPr>
            <w:tcW w:w="840" w:type="dxa"/>
          </w:tcPr>
          <w:p w14:paraId="16ADA4F4">
            <w:pPr>
              <w:spacing w:line="340" w:lineRule="exact"/>
              <w:rPr>
                <w:rFonts w:ascii="宋体" w:hAnsi="宋体" w:cs="宋体"/>
                <w:sz w:val="24"/>
              </w:rPr>
            </w:pPr>
          </w:p>
        </w:tc>
        <w:tc>
          <w:tcPr>
            <w:tcW w:w="1260" w:type="dxa"/>
          </w:tcPr>
          <w:p w14:paraId="591F042E">
            <w:pPr>
              <w:spacing w:line="340" w:lineRule="exact"/>
              <w:rPr>
                <w:rFonts w:ascii="宋体" w:hAnsi="宋体" w:cs="宋体"/>
                <w:sz w:val="24"/>
              </w:rPr>
            </w:pPr>
          </w:p>
        </w:tc>
        <w:tc>
          <w:tcPr>
            <w:tcW w:w="1340" w:type="dxa"/>
          </w:tcPr>
          <w:p w14:paraId="65D076BA">
            <w:pPr>
              <w:spacing w:line="340" w:lineRule="exact"/>
              <w:rPr>
                <w:rFonts w:ascii="宋体" w:hAnsi="宋体" w:cs="宋体"/>
                <w:sz w:val="24"/>
              </w:rPr>
            </w:pPr>
          </w:p>
        </w:tc>
        <w:tc>
          <w:tcPr>
            <w:tcW w:w="1347" w:type="dxa"/>
          </w:tcPr>
          <w:p w14:paraId="49FC9E32">
            <w:pPr>
              <w:spacing w:line="340" w:lineRule="exact"/>
              <w:rPr>
                <w:rFonts w:ascii="宋体" w:hAnsi="宋体" w:cs="宋体"/>
                <w:sz w:val="24"/>
              </w:rPr>
            </w:pPr>
          </w:p>
        </w:tc>
      </w:tr>
      <w:tr w14:paraId="1F80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EFF37C">
            <w:pPr>
              <w:spacing w:line="340" w:lineRule="exact"/>
              <w:jc w:val="center"/>
              <w:rPr>
                <w:rFonts w:ascii="宋体" w:hAnsi="宋体" w:cs="宋体"/>
                <w:sz w:val="24"/>
              </w:rPr>
            </w:pPr>
            <w:r>
              <w:rPr>
                <w:rFonts w:hint="eastAsia" w:ascii="宋体" w:hAnsi="宋体" w:cs="宋体"/>
                <w:sz w:val="24"/>
              </w:rPr>
              <w:t>3</w:t>
            </w:r>
          </w:p>
        </w:tc>
        <w:tc>
          <w:tcPr>
            <w:tcW w:w="2205" w:type="dxa"/>
          </w:tcPr>
          <w:p w14:paraId="5328CABD">
            <w:pPr>
              <w:spacing w:line="340" w:lineRule="exact"/>
              <w:rPr>
                <w:rFonts w:ascii="宋体" w:hAnsi="宋体" w:cs="宋体"/>
                <w:sz w:val="24"/>
              </w:rPr>
            </w:pPr>
          </w:p>
        </w:tc>
        <w:tc>
          <w:tcPr>
            <w:tcW w:w="957" w:type="dxa"/>
          </w:tcPr>
          <w:p w14:paraId="0AD55138">
            <w:pPr>
              <w:spacing w:line="340" w:lineRule="exact"/>
              <w:rPr>
                <w:rFonts w:ascii="宋体" w:hAnsi="宋体" w:cs="宋体"/>
                <w:sz w:val="24"/>
              </w:rPr>
            </w:pPr>
          </w:p>
        </w:tc>
        <w:tc>
          <w:tcPr>
            <w:tcW w:w="840" w:type="dxa"/>
          </w:tcPr>
          <w:p w14:paraId="63D3D6E4">
            <w:pPr>
              <w:spacing w:line="340" w:lineRule="exact"/>
              <w:rPr>
                <w:rFonts w:ascii="宋体" w:hAnsi="宋体" w:cs="宋体"/>
                <w:sz w:val="24"/>
              </w:rPr>
            </w:pPr>
          </w:p>
        </w:tc>
        <w:tc>
          <w:tcPr>
            <w:tcW w:w="1260" w:type="dxa"/>
          </w:tcPr>
          <w:p w14:paraId="49DFC87D">
            <w:pPr>
              <w:spacing w:line="340" w:lineRule="exact"/>
              <w:rPr>
                <w:rFonts w:ascii="宋体" w:hAnsi="宋体" w:cs="宋体"/>
                <w:sz w:val="24"/>
              </w:rPr>
            </w:pPr>
          </w:p>
        </w:tc>
        <w:tc>
          <w:tcPr>
            <w:tcW w:w="1340" w:type="dxa"/>
          </w:tcPr>
          <w:p w14:paraId="736B074F">
            <w:pPr>
              <w:spacing w:line="340" w:lineRule="exact"/>
              <w:rPr>
                <w:rFonts w:ascii="宋体" w:hAnsi="宋体" w:cs="宋体"/>
                <w:sz w:val="24"/>
              </w:rPr>
            </w:pPr>
          </w:p>
        </w:tc>
        <w:tc>
          <w:tcPr>
            <w:tcW w:w="1347" w:type="dxa"/>
          </w:tcPr>
          <w:p w14:paraId="6573CBDA">
            <w:pPr>
              <w:spacing w:line="340" w:lineRule="exact"/>
              <w:rPr>
                <w:rFonts w:ascii="宋体" w:hAnsi="宋体" w:cs="宋体"/>
                <w:sz w:val="24"/>
              </w:rPr>
            </w:pPr>
          </w:p>
        </w:tc>
      </w:tr>
      <w:tr w14:paraId="058B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4627DF0">
            <w:pPr>
              <w:spacing w:line="340" w:lineRule="exact"/>
              <w:jc w:val="center"/>
              <w:rPr>
                <w:rFonts w:ascii="宋体" w:hAnsi="宋体" w:cs="宋体"/>
                <w:sz w:val="24"/>
              </w:rPr>
            </w:pPr>
            <w:r>
              <w:rPr>
                <w:rFonts w:hint="eastAsia" w:ascii="宋体" w:hAnsi="宋体" w:cs="宋体"/>
                <w:sz w:val="24"/>
              </w:rPr>
              <w:t>4</w:t>
            </w:r>
          </w:p>
        </w:tc>
        <w:tc>
          <w:tcPr>
            <w:tcW w:w="2205" w:type="dxa"/>
          </w:tcPr>
          <w:p w14:paraId="6F947045">
            <w:pPr>
              <w:spacing w:line="340" w:lineRule="exact"/>
              <w:rPr>
                <w:rFonts w:ascii="宋体" w:hAnsi="宋体" w:cs="宋体"/>
                <w:sz w:val="24"/>
              </w:rPr>
            </w:pPr>
          </w:p>
        </w:tc>
        <w:tc>
          <w:tcPr>
            <w:tcW w:w="957" w:type="dxa"/>
          </w:tcPr>
          <w:p w14:paraId="3ECEB252">
            <w:pPr>
              <w:spacing w:line="340" w:lineRule="exact"/>
              <w:rPr>
                <w:rFonts w:ascii="宋体" w:hAnsi="宋体" w:cs="宋体"/>
                <w:sz w:val="24"/>
              </w:rPr>
            </w:pPr>
          </w:p>
        </w:tc>
        <w:tc>
          <w:tcPr>
            <w:tcW w:w="840" w:type="dxa"/>
          </w:tcPr>
          <w:p w14:paraId="7C576978">
            <w:pPr>
              <w:spacing w:line="340" w:lineRule="exact"/>
              <w:rPr>
                <w:rFonts w:ascii="宋体" w:hAnsi="宋体" w:cs="宋体"/>
                <w:sz w:val="24"/>
              </w:rPr>
            </w:pPr>
          </w:p>
        </w:tc>
        <w:tc>
          <w:tcPr>
            <w:tcW w:w="1260" w:type="dxa"/>
          </w:tcPr>
          <w:p w14:paraId="3F405DCD">
            <w:pPr>
              <w:spacing w:line="340" w:lineRule="exact"/>
              <w:rPr>
                <w:rFonts w:ascii="宋体" w:hAnsi="宋体" w:cs="宋体"/>
                <w:sz w:val="24"/>
              </w:rPr>
            </w:pPr>
          </w:p>
        </w:tc>
        <w:tc>
          <w:tcPr>
            <w:tcW w:w="1340" w:type="dxa"/>
          </w:tcPr>
          <w:p w14:paraId="72794D3D">
            <w:pPr>
              <w:spacing w:line="340" w:lineRule="exact"/>
              <w:rPr>
                <w:rFonts w:ascii="宋体" w:hAnsi="宋体" w:cs="宋体"/>
                <w:sz w:val="24"/>
              </w:rPr>
            </w:pPr>
          </w:p>
        </w:tc>
        <w:tc>
          <w:tcPr>
            <w:tcW w:w="1347" w:type="dxa"/>
          </w:tcPr>
          <w:p w14:paraId="4955306E">
            <w:pPr>
              <w:spacing w:line="340" w:lineRule="exact"/>
              <w:rPr>
                <w:rFonts w:ascii="宋体" w:hAnsi="宋体" w:cs="宋体"/>
                <w:sz w:val="24"/>
              </w:rPr>
            </w:pPr>
          </w:p>
        </w:tc>
      </w:tr>
      <w:tr w14:paraId="7A71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10744E">
            <w:pPr>
              <w:spacing w:line="340" w:lineRule="exact"/>
              <w:jc w:val="center"/>
              <w:rPr>
                <w:rFonts w:ascii="宋体" w:hAnsi="宋体" w:cs="宋体"/>
                <w:sz w:val="24"/>
              </w:rPr>
            </w:pPr>
            <w:r>
              <w:rPr>
                <w:rFonts w:hint="eastAsia" w:ascii="宋体" w:hAnsi="宋体" w:cs="宋体"/>
                <w:sz w:val="24"/>
              </w:rPr>
              <w:t>5</w:t>
            </w:r>
          </w:p>
        </w:tc>
        <w:tc>
          <w:tcPr>
            <w:tcW w:w="2205" w:type="dxa"/>
          </w:tcPr>
          <w:p w14:paraId="1043ED19">
            <w:pPr>
              <w:spacing w:line="340" w:lineRule="exact"/>
              <w:rPr>
                <w:rFonts w:ascii="宋体" w:hAnsi="宋体" w:cs="宋体"/>
                <w:sz w:val="24"/>
              </w:rPr>
            </w:pPr>
          </w:p>
        </w:tc>
        <w:tc>
          <w:tcPr>
            <w:tcW w:w="957" w:type="dxa"/>
          </w:tcPr>
          <w:p w14:paraId="59FC812B">
            <w:pPr>
              <w:spacing w:line="340" w:lineRule="exact"/>
              <w:rPr>
                <w:rFonts w:ascii="宋体" w:hAnsi="宋体" w:cs="宋体"/>
                <w:sz w:val="24"/>
              </w:rPr>
            </w:pPr>
          </w:p>
        </w:tc>
        <w:tc>
          <w:tcPr>
            <w:tcW w:w="840" w:type="dxa"/>
          </w:tcPr>
          <w:p w14:paraId="30AE1426">
            <w:pPr>
              <w:spacing w:line="340" w:lineRule="exact"/>
              <w:rPr>
                <w:rFonts w:ascii="宋体" w:hAnsi="宋体" w:cs="宋体"/>
                <w:sz w:val="24"/>
              </w:rPr>
            </w:pPr>
          </w:p>
        </w:tc>
        <w:tc>
          <w:tcPr>
            <w:tcW w:w="1260" w:type="dxa"/>
          </w:tcPr>
          <w:p w14:paraId="568EA43F">
            <w:pPr>
              <w:spacing w:line="340" w:lineRule="exact"/>
              <w:rPr>
                <w:rFonts w:ascii="宋体" w:hAnsi="宋体" w:cs="宋体"/>
                <w:sz w:val="24"/>
              </w:rPr>
            </w:pPr>
          </w:p>
        </w:tc>
        <w:tc>
          <w:tcPr>
            <w:tcW w:w="1340" w:type="dxa"/>
          </w:tcPr>
          <w:p w14:paraId="59486458">
            <w:pPr>
              <w:spacing w:line="340" w:lineRule="exact"/>
              <w:rPr>
                <w:rFonts w:ascii="宋体" w:hAnsi="宋体" w:cs="宋体"/>
                <w:sz w:val="24"/>
              </w:rPr>
            </w:pPr>
          </w:p>
        </w:tc>
        <w:tc>
          <w:tcPr>
            <w:tcW w:w="1347" w:type="dxa"/>
          </w:tcPr>
          <w:p w14:paraId="49780E03">
            <w:pPr>
              <w:spacing w:line="340" w:lineRule="exact"/>
              <w:rPr>
                <w:rFonts w:ascii="宋体" w:hAnsi="宋体" w:cs="宋体"/>
                <w:sz w:val="24"/>
              </w:rPr>
            </w:pPr>
          </w:p>
        </w:tc>
      </w:tr>
      <w:tr w14:paraId="4B10E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1FFAA47">
            <w:pPr>
              <w:spacing w:line="340" w:lineRule="exact"/>
              <w:jc w:val="center"/>
              <w:rPr>
                <w:rFonts w:ascii="宋体" w:hAnsi="宋体" w:cs="宋体"/>
                <w:sz w:val="24"/>
              </w:rPr>
            </w:pPr>
            <w:r>
              <w:rPr>
                <w:rFonts w:hint="eastAsia" w:ascii="宋体" w:hAnsi="宋体" w:cs="宋体"/>
                <w:sz w:val="24"/>
              </w:rPr>
              <w:t>6</w:t>
            </w:r>
          </w:p>
        </w:tc>
        <w:tc>
          <w:tcPr>
            <w:tcW w:w="2205" w:type="dxa"/>
          </w:tcPr>
          <w:p w14:paraId="75300C9D">
            <w:pPr>
              <w:spacing w:line="340" w:lineRule="exact"/>
              <w:rPr>
                <w:rFonts w:ascii="宋体" w:hAnsi="宋体" w:cs="宋体"/>
                <w:sz w:val="24"/>
              </w:rPr>
            </w:pPr>
          </w:p>
        </w:tc>
        <w:tc>
          <w:tcPr>
            <w:tcW w:w="957" w:type="dxa"/>
          </w:tcPr>
          <w:p w14:paraId="686E2899">
            <w:pPr>
              <w:spacing w:line="340" w:lineRule="exact"/>
              <w:rPr>
                <w:rFonts w:ascii="宋体" w:hAnsi="宋体" w:cs="宋体"/>
                <w:sz w:val="24"/>
              </w:rPr>
            </w:pPr>
          </w:p>
        </w:tc>
        <w:tc>
          <w:tcPr>
            <w:tcW w:w="840" w:type="dxa"/>
          </w:tcPr>
          <w:p w14:paraId="6C9BAD69">
            <w:pPr>
              <w:spacing w:line="340" w:lineRule="exact"/>
              <w:rPr>
                <w:rFonts w:ascii="宋体" w:hAnsi="宋体" w:cs="宋体"/>
                <w:sz w:val="24"/>
              </w:rPr>
            </w:pPr>
          </w:p>
        </w:tc>
        <w:tc>
          <w:tcPr>
            <w:tcW w:w="1260" w:type="dxa"/>
          </w:tcPr>
          <w:p w14:paraId="568C8CB3">
            <w:pPr>
              <w:spacing w:line="340" w:lineRule="exact"/>
              <w:rPr>
                <w:rFonts w:ascii="宋体" w:hAnsi="宋体" w:cs="宋体"/>
                <w:sz w:val="24"/>
              </w:rPr>
            </w:pPr>
          </w:p>
        </w:tc>
        <w:tc>
          <w:tcPr>
            <w:tcW w:w="1340" w:type="dxa"/>
          </w:tcPr>
          <w:p w14:paraId="41145D98">
            <w:pPr>
              <w:spacing w:line="340" w:lineRule="exact"/>
              <w:rPr>
                <w:rFonts w:ascii="宋体" w:hAnsi="宋体" w:cs="宋体"/>
                <w:sz w:val="24"/>
              </w:rPr>
            </w:pPr>
          </w:p>
        </w:tc>
        <w:tc>
          <w:tcPr>
            <w:tcW w:w="1347" w:type="dxa"/>
          </w:tcPr>
          <w:p w14:paraId="1D6D0F1F">
            <w:pPr>
              <w:spacing w:line="340" w:lineRule="exact"/>
              <w:rPr>
                <w:rFonts w:ascii="宋体" w:hAnsi="宋体" w:cs="宋体"/>
                <w:sz w:val="24"/>
              </w:rPr>
            </w:pPr>
          </w:p>
        </w:tc>
      </w:tr>
      <w:tr w14:paraId="44D6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43B45B">
            <w:pPr>
              <w:spacing w:line="340" w:lineRule="exact"/>
              <w:jc w:val="center"/>
              <w:rPr>
                <w:rFonts w:ascii="宋体" w:hAnsi="宋体" w:cs="宋体"/>
                <w:sz w:val="24"/>
              </w:rPr>
            </w:pPr>
            <w:r>
              <w:rPr>
                <w:rFonts w:hint="eastAsia" w:ascii="宋体" w:hAnsi="宋体" w:cs="宋体"/>
                <w:sz w:val="24"/>
              </w:rPr>
              <w:t>7</w:t>
            </w:r>
          </w:p>
        </w:tc>
        <w:tc>
          <w:tcPr>
            <w:tcW w:w="2205" w:type="dxa"/>
          </w:tcPr>
          <w:p w14:paraId="0919B6FB">
            <w:pPr>
              <w:spacing w:line="340" w:lineRule="exact"/>
              <w:rPr>
                <w:rFonts w:ascii="宋体" w:hAnsi="宋体" w:cs="宋体"/>
                <w:sz w:val="24"/>
              </w:rPr>
            </w:pPr>
          </w:p>
        </w:tc>
        <w:tc>
          <w:tcPr>
            <w:tcW w:w="957" w:type="dxa"/>
          </w:tcPr>
          <w:p w14:paraId="51662C3F">
            <w:pPr>
              <w:spacing w:line="340" w:lineRule="exact"/>
              <w:rPr>
                <w:rFonts w:ascii="宋体" w:hAnsi="宋体" w:cs="宋体"/>
                <w:sz w:val="24"/>
              </w:rPr>
            </w:pPr>
          </w:p>
        </w:tc>
        <w:tc>
          <w:tcPr>
            <w:tcW w:w="840" w:type="dxa"/>
          </w:tcPr>
          <w:p w14:paraId="40D1B3B4">
            <w:pPr>
              <w:spacing w:line="340" w:lineRule="exact"/>
              <w:rPr>
                <w:rFonts w:ascii="宋体" w:hAnsi="宋体" w:cs="宋体"/>
                <w:sz w:val="24"/>
              </w:rPr>
            </w:pPr>
          </w:p>
        </w:tc>
        <w:tc>
          <w:tcPr>
            <w:tcW w:w="1260" w:type="dxa"/>
          </w:tcPr>
          <w:p w14:paraId="4335BFCC">
            <w:pPr>
              <w:spacing w:line="340" w:lineRule="exact"/>
              <w:rPr>
                <w:rFonts w:ascii="宋体" w:hAnsi="宋体" w:cs="宋体"/>
                <w:sz w:val="24"/>
              </w:rPr>
            </w:pPr>
          </w:p>
        </w:tc>
        <w:tc>
          <w:tcPr>
            <w:tcW w:w="1340" w:type="dxa"/>
          </w:tcPr>
          <w:p w14:paraId="36E00DB9">
            <w:pPr>
              <w:spacing w:line="340" w:lineRule="exact"/>
              <w:rPr>
                <w:rFonts w:ascii="宋体" w:hAnsi="宋体" w:cs="宋体"/>
                <w:sz w:val="24"/>
              </w:rPr>
            </w:pPr>
          </w:p>
        </w:tc>
        <w:tc>
          <w:tcPr>
            <w:tcW w:w="1347" w:type="dxa"/>
          </w:tcPr>
          <w:p w14:paraId="18ED0EFA">
            <w:pPr>
              <w:spacing w:line="340" w:lineRule="exact"/>
              <w:rPr>
                <w:rFonts w:ascii="宋体" w:hAnsi="宋体" w:cs="宋体"/>
                <w:sz w:val="24"/>
              </w:rPr>
            </w:pPr>
          </w:p>
        </w:tc>
      </w:tr>
      <w:tr w14:paraId="02620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840" w:type="dxa"/>
          </w:tcPr>
          <w:p w14:paraId="2CC85B8F">
            <w:pPr>
              <w:spacing w:line="340" w:lineRule="exact"/>
              <w:jc w:val="center"/>
              <w:rPr>
                <w:rFonts w:ascii="宋体" w:hAnsi="宋体" w:cs="宋体"/>
                <w:sz w:val="24"/>
              </w:rPr>
            </w:pPr>
            <w:r>
              <w:rPr>
                <w:rFonts w:hint="eastAsia" w:ascii="宋体" w:hAnsi="宋体" w:cs="宋体"/>
                <w:sz w:val="24"/>
              </w:rPr>
              <w:t>8</w:t>
            </w:r>
          </w:p>
        </w:tc>
        <w:tc>
          <w:tcPr>
            <w:tcW w:w="2205" w:type="dxa"/>
          </w:tcPr>
          <w:p w14:paraId="4CAEBE35">
            <w:pPr>
              <w:spacing w:line="340" w:lineRule="exact"/>
              <w:rPr>
                <w:rFonts w:ascii="宋体" w:hAnsi="宋体" w:cs="宋体"/>
                <w:sz w:val="24"/>
              </w:rPr>
            </w:pPr>
          </w:p>
        </w:tc>
        <w:tc>
          <w:tcPr>
            <w:tcW w:w="957" w:type="dxa"/>
          </w:tcPr>
          <w:p w14:paraId="742E8118">
            <w:pPr>
              <w:spacing w:line="340" w:lineRule="exact"/>
              <w:rPr>
                <w:rFonts w:ascii="宋体" w:hAnsi="宋体" w:cs="宋体"/>
                <w:sz w:val="24"/>
              </w:rPr>
            </w:pPr>
          </w:p>
        </w:tc>
        <w:tc>
          <w:tcPr>
            <w:tcW w:w="840" w:type="dxa"/>
          </w:tcPr>
          <w:p w14:paraId="1E0B3500">
            <w:pPr>
              <w:spacing w:line="340" w:lineRule="exact"/>
              <w:rPr>
                <w:rFonts w:ascii="宋体" w:hAnsi="宋体" w:cs="宋体"/>
                <w:sz w:val="24"/>
              </w:rPr>
            </w:pPr>
          </w:p>
        </w:tc>
        <w:tc>
          <w:tcPr>
            <w:tcW w:w="1260" w:type="dxa"/>
          </w:tcPr>
          <w:p w14:paraId="69F9A46A">
            <w:pPr>
              <w:spacing w:line="340" w:lineRule="exact"/>
              <w:rPr>
                <w:rFonts w:ascii="宋体" w:hAnsi="宋体" w:cs="宋体"/>
                <w:sz w:val="24"/>
              </w:rPr>
            </w:pPr>
          </w:p>
        </w:tc>
        <w:tc>
          <w:tcPr>
            <w:tcW w:w="1340" w:type="dxa"/>
          </w:tcPr>
          <w:p w14:paraId="62BD4EEC">
            <w:pPr>
              <w:spacing w:line="340" w:lineRule="exact"/>
              <w:rPr>
                <w:rFonts w:ascii="宋体" w:hAnsi="宋体" w:cs="宋体"/>
                <w:sz w:val="24"/>
              </w:rPr>
            </w:pPr>
          </w:p>
        </w:tc>
        <w:tc>
          <w:tcPr>
            <w:tcW w:w="1347" w:type="dxa"/>
          </w:tcPr>
          <w:p w14:paraId="6EE4BDA8">
            <w:pPr>
              <w:spacing w:line="340" w:lineRule="exact"/>
              <w:rPr>
                <w:rFonts w:ascii="宋体" w:hAnsi="宋体" w:cs="宋体"/>
                <w:sz w:val="24"/>
              </w:rPr>
            </w:pPr>
          </w:p>
        </w:tc>
      </w:tr>
      <w:tr w14:paraId="771F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7ACE9A4">
            <w:pPr>
              <w:spacing w:line="340" w:lineRule="exact"/>
              <w:jc w:val="center"/>
              <w:rPr>
                <w:rFonts w:ascii="宋体" w:hAnsi="宋体" w:cs="宋体"/>
                <w:sz w:val="24"/>
              </w:rPr>
            </w:pPr>
            <w:r>
              <w:rPr>
                <w:rFonts w:hint="eastAsia" w:ascii="宋体" w:hAnsi="宋体" w:cs="宋体"/>
                <w:sz w:val="24"/>
              </w:rPr>
              <w:t>9</w:t>
            </w:r>
          </w:p>
        </w:tc>
        <w:tc>
          <w:tcPr>
            <w:tcW w:w="2205" w:type="dxa"/>
          </w:tcPr>
          <w:p w14:paraId="35E2EB13">
            <w:pPr>
              <w:spacing w:line="340" w:lineRule="exact"/>
              <w:rPr>
                <w:rFonts w:ascii="宋体" w:hAnsi="宋体" w:cs="宋体"/>
                <w:sz w:val="24"/>
              </w:rPr>
            </w:pPr>
          </w:p>
        </w:tc>
        <w:tc>
          <w:tcPr>
            <w:tcW w:w="957" w:type="dxa"/>
          </w:tcPr>
          <w:p w14:paraId="2B81938D">
            <w:pPr>
              <w:spacing w:line="340" w:lineRule="exact"/>
              <w:rPr>
                <w:rFonts w:ascii="宋体" w:hAnsi="宋体" w:cs="宋体"/>
                <w:sz w:val="24"/>
              </w:rPr>
            </w:pPr>
          </w:p>
        </w:tc>
        <w:tc>
          <w:tcPr>
            <w:tcW w:w="840" w:type="dxa"/>
          </w:tcPr>
          <w:p w14:paraId="6B7DB6C0">
            <w:pPr>
              <w:spacing w:line="340" w:lineRule="exact"/>
              <w:rPr>
                <w:rFonts w:ascii="宋体" w:hAnsi="宋体" w:cs="宋体"/>
                <w:sz w:val="24"/>
              </w:rPr>
            </w:pPr>
          </w:p>
        </w:tc>
        <w:tc>
          <w:tcPr>
            <w:tcW w:w="1260" w:type="dxa"/>
          </w:tcPr>
          <w:p w14:paraId="1617D880">
            <w:pPr>
              <w:spacing w:line="340" w:lineRule="exact"/>
              <w:rPr>
                <w:rFonts w:ascii="宋体" w:hAnsi="宋体" w:cs="宋体"/>
                <w:sz w:val="24"/>
              </w:rPr>
            </w:pPr>
          </w:p>
        </w:tc>
        <w:tc>
          <w:tcPr>
            <w:tcW w:w="1340" w:type="dxa"/>
          </w:tcPr>
          <w:p w14:paraId="6F9B671A">
            <w:pPr>
              <w:spacing w:line="340" w:lineRule="exact"/>
              <w:rPr>
                <w:rFonts w:ascii="宋体" w:hAnsi="宋体" w:cs="宋体"/>
                <w:sz w:val="24"/>
              </w:rPr>
            </w:pPr>
          </w:p>
        </w:tc>
        <w:tc>
          <w:tcPr>
            <w:tcW w:w="1347" w:type="dxa"/>
          </w:tcPr>
          <w:p w14:paraId="118C663D">
            <w:pPr>
              <w:spacing w:line="340" w:lineRule="exact"/>
              <w:rPr>
                <w:rFonts w:ascii="宋体" w:hAnsi="宋体" w:cs="宋体"/>
                <w:sz w:val="24"/>
              </w:rPr>
            </w:pPr>
          </w:p>
        </w:tc>
      </w:tr>
      <w:tr w14:paraId="445F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DFC666">
            <w:pPr>
              <w:spacing w:line="340" w:lineRule="exact"/>
              <w:jc w:val="center"/>
              <w:rPr>
                <w:rFonts w:ascii="宋体" w:hAnsi="宋体" w:cs="宋体"/>
                <w:sz w:val="24"/>
              </w:rPr>
            </w:pPr>
            <w:r>
              <w:rPr>
                <w:rFonts w:hint="eastAsia" w:ascii="宋体" w:hAnsi="宋体" w:cs="宋体"/>
                <w:sz w:val="24"/>
              </w:rPr>
              <w:t>10</w:t>
            </w:r>
          </w:p>
        </w:tc>
        <w:tc>
          <w:tcPr>
            <w:tcW w:w="2205" w:type="dxa"/>
          </w:tcPr>
          <w:p w14:paraId="742A144C">
            <w:pPr>
              <w:spacing w:line="340" w:lineRule="exact"/>
              <w:rPr>
                <w:rFonts w:ascii="宋体" w:hAnsi="宋体" w:cs="宋体"/>
                <w:sz w:val="24"/>
              </w:rPr>
            </w:pPr>
          </w:p>
        </w:tc>
        <w:tc>
          <w:tcPr>
            <w:tcW w:w="957" w:type="dxa"/>
          </w:tcPr>
          <w:p w14:paraId="0864AB37">
            <w:pPr>
              <w:spacing w:line="340" w:lineRule="exact"/>
              <w:rPr>
                <w:rFonts w:ascii="宋体" w:hAnsi="宋体" w:cs="宋体"/>
                <w:sz w:val="24"/>
              </w:rPr>
            </w:pPr>
          </w:p>
        </w:tc>
        <w:tc>
          <w:tcPr>
            <w:tcW w:w="840" w:type="dxa"/>
          </w:tcPr>
          <w:p w14:paraId="1868B2FD">
            <w:pPr>
              <w:spacing w:line="340" w:lineRule="exact"/>
              <w:rPr>
                <w:rFonts w:ascii="宋体" w:hAnsi="宋体" w:cs="宋体"/>
                <w:sz w:val="24"/>
              </w:rPr>
            </w:pPr>
          </w:p>
        </w:tc>
        <w:tc>
          <w:tcPr>
            <w:tcW w:w="1260" w:type="dxa"/>
          </w:tcPr>
          <w:p w14:paraId="2B24DBAA">
            <w:pPr>
              <w:spacing w:line="340" w:lineRule="exact"/>
              <w:rPr>
                <w:rFonts w:ascii="宋体" w:hAnsi="宋体" w:cs="宋体"/>
                <w:sz w:val="24"/>
              </w:rPr>
            </w:pPr>
          </w:p>
        </w:tc>
        <w:tc>
          <w:tcPr>
            <w:tcW w:w="1340" w:type="dxa"/>
          </w:tcPr>
          <w:p w14:paraId="581772D7">
            <w:pPr>
              <w:spacing w:line="340" w:lineRule="exact"/>
              <w:rPr>
                <w:rFonts w:ascii="宋体" w:hAnsi="宋体" w:cs="宋体"/>
                <w:sz w:val="24"/>
              </w:rPr>
            </w:pPr>
          </w:p>
        </w:tc>
        <w:tc>
          <w:tcPr>
            <w:tcW w:w="1347" w:type="dxa"/>
          </w:tcPr>
          <w:p w14:paraId="42DEE7F6">
            <w:pPr>
              <w:spacing w:line="340" w:lineRule="exact"/>
              <w:rPr>
                <w:rFonts w:ascii="宋体" w:hAnsi="宋体" w:cs="宋体"/>
                <w:sz w:val="24"/>
              </w:rPr>
            </w:pPr>
          </w:p>
        </w:tc>
      </w:tr>
      <w:tr w14:paraId="33B9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700FD6">
            <w:pPr>
              <w:spacing w:line="340" w:lineRule="exact"/>
              <w:jc w:val="center"/>
              <w:rPr>
                <w:rFonts w:ascii="宋体" w:hAnsi="宋体" w:cs="宋体"/>
                <w:sz w:val="24"/>
              </w:rPr>
            </w:pPr>
            <w:r>
              <w:rPr>
                <w:rFonts w:hint="eastAsia" w:ascii="宋体" w:hAnsi="宋体" w:cs="宋体"/>
                <w:sz w:val="24"/>
              </w:rPr>
              <w:t>11</w:t>
            </w:r>
          </w:p>
        </w:tc>
        <w:tc>
          <w:tcPr>
            <w:tcW w:w="2205" w:type="dxa"/>
          </w:tcPr>
          <w:p w14:paraId="27843A1F">
            <w:pPr>
              <w:spacing w:line="340" w:lineRule="exact"/>
              <w:rPr>
                <w:rFonts w:ascii="宋体" w:hAnsi="宋体" w:cs="宋体"/>
                <w:sz w:val="24"/>
              </w:rPr>
            </w:pPr>
          </w:p>
        </w:tc>
        <w:tc>
          <w:tcPr>
            <w:tcW w:w="957" w:type="dxa"/>
          </w:tcPr>
          <w:p w14:paraId="26C08693">
            <w:pPr>
              <w:spacing w:line="340" w:lineRule="exact"/>
              <w:rPr>
                <w:rFonts w:ascii="宋体" w:hAnsi="宋体" w:cs="宋体"/>
                <w:sz w:val="24"/>
              </w:rPr>
            </w:pPr>
          </w:p>
        </w:tc>
        <w:tc>
          <w:tcPr>
            <w:tcW w:w="840" w:type="dxa"/>
          </w:tcPr>
          <w:p w14:paraId="69B8C092">
            <w:pPr>
              <w:spacing w:line="340" w:lineRule="exact"/>
              <w:rPr>
                <w:rFonts w:ascii="宋体" w:hAnsi="宋体" w:cs="宋体"/>
                <w:sz w:val="24"/>
              </w:rPr>
            </w:pPr>
          </w:p>
        </w:tc>
        <w:tc>
          <w:tcPr>
            <w:tcW w:w="1260" w:type="dxa"/>
          </w:tcPr>
          <w:p w14:paraId="0CE1C789">
            <w:pPr>
              <w:spacing w:line="340" w:lineRule="exact"/>
              <w:rPr>
                <w:rFonts w:ascii="宋体" w:hAnsi="宋体" w:cs="宋体"/>
                <w:sz w:val="24"/>
              </w:rPr>
            </w:pPr>
          </w:p>
        </w:tc>
        <w:tc>
          <w:tcPr>
            <w:tcW w:w="1340" w:type="dxa"/>
          </w:tcPr>
          <w:p w14:paraId="38FD1D41">
            <w:pPr>
              <w:spacing w:line="340" w:lineRule="exact"/>
              <w:rPr>
                <w:rFonts w:ascii="宋体" w:hAnsi="宋体" w:cs="宋体"/>
                <w:sz w:val="24"/>
              </w:rPr>
            </w:pPr>
          </w:p>
        </w:tc>
        <w:tc>
          <w:tcPr>
            <w:tcW w:w="1347" w:type="dxa"/>
          </w:tcPr>
          <w:p w14:paraId="7B59C241">
            <w:pPr>
              <w:spacing w:line="340" w:lineRule="exact"/>
              <w:rPr>
                <w:rFonts w:ascii="宋体" w:hAnsi="宋体" w:cs="宋体"/>
                <w:sz w:val="24"/>
              </w:rPr>
            </w:pPr>
          </w:p>
        </w:tc>
      </w:tr>
      <w:tr w14:paraId="1D8F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DE34E4">
            <w:pPr>
              <w:spacing w:line="340" w:lineRule="exact"/>
              <w:jc w:val="center"/>
              <w:rPr>
                <w:rFonts w:ascii="宋体" w:hAnsi="宋体" w:cs="宋体"/>
                <w:sz w:val="24"/>
              </w:rPr>
            </w:pPr>
            <w:r>
              <w:rPr>
                <w:rFonts w:hint="eastAsia" w:ascii="宋体" w:hAnsi="宋体" w:cs="宋体"/>
                <w:sz w:val="24"/>
              </w:rPr>
              <w:t>12</w:t>
            </w:r>
          </w:p>
        </w:tc>
        <w:tc>
          <w:tcPr>
            <w:tcW w:w="2205" w:type="dxa"/>
          </w:tcPr>
          <w:p w14:paraId="2094293D">
            <w:pPr>
              <w:spacing w:line="340" w:lineRule="exact"/>
              <w:rPr>
                <w:rFonts w:ascii="宋体" w:hAnsi="宋体" w:cs="宋体"/>
                <w:sz w:val="24"/>
              </w:rPr>
            </w:pPr>
          </w:p>
        </w:tc>
        <w:tc>
          <w:tcPr>
            <w:tcW w:w="957" w:type="dxa"/>
          </w:tcPr>
          <w:p w14:paraId="0587D27D">
            <w:pPr>
              <w:spacing w:line="340" w:lineRule="exact"/>
              <w:rPr>
                <w:rFonts w:ascii="宋体" w:hAnsi="宋体" w:cs="宋体"/>
                <w:sz w:val="24"/>
              </w:rPr>
            </w:pPr>
          </w:p>
        </w:tc>
        <w:tc>
          <w:tcPr>
            <w:tcW w:w="840" w:type="dxa"/>
          </w:tcPr>
          <w:p w14:paraId="6B0BBAC0">
            <w:pPr>
              <w:spacing w:line="340" w:lineRule="exact"/>
              <w:rPr>
                <w:rFonts w:ascii="宋体" w:hAnsi="宋体" w:cs="宋体"/>
                <w:sz w:val="24"/>
              </w:rPr>
            </w:pPr>
          </w:p>
        </w:tc>
        <w:tc>
          <w:tcPr>
            <w:tcW w:w="1260" w:type="dxa"/>
          </w:tcPr>
          <w:p w14:paraId="2D577F20">
            <w:pPr>
              <w:spacing w:line="340" w:lineRule="exact"/>
              <w:rPr>
                <w:rFonts w:ascii="宋体" w:hAnsi="宋体" w:cs="宋体"/>
                <w:sz w:val="24"/>
              </w:rPr>
            </w:pPr>
          </w:p>
        </w:tc>
        <w:tc>
          <w:tcPr>
            <w:tcW w:w="1340" w:type="dxa"/>
          </w:tcPr>
          <w:p w14:paraId="7A233F10">
            <w:pPr>
              <w:spacing w:line="340" w:lineRule="exact"/>
              <w:rPr>
                <w:rFonts w:ascii="宋体" w:hAnsi="宋体" w:cs="宋体"/>
                <w:sz w:val="24"/>
              </w:rPr>
            </w:pPr>
          </w:p>
        </w:tc>
        <w:tc>
          <w:tcPr>
            <w:tcW w:w="1347" w:type="dxa"/>
          </w:tcPr>
          <w:p w14:paraId="519E5CD5">
            <w:pPr>
              <w:spacing w:line="340" w:lineRule="exact"/>
              <w:rPr>
                <w:rFonts w:ascii="宋体" w:hAnsi="宋体" w:cs="宋体"/>
                <w:sz w:val="24"/>
              </w:rPr>
            </w:pPr>
          </w:p>
        </w:tc>
      </w:tr>
      <w:tr w14:paraId="4285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5F3520">
            <w:pPr>
              <w:spacing w:line="340" w:lineRule="exact"/>
              <w:jc w:val="center"/>
              <w:rPr>
                <w:rFonts w:ascii="宋体" w:hAnsi="宋体" w:cs="宋体"/>
                <w:sz w:val="24"/>
              </w:rPr>
            </w:pPr>
            <w:r>
              <w:rPr>
                <w:rFonts w:hint="eastAsia" w:ascii="宋体" w:hAnsi="宋体" w:cs="宋体"/>
                <w:sz w:val="24"/>
              </w:rPr>
              <w:t>13</w:t>
            </w:r>
          </w:p>
        </w:tc>
        <w:tc>
          <w:tcPr>
            <w:tcW w:w="2205" w:type="dxa"/>
          </w:tcPr>
          <w:p w14:paraId="41DC9676">
            <w:pPr>
              <w:spacing w:line="340" w:lineRule="exact"/>
              <w:rPr>
                <w:rFonts w:ascii="宋体" w:hAnsi="宋体" w:cs="宋体"/>
                <w:sz w:val="24"/>
              </w:rPr>
            </w:pPr>
          </w:p>
        </w:tc>
        <w:tc>
          <w:tcPr>
            <w:tcW w:w="957" w:type="dxa"/>
          </w:tcPr>
          <w:p w14:paraId="59040B65">
            <w:pPr>
              <w:spacing w:line="340" w:lineRule="exact"/>
              <w:rPr>
                <w:rFonts w:ascii="宋体" w:hAnsi="宋体" w:cs="宋体"/>
                <w:sz w:val="24"/>
              </w:rPr>
            </w:pPr>
          </w:p>
        </w:tc>
        <w:tc>
          <w:tcPr>
            <w:tcW w:w="840" w:type="dxa"/>
          </w:tcPr>
          <w:p w14:paraId="7CC66798">
            <w:pPr>
              <w:spacing w:line="340" w:lineRule="exact"/>
              <w:rPr>
                <w:rFonts w:ascii="宋体" w:hAnsi="宋体" w:cs="宋体"/>
                <w:sz w:val="24"/>
              </w:rPr>
            </w:pPr>
          </w:p>
        </w:tc>
        <w:tc>
          <w:tcPr>
            <w:tcW w:w="1260" w:type="dxa"/>
          </w:tcPr>
          <w:p w14:paraId="3E53CD14">
            <w:pPr>
              <w:spacing w:line="340" w:lineRule="exact"/>
              <w:rPr>
                <w:rFonts w:ascii="宋体" w:hAnsi="宋体" w:cs="宋体"/>
                <w:sz w:val="24"/>
              </w:rPr>
            </w:pPr>
          </w:p>
        </w:tc>
        <w:tc>
          <w:tcPr>
            <w:tcW w:w="1340" w:type="dxa"/>
          </w:tcPr>
          <w:p w14:paraId="177A8F0A">
            <w:pPr>
              <w:spacing w:line="340" w:lineRule="exact"/>
              <w:rPr>
                <w:rFonts w:ascii="宋体" w:hAnsi="宋体" w:cs="宋体"/>
                <w:sz w:val="24"/>
              </w:rPr>
            </w:pPr>
          </w:p>
        </w:tc>
        <w:tc>
          <w:tcPr>
            <w:tcW w:w="1347" w:type="dxa"/>
          </w:tcPr>
          <w:p w14:paraId="7628C55F">
            <w:pPr>
              <w:spacing w:line="340" w:lineRule="exact"/>
              <w:rPr>
                <w:rFonts w:ascii="宋体" w:hAnsi="宋体" w:cs="宋体"/>
                <w:sz w:val="24"/>
              </w:rPr>
            </w:pPr>
          </w:p>
        </w:tc>
      </w:tr>
      <w:tr w14:paraId="2DB2C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2A5F3B">
            <w:pPr>
              <w:spacing w:line="340" w:lineRule="exact"/>
              <w:jc w:val="center"/>
              <w:rPr>
                <w:rFonts w:ascii="宋体" w:hAnsi="宋体" w:cs="宋体"/>
                <w:sz w:val="24"/>
              </w:rPr>
            </w:pPr>
          </w:p>
        </w:tc>
        <w:tc>
          <w:tcPr>
            <w:tcW w:w="2205" w:type="dxa"/>
            <w:vAlign w:val="center"/>
          </w:tcPr>
          <w:p w14:paraId="437D8AC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13682BC3">
            <w:pPr>
              <w:spacing w:line="340" w:lineRule="exact"/>
              <w:rPr>
                <w:rFonts w:ascii="宋体" w:hAnsi="宋体" w:cs="宋体"/>
                <w:sz w:val="24"/>
              </w:rPr>
            </w:pPr>
          </w:p>
        </w:tc>
        <w:tc>
          <w:tcPr>
            <w:tcW w:w="840" w:type="dxa"/>
          </w:tcPr>
          <w:p w14:paraId="06B7A6CC">
            <w:pPr>
              <w:spacing w:line="340" w:lineRule="exact"/>
              <w:rPr>
                <w:rFonts w:ascii="宋体" w:hAnsi="宋体" w:cs="宋体"/>
                <w:sz w:val="24"/>
              </w:rPr>
            </w:pPr>
          </w:p>
        </w:tc>
        <w:tc>
          <w:tcPr>
            <w:tcW w:w="1260" w:type="dxa"/>
          </w:tcPr>
          <w:p w14:paraId="28CFEEDC">
            <w:pPr>
              <w:spacing w:line="340" w:lineRule="exact"/>
              <w:rPr>
                <w:rFonts w:ascii="宋体" w:hAnsi="宋体" w:cs="宋体"/>
                <w:sz w:val="24"/>
              </w:rPr>
            </w:pPr>
          </w:p>
        </w:tc>
        <w:tc>
          <w:tcPr>
            <w:tcW w:w="1340" w:type="dxa"/>
          </w:tcPr>
          <w:p w14:paraId="3E4361C9">
            <w:pPr>
              <w:spacing w:line="340" w:lineRule="exact"/>
              <w:rPr>
                <w:rFonts w:ascii="宋体" w:hAnsi="宋体" w:cs="宋体"/>
                <w:sz w:val="24"/>
              </w:rPr>
            </w:pPr>
          </w:p>
        </w:tc>
        <w:tc>
          <w:tcPr>
            <w:tcW w:w="1347" w:type="dxa"/>
          </w:tcPr>
          <w:p w14:paraId="3A35B001">
            <w:pPr>
              <w:spacing w:line="340" w:lineRule="exact"/>
              <w:rPr>
                <w:rFonts w:ascii="宋体" w:hAnsi="宋体" w:cs="宋体"/>
                <w:sz w:val="24"/>
              </w:rPr>
            </w:pPr>
          </w:p>
        </w:tc>
      </w:tr>
      <w:tr w14:paraId="6872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C1370">
            <w:pPr>
              <w:spacing w:line="340" w:lineRule="exact"/>
              <w:jc w:val="center"/>
              <w:rPr>
                <w:rFonts w:ascii="宋体" w:hAnsi="宋体" w:cs="宋体"/>
                <w:sz w:val="24"/>
              </w:rPr>
            </w:pPr>
          </w:p>
        </w:tc>
        <w:tc>
          <w:tcPr>
            <w:tcW w:w="2205" w:type="dxa"/>
          </w:tcPr>
          <w:p w14:paraId="50563747">
            <w:pPr>
              <w:spacing w:line="340" w:lineRule="exact"/>
              <w:rPr>
                <w:rFonts w:ascii="宋体" w:hAnsi="宋体" w:cs="宋体"/>
                <w:sz w:val="24"/>
              </w:rPr>
            </w:pPr>
            <w:r>
              <w:rPr>
                <w:rFonts w:hint="eastAsia" w:ascii="宋体" w:hAnsi="宋体" w:cs="宋体"/>
                <w:sz w:val="24"/>
              </w:rPr>
              <w:t>…</w:t>
            </w:r>
          </w:p>
        </w:tc>
        <w:tc>
          <w:tcPr>
            <w:tcW w:w="957" w:type="dxa"/>
          </w:tcPr>
          <w:p w14:paraId="7D3165EF">
            <w:pPr>
              <w:spacing w:line="340" w:lineRule="exact"/>
              <w:rPr>
                <w:rFonts w:ascii="宋体" w:hAnsi="宋体" w:cs="宋体"/>
                <w:sz w:val="24"/>
              </w:rPr>
            </w:pPr>
          </w:p>
        </w:tc>
        <w:tc>
          <w:tcPr>
            <w:tcW w:w="840" w:type="dxa"/>
          </w:tcPr>
          <w:p w14:paraId="7C36EE63">
            <w:pPr>
              <w:spacing w:line="340" w:lineRule="exact"/>
              <w:rPr>
                <w:rFonts w:ascii="宋体" w:hAnsi="宋体" w:cs="宋体"/>
                <w:sz w:val="24"/>
              </w:rPr>
            </w:pPr>
          </w:p>
        </w:tc>
        <w:tc>
          <w:tcPr>
            <w:tcW w:w="1260" w:type="dxa"/>
          </w:tcPr>
          <w:p w14:paraId="73300818">
            <w:pPr>
              <w:spacing w:line="340" w:lineRule="exact"/>
              <w:rPr>
                <w:rFonts w:ascii="宋体" w:hAnsi="宋体" w:cs="宋体"/>
                <w:sz w:val="24"/>
              </w:rPr>
            </w:pPr>
          </w:p>
        </w:tc>
        <w:tc>
          <w:tcPr>
            <w:tcW w:w="1340" w:type="dxa"/>
          </w:tcPr>
          <w:p w14:paraId="3E08E6AE">
            <w:pPr>
              <w:spacing w:line="340" w:lineRule="exact"/>
              <w:rPr>
                <w:rFonts w:ascii="宋体" w:hAnsi="宋体" w:cs="宋体"/>
                <w:sz w:val="24"/>
              </w:rPr>
            </w:pPr>
          </w:p>
        </w:tc>
        <w:tc>
          <w:tcPr>
            <w:tcW w:w="1347" w:type="dxa"/>
          </w:tcPr>
          <w:p w14:paraId="39A5C31B">
            <w:pPr>
              <w:spacing w:line="340" w:lineRule="exact"/>
              <w:rPr>
                <w:rFonts w:ascii="宋体" w:hAnsi="宋体" w:cs="宋体"/>
                <w:sz w:val="24"/>
              </w:rPr>
            </w:pPr>
          </w:p>
        </w:tc>
      </w:tr>
      <w:tr w14:paraId="26E6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0A169A">
            <w:pPr>
              <w:spacing w:line="340" w:lineRule="exact"/>
              <w:jc w:val="center"/>
              <w:rPr>
                <w:rFonts w:ascii="宋体" w:hAnsi="宋体" w:cs="宋体"/>
                <w:sz w:val="24"/>
              </w:rPr>
            </w:pPr>
          </w:p>
        </w:tc>
        <w:tc>
          <w:tcPr>
            <w:tcW w:w="2205" w:type="dxa"/>
          </w:tcPr>
          <w:p w14:paraId="5C64C0BE">
            <w:pPr>
              <w:pStyle w:val="60"/>
              <w:spacing w:line="340" w:lineRule="exact"/>
              <w:rPr>
                <w:rFonts w:ascii="宋体" w:hAnsi="宋体" w:cs="宋体"/>
                <w:szCs w:val="24"/>
              </w:rPr>
            </w:pPr>
            <w:r>
              <w:rPr>
                <w:rFonts w:hint="eastAsia" w:ascii="宋体" w:hAnsi="宋体" w:cs="宋体"/>
                <w:szCs w:val="24"/>
              </w:rPr>
              <w:t>…</w:t>
            </w:r>
          </w:p>
        </w:tc>
        <w:tc>
          <w:tcPr>
            <w:tcW w:w="957" w:type="dxa"/>
          </w:tcPr>
          <w:p w14:paraId="48E2A5B6">
            <w:pPr>
              <w:spacing w:line="340" w:lineRule="exact"/>
              <w:rPr>
                <w:rFonts w:ascii="宋体" w:hAnsi="宋体" w:cs="宋体"/>
                <w:sz w:val="24"/>
              </w:rPr>
            </w:pPr>
          </w:p>
        </w:tc>
        <w:tc>
          <w:tcPr>
            <w:tcW w:w="840" w:type="dxa"/>
          </w:tcPr>
          <w:p w14:paraId="0C0DC948">
            <w:pPr>
              <w:spacing w:line="340" w:lineRule="exact"/>
              <w:rPr>
                <w:rFonts w:ascii="宋体" w:hAnsi="宋体" w:cs="宋体"/>
                <w:sz w:val="24"/>
              </w:rPr>
            </w:pPr>
          </w:p>
        </w:tc>
        <w:tc>
          <w:tcPr>
            <w:tcW w:w="1260" w:type="dxa"/>
          </w:tcPr>
          <w:p w14:paraId="1EA01ABF">
            <w:pPr>
              <w:spacing w:line="340" w:lineRule="exact"/>
              <w:rPr>
                <w:rFonts w:ascii="宋体" w:hAnsi="宋体" w:cs="宋体"/>
                <w:sz w:val="24"/>
              </w:rPr>
            </w:pPr>
          </w:p>
        </w:tc>
        <w:tc>
          <w:tcPr>
            <w:tcW w:w="1340" w:type="dxa"/>
          </w:tcPr>
          <w:p w14:paraId="53C9D974">
            <w:pPr>
              <w:spacing w:line="340" w:lineRule="exact"/>
              <w:rPr>
                <w:rFonts w:ascii="宋体" w:hAnsi="宋体" w:cs="宋体"/>
                <w:sz w:val="24"/>
              </w:rPr>
            </w:pPr>
          </w:p>
        </w:tc>
        <w:tc>
          <w:tcPr>
            <w:tcW w:w="1347" w:type="dxa"/>
          </w:tcPr>
          <w:p w14:paraId="431D997A">
            <w:pPr>
              <w:spacing w:line="340" w:lineRule="exact"/>
              <w:rPr>
                <w:rFonts w:ascii="宋体" w:hAnsi="宋体" w:cs="宋体"/>
                <w:sz w:val="24"/>
              </w:rPr>
            </w:pPr>
          </w:p>
        </w:tc>
      </w:tr>
      <w:tr w14:paraId="5715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41024A">
            <w:pPr>
              <w:spacing w:line="340" w:lineRule="exact"/>
              <w:jc w:val="center"/>
              <w:rPr>
                <w:rFonts w:ascii="宋体" w:hAnsi="宋体" w:cs="宋体"/>
                <w:sz w:val="24"/>
              </w:rPr>
            </w:pPr>
          </w:p>
        </w:tc>
        <w:tc>
          <w:tcPr>
            <w:tcW w:w="2205" w:type="dxa"/>
          </w:tcPr>
          <w:p w14:paraId="7570E7C0">
            <w:pPr>
              <w:spacing w:line="340" w:lineRule="exact"/>
              <w:rPr>
                <w:rFonts w:ascii="宋体" w:hAnsi="宋体" w:cs="宋体"/>
                <w:sz w:val="24"/>
              </w:rPr>
            </w:pPr>
            <w:r>
              <w:rPr>
                <w:rFonts w:hint="eastAsia" w:ascii="宋体" w:hAnsi="宋体" w:cs="宋体"/>
                <w:sz w:val="24"/>
              </w:rPr>
              <w:t>…</w:t>
            </w:r>
          </w:p>
        </w:tc>
        <w:tc>
          <w:tcPr>
            <w:tcW w:w="957" w:type="dxa"/>
          </w:tcPr>
          <w:p w14:paraId="2E89AF34">
            <w:pPr>
              <w:spacing w:line="340" w:lineRule="exact"/>
              <w:rPr>
                <w:rFonts w:ascii="宋体" w:hAnsi="宋体" w:cs="宋体"/>
                <w:sz w:val="24"/>
              </w:rPr>
            </w:pPr>
          </w:p>
        </w:tc>
        <w:tc>
          <w:tcPr>
            <w:tcW w:w="840" w:type="dxa"/>
          </w:tcPr>
          <w:p w14:paraId="13E83B27">
            <w:pPr>
              <w:spacing w:line="340" w:lineRule="exact"/>
              <w:rPr>
                <w:rFonts w:ascii="宋体" w:hAnsi="宋体" w:cs="宋体"/>
                <w:sz w:val="24"/>
              </w:rPr>
            </w:pPr>
          </w:p>
        </w:tc>
        <w:tc>
          <w:tcPr>
            <w:tcW w:w="1260" w:type="dxa"/>
          </w:tcPr>
          <w:p w14:paraId="20E23055">
            <w:pPr>
              <w:spacing w:line="340" w:lineRule="exact"/>
              <w:rPr>
                <w:rFonts w:ascii="宋体" w:hAnsi="宋体" w:cs="宋体"/>
                <w:sz w:val="24"/>
              </w:rPr>
            </w:pPr>
          </w:p>
        </w:tc>
        <w:tc>
          <w:tcPr>
            <w:tcW w:w="1340" w:type="dxa"/>
          </w:tcPr>
          <w:p w14:paraId="765D99E6">
            <w:pPr>
              <w:spacing w:line="340" w:lineRule="exact"/>
              <w:rPr>
                <w:rFonts w:ascii="宋体" w:hAnsi="宋体" w:cs="宋体"/>
                <w:sz w:val="24"/>
              </w:rPr>
            </w:pPr>
          </w:p>
        </w:tc>
        <w:tc>
          <w:tcPr>
            <w:tcW w:w="1347" w:type="dxa"/>
          </w:tcPr>
          <w:p w14:paraId="70A4B61E">
            <w:pPr>
              <w:spacing w:line="340" w:lineRule="exact"/>
              <w:rPr>
                <w:rFonts w:ascii="宋体" w:hAnsi="宋体" w:cs="宋体"/>
                <w:sz w:val="24"/>
              </w:rPr>
            </w:pPr>
          </w:p>
        </w:tc>
      </w:tr>
      <w:tr w14:paraId="6F8A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5473C7">
            <w:pPr>
              <w:spacing w:line="340" w:lineRule="exact"/>
              <w:jc w:val="center"/>
              <w:rPr>
                <w:rFonts w:ascii="宋体" w:hAnsi="宋体" w:cs="宋体"/>
                <w:sz w:val="24"/>
              </w:rPr>
            </w:pPr>
          </w:p>
        </w:tc>
        <w:tc>
          <w:tcPr>
            <w:tcW w:w="2205" w:type="dxa"/>
            <w:vAlign w:val="center"/>
          </w:tcPr>
          <w:p w14:paraId="51FC7F59">
            <w:pPr>
              <w:pStyle w:val="60"/>
              <w:spacing w:line="340" w:lineRule="exact"/>
              <w:rPr>
                <w:rFonts w:ascii="宋体" w:hAnsi="宋体" w:cs="宋体"/>
                <w:szCs w:val="24"/>
              </w:rPr>
            </w:pPr>
            <w:r>
              <w:rPr>
                <w:rFonts w:hint="eastAsia" w:ascii="宋体" w:hAnsi="宋体" w:cs="宋体"/>
                <w:szCs w:val="24"/>
              </w:rPr>
              <w:t>合计</w:t>
            </w:r>
          </w:p>
        </w:tc>
        <w:tc>
          <w:tcPr>
            <w:tcW w:w="957" w:type="dxa"/>
          </w:tcPr>
          <w:p w14:paraId="52251CF6">
            <w:pPr>
              <w:spacing w:line="340" w:lineRule="exact"/>
              <w:rPr>
                <w:rFonts w:ascii="宋体" w:hAnsi="宋体" w:cs="宋体"/>
                <w:sz w:val="24"/>
              </w:rPr>
            </w:pPr>
          </w:p>
        </w:tc>
        <w:tc>
          <w:tcPr>
            <w:tcW w:w="840" w:type="dxa"/>
          </w:tcPr>
          <w:p w14:paraId="06569C22">
            <w:pPr>
              <w:spacing w:line="340" w:lineRule="exact"/>
              <w:rPr>
                <w:rFonts w:ascii="宋体" w:hAnsi="宋体" w:cs="宋体"/>
                <w:sz w:val="24"/>
              </w:rPr>
            </w:pPr>
          </w:p>
        </w:tc>
        <w:tc>
          <w:tcPr>
            <w:tcW w:w="1260" w:type="dxa"/>
          </w:tcPr>
          <w:p w14:paraId="6D97BB59">
            <w:pPr>
              <w:spacing w:line="340" w:lineRule="exact"/>
              <w:rPr>
                <w:rFonts w:ascii="宋体" w:hAnsi="宋体" w:cs="宋体"/>
                <w:sz w:val="24"/>
              </w:rPr>
            </w:pPr>
          </w:p>
        </w:tc>
        <w:tc>
          <w:tcPr>
            <w:tcW w:w="1340" w:type="dxa"/>
          </w:tcPr>
          <w:p w14:paraId="1B680604">
            <w:pPr>
              <w:spacing w:line="340" w:lineRule="exact"/>
              <w:rPr>
                <w:rFonts w:ascii="宋体" w:hAnsi="宋体" w:cs="宋体"/>
                <w:sz w:val="24"/>
              </w:rPr>
            </w:pPr>
          </w:p>
        </w:tc>
        <w:tc>
          <w:tcPr>
            <w:tcW w:w="1347" w:type="dxa"/>
          </w:tcPr>
          <w:p w14:paraId="7C10B4BB">
            <w:pPr>
              <w:spacing w:line="340" w:lineRule="exact"/>
              <w:rPr>
                <w:rFonts w:ascii="宋体" w:hAnsi="宋体" w:cs="宋体"/>
                <w:sz w:val="24"/>
              </w:rPr>
            </w:pPr>
          </w:p>
        </w:tc>
      </w:tr>
    </w:tbl>
    <w:p w14:paraId="06044DD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15957B0">
      <w:pPr>
        <w:spacing w:line="360" w:lineRule="auto"/>
        <w:jc w:val="right"/>
        <w:rPr>
          <w:rFonts w:ascii="宋体" w:hAnsi="宋体" w:cs="宋体"/>
          <w:sz w:val="24"/>
        </w:rPr>
      </w:pPr>
      <w:r>
        <w:rPr>
          <w:rFonts w:hint="eastAsia" w:ascii="宋体" w:hAnsi="宋体" w:cs="宋体"/>
          <w:sz w:val="24"/>
        </w:rPr>
        <w:t xml:space="preserve">  年  月  日</w:t>
      </w:r>
    </w:p>
    <w:p w14:paraId="011A7E9B">
      <w:pPr>
        <w:adjustRightInd w:val="0"/>
        <w:snapToGrid w:val="0"/>
        <w:spacing w:line="360" w:lineRule="auto"/>
        <w:rPr>
          <w:rFonts w:ascii="宋体" w:hAnsi="宋体" w:cs="宋体"/>
          <w:sz w:val="24"/>
        </w:rPr>
      </w:pPr>
      <w:r>
        <w:rPr>
          <w:rFonts w:hint="eastAsia" w:ascii="宋体" w:hAnsi="宋体" w:cs="宋体"/>
          <w:sz w:val="24"/>
        </w:rPr>
        <w:t>备注：</w:t>
      </w:r>
    </w:p>
    <w:p w14:paraId="76C8210C">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C850133">
      <w:pPr>
        <w:spacing w:line="360" w:lineRule="auto"/>
        <w:jc w:val="center"/>
        <w:rPr>
          <w:rFonts w:ascii="宋体" w:hAnsi="宋体" w:cs="宋体"/>
          <w:b/>
          <w:sz w:val="24"/>
        </w:rPr>
      </w:pPr>
    </w:p>
    <w:p w14:paraId="609313D3">
      <w:pPr>
        <w:spacing w:line="360" w:lineRule="auto"/>
        <w:jc w:val="center"/>
        <w:rPr>
          <w:rFonts w:ascii="宋体" w:hAnsi="宋体" w:cs="宋体"/>
          <w:b/>
          <w:sz w:val="24"/>
        </w:rPr>
      </w:pPr>
    </w:p>
    <w:p w14:paraId="2BAA45CD">
      <w:pPr>
        <w:pStyle w:val="35"/>
        <w:ind w:firstLine="241"/>
        <w:rPr>
          <w:rFonts w:ascii="宋体" w:hAnsi="宋体" w:cs="宋体"/>
          <w:b/>
          <w:sz w:val="24"/>
        </w:rPr>
      </w:pPr>
    </w:p>
    <w:p w14:paraId="5745B209">
      <w:pPr>
        <w:pStyle w:val="35"/>
        <w:ind w:firstLine="241"/>
        <w:rPr>
          <w:rFonts w:ascii="宋体" w:hAnsi="宋体" w:cs="宋体"/>
          <w:b/>
          <w:sz w:val="24"/>
        </w:rPr>
      </w:pPr>
    </w:p>
    <w:p w14:paraId="119DF08B">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D1A86D4">
      <w:pPr>
        <w:rPr>
          <w:rFonts w:ascii="宋体" w:hAnsi="宋体" w:cs="宋体"/>
          <w:sz w:val="24"/>
        </w:rPr>
      </w:pPr>
    </w:p>
    <w:p w14:paraId="1C1F8868">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6D7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2B69470">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3F17B26">
            <w:pPr>
              <w:pStyle w:val="14"/>
              <w:jc w:val="center"/>
              <w:rPr>
                <w:rFonts w:hAnsi="宋体" w:cs="宋体"/>
                <w:bCs/>
                <w:sz w:val="24"/>
                <w:szCs w:val="24"/>
              </w:rPr>
            </w:pPr>
            <w:r>
              <w:rPr>
                <w:rFonts w:hint="eastAsia" w:hAnsi="宋体" w:cs="宋体"/>
                <w:bCs/>
                <w:sz w:val="24"/>
                <w:szCs w:val="24"/>
              </w:rPr>
              <w:t>按投标人所投内容填写</w:t>
            </w:r>
          </w:p>
        </w:tc>
      </w:tr>
      <w:tr w14:paraId="0214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0027299">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6DD9AE4">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5FE61F3">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2D5DDA5">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75E99B1">
            <w:pPr>
              <w:pStyle w:val="14"/>
              <w:jc w:val="center"/>
              <w:rPr>
                <w:rFonts w:hAnsi="宋体" w:cs="宋体"/>
                <w:bCs/>
                <w:sz w:val="24"/>
                <w:szCs w:val="24"/>
              </w:rPr>
            </w:pPr>
            <w:r>
              <w:rPr>
                <w:rFonts w:hint="eastAsia" w:hAnsi="宋体" w:cs="宋体"/>
                <w:bCs/>
                <w:sz w:val="24"/>
                <w:szCs w:val="24"/>
              </w:rPr>
              <w:t>偏离说明</w:t>
            </w:r>
          </w:p>
        </w:tc>
      </w:tr>
      <w:tr w14:paraId="6C4A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33A0E3">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79679ED8">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F09AF64">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08A5A54D">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2438E74">
            <w:pPr>
              <w:jc w:val="center"/>
              <w:rPr>
                <w:rFonts w:ascii="宋体" w:hAnsi="宋体" w:cs="宋体"/>
                <w:sz w:val="24"/>
              </w:rPr>
            </w:pPr>
          </w:p>
        </w:tc>
      </w:tr>
      <w:tr w14:paraId="227C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AF1472">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ECFC99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8192E1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FB4214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8F229D6">
            <w:pPr>
              <w:jc w:val="center"/>
              <w:rPr>
                <w:rFonts w:ascii="宋体" w:hAnsi="宋体" w:cs="宋体"/>
                <w:sz w:val="24"/>
              </w:rPr>
            </w:pPr>
          </w:p>
        </w:tc>
      </w:tr>
      <w:tr w14:paraId="72E3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2C90CE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764DE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D15E5A7">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E9AC4E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685C256">
            <w:pPr>
              <w:jc w:val="center"/>
              <w:rPr>
                <w:rFonts w:ascii="宋体" w:hAnsi="宋体" w:cs="宋体"/>
                <w:sz w:val="24"/>
              </w:rPr>
            </w:pPr>
          </w:p>
        </w:tc>
      </w:tr>
      <w:tr w14:paraId="4191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CDD75F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C3C0AC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920C910">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B05F8AE">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4324B50">
            <w:pPr>
              <w:jc w:val="center"/>
              <w:rPr>
                <w:rFonts w:ascii="宋体" w:hAnsi="宋体" w:cs="宋体"/>
                <w:sz w:val="24"/>
              </w:rPr>
            </w:pPr>
          </w:p>
        </w:tc>
      </w:tr>
      <w:tr w14:paraId="419B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9F7185">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30BC96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68D70A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9972D2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50F6F3C">
            <w:pPr>
              <w:jc w:val="center"/>
              <w:rPr>
                <w:rFonts w:ascii="宋体" w:hAnsi="宋体" w:cs="宋体"/>
                <w:sz w:val="24"/>
              </w:rPr>
            </w:pPr>
          </w:p>
        </w:tc>
      </w:tr>
      <w:tr w14:paraId="723F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B517910">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B3F182B">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7A5FD94">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CC9DD23">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45CACF">
            <w:pPr>
              <w:jc w:val="center"/>
              <w:rPr>
                <w:rFonts w:ascii="宋体" w:hAnsi="宋体" w:cs="宋体"/>
                <w:sz w:val="24"/>
              </w:rPr>
            </w:pPr>
          </w:p>
        </w:tc>
      </w:tr>
    </w:tbl>
    <w:p w14:paraId="129D6D56">
      <w:pPr>
        <w:rPr>
          <w:rFonts w:ascii="宋体" w:hAnsi="宋体" w:cs="宋体"/>
          <w:sz w:val="24"/>
        </w:rPr>
      </w:pPr>
    </w:p>
    <w:p w14:paraId="6155BCAC">
      <w:pPr>
        <w:rPr>
          <w:rFonts w:ascii="宋体" w:hAnsi="宋体" w:cs="宋体"/>
          <w:sz w:val="24"/>
        </w:rPr>
      </w:pPr>
      <w:r>
        <w:rPr>
          <w:rFonts w:hint="eastAsia" w:ascii="宋体" w:hAnsi="宋体" w:cs="宋体"/>
          <w:sz w:val="24"/>
        </w:rPr>
        <w:t>(可根据需求自行更改)</w:t>
      </w:r>
    </w:p>
    <w:p w14:paraId="01EF40B5">
      <w:pPr>
        <w:rPr>
          <w:rFonts w:ascii="宋体" w:hAnsi="宋体" w:cs="宋体"/>
          <w:sz w:val="24"/>
        </w:rPr>
      </w:pPr>
    </w:p>
    <w:p w14:paraId="2F65751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DCC5895">
      <w:pPr>
        <w:spacing w:line="360" w:lineRule="auto"/>
        <w:jc w:val="right"/>
        <w:rPr>
          <w:rFonts w:ascii="宋体" w:hAnsi="宋体" w:cs="宋体"/>
          <w:sz w:val="24"/>
        </w:rPr>
      </w:pPr>
      <w:r>
        <w:rPr>
          <w:rFonts w:hint="eastAsia" w:ascii="宋体" w:hAnsi="宋体" w:cs="宋体"/>
          <w:sz w:val="24"/>
        </w:rPr>
        <w:t xml:space="preserve">  年  月  日</w:t>
      </w:r>
    </w:p>
    <w:p w14:paraId="18E1500C">
      <w:pPr>
        <w:spacing w:line="360" w:lineRule="auto"/>
        <w:rPr>
          <w:rFonts w:ascii="宋体" w:hAnsi="宋体" w:cs="宋体"/>
          <w:b/>
          <w:sz w:val="24"/>
        </w:rPr>
      </w:pPr>
    </w:p>
    <w:p w14:paraId="55505C3F">
      <w:pPr>
        <w:spacing w:line="360" w:lineRule="auto"/>
        <w:rPr>
          <w:rFonts w:ascii="宋体" w:hAnsi="宋体" w:cs="宋体"/>
          <w:b/>
          <w:sz w:val="24"/>
        </w:rPr>
      </w:pPr>
    </w:p>
    <w:p w14:paraId="7A43DEEA">
      <w:pPr>
        <w:spacing w:line="360" w:lineRule="auto"/>
        <w:rPr>
          <w:rFonts w:ascii="宋体" w:hAnsi="宋体" w:cs="宋体"/>
          <w:b/>
          <w:sz w:val="24"/>
        </w:rPr>
      </w:pPr>
    </w:p>
    <w:p w14:paraId="556D3250">
      <w:pPr>
        <w:spacing w:line="360" w:lineRule="auto"/>
        <w:rPr>
          <w:rFonts w:ascii="宋体" w:hAnsi="宋体" w:cs="宋体"/>
          <w:b/>
          <w:sz w:val="24"/>
        </w:rPr>
      </w:pPr>
    </w:p>
    <w:p w14:paraId="0E373952">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5BA101B9">
      <w:pPr>
        <w:pStyle w:val="26"/>
        <w:ind w:firstLine="480"/>
        <w:rPr>
          <w:rFonts w:ascii="宋体" w:hAnsi="宋体" w:eastAsia="宋体" w:cs="宋体"/>
          <w:sz w:val="24"/>
        </w:rPr>
      </w:pPr>
    </w:p>
    <w:p w14:paraId="0479329A">
      <w:pPr>
        <w:spacing w:line="380" w:lineRule="exact"/>
        <w:jc w:val="center"/>
        <w:rPr>
          <w:rFonts w:ascii="宋体" w:hAnsi="宋体" w:cs="宋体"/>
          <w:sz w:val="24"/>
        </w:rPr>
      </w:pPr>
      <w:r>
        <w:rPr>
          <w:rFonts w:hint="eastAsia" w:ascii="宋体" w:hAnsi="宋体" w:cs="宋体"/>
          <w:sz w:val="24"/>
        </w:rPr>
        <w:t>服务方案及服务承诺</w:t>
      </w:r>
    </w:p>
    <w:p w14:paraId="5B3C70A1">
      <w:pPr>
        <w:spacing w:line="380" w:lineRule="exact"/>
        <w:jc w:val="center"/>
        <w:rPr>
          <w:rFonts w:ascii="宋体" w:hAnsi="宋体" w:cs="宋体"/>
          <w:sz w:val="24"/>
        </w:rPr>
      </w:pPr>
    </w:p>
    <w:p w14:paraId="7403E2D3">
      <w:pPr>
        <w:spacing w:line="380" w:lineRule="exact"/>
        <w:ind w:firstLine="360" w:firstLineChars="150"/>
        <w:rPr>
          <w:rFonts w:ascii="宋体" w:hAnsi="宋体" w:cs="宋体"/>
          <w:sz w:val="24"/>
        </w:rPr>
      </w:pPr>
    </w:p>
    <w:p w14:paraId="2CA437E1">
      <w:pPr>
        <w:pStyle w:val="37"/>
        <w:rPr>
          <w:rFonts w:ascii="宋体" w:hAnsi="宋体" w:cs="宋体"/>
          <w:sz w:val="24"/>
          <w:szCs w:val="24"/>
        </w:rPr>
      </w:pPr>
    </w:p>
    <w:p w14:paraId="7C3669C3">
      <w:pPr>
        <w:pStyle w:val="37"/>
        <w:rPr>
          <w:rFonts w:ascii="宋体" w:hAnsi="宋体" w:cs="宋体"/>
          <w:sz w:val="24"/>
          <w:szCs w:val="24"/>
        </w:rPr>
      </w:pPr>
    </w:p>
    <w:p w14:paraId="22647736">
      <w:pPr>
        <w:pStyle w:val="37"/>
        <w:rPr>
          <w:rFonts w:ascii="宋体" w:hAnsi="宋体" w:cs="宋体"/>
          <w:sz w:val="24"/>
          <w:szCs w:val="24"/>
        </w:rPr>
      </w:pPr>
    </w:p>
    <w:p w14:paraId="007A5911">
      <w:pPr>
        <w:pStyle w:val="37"/>
        <w:rPr>
          <w:rFonts w:ascii="宋体" w:hAnsi="宋体" w:cs="宋体"/>
          <w:sz w:val="24"/>
          <w:szCs w:val="24"/>
        </w:rPr>
      </w:pPr>
    </w:p>
    <w:p w14:paraId="59AE339D">
      <w:pPr>
        <w:pStyle w:val="37"/>
        <w:rPr>
          <w:rFonts w:ascii="宋体" w:hAnsi="宋体" w:cs="宋体"/>
          <w:sz w:val="24"/>
          <w:szCs w:val="24"/>
        </w:rPr>
      </w:pPr>
    </w:p>
    <w:p w14:paraId="26653F0E">
      <w:pPr>
        <w:pStyle w:val="37"/>
        <w:rPr>
          <w:rFonts w:ascii="宋体" w:hAnsi="宋体" w:cs="宋体"/>
          <w:sz w:val="24"/>
          <w:szCs w:val="24"/>
        </w:rPr>
      </w:pPr>
    </w:p>
    <w:p w14:paraId="3B6FE30B">
      <w:pPr>
        <w:spacing w:line="380" w:lineRule="exact"/>
        <w:rPr>
          <w:rFonts w:ascii="宋体" w:hAnsi="宋体" w:cs="宋体"/>
          <w:sz w:val="24"/>
        </w:rPr>
      </w:pPr>
    </w:p>
    <w:p w14:paraId="49C34BC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F1DAA32">
      <w:pPr>
        <w:spacing w:line="380" w:lineRule="exact"/>
        <w:ind w:right="640" w:firstLine="1560" w:firstLineChars="650"/>
        <w:rPr>
          <w:rFonts w:ascii="宋体" w:hAnsi="宋体" w:cs="宋体"/>
          <w:sz w:val="24"/>
        </w:rPr>
      </w:pPr>
    </w:p>
    <w:p w14:paraId="4E3CD861">
      <w:pPr>
        <w:spacing w:line="380" w:lineRule="exact"/>
        <w:ind w:right="640" w:firstLine="4680" w:firstLineChars="1950"/>
        <w:rPr>
          <w:rFonts w:ascii="宋体" w:hAnsi="宋体" w:cs="宋体"/>
          <w:sz w:val="24"/>
        </w:rPr>
      </w:pPr>
    </w:p>
    <w:p w14:paraId="1072B7CB">
      <w:pPr>
        <w:spacing w:line="380" w:lineRule="exact"/>
        <w:jc w:val="center"/>
        <w:rPr>
          <w:rFonts w:ascii="宋体" w:hAnsi="宋体" w:cs="宋体"/>
          <w:sz w:val="24"/>
        </w:rPr>
      </w:pPr>
    </w:p>
    <w:p w14:paraId="68632588">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FD0AD1B">
      <w:pPr>
        <w:spacing w:line="360" w:lineRule="auto"/>
        <w:jc w:val="center"/>
        <w:rPr>
          <w:rFonts w:ascii="宋体" w:hAnsi="宋体" w:cs="宋体"/>
          <w:b/>
          <w:bCs/>
          <w:sz w:val="24"/>
        </w:rPr>
      </w:pPr>
      <w:r>
        <w:rPr>
          <w:rFonts w:hint="eastAsia" w:ascii="宋体" w:hAnsi="宋体" w:cs="宋体"/>
          <w:b/>
          <w:bCs/>
          <w:sz w:val="24"/>
        </w:rPr>
        <w:br w:type="page"/>
      </w:r>
    </w:p>
    <w:p w14:paraId="3BB4530C">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7782A3FF">
      <w:pPr>
        <w:spacing w:line="360" w:lineRule="auto"/>
        <w:rPr>
          <w:rFonts w:ascii="宋体" w:hAnsi="宋体" w:cs="宋体"/>
          <w:sz w:val="24"/>
        </w:rPr>
      </w:pPr>
    </w:p>
    <w:p w14:paraId="58A650CC">
      <w:pPr>
        <w:spacing w:line="360" w:lineRule="auto"/>
        <w:jc w:val="center"/>
        <w:rPr>
          <w:rFonts w:ascii="宋体" w:hAnsi="宋体" w:cs="宋体"/>
          <w:b/>
          <w:bCs/>
          <w:sz w:val="24"/>
        </w:rPr>
      </w:pPr>
    </w:p>
    <w:p w14:paraId="36A0175A">
      <w:pPr>
        <w:pStyle w:val="37"/>
      </w:pPr>
    </w:p>
    <w:p w14:paraId="1162EF0D">
      <w:pPr>
        <w:spacing w:line="360" w:lineRule="auto"/>
        <w:jc w:val="center"/>
        <w:rPr>
          <w:rFonts w:ascii="宋体" w:hAnsi="宋体" w:cs="宋体"/>
          <w:b/>
          <w:sz w:val="24"/>
        </w:rPr>
      </w:pPr>
    </w:p>
    <w:p w14:paraId="79D334AD">
      <w:pPr>
        <w:spacing w:line="360" w:lineRule="auto"/>
        <w:jc w:val="center"/>
        <w:rPr>
          <w:rFonts w:ascii="宋体" w:hAnsi="宋体" w:cs="宋体"/>
          <w:b/>
          <w:sz w:val="24"/>
        </w:rPr>
      </w:pPr>
    </w:p>
    <w:p w14:paraId="4189A4EF">
      <w:pPr>
        <w:spacing w:line="360" w:lineRule="auto"/>
        <w:jc w:val="center"/>
        <w:rPr>
          <w:rFonts w:ascii="宋体" w:hAnsi="宋体" w:cs="宋体"/>
          <w:b/>
          <w:sz w:val="24"/>
        </w:rPr>
      </w:pPr>
    </w:p>
    <w:p w14:paraId="07161390">
      <w:pPr>
        <w:spacing w:line="360" w:lineRule="auto"/>
        <w:jc w:val="center"/>
        <w:rPr>
          <w:rFonts w:ascii="宋体" w:hAnsi="宋体" w:cs="宋体"/>
          <w:b/>
          <w:sz w:val="24"/>
        </w:rPr>
      </w:pPr>
    </w:p>
    <w:p w14:paraId="4B0C594C">
      <w:pPr>
        <w:spacing w:line="360" w:lineRule="auto"/>
        <w:jc w:val="center"/>
        <w:rPr>
          <w:rFonts w:ascii="宋体" w:hAnsi="宋体" w:cs="宋体"/>
          <w:b/>
          <w:sz w:val="24"/>
        </w:rPr>
      </w:pPr>
    </w:p>
    <w:p w14:paraId="1FE74285">
      <w:pPr>
        <w:spacing w:line="360" w:lineRule="auto"/>
        <w:jc w:val="center"/>
        <w:rPr>
          <w:rFonts w:ascii="宋体" w:hAnsi="宋体" w:cs="宋体"/>
          <w:b/>
          <w:sz w:val="24"/>
        </w:rPr>
      </w:pPr>
    </w:p>
    <w:p w14:paraId="1C1B09F8">
      <w:pPr>
        <w:spacing w:line="360" w:lineRule="auto"/>
        <w:jc w:val="center"/>
        <w:rPr>
          <w:rFonts w:ascii="宋体" w:hAnsi="宋体" w:cs="宋体"/>
          <w:b/>
          <w:sz w:val="24"/>
        </w:rPr>
      </w:pPr>
    </w:p>
    <w:p w14:paraId="3C8641A1">
      <w:pPr>
        <w:spacing w:line="360" w:lineRule="auto"/>
        <w:jc w:val="center"/>
        <w:rPr>
          <w:rFonts w:ascii="宋体" w:hAnsi="宋体" w:cs="宋体"/>
          <w:b/>
          <w:sz w:val="24"/>
        </w:rPr>
      </w:pPr>
    </w:p>
    <w:p w14:paraId="436685F9">
      <w:pPr>
        <w:spacing w:line="360" w:lineRule="auto"/>
        <w:jc w:val="center"/>
        <w:rPr>
          <w:rFonts w:ascii="宋体" w:hAnsi="宋体" w:cs="宋体"/>
          <w:b/>
          <w:sz w:val="24"/>
        </w:rPr>
      </w:pPr>
    </w:p>
    <w:p w14:paraId="6E8464BB">
      <w:pPr>
        <w:spacing w:line="360" w:lineRule="auto"/>
        <w:jc w:val="center"/>
        <w:rPr>
          <w:rFonts w:ascii="宋体" w:hAnsi="宋体" w:cs="宋体"/>
          <w:b/>
          <w:sz w:val="24"/>
        </w:rPr>
      </w:pPr>
    </w:p>
    <w:p w14:paraId="2CBAA715">
      <w:pPr>
        <w:spacing w:line="360" w:lineRule="auto"/>
        <w:jc w:val="center"/>
        <w:rPr>
          <w:rFonts w:ascii="宋体" w:hAnsi="宋体" w:cs="宋体"/>
          <w:b/>
          <w:sz w:val="24"/>
        </w:rPr>
      </w:pPr>
    </w:p>
    <w:p w14:paraId="5482FE1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4FF3D1F">
      <w:pPr>
        <w:spacing w:line="380" w:lineRule="exact"/>
        <w:ind w:right="640" w:firstLine="1560" w:firstLineChars="650"/>
        <w:rPr>
          <w:rFonts w:ascii="宋体" w:hAnsi="宋体" w:cs="宋体"/>
          <w:sz w:val="24"/>
        </w:rPr>
      </w:pPr>
    </w:p>
    <w:p w14:paraId="1A000157">
      <w:pPr>
        <w:spacing w:line="360" w:lineRule="auto"/>
        <w:jc w:val="center"/>
        <w:rPr>
          <w:rFonts w:ascii="宋体" w:hAnsi="宋体" w:cs="宋体"/>
          <w:sz w:val="24"/>
        </w:rPr>
      </w:pPr>
      <w:r>
        <w:rPr>
          <w:rFonts w:hint="eastAsia" w:ascii="宋体" w:hAnsi="宋体" w:cs="宋体"/>
          <w:sz w:val="24"/>
        </w:rPr>
        <w:t xml:space="preserve">      年   月    日</w:t>
      </w:r>
    </w:p>
    <w:p w14:paraId="544B42C4">
      <w:pPr>
        <w:spacing w:line="360" w:lineRule="auto"/>
        <w:rPr>
          <w:rFonts w:hint="eastAsia" w:ascii="宋体" w:hAnsi="宋体" w:cs="宋体"/>
          <w:sz w:val="24"/>
        </w:rPr>
      </w:pPr>
    </w:p>
    <w:p w14:paraId="7CFE04F5">
      <w:pPr>
        <w:spacing w:line="360" w:lineRule="auto"/>
        <w:rPr>
          <w:rFonts w:hint="eastAsia" w:ascii="宋体" w:hAnsi="宋体" w:cs="宋体"/>
          <w:sz w:val="24"/>
        </w:rPr>
      </w:pPr>
    </w:p>
    <w:p w14:paraId="23B47339">
      <w:pPr>
        <w:spacing w:line="360" w:lineRule="auto"/>
        <w:rPr>
          <w:rFonts w:hint="eastAsia" w:ascii="宋体" w:hAnsi="宋体" w:cs="宋体"/>
          <w:sz w:val="24"/>
        </w:rPr>
      </w:pPr>
    </w:p>
    <w:p w14:paraId="4BAE8846">
      <w:pPr>
        <w:spacing w:line="360" w:lineRule="auto"/>
        <w:rPr>
          <w:rFonts w:hint="eastAsia" w:ascii="宋体" w:hAnsi="宋体" w:cs="宋体"/>
          <w:sz w:val="24"/>
        </w:rPr>
      </w:pPr>
    </w:p>
    <w:p w14:paraId="2C81149E">
      <w:pPr>
        <w:spacing w:line="380" w:lineRule="exact"/>
        <w:jc w:val="center"/>
        <w:rPr>
          <w:rFonts w:hint="eastAsia" w:ascii="宋体" w:hAnsi="宋体" w:eastAsia="宋体" w:cs="宋体"/>
          <w:sz w:val="24"/>
        </w:rPr>
      </w:pPr>
    </w:p>
    <w:p w14:paraId="292933FF">
      <w:pPr>
        <w:spacing w:line="380" w:lineRule="exact"/>
        <w:jc w:val="center"/>
        <w:rPr>
          <w:rFonts w:hint="eastAsia" w:ascii="宋体" w:hAnsi="宋体" w:eastAsia="宋体" w:cs="宋体"/>
          <w:sz w:val="24"/>
        </w:rPr>
      </w:pPr>
    </w:p>
    <w:p w14:paraId="2FAFA1D9">
      <w:pPr>
        <w:spacing w:line="380" w:lineRule="exact"/>
        <w:jc w:val="center"/>
        <w:rPr>
          <w:rFonts w:hint="eastAsia" w:ascii="宋体" w:hAnsi="宋体" w:eastAsia="宋体" w:cs="宋体"/>
          <w:sz w:val="24"/>
        </w:rPr>
      </w:pPr>
    </w:p>
    <w:p w14:paraId="5227C806">
      <w:pPr>
        <w:spacing w:line="380" w:lineRule="exact"/>
        <w:jc w:val="center"/>
        <w:rPr>
          <w:rFonts w:hint="eastAsia" w:ascii="宋体" w:hAnsi="宋体" w:eastAsia="宋体" w:cs="宋体"/>
          <w:sz w:val="24"/>
        </w:rPr>
      </w:pPr>
    </w:p>
    <w:p w14:paraId="282A930D">
      <w:pPr>
        <w:spacing w:line="380" w:lineRule="exact"/>
        <w:jc w:val="center"/>
        <w:rPr>
          <w:rFonts w:hint="eastAsia" w:ascii="宋体" w:hAnsi="宋体" w:eastAsia="宋体" w:cs="宋体"/>
          <w:sz w:val="24"/>
        </w:rPr>
      </w:pPr>
    </w:p>
    <w:p w14:paraId="06A0A670">
      <w:pPr>
        <w:spacing w:line="380" w:lineRule="exact"/>
        <w:jc w:val="center"/>
        <w:rPr>
          <w:rFonts w:hint="eastAsia" w:ascii="宋体" w:hAnsi="宋体" w:eastAsia="宋体" w:cs="宋体"/>
          <w:sz w:val="24"/>
        </w:rPr>
      </w:pPr>
    </w:p>
    <w:p w14:paraId="5B2D7EBB">
      <w:pPr>
        <w:spacing w:line="380" w:lineRule="exact"/>
        <w:jc w:val="center"/>
        <w:rPr>
          <w:rFonts w:hint="eastAsia" w:ascii="宋体" w:hAnsi="宋体" w:eastAsia="宋体" w:cs="宋体"/>
          <w:sz w:val="24"/>
        </w:rPr>
      </w:pPr>
    </w:p>
    <w:p w14:paraId="4765E841">
      <w:pPr>
        <w:spacing w:line="380" w:lineRule="exact"/>
        <w:jc w:val="center"/>
        <w:rPr>
          <w:rFonts w:hint="eastAsia" w:ascii="宋体" w:hAnsi="宋体" w:eastAsia="宋体" w:cs="宋体"/>
          <w:sz w:val="24"/>
        </w:rPr>
      </w:pPr>
    </w:p>
    <w:p w14:paraId="72370794">
      <w:pPr>
        <w:spacing w:line="380" w:lineRule="exact"/>
        <w:jc w:val="center"/>
        <w:rPr>
          <w:rFonts w:hint="eastAsia" w:ascii="宋体" w:hAnsi="宋体" w:eastAsia="宋体" w:cs="宋体"/>
          <w:sz w:val="24"/>
        </w:rPr>
      </w:pPr>
    </w:p>
    <w:p w14:paraId="38243B0E">
      <w:pPr>
        <w:spacing w:line="380" w:lineRule="exact"/>
        <w:jc w:val="center"/>
        <w:rPr>
          <w:rFonts w:hint="eastAsia" w:ascii="宋体" w:hAnsi="宋体" w:eastAsia="宋体" w:cs="宋体"/>
          <w:sz w:val="24"/>
        </w:rPr>
      </w:pPr>
    </w:p>
    <w:p w14:paraId="3B48DDFD">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7CA8809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1FAF7D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563CE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D29DD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1A9F31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70355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ECB63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1ABF57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CB0015E">
      <w:pPr>
        <w:pStyle w:val="37"/>
        <w:rPr>
          <w:rFonts w:hint="eastAsia" w:ascii="宋体" w:hAnsi="宋体" w:eastAsia="宋体" w:cs="宋体"/>
          <w:sz w:val="24"/>
          <w:szCs w:val="24"/>
        </w:rPr>
      </w:pPr>
    </w:p>
    <w:p w14:paraId="5503556C">
      <w:pPr>
        <w:pStyle w:val="5"/>
        <w:rPr>
          <w:rFonts w:hint="eastAsia" w:ascii="宋体" w:hAnsi="宋体" w:eastAsia="宋体" w:cs="宋体"/>
          <w:sz w:val="24"/>
          <w:szCs w:val="24"/>
        </w:rPr>
      </w:pPr>
    </w:p>
    <w:p w14:paraId="5DA8B93B">
      <w:pPr>
        <w:rPr>
          <w:rFonts w:hint="eastAsia" w:ascii="宋体" w:hAnsi="宋体" w:eastAsia="宋体" w:cs="宋体"/>
          <w:sz w:val="24"/>
          <w:szCs w:val="24"/>
        </w:rPr>
      </w:pPr>
    </w:p>
    <w:p w14:paraId="2B5C9B1A">
      <w:pPr>
        <w:pStyle w:val="37"/>
        <w:rPr>
          <w:rFonts w:hint="eastAsia" w:ascii="宋体" w:hAnsi="宋体" w:eastAsia="宋体" w:cs="宋体"/>
          <w:sz w:val="24"/>
          <w:szCs w:val="24"/>
        </w:rPr>
      </w:pPr>
    </w:p>
    <w:p w14:paraId="3B077A6F">
      <w:pPr>
        <w:pStyle w:val="5"/>
        <w:rPr>
          <w:rFonts w:hint="eastAsia"/>
        </w:rPr>
      </w:pPr>
    </w:p>
    <w:p w14:paraId="5143B49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8B723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5B9ADB5">
      <w:pPr>
        <w:spacing w:line="360" w:lineRule="auto"/>
        <w:jc w:val="center"/>
        <w:rPr>
          <w:rFonts w:ascii="宋体" w:hAnsi="宋体" w:cs="宋体"/>
          <w:b/>
          <w:bCs/>
          <w:sz w:val="24"/>
        </w:rPr>
      </w:pPr>
    </w:p>
    <w:p w14:paraId="60CFEA37">
      <w:pPr>
        <w:spacing w:line="360" w:lineRule="auto"/>
        <w:jc w:val="center"/>
        <w:rPr>
          <w:rFonts w:ascii="宋体" w:hAnsi="宋体" w:cs="宋体"/>
          <w:b/>
          <w:bCs/>
          <w:sz w:val="24"/>
        </w:rPr>
      </w:pPr>
    </w:p>
    <w:p w14:paraId="5020D232">
      <w:pPr>
        <w:pStyle w:val="37"/>
        <w:rPr>
          <w:rFonts w:ascii="宋体" w:hAnsi="宋体" w:cs="宋体"/>
          <w:b/>
          <w:bCs/>
          <w:sz w:val="24"/>
        </w:rPr>
      </w:pPr>
    </w:p>
    <w:p w14:paraId="4BF54193">
      <w:pPr>
        <w:pStyle w:val="5"/>
      </w:pPr>
    </w:p>
    <w:p w14:paraId="01DA4C42">
      <w:pPr>
        <w:spacing w:line="360" w:lineRule="auto"/>
        <w:rPr>
          <w:rFonts w:hint="eastAsia" w:ascii="宋体" w:hAnsi="宋体" w:cs="宋体"/>
          <w:sz w:val="24"/>
        </w:rPr>
      </w:pPr>
    </w:p>
    <w:p w14:paraId="6AFE2735">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3E249281">
      <w:pPr>
        <w:pStyle w:val="35"/>
        <w:ind w:firstLine="240"/>
        <w:rPr>
          <w:rFonts w:ascii="宋体" w:hAnsi="宋体" w:cs="宋体"/>
          <w:sz w:val="24"/>
        </w:rPr>
      </w:pPr>
    </w:p>
    <w:p w14:paraId="7700B592">
      <w:pPr>
        <w:pStyle w:val="35"/>
        <w:ind w:firstLine="240"/>
        <w:rPr>
          <w:rFonts w:ascii="宋体" w:hAnsi="宋体" w:cs="宋体"/>
          <w:sz w:val="24"/>
        </w:rPr>
      </w:pPr>
    </w:p>
    <w:p w14:paraId="1EDC4CF3">
      <w:pPr>
        <w:pStyle w:val="35"/>
        <w:ind w:firstLine="240"/>
        <w:rPr>
          <w:rFonts w:ascii="宋体" w:hAnsi="宋体" w:cs="宋体"/>
          <w:sz w:val="24"/>
        </w:rPr>
      </w:pPr>
    </w:p>
    <w:p w14:paraId="75CE74E8">
      <w:pPr>
        <w:pStyle w:val="35"/>
        <w:ind w:firstLine="240"/>
        <w:rPr>
          <w:rFonts w:ascii="宋体" w:hAnsi="宋体" w:cs="宋体"/>
          <w:sz w:val="24"/>
        </w:rPr>
      </w:pPr>
    </w:p>
    <w:p w14:paraId="76327E14">
      <w:pPr>
        <w:pStyle w:val="35"/>
        <w:ind w:firstLine="240"/>
        <w:rPr>
          <w:rFonts w:ascii="宋体" w:hAnsi="宋体" w:cs="宋体"/>
          <w:sz w:val="24"/>
        </w:rPr>
      </w:pPr>
    </w:p>
    <w:p w14:paraId="2934CEB1">
      <w:pPr>
        <w:pStyle w:val="35"/>
        <w:ind w:firstLine="240"/>
        <w:rPr>
          <w:rFonts w:ascii="宋体" w:hAnsi="宋体" w:cs="宋体"/>
          <w:sz w:val="24"/>
        </w:rPr>
      </w:pPr>
    </w:p>
    <w:p w14:paraId="4E43DAEC">
      <w:pPr>
        <w:pStyle w:val="35"/>
        <w:ind w:firstLine="240"/>
        <w:rPr>
          <w:rFonts w:ascii="宋体" w:hAnsi="宋体" w:cs="宋体"/>
          <w:sz w:val="24"/>
        </w:rPr>
      </w:pPr>
    </w:p>
    <w:p w14:paraId="5F36D162">
      <w:pPr>
        <w:pStyle w:val="35"/>
        <w:ind w:firstLine="240"/>
        <w:rPr>
          <w:rFonts w:ascii="宋体" w:hAnsi="宋体" w:cs="宋体"/>
          <w:sz w:val="24"/>
        </w:rPr>
      </w:pPr>
    </w:p>
    <w:p w14:paraId="4C0914B0">
      <w:pPr>
        <w:pStyle w:val="35"/>
        <w:ind w:firstLine="240"/>
        <w:rPr>
          <w:rFonts w:ascii="宋体" w:hAnsi="宋体" w:cs="宋体"/>
          <w:sz w:val="24"/>
        </w:rPr>
      </w:pPr>
    </w:p>
    <w:p w14:paraId="45043675">
      <w:pPr>
        <w:pStyle w:val="35"/>
        <w:ind w:firstLine="240"/>
        <w:rPr>
          <w:rFonts w:ascii="宋体" w:hAnsi="宋体" w:cs="宋体"/>
          <w:sz w:val="24"/>
        </w:rPr>
      </w:pPr>
    </w:p>
    <w:p w14:paraId="646D93AE">
      <w:pPr>
        <w:pStyle w:val="35"/>
        <w:ind w:firstLine="240"/>
        <w:rPr>
          <w:rFonts w:ascii="宋体" w:hAnsi="宋体" w:cs="宋体"/>
          <w:sz w:val="24"/>
        </w:rPr>
      </w:pPr>
    </w:p>
    <w:p w14:paraId="260E0534">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46331F25">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45656D48">
      <w:pPr>
        <w:spacing w:line="380" w:lineRule="exact"/>
        <w:jc w:val="center"/>
        <w:rPr>
          <w:rStyle w:val="66"/>
          <w:rFonts w:ascii="宋体"/>
          <w:b/>
          <w:bCs/>
          <w:sz w:val="24"/>
        </w:rPr>
      </w:pPr>
    </w:p>
    <w:p w14:paraId="2BF78299">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5124209">
      <w:pPr>
        <w:spacing w:line="380" w:lineRule="exact"/>
        <w:rPr>
          <w:rFonts w:ascii="宋体" w:hAnsi="宋体" w:cs="宋体"/>
          <w:sz w:val="24"/>
        </w:rPr>
      </w:pPr>
      <w:r>
        <w:rPr>
          <w:rFonts w:hint="eastAsia" w:ascii="宋体" w:hAnsi="宋体" w:cs="宋体"/>
          <w:sz w:val="24"/>
        </w:rPr>
        <w:t>（一）提供虚假材料谋取中标;</w:t>
      </w:r>
    </w:p>
    <w:p w14:paraId="2340C090">
      <w:pPr>
        <w:spacing w:line="380" w:lineRule="exact"/>
        <w:rPr>
          <w:rFonts w:ascii="宋体" w:hAnsi="宋体" w:cs="宋体"/>
          <w:sz w:val="24"/>
        </w:rPr>
      </w:pPr>
      <w:r>
        <w:rPr>
          <w:rFonts w:hint="eastAsia" w:ascii="宋体" w:hAnsi="宋体" w:cs="宋体"/>
          <w:sz w:val="24"/>
        </w:rPr>
        <w:t>（二）采取不正当手段诋毁、排挤其他供应商;</w:t>
      </w:r>
    </w:p>
    <w:p w14:paraId="418A5E12">
      <w:pPr>
        <w:spacing w:line="380" w:lineRule="exact"/>
        <w:rPr>
          <w:rFonts w:ascii="宋体" w:hAnsi="宋体" w:cs="宋体"/>
          <w:sz w:val="24"/>
        </w:rPr>
      </w:pPr>
      <w:r>
        <w:rPr>
          <w:rFonts w:hint="eastAsia" w:ascii="宋体" w:hAnsi="宋体" w:cs="宋体"/>
          <w:sz w:val="24"/>
        </w:rPr>
        <w:t>（三）与招标采购单位、其他投标人恶意串通;</w:t>
      </w:r>
    </w:p>
    <w:p w14:paraId="21E89A11">
      <w:pPr>
        <w:spacing w:line="380" w:lineRule="exact"/>
        <w:rPr>
          <w:rFonts w:ascii="宋体" w:hAnsi="宋体" w:cs="宋体"/>
          <w:sz w:val="24"/>
        </w:rPr>
      </w:pPr>
      <w:r>
        <w:rPr>
          <w:rFonts w:hint="eastAsia" w:ascii="宋体" w:hAnsi="宋体" w:cs="宋体"/>
          <w:sz w:val="24"/>
        </w:rPr>
        <w:t>（四）向招标采购单位或提供其他不正当利益;</w:t>
      </w:r>
    </w:p>
    <w:p w14:paraId="556FC951">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291F37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207FE75">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1413A8AD">
      <w:pPr>
        <w:spacing w:line="380" w:lineRule="exact"/>
        <w:rPr>
          <w:rFonts w:ascii="宋体" w:hAnsi="宋体" w:cs="宋体"/>
          <w:sz w:val="24"/>
        </w:rPr>
      </w:pPr>
      <w:r>
        <w:rPr>
          <w:rFonts w:hint="eastAsia" w:ascii="宋体" w:hAnsi="宋体" w:cs="宋体"/>
          <w:sz w:val="24"/>
        </w:rPr>
        <w:t>（八）将中标项目转让给他人或非法分包他人;</w:t>
      </w:r>
    </w:p>
    <w:p w14:paraId="0719592B">
      <w:pPr>
        <w:spacing w:line="380" w:lineRule="exact"/>
        <w:rPr>
          <w:rFonts w:ascii="宋体" w:hAnsi="宋体" w:cs="宋体"/>
          <w:sz w:val="24"/>
        </w:rPr>
      </w:pPr>
      <w:r>
        <w:rPr>
          <w:rFonts w:hint="eastAsia" w:ascii="宋体" w:hAnsi="宋体" w:cs="宋体"/>
          <w:sz w:val="24"/>
        </w:rPr>
        <w:t>（九）无正当理由，拒绝履行合同义务;</w:t>
      </w:r>
    </w:p>
    <w:p w14:paraId="59C4588F">
      <w:pPr>
        <w:spacing w:line="380" w:lineRule="exact"/>
        <w:rPr>
          <w:rFonts w:ascii="宋体" w:hAnsi="宋体" w:cs="宋体"/>
          <w:sz w:val="24"/>
        </w:rPr>
      </w:pPr>
      <w:r>
        <w:rPr>
          <w:rFonts w:hint="eastAsia" w:ascii="宋体" w:hAnsi="宋体" w:cs="宋体"/>
          <w:sz w:val="24"/>
        </w:rPr>
        <w:t>（十）无正当理由放弃中标（成交）项目;</w:t>
      </w:r>
    </w:p>
    <w:p w14:paraId="49282CF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33B419D">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21D429F1">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1656B57">
      <w:pPr>
        <w:spacing w:line="380" w:lineRule="exact"/>
        <w:rPr>
          <w:rFonts w:ascii="宋体" w:hAnsi="宋体" w:cs="宋体"/>
          <w:sz w:val="24"/>
        </w:rPr>
      </w:pPr>
      <w:r>
        <w:rPr>
          <w:rFonts w:hint="eastAsia" w:ascii="宋体" w:hAnsi="宋体" w:cs="宋体"/>
          <w:sz w:val="24"/>
        </w:rPr>
        <w:t>（十四）开标后对招标文件的相关内容再进行质疑；</w:t>
      </w:r>
    </w:p>
    <w:p w14:paraId="550237AD">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54A99BDF">
      <w:pPr>
        <w:spacing w:line="380" w:lineRule="exact"/>
        <w:rPr>
          <w:rFonts w:ascii="宋体" w:hAnsi="宋体" w:cs="宋体"/>
          <w:sz w:val="24"/>
        </w:rPr>
      </w:pPr>
      <w:r>
        <w:rPr>
          <w:rFonts w:hint="eastAsia" w:ascii="宋体" w:hAnsi="宋体" w:cs="宋体"/>
          <w:sz w:val="24"/>
        </w:rPr>
        <w:t>（十六）拒绝有关部门监督检查或者提供虚假情况；</w:t>
      </w:r>
    </w:p>
    <w:p w14:paraId="5D6EF145">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8B72D0B">
      <w:pPr>
        <w:spacing w:line="380" w:lineRule="exact"/>
        <w:ind w:firstLine="3360" w:firstLineChars="1400"/>
        <w:rPr>
          <w:rFonts w:ascii="宋体" w:hAnsi="宋体" w:cs="宋体"/>
          <w:sz w:val="24"/>
        </w:rPr>
      </w:pPr>
    </w:p>
    <w:p w14:paraId="6FB5A4E9">
      <w:pPr>
        <w:spacing w:line="380" w:lineRule="exact"/>
        <w:ind w:firstLine="3360" w:firstLineChars="1400"/>
        <w:rPr>
          <w:rFonts w:ascii="宋体" w:hAnsi="宋体" w:cs="宋体"/>
          <w:sz w:val="24"/>
        </w:rPr>
      </w:pPr>
      <w:r>
        <w:rPr>
          <w:rFonts w:hint="eastAsia" w:ascii="宋体" w:hAnsi="宋体" w:cs="宋体"/>
          <w:sz w:val="24"/>
        </w:rPr>
        <w:t>供应商名称：（盖章）</w:t>
      </w:r>
    </w:p>
    <w:p w14:paraId="075D3B95">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6F0148B3">
      <w:pPr>
        <w:spacing w:line="380" w:lineRule="exact"/>
        <w:ind w:firstLine="3360" w:firstLineChars="1400"/>
        <w:rPr>
          <w:rFonts w:ascii="宋体" w:hAnsi="宋体" w:cs="宋体"/>
          <w:sz w:val="24"/>
        </w:rPr>
      </w:pPr>
    </w:p>
    <w:p w14:paraId="44D26F4F">
      <w:pPr>
        <w:spacing w:line="380" w:lineRule="exact"/>
        <w:ind w:firstLine="3360" w:firstLineChars="1400"/>
        <w:rPr>
          <w:rFonts w:ascii="宋体" w:hAnsi="宋体" w:cs="宋体"/>
          <w:b/>
          <w:sz w:val="24"/>
        </w:rPr>
      </w:pPr>
      <w:r>
        <w:rPr>
          <w:rFonts w:hint="eastAsia" w:ascii="宋体" w:hAnsi="宋体" w:cs="宋体"/>
          <w:sz w:val="24"/>
        </w:rPr>
        <w:t>日期：年月日</w:t>
      </w:r>
    </w:p>
    <w:p w14:paraId="0C24FB64">
      <w:pPr>
        <w:pStyle w:val="35"/>
        <w:ind w:firstLine="0" w:firstLineChars="0"/>
        <w:rPr>
          <w:rFonts w:ascii="宋体" w:hAnsi="宋体" w:cs="宋体"/>
          <w:b/>
          <w:sz w:val="24"/>
        </w:rPr>
      </w:pPr>
    </w:p>
    <w:p w14:paraId="3EA8EB8C">
      <w:pPr>
        <w:spacing w:line="360" w:lineRule="auto"/>
        <w:rPr>
          <w:rFonts w:ascii="宋体" w:hAnsi="宋体" w:cs="宋体"/>
          <w:b/>
          <w:bCs/>
          <w:sz w:val="24"/>
        </w:rPr>
      </w:pPr>
    </w:p>
    <w:p w14:paraId="48D2EEEE">
      <w:pPr>
        <w:pStyle w:val="35"/>
        <w:ind w:firstLine="0" w:firstLineChars="0"/>
        <w:rPr>
          <w:rFonts w:ascii="宋体" w:hAnsi="宋体" w:cs="宋体"/>
          <w:b/>
          <w:sz w:val="24"/>
        </w:rPr>
      </w:pPr>
    </w:p>
    <w:p w14:paraId="628316C7">
      <w:pPr>
        <w:pStyle w:val="35"/>
        <w:ind w:firstLine="241"/>
        <w:rPr>
          <w:rFonts w:ascii="宋体" w:hAnsi="宋体" w:cs="宋体"/>
          <w:b/>
          <w:sz w:val="24"/>
        </w:rPr>
      </w:pPr>
    </w:p>
    <w:p w14:paraId="6A20D4AC">
      <w:pPr>
        <w:pStyle w:val="35"/>
        <w:ind w:firstLine="241"/>
        <w:rPr>
          <w:rFonts w:ascii="宋体" w:hAnsi="宋体" w:cs="宋体"/>
          <w:b/>
          <w:sz w:val="24"/>
        </w:rPr>
      </w:pPr>
    </w:p>
    <w:p w14:paraId="2684852B">
      <w:pPr>
        <w:pStyle w:val="35"/>
        <w:ind w:firstLine="241"/>
        <w:rPr>
          <w:rFonts w:ascii="宋体" w:hAnsi="宋体" w:cs="宋体"/>
          <w:b/>
          <w:sz w:val="24"/>
        </w:rPr>
      </w:pPr>
    </w:p>
    <w:p w14:paraId="30D34E8F">
      <w:pPr>
        <w:pStyle w:val="35"/>
        <w:ind w:firstLine="241"/>
        <w:rPr>
          <w:rFonts w:ascii="宋体" w:hAnsi="宋体" w:cs="宋体"/>
          <w:b/>
          <w:sz w:val="24"/>
        </w:rPr>
      </w:pPr>
    </w:p>
    <w:p w14:paraId="1CB69402">
      <w:pPr>
        <w:pStyle w:val="35"/>
        <w:ind w:firstLine="241"/>
        <w:rPr>
          <w:rFonts w:ascii="宋体" w:hAnsi="宋体" w:cs="宋体"/>
          <w:b/>
          <w:sz w:val="24"/>
        </w:rPr>
      </w:pPr>
    </w:p>
    <w:p w14:paraId="7898FBD7">
      <w:pPr>
        <w:pStyle w:val="35"/>
        <w:ind w:firstLine="241"/>
        <w:rPr>
          <w:rFonts w:ascii="宋体" w:hAnsi="宋体" w:cs="宋体"/>
          <w:b/>
          <w:sz w:val="24"/>
        </w:rPr>
      </w:pPr>
    </w:p>
    <w:p w14:paraId="45DD2DBD">
      <w:pPr>
        <w:pStyle w:val="35"/>
        <w:ind w:firstLine="241"/>
        <w:rPr>
          <w:rFonts w:ascii="宋体" w:hAnsi="宋体" w:cs="宋体"/>
          <w:b/>
          <w:sz w:val="24"/>
        </w:rPr>
      </w:pPr>
    </w:p>
    <w:p w14:paraId="0C5F410A">
      <w:pPr>
        <w:pStyle w:val="35"/>
        <w:ind w:firstLine="241"/>
        <w:rPr>
          <w:rFonts w:ascii="宋体" w:hAnsi="宋体" w:cs="宋体"/>
          <w:b/>
          <w:sz w:val="24"/>
        </w:rPr>
      </w:pPr>
    </w:p>
    <w:p w14:paraId="793C4B6A">
      <w:pPr>
        <w:pStyle w:val="35"/>
        <w:ind w:firstLine="241"/>
        <w:rPr>
          <w:rFonts w:ascii="宋体" w:hAnsi="宋体" w:cs="宋体"/>
          <w:b/>
          <w:sz w:val="24"/>
        </w:rPr>
      </w:pPr>
    </w:p>
    <w:p w14:paraId="36BF6088">
      <w:pPr>
        <w:pStyle w:val="35"/>
        <w:ind w:firstLine="241"/>
        <w:rPr>
          <w:rFonts w:ascii="宋体" w:hAnsi="宋体" w:cs="宋体"/>
          <w:b/>
          <w:sz w:val="24"/>
        </w:rPr>
      </w:pPr>
    </w:p>
    <w:p w14:paraId="7BC38C51">
      <w:pPr>
        <w:pStyle w:val="35"/>
        <w:ind w:firstLine="241"/>
        <w:rPr>
          <w:rFonts w:ascii="宋体" w:hAnsi="宋体" w:cs="宋体"/>
          <w:b/>
          <w:sz w:val="24"/>
        </w:rPr>
      </w:pPr>
    </w:p>
    <w:p w14:paraId="3A59A228">
      <w:pPr>
        <w:pStyle w:val="35"/>
        <w:ind w:firstLine="241"/>
        <w:rPr>
          <w:rFonts w:ascii="宋体" w:hAnsi="宋体" w:cs="宋体"/>
          <w:b/>
          <w:sz w:val="24"/>
        </w:rPr>
      </w:pPr>
    </w:p>
    <w:p w14:paraId="79631680">
      <w:pPr>
        <w:pStyle w:val="35"/>
        <w:ind w:firstLine="241"/>
        <w:rPr>
          <w:rFonts w:ascii="宋体" w:hAnsi="宋体" w:cs="宋体"/>
          <w:b/>
          <w:sz w:val="24"/>
        </w:rPr>
      </w:pPr>
    </w:p>
    <w:p w14:paraId="074D9B66">
      <w:pPr>
        <w:pStyle w:val="35"/>
        <w:ind w:firstLine="241"/>
        <w:rPr>
          <w:rFonts w:ascii="宋体" w:hAnsi="宋体" w:cs="宋体"/>
          <w:b/>
          <w:sz w:val="24"/>
        </w:rPr>
      </w:pPr>
    </w:p>
    <w:p w14:paraId="677514B1">
      <w:pPr>
        <w:pStyle w:val="35"/>
        <w:ind w:firstLine="241"/>
        <w:rPr>
          <w:rFonts w:ascii="宋体" w:hAnsi="宋体" w:cs="宋体"/>
          <w:b/>
          <w:sz w:val="24"/>
        </w:rPr>
      </w:pPr>
    </w:p>
    <w:p w14:paraId="176F7227">
      <w:pPr>
        <w:pStyle w:val="35"/>
        <w:ind w:firstLine="241"/>
        <w:rPr>
          <w:rFonts w:ascii="宋体" w:hAnsi="宋体" w:cs="宋体"/>
          <w:b/>
          <w:sz w:val="24"/>
        </w:rPr>
      </w:pPr>
    </w:p>
    <w:p w14:paraId="6A0D4D9A">
      <w:pPr>
        <w:pStyle w:val="35"/>
        <w:ind w:firstLine="241"/>
        <w:rPr>
          <w:rFonts w:ascii="宋体" w:hAnsi="宋体" w:cs="宋体"/>
          <w:b/>
          <w:sz w:val="24"/>
        </w:rPr>
      </w:pPr>
    </w:p>
    <w:p w14:paraId="570350AA">
      <w:pPr>
        <w:pStyle w:val="2"/>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2322B71A">
      <w:pPr>
        <w:ind w:firstLine="640" w:firstLineChars="200"/>
        <w:jc w:val="both"/>
        <w:rPr>
          <w:rFonts w:hint="eastAsia" w:ascii="宋体" w:hAnsi="宋体" w:eastAsia="宋体" w:cs="宋体"/>
          <w:sz w:val="32"/>
          <w:szCs w:val="32"/>
          <w:lang w:val="en-US"/>
        </w:rPr>
      </w:pPr>
    </w:p>
    <w:p w14:paraId="1EF6287F">
      <w:pPr>
        <w:pStyle w:val="79"/>
        <w:spacing w:beforeLines="0" w:afterLines="0"/>
        <w:ind w:left="0" w:firstLine="640" w:firstLineChars="200"/>
        <w:jc w:val="both"/>
        <w:rPr>
          <w:rFonts w:hint="eastAsia" w:ascii="宋体" w:hAnsi="宋体" w:eastAsia="宋体" w:cs="宋体"/>
          <w:sz w:val="32"/>
          <w:szCs w:val="32"/>
          <w:lang w:val="en-US"/>
        </w:rPr>
      </w:pPr>
    </w:p>
    <w:p w14:paraId="436CD195">
      <w:pPr>
        <w:pStyle w:val="79"/>
        <w:spacing w:beforeLines="0" w:afterLines="0"/>
        <w:ind w:left="0" w:firstLine="640" w:firstLineChars="200"/>
        <w:jc w:val="both"/>
        <w:rPr>
          <w:rFonts w:hint="eastAsia" w:ascii="宋体" w:hAnsi="宋体" w:eastAsia="宋体" w:cs="宋体"/>
          <w:sz w:val="32"/>
          <w:szCs w:val="32"/>
          <w:lang w:val="en-US"/>
        </w:rPr>
      </w:pPr>
    </w:p>
    <w:p w14:paraId="34B0491F">
      <w:pPr>
        <w:pStyle w:val="79"/>
        <w:spacing w:beforeLines="0" w:afterLines="0"/>
        <w:ind w:left="0" w:firstLine="600" w:firstLineChars="200"/>
        <w:jc w:val="both"/>
        <w:rPr>
          <w:rFonts w:hint="eastAsia" w:ascii="宋体" w:hAnsi="宋体" w:eastAsia="宋体" w:cs="宋体"/>
          <w:sz w:val="30"/>
          <w:szCs w:val="30"/>
          <w:lang w:val="en-US"/>
        </w:rPr>
      </w:pPr>
    </w:p>
    <w:p w14:paraId="79D90923">
      <w:pPr>
        <w:pStyle w:val="79"/>
        <w:spacing w:beforeLines="0" w:afterLines="0"/>
        <w:ind w:left="0" w:firstLine="600" w:firstLineChars="200"/>
        <w:jc w:val="both"/>
        <w:rPr>
          <w:rFonts w:hint="eastAsia" w:ascii="宋体" w:hAnsi="宋体" w:eastAsia="宋体" w:cs="宋体"/>
          <w:sz w:val="30"/>
          <w:szCs w:val="30"/>
          <w:lang w:val="en-US"/>
        </w:rPr>
      </w:pPr>
    </w:p>
    <w:p w14:paraId="572CE35E">
      <w:pPr>
        <w:pStyle w:val="79"/>
        <w:spacing w:beforeLines="0" w:afterLines="0"/>
        <w:ind w:left="0" w:firstLine="600" w:firstLineChars="200"/>
        <w:jc w:val="both"/>
        <w:rPr>
          <w:rFonts w:hint="eastAsia" w:ascii="宋体" w:hAnsi="宋体" w:eastAsia="宋体" w:cs="宋体"/>
          <w:sz w:val="30"/>
          <w:szCs w:val="30"/>
          <w:lang w:val="en-US"/>
        </w:rPr>
      </w:pPr>
    </w:p>
    <w:p w14:paraId="396EE4BF">
      <w:pPr>
        <w:pStyle w:val="79"/>
        <w:spacing w:beforeLines="0" w:afterLines="0"/>
        <w:ind w:left="0" w:firstLine="600" w:firstLineChars="200"/>
        <w:jc w:val="both"/>
        <w:rPr>
          <w:rFonts w:hint="eastAsia" w:ascii="宋体" w:hAnsi="宋体" w:eastAsia="宋体" w:cs="宋体"/>
          <w:sz w:val="30"/>
          <w:szCs w:val="30"/>
          <w:lang w:val="en-US"/>
        </w:rPr>
      </w:pPr>
    </w:p>
    <w:p w14:paraId="1E8B26C5">
      <w:pPr>
        <w:pStyle w:val="79"/>
        <w:spacing w:beforeLines="0" w:afterLines="0"/>
        <w:ind w:left="0" w:firstLine="600" w:firstLineChars="200"/>
        <w:jc w:val="both"/>
        <w:rPr>
          <w:rFonts w:hint="eastAsia" w:ascii="宋体" w:hAnsi="宋体" w:eastAsia="宋体" w:cs="宋体"/>
          <w:sz w:val="30"/>
          <w:szCs w:val="30"/>
          <w:lang w:val="en-US"/>
        </w:rPr>
      </w:pPr>
    </w:p>
    <w:p w14:paraId="185640FB">
      <w:pPr>
        <w:pStyle w:val="79"/>
        <w:spacing w:beforeLines="0" w:afterLines="0"/>
        <w:ind w:left="0" w:firstLine="600" w:firstLineChars="200"/>
        <w:jc w:val="both"/>
        <w:rPr>
          <w:rFonts w:hint="eastAsia" w:ascii="宋体" w:hAnsi="宋体" w:eastAsia="宋体" w:cs="宋体"/>
          <w:sz w:val="30"/>
          <w:szCs w:val="30"/>
          <w:lang w:val="en-US"/>
        </w:rPr>
      </w:pPr>
    </w:p>
    <w:p w14:paraId="78BEF00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0DA6F4C4">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414E2FE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283AA76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0338E59C">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0C7AB8AA">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652D5101">
      <w:pPr>
        <w:pStyle w:val="79"/>
        <w:spacing w:beforeLines="0" w:afterLines="0"/>
        <w:ind w:left="0" w:firstLine="600" w:firstLineChars="200"/>
        <w:jc w:val="both"/>
        <w:rPr>
          <w:rFonts w:hint="eastAsia" w:ascii="宋体" w:hAnsi="宋体" w:eastAsia="宋体" w:cs="宋体"/>
          <w:sz w:val="30"/>
          <w:szCs w:val="30"/>
          <w:lang w:val="en-US"/>
        </w:rPr>
      </w:pPr>
    </w:p>
    <w:p w14:paraId="3EE74C23">
      <w:pPr>
        <w:pStyle w:val="79"/>
        <w:spacing w:beforeLines="0" w:afterLines="0"/>
        <w:ind w:left="0" w:firstLine="600" w:firstLineChars="200"/>
        <w:jc w:val="both"/>
        <w:rPr>
          <w:rFonts w:hint="eastAsia" w:ascii="宋体" w:hAnsi="宋体" w:eastAsia="宋体" w:cs="宋体"/>
          <w:sz w:val="30"/>
          <w:szCs w:val="30"/>
          <w:lang w:val="en-US"/>
        </w:rPr>
      </w:pPr>
    </w:p>
    <w:p w14:paraId="4C79C1E6">
      <w:pPr>
        <w:pStyle w:val="79"/>
        <w:spacing w:beforeLines="0" w:afterLines="0"/>
        <w:ind w:left="0" w:firstLine="600" w:firstLineChars="200"/>
        <w:jc w:val="both"/>
        <w:rPr>
          <w:rFonts w:hint="eastAsia" w:ascii="宋体" w:hAnsi="宋体" w:eastAsia="宋体" w:cs="宋体"/>
          <w:sz w:val="30"/>
          <w:szCs w:val="30"/>
          <w:lang w:val="en-US"/>
        </w:rPr>
      </w:pPr>
    </w:p>
    <w:p w14:paraId="306D9BCC">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0CFD1E74">
      <w:pPr>
        <w:pStyle w:val="79"/>
        <w:spacing w:beforeLines="0" w:afterLines="0" w:line="440" w:lineRule="exact"/>
        <w:ind w:left="0"/>
        <w:jc w:val="both"/>
        <w:rPr>
          <w:rFonts w:hint="eastAsia" w:ascii="宋体" w:hAnsi="宋体" w:eastAsia="宋体" w:cs="宋体"/>
          <w:sz w:val="30"/>
          <w:szCs w:val="30"/>
        </w:rPr>
      </w:pPr>
    </w:p>
    <w:p w14:paraId="36A1F1D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3025C7E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33FF3AF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10FA7D6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60CA50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34BFE7A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6598000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5B71E6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5BAC679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72D5CCF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8C8F6C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4973B07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1B9ADDF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1CD7DCF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E63D849">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164C12EB">
      <w:pPr>
        <w:pStyle w:val="79"/>
        <w:spacing w:beforeLines="0" w:afterLines="0" w:line="440" w:lineRule="exact"/>
        <w:ind w:left="0"/>
        <w:jc w:val="center"/>
        <w:rPr>
          <w:rFonts w:hint="eastAsia" w:ascii="宋体" w:hAnsi="宋体" w:eastAsia="宋体" w:cs="宋体"/>
          <w:bCs/>
          <w:sz w:val="32"/>
          <w:szCs w:val="32"/>
        </w:rPr>
      </w:pPr>
    </w:p>
    <w:p w14:paraId="72118485">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42315E7B">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6DBBC50D">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4C747BE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4171081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F7D95C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67EF861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47DB984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75BADE21">
      <w:pPr>
        <w:pStyle w:val="2"/>
        <w:spacing w:before="0" w:after="0" w:line="500" w:lineRule="exact"/>
        <w:ind w:firstLine="0"/>
        <w:jc w:val="both"/>
        <w:rPr>
          <w:rFonts w:hint="eastAsia" w:ascii="宋体" w:hAnsi="宋体" w:eastAsia="宋体" w:cs="宋体"/>
          <w:b w:val="0"/>
          <w:bCs w:val="0"/>
          <w:sz w:val="21"/>
          <w:szCs w:val="21"/>
        </w:rPr>
      </w:pPr>
    </w:p>
    <w:p w14:paraId="5F2B5875">
      <w:pPr>
        <w:pStyle w:val="2"/>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5A3621C9">
      <w:pPr>
        <w:spacing w:line="360" w:lineRule="auto"/>
        <w:ind w:firstLine="420" w:firstLineChars="200"/>
        <w:jc w:val="both"/>
        <w:rPr>
          <w:rFonts w:hint="eastAsia" w:ascii="宋体" w:hAnsi="宋体" w:eastAsia="宋体" w:cs="宋体"/>
          <w:szCs w:val="27"/>
        </w:rPr>
      </w:pPr>
    </w:p>
    <w:p w14:paraId="084F3E41">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20FF672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5782BEA5">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6DE2346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39D6C9ED">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2EF67C1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29FA56B8">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CC7ADFB">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3A8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5A47044">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0DD6DF50">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52CA1421">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63DAEDCD">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26DE3627">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0B654264">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0FBE22DE">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3DF1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656256F">
            <w:pPr>
              <w:spacing w:line="360" w:lineRule="auto"/>
              <w:ind w:firstLine="420" w:firstLineChars="200"/>
              <w:jc w:val="both"/>
              <w:rPr>
                <w:rFonts w:hint="eastAsia" w:ascii="宋体" w:hAnsi="宋体" w:eastAsia="宋体" w:cs="宋体"/>
              </w:rPr>
            </w:pPr>
          </w:p>
        </w:tc>
        <w:tc>
          <w:tcPr>
            <w:tcW w:w="1623" w:type="dxa"/>
            <w:noWrap w:val="0"/>
            <w:vAlign w:val="top"/>
          </w:tcPr>
          <w:p w14:paraId="652C09C7">
            <w:pPr>
              <w:spacing w:line="360" w:lineRule="auto"/>
              <w:ind w:firstLine="420" w:firstLineChars="200"/>
              <w:jc w:val="both"/>
              <w:rPr>
                <w:rFonts w:hint="eastAsia" w:ascii="宋体" w:hAnsi="宋体" w:eastAsia="宋体" w:cs="宋体"/>
              </w:rPr>
            </w:pPr>
          </w:p>
        </w:tc>
        <w:tc>
          <w:tcPr>
            <w:tcW w:w="902" w:type="dxa"/>
            <w:noWrap w:val="0"/>
            <w:vAlign w:val="top"/>
          </w:tcPr>
          <w:p w14:paraId="2C061DE0">
            <w:pPr>
              <w:spacing w:line="360" w:lineRule="auto"/>
              <w:ind w:firstLine="420" w:firstLineChars="200"/>
              <w:jc w:val="both"/>
              <w:rPr>
                <w:rFonts w:hint="eastAsia" w:ascii="宋体" w:hAnsi="宋体" w:eastAsia="宋体" w:cs="宋体"/>
              </w:rPr>
            </w:pPr>
          </w:p>
        </w:tc>
        <w:tc>
          <w:tcPr>
            <w:tcW w:w="902" w:type="dxa"/>
            <w:noWrap w:val="0"/>
            <w:vAlign w:val="top"/>
          </w:tcPr>
          <w:p w14:paraId="5F90B50C">
            <w:pPr>
              <w:spacing w:line="360" w:lineRule="auto"/>
              <w:ind w:firstLine="420" w:firstLineChars="200"/>
              <w:jc w:val="both"/>
              <w:rPr>
                <w:rFonts w:hint="eastAsia" w:ascii="宋体" w:hAnsi="宋体" w:eastAsia="宋体" w:cs="宋体"/>
              </w:rPr>
            </w:pPr>
          </w:p>
        </w:tc>
        <w:tc>
          <w:tcPr>
            <w:tcW w:w="1071" w:type="dxa"/>
            <w:noWrap w:val="0"/>
            <w:vAlign w:val="top"/>
          </w:tcPr>
          <w:p w14:paraId="483CE433">
            <w:pPr>
              <w:spacing w:line="360" w:lineRule="auto"/>
              <w:ind w:firstLine="420" w:firstLineChars="200"/>
              <w:jc w:val="both"/>
              <w:rPr>
                <w:rFonts w:hint="eastAsia" w:ascii="宋体" w:hAnsi="宋体" w:eastAsia="宋体" w:cs="宋体"/>
              </w:rPr>
            </w:pPr>
          </w:p>
        </w:tc>
        <w:tc>
          <w:tcPr>
            <w:tcW w:w="1250" w:type="dxa"/>
            <w:noWrap w:val="0"/>
            <w:vAlign w:val="top"/>
          </w:tcPr>
          <w:p w14:paraId="036C7BA2">
            <w:pPr>
              <w:spacing w:line="360" w:lineRule="auto"/>
              <w:ind w:firstLine="420" w:firstLineChars="200"/>
              <w:jc w:val="both"/>
              <w:rPr>
                <w:rFonts w:hint="eastAsia" w:ascii="宋体" w:hAnsi="宋体" w:eastAsia="宋体" w:cs="宋体"/>
              </w:rPr>
            </w:pPr>
          </w:p>
        </w:tc>
        <w:tc>
          <w:tcPr>
            <w:tcW w:w="1106" w:type="dxa"/>
            <w:noWrap w:val="0"/>
            <w:vAlign w:val="top"/>
          </w:tcPr>
          <w:p w14:paraId="23568A88">
            <w:pPr>
              <w:spacing w:line="360" w:lineRule="auto"/>
              <w:ind w:firstLine="420" w:firstLineChars="200"/>
              <w:jc w:val="both"/>
              <w:rPr>
                <w:rFonts w:hint="eastAsia" w:ascii="宋体" w:hAnsi="宋体" w:eastAsia="宋体" w:cs="宋体"/>
              </w:rPr>
            </w:pPr>
          </w:p>
        </w:tc>
      </w:tr>
      <w:tr w14:paraId="252DF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4173519">
            <w:pPr>
              <w:spacing w:line="360" w:lineRule="auto"/>
              <w:ind w:firstLine="420" w:firstLineChars="200"/>
              <w:jc w:val="both"/>
              <w:rPr>
                <w:rFonts w:hint="eastAsia" w:ascii="宋体" w:hAnsi="宋体" w:eastAsia="宋体" w:cs="宋体"/>
              </w:rPr>
            </w:pPr>
          </w:p>
        </w:tc>
        <w:tc>
          <w:tcPr>
            <w:tcW w:w="1623" w:type="dxa"/>
            <w:noWrap w:val="0"/>
            <w:vAlign w:val="top"/>
          </w:tcPr>
          <w:p w14:paraId="06FBB0B4">
            <w:pPr>
              <w:spacing w:line="360" w:lineRule="auto"/>
              <w:ind w:firstLine="420" w:firstLineChars="200"/>
              <w:jc w:val="both"/>
              <w:rPr>
                <w:rFonts w:hint="eastAsia" w:ascii="宋体" w:hAnsi="宋体" w:eastAsia="宋体" w:cs="宋体"/>
              </w:rPr>
            </w:pPr>
          </w:p>
        </w:tc>
        <w:tc>
          <w:tcPr>
            <w:tcW w:w="902" w:type="dxa"/>
            <w:noWrap w:val="0"/>
            <w:vAlign w:val="top"/>
          </w:tcPr>
          <w:p w14:paraId="17DFF7E3">
            <w:pPr>
              <w:spacing w:line="360" w:lineRule="auto"/>
              <w:ind w:firstLine="420" w:firstLineChars="200"/>
              <w:jc w:val="both"/>
              <w:rPr>
                <w:rFonts w:hint="eastAsia" w:ascii="宋体" w:hAnsi="宋体" w:eastAsia="宋体" w:cs="宋体"/>
              </w:rPr>
            </w:pPr>
          </w:p>
        </w:tc>
        <w:tc>
          <w:tcPr>
            <w:tcW w:w="902" w:type="dxa"/>
            <w:noWrap w:val="0"/>
            <w:vAlign w:val="top"/>
          </w:tcPr>
          <w:p w14:paraId="0CC1E0E6">
            <w:pPr>
              <w:spacing w:line="360" w:lineRule="auto"/>
              <w:ind w:firstLine="420" w:firstLineChars="200"/>
              <w:jc w:val="both"/>
              <w:rPr>
                <w:rFonts w:hint="eastAsia" w:ascii="宋体" w:hAnsi="宋体" w:eastAsia="宋体" w:cs="宋体"/>
              </w:rPr>
            </w:pPr>
          </w:p>
        </w:tc>
        <w:tc>
          <w:tcPr>
            <w:tcW w:w="1071" w:type="dxa"/>
            <w:noWrap w:val="0"/>
            <w:vAlign w:val="top"/>
          </w:tcPr>
          <w:p w14:paraId="66F37B32">
            <w:pPr>
              <w:spacing w:line="360" w:lineRule="auto"/>
              <w:ind w:firstLine="420" w:firstLineChars="200"/>
              <w:jc w:val="both"/>
              <w:rPr>
                <w:rFonts w:hint="eastAsia" w:ascii="宋体" w:hAnsi="宋体" w:eastAsia="宋体" w:cs="宋体"/>
              </w:rPr>
            </w:pPr>
          </w:p>
        </w:tc>
        <w:tc>
          <w:tcPr>
            <w:tcW w:w="1250" w:type="dxa"/>
            <w:noWrap w:val="0"/>
            <w:vAlign w:val="top"/>
          </w:tcPr>
          <w:p w14:paraId="31C5B772">
            <w:pPr>
              <w:spacing w:line="360" w:lineRule="auto"/>
              <w:ind w:firstLine="420" w:firstLineChars="200"/>
              <w:jc w:val="both"/>
              <w:rPr>
                <w:rFonts w:hint="eastAsia" w:ascii="宋体" w:hAnsi="宋体" w:eastAsia="宋体" w:cs="宋体"/>
              </w:rPr>
            </w:pPr>
          </w:p>
        </w:tc>
        <w:tc>
          <w:tcPr>
            <w:tcW w:w="1106" w:type="dxa"/>
            <w:noWrap w:val="0"/>
            <w:vAlign w:val="top"/>
          </w:tcPr>
          <w:p w14:paraId="00E705AA">
            <w:pPr>
              <w:spacing w:line="360" w:lineRule="auto"/>
              <w:ind w:firstLine="420" w:firstLineChars="200"/>
              <w:jc w:val="both"/>
              <w:rPr>
                <w:rFonts w:hint="eastAsia" w:ascii="宋体" w:hAnsi="宋体" w:eastAsia="宋体" w:cs="宋体"/>
              </w:rPr>
            </w:pPr>
          </w:p>
        </w:tc>
      </w:tr>
      <w:tr w14:paraId="6E75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504C087">
            <w:pPr>
              <w:spacing w:line="360" w:lineRule="auto"/>
              <w:ind w:firstLine="420" w:firstLineChars="200"/>
              <w:jc w:val="both"/>
              <w:rPr>
                <w:rFonts w:hint="eastAsia" w:ascii="宋体" w:hAnsi="宋体" w:eastAsia="宋体" w:cs="宋体"/>
              </w:rPr>
            </w:pPr>
          </w:p>
        </w:tc>
        <w:tc>
          <w:tcPr>
            <w:tcW w:w="1623" w:type="dxa"/>
            <w:noWrap w:val="0"/>
            <w:vAlign w:val="top"/>
          </w:tcPr>
          <w:p w14:paraId="65B13B73">
            <w:pPr>
              <w:spacing w:line="360" w:lineRule="auto"/>
              <w:ind w:firstLine="420" w:firstLineChars="200"/>
              <w:jc w:val="both"/>
              <w:rPr>
                <w:rFonts w:hint="eastAsia" w:ascii="宋体" w:hAnsi="宋体" w:eastAsia="宋体" w:cs="宋体"/>
              </w:rPr>
            </w:pPr>
          </w:p>
        </w:tc>
        <w:tc>
          <w:tcPr>
            <w:tcW w:w="902" w:type="dxa"/>
            <w:noWrap w:val="0"/>
            <w:vAlign w:val="top"/>
          </w:tcPr>
          <w:p w14:paraId="4BAB0454">
            <w:pPr>
              <w:spacing w:line="360" w:lineRule="auto"/>
              <w:ind w:firstLine="420" w:firstLineChars="200"/>
              <w:jc w:val="both"/>
              <w:rPr>
                <w:rFonts w:hint="eastAsia" w:ascii="宋体" w:hAnsi="宋体" w:eastAsia="宋体" w:cs="宋体"/>
              </w:rPr>
            </w:pPr>
          </w:p>
        </w:tc>
        <w:tc>
          <w:tcPr>
            <w:tcW w:w="902" w:type="dxa"/>
            <w:noWrap w:val="0"/>
            <w:vAlign w:val="top"/>
          </w:tcPr>
          <w:p w14:paraId="693F658B">
            <w:pPr>
              <w:spacing w:line="360" w:lineRule="auto"/>
              <w:ind w:firstLine="420" w:firstLineChars="200"/>
              <w:jc w:val="both"/>
              <w:rPr>
                <w:rFonts w:hint="eastAsia" w:ascii="宋体" w:hAnsi="宋体" w:eastAsia="宋体" w:cs="宋体"/>
              </w:rPr>
            </w:pPr>
          </w:p>
        </w:tc>
        <w:tc>
          <w:tcPr>
            <w:tcW w:w="1071" w:type="dxa"/>
            <w:noWrap w:val="0"/>
            <w:vAlign w:val="top"/>
          </w:tcPr>
          <w:p w14:paraId="45514714">
            <w:pPr>
              <w:spacing w:line="360" w:lineRule="auto"/>
              <w:ind w:firstLine="420" w:firstLineChars="200"/>
              <w:jc w:val="both"/>
              <w:rPr>
                <w:rFonts w:hint="eastAsia" w:ascii="宋体" w:hAnsi="宋体" w:eastAsia="宋体" w:cs="宋体"/>
              </w:rPr>
            </w:pPr>
          </w:p>
        </w:tc>
        <w:tc>
          <w:tcPr>
            <w:tcW w:w="1250" w:type="dxa"/>
            <w:noWrap w:val="0"/>
            <w:vAlign w:val="top"/>
          </w:tcPr>
          <w:p w14:paraId="4976516F">
            <w:pPr>
              <w:spacing w:line="360" w:lineRule="auto"/>
              <w:ind w:firstLine="420" w:firstLineChars="200"/>
              <w:jc w:val="both"/>
              <w:rPr>
                <w:rFonts w:hint="eastAsia" w:ascii="宋体" w:hAnsi="宋体" w:eastAsia="宋体" w:cs="宋体"/>
              </w:rPr>
            </w:pPr>
          </w:p>
        </w:tc>
        <w:tc>
          <w:tcPr>
            <w:tcW w:w="1106" w:type="dxa"/>
            <w:noWrap w:val="0"/>
            <w:vAlign w:val="top"/>
          </w:tcPr>
          <w:p w14:paraId="432FDA05">
            <w:pPr>
              <w:spacing w:line="360" w:lineRule="auto"/>
              <w:ind w:firstLine="420" w:firstLineChars="200"/>
              <w:jc w:val="both"/>
              <w:rPr>
                <w:rFonts w:hint="eastAsia" w:ascii="宋体" w:hAnsi="宋体" w:eastAsia="宋体" w:cs="宋体"/>
              </w:rPr>
            </w:pPr>
          </w:p>
        </w:tc>
      </w:tr>
      <w:tr w14:paraId="5796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8AC242B">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3C07395D">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5F5B2422">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233486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1D1459C6">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2204F33D">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978CC7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76EB0670">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45772BC1">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B8C814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71E35698">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29A833DD">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2803344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2029387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2C14406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3C5B8CE3">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0E96E3A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445EAD1D">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7553BB89">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37A9C3AA">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54EEB586">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7F9F5559">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18DFFB99">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396A6688">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69F4553A">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12447384">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14A12D3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1E3A8D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D68BEA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88A791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27EAC114">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0CDC5055">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3C7BAB2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4D59E9D6">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3BA0DD0B">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43A9916B">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B78072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43BCE4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3E52F86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400D94C7">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578066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CE01C6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4DC6B54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71E9F80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2DD2F9F9">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470D2515">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61EA51C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2D4BFEE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2EA9229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28515E6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3F94A08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6867BE36">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3C2B01EE">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198AB57E">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7A35BE7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8BF8E6">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39FDA89">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54ECBF5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2DFF9FCE">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FFA8A5C">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4BBC5C2A">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5E1C2936">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657DEAE4">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425DE07E">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C799CF6">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16D871">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184301DB">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6A1BCB51">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6140ED03">
      <w:pPr>
        <w:pStyle w:val="3"/>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11B8E420">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40382950">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1B63F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5035F727">
      <w:pPr>
        <w:spacing w:line="360" w:lineRule="auto"/>
        <w:ind w:firstLine="420" w:firstLineChars="200"/>
        <w:jc w:val="both"/>
        <w:rPr>
          <w:rFonts w:hint="eastAsia" w:ascii="宋体" w:hAnsi="宋体" w:eastAsia="宋体" w:cs="宋体"/>
          <w:szCs w:val="27"/>
        </w:rPr>
      </w:pPr>
    </w:p>
    <w:p w14:paraId="0AA23526">
      <w:pPr>
        <w:pStyle w:val="35"/>
        <w:ind w:firstLine="240"/>
        <w:rPr>
          <w:rFonts w:hint="eastAsia" w:ascii="宋体" w:hAnsi="宋体" w:eastAsia="宋体" w:cs="宋体"/>
        </w:rPr>
      </w:pPr>
    </w:p>
    <w:p w14:paraId="4DCD4A2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8B63169">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69AF2D0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4A4B6F1F">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2251B30D">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4351594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08442611">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1157ABA4">
      <w:pPr>
        <w:spacing w:line="640" w:lineRule="exact"/>
        <w:ind w:firstLine="420" w:firstLineChars="200"/>
        <w:jc w:val="both"/>
        <w:rPr>
          <w:rFonts w:hint="eastAsia" w:ascii="宋体" w:hAnsi="宋体" w:eastAsia="宋体" w:cs="宋体"/>
          <w:szCs w:val="27"/>
          <w:u w:val="single"/>
        </w:rPr>
      </w:pPr>
    </w:p>
    <w:p w14:paraId="2C66E3F6">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556A2717">
      <w:pPr>
        <w:pStyle w:val="35"/>
        <w:ind w:firstLine="321"/>
        <w:jc w:val="center"/>
        <w:rPr>
          <w:rFonts w:hint="eastAsia"/>
          <w:b/>
          <w:sz w:val="32"/>
          <w:szCs w:val="32"/>
        </w:rPr>
      </w:pPr>
    </w:p>
    <w:p w14:paraId="040A415D">
      <w:pPr>
        <w:pStyle w:val="35"/>
        <w:ind w:firstLine="321"/>
        <w:jc w:val="center"/>
        <w:rPr>
          <w:rFonts w:hint="eastAsia"/>
          <w:b/>
          <w:sz w:val="32"/>
          <w:szCs w:val="32"/>
        </w:rPr>
      </w:pPr>
    </w:p>
    <w:p w14:paraId="1DC31293">
      <w:pPr>
        <w:pStyle w:val="35"/>
        <w:ind w:firstLine="321"/>
        <w:jc w:val="center"/>
        <w:rPr>
          <w:rFonts w:hint="eastAsia"/>
          <w:b/>
          <w:sz w:val="32"/>
          <w:szCs w:val="32"/>
        </w:rPr>
      </w:pPr>
    </w:p>
    <w:p w14:paraId="17169FB1">
      <w:pPr>
        <w:pStyle w:val="35"/>
        <w:ind w:firstLine="321"/>
        <w:jc w:val="center"/>
        <w:rPr>
          <w:rFonts w:hint="eastAsia"/>
          <w:b/>
          <w:sz w:val="32"/>
          <w:szCs w:val="32"/>
        </w:rPr>
      </w:pPr>
    </w:p>
    <w:p w14:paraId="32DCF511">
      <w:pPr>
        <w:pStyle w:val="35"/>
        <w:ind w:firstLine="321"/>
        <w:jc w:val="center"/>
        <w:rPr>
          <w:b/>
          <w:sz w:val="32"/>
          <w:szCs w:val="32"/>
        </w:rPr>
      </w:pPr>
      <w:r>
        <w:rPr>
          <w:rFonts w:hint="eastAsia"/>
          <w:b/>
          <w:sz w:val="32"/>
          <w:szCs w:val="32"/>
        </w:rPr>
        <w:t>周口市政府采购合同融资政策告知函</w:t>
      </w:r>
    </w:p>
    <w:p w14:paraId="4A0C8273">
      <w:pPr>
        <w:pStyle w:val="35"/>
        <w:ind w:firstLine="240"/>
        <w:rPr>
          <w:rFonts w:asciiTheme="minorEastAsia" w:hAnsiTheme="minorEastAsia" w:eastAsiaTheme="minorEastAsia"/>
          <w:sz w:val="24"/>
        </w:rPr>
      </w:pPr>
    </w:p>
    <w:p w14:paraId="6D93C226">
      <w:pPr>
        <w:pStyle w:val="35"/>
        <w:ind w:firstLine="240"/>
        <w:rPr>
          <w:rFonts w:asciiTheme="minorEastAsia" w:hAnsiTheme="minorEastAsia" w:eastAsiaTheme="minorEastAsia"/>
          <w:sz w:val="24"/>
        </w:rPr>
      </w:pPr>
    </w:p>
    <w:p w14:paraId="7EAC7F75">
      <w:pPr>
        <w:pStyle w:val="35"/>
        <w:ind w:firstLine="240"/>
        <w:rPr>
          <w:rFonts w:asciiTheme="minorEastAsia" w:hAnsiTheme="minorEastAsia" w:eastAsiaTheme="minorEastAsia"/>
          <w:sz w:val="24"/>
        </w:rPr>
      </w:pPr>
    </w:p>
    <w:p w14:paraId="174AB92E">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76E8B3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CCA45BD">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DBB947C">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ACFD636">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E90B8D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FCF6A71">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6A4EC3F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0BCDC22">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BC3C108">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E6A4C2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AC9074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3D6F5A2">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061D25D">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7A9BD7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64BF8E7">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816993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5522E064">
      <w:pPr>
        <w:pStyle w:val="35"/>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4D5294-0668-43CA-AD88-F98E4A8264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65A8E51-C18C-4707-9C66-8F2D9584A8F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9A6E2E9F-B4F3-486C-B10A-ED98AB654C55}"/>
  </w:font>
  <w:font w:name="仿宋_GB2312">
    <w:altName w:val="仿宋"/>
    <w:panose1 w:val="00000000000000000000"/>
    <w:charset w:val="86"/>
    <w:family w:val="modern"/>
    <w:pitch w:val="default"/>
    <w:sig w:usb0="00000000" w:usb1="00000000" w:usb2="00000016" w:usb3="00000000" w:csb0="00040001" w:csb1="00000000"/>
    <w:embedRegular r:id="rId4" w:fontKey="{0AA119DB-7245-4D90-9197-163CFAECECE2}"/>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5" w:fontKey="{D469138E-9BC8-43EA-AAA3-7D2F04358404}"/>
  </w:font>
  <w:font w:name="微软简标宋">
    <w:altName w:val="黑体"/>
    <w:panose1 w:val="00000000000000000000"/>
    <w:charset w:val="86"/>
    <w:family w:val="auto"/>
    <w:pitch w:val="default"/>
    <w:sig w:usb0="00000000" w:usb1="00000000" w:usb2="00000010" w:usb3="00000000" w:csb0="00040000" w:csb1="00000000"/>
    <w:embedRegular r:id="rId6" w:fontKey="{89C14305-79BD-4AF0-9EC0-CC06A97FD06D}"/>
  </w:font>
  <w:font w:name="楷体_GB2312">
    <w:altName w:val="楷体"/>
    <w:panose1 w:val="00000000000000000000"/>
    <w:charset w:val="86"/>
    <w:family w:val="modern"/>
    <w:pitch w:val="default"/>
    <w:sig w:usb0="00000000" w:usb1="00000000" w:usb2="00000010" w:usb3="00000000" w:csb0="00040000" w:csb1="00000000"/>
    <w:embedRegular r:id="rId7" w:fontKey="{3976B91E-D556-4C4F-BFB5-E7EFF499A6A4}"/>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8" w:fontKey="{ADA129E3-1A46-48D8-BA44-E623796BFE2C}"/>
  </w:font>
  <w:font w:name="微软雅黑">
    <w:panose1 w:val="020B0503020204020204"/>
    <w:charset w:val="86"/>
    <w:family w:val="swiss"/>
    <w:pitch w:val="default"/>
    <w:sig w:usb0="80000287" w:usb1="2ACF3C50" w:usb2="00000016" w:usb3="00000000" w:csb0="0004001F" w:csb1="00000000"/>
    <w:embedRegular r:id="rId9" w:fontKey="{9C957C3B-B978-4E04-9EF3-53C20A07B0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EB42D">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46915">
    <w:pPr>
      <w:pStyle w:val="19"/>
      <w:pBdr>
        <w:bottom w:val="none" w:color="auto" w:sz="0" w:space="0"/>
      </w:pBdr>
      <w:spacing w:line="160" w:lineRule="atLeast"/>
      <w:jc w:val="both"/>
      <w:rPr>
        <w:rFonts w:ascii="楷体_GB2312" w:eastAsia="楷体_GB2312"/>
        <w:sz w:val="28"/>
        <w:u w:val="single"/>
      </w:rPr>
    </w:pPr>
  </w:p>
  <w:p w14:paraId="68642C04">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640514"/>
    <w:multiLevelType w:val="singleLevel"/>
    <w:tmpl w:val="A0640514"/>
    <w:lvl w:ilvl="0" w:tentative="0">
      <w:start w:val="1"/>
      <w:numFmt w:val="decimal"/>
      <w:suff w:val="nothing"/>
      <w:lvlText w:val="（%1）"/>
      <w:lvlJc w:val="left"/>
    </w:lvl>
  </w:abstractNum>
  <w:abstractNum w:abstractNumId="1">
    <w:nsid w:val="ABF730E9"/>
    <w:multiLevelType w:val="singleLevel"/>
    <w:tmpl w:val="ABF730E9"/>
    <w:lvl w:ilvl="0" w:tentative="0">
      <w:start w:val="1"/>
      <w:numFmt w:val="decimal"/>
      <w:suff w:val="nothing"/>
      <w:lvlText w:val="（%1）"/>
      <w:lvlJc w:val="left"/>
    </w:lvl>
  </w:abstractNum>
  <w:abstractNum w:abstractNumId="2">
    <w:nsid w:val="B0BD089D"/>
    <w:multiLevelType w:val="singleLevel"/>
    <w:tmpl w:val="B0BD089D"/>
    <w:lvl w:ilvl="0" w:tentative="0">
      <w:start w:val="1"/>
      <w:numFmt w:val="chineseCounting"/>
      <w:suff w:val="nothing"/>
      <w:lvlText w:val="%1、"/>
      <w:lvlJc w:val="left"/>
      <w:rPr>
        <w:rFonts w:hint="eastAsia"/>
      </w:rPr>
    </w:lvl>
  </w:abstractNum>
  <w:abstractNum w:abstractNumId="3">
    <w:nsid w:val="B12CC87F"/>
    <w:multiLevelType w:val="singleLevel"/>
    <w:tmpl w:val="B12CC87F"/>
    <w:lvl w:ilvl="0" w:tentative="0">
      <w:start w:val="1"/>
      <w:numFmt w:val="upperLetter"/>
      <w:lvlText w:val="%1."/>
      <w:lvlJc w:val="left"/>
      <w:pPr>
        <w:tabs>
          <w:tab w:val="left" w:pos="312"/>
        </w:tabs>
      </w:pPr>
    </w:lvl>
  </w:abstractNum>
  <w:abstractNum w:abstractNumId="4">
    <w:nsid w:val="B9A9D23B"/>
    <w:multiLevelType w:val="singleLevel"/>
    <w:tmpl w:val="B9A9D23B"/>
    <w:lvl w:ilvl="0" w:tentative="0">
      <w:start w:val="2"/>
      <w:numFmt w:val="chineseCounting"/>
      <w:suff w:val="nothing"/>
      <w:lvlText w:val="%1、"/>
      <w:lvlJc w:val="left"/>
      <w:rPr>
        <w:rFonts w:hint="eastAsia"/>
      </w:rPr>
    </w:lvl>
  </w:abstractNum>
  <w:abstractNum w:abstractNumId="5">
    <w:nsid w:val="CDC6365A"/>
    <w:multiLevelType w:val="singleLevel"/>
    <w:tmpl w:val="CDC6365A"/>
    <w:lvl w:ilvl="0" w:tentative="0">
      <w:start w:val="1"/>
      <w:numFmt w:val="decimal"/>
      <w:suff w:val="nothing"/>
      <w:lvlText w:val="（%1）"/>
      <w:lvlJc w:val="left"/>
    </w:lvl>
  </w:abstractNum>
  <w:abstractNum w:abstractNumId="6">
    <w:nsid w:val="F20CCE26"/>
    <w:multiLevelType w:val="singleLevel"/>
    <w:tmpl w:val="F20CCE26"/>
    <w:lvl w:ilvl="0" w:tentative="0">
      <w:start w:val="1"/>
      <w:numFmt w:val="decimal"/>
      <w:suff w:val="nothing"/>
      <w:lvlText w:val="%1、"/>
      <w:lvlJc w:val="left"/>
    </w:lvl>
  </w:abstractNum>
  <w:abstractNum w:abstractNumId="7">
    <w:nsid w:val="FA702ED4"/>
    <w:multiLevelType w:val="singleLevel"/>
    <w:tmpl w:val="FA702ED4"/>
    <w:lvl w:ilvl="0" w:tentative="0">
      <w:start w:val="1"/>
      <w:numFmt w:val="decimal"/>
      <w:lvlText w:val="%1."/>
      <w:lvlJc w:val="left"/>
      <w:pPr>
        <w:tabs>
          <w:tab w:val="left" w:pos="312"/>
        </w:tabs>
      </w:pPr>
    </w:lvl>
  </w:abstractNum>
  <w:abstractNum w:abstractNumId="8">
    <w:nsid w:val="00000002"/>
    <w:multiLevelType w:val="singleLevel"/>
    <w:tmpl w:val="00000002"/>
    <w:lvl w:ilvl="0" w:tentative="0">
      <w:start w:val="3"/>
      <w:numFmt w:val="decimal"/>
      <w:suff w:val="nothing"/>
      <w:lvlText w:val="(%1)"/>
      <w:lvlJc w:val="left"/>
    </w:lvl>
  </w:abstractNum>
  <w:abstractNum w:abstractNumId="9">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371846A"/>
    <w:multiLevelType w:val="singleLevel"/>
    <w:tmpl w:val="1371846A"/>
    <w:lvl w:ilvl="0" w:tentative="0">
      <w:start w:val="1"/>
      <w:numFmt w:val="upperLetter"/>
      <w:lvlText w:val="%1."/>
      <w:lvlJc w:val="left"/>
      <w:pPr>
        <w:tabs>
          <w:tab w:val="left" w:pos="312"/>
        </w:tabs>
      </w:pPr>
    </w:lvl>
  </w:abstractNum>
  <w:abstractNum w:abstractNumId="12">
    <w:nsid w:val="18F1924D"/>
    <w:multiLevelType w:val="singleLevel"/>
    <w:tmpl w:val="18F1924D"/>
    <w:lvl w:ilvl="0" w:tentative="0">
      <w:start w:val="1"/>
      <w:numFmt w:val="decimal"/>
      <w:suff w:val="nothing"/>
      <w:lvlText w:val="（%1）"/>
      <w:lvlJc w:val="left"/>
    </w:lvl>
  </w:abstractNum>
  <w:abstractNum w:abstractNumId="13">
    <w:nsid w:val="55CAF918"/>
    <w:multiLevelType w:val="singleLevel"/>
    <w:tmpl w:val="55CAF918"/>
    <w:lvl w:ilvl="0" w:tentative="0">
      <w:start w:val="1"/>
      <w:numFmt w:val="upperLetter"/>
      <w:lvlText w:val="%1."/>
      <w:lvlJc w:val="left"/>
      <w:pPr>
        <w:tabs>
          <w:tab w:val="left" w:pos="312"/>
        </w:tabs>
      </w:pPr>
    </w:lvl>
  </w:abstractNum>
  <w:abstractNum w:abstractNumId="14">
    <w:nsid w:val="6D7DF38B"/>
    <w:multiLevelType w:val="singleLevel"/>
    <w:tmpl w:val="6D7DF38B"/>
    <w:lvl w:ilvl="0" w:tentative="0">
      <w:start w:val="1"/>
      <w:numFmt w:val="decimal"/>
      <w:suff w:val="nothing"/>
      <w:lvlText w:val="（%1）"/>
      <w:lvlJc w:val="left"/>
    </w:lvl>
  </w:abstractNum>
  <w:num w:numId="1">
    <w:abstractNumId w:val="10"/>
  </w:num>
  <w:num w:numId="2">
    <w:abstractNumId w:val="9"/>
  </w:num>
  <w:num w:numId="3">
    <w:abstractNumId w:val="5"/>
  </w:num>
  <w:num w:numId="4">
    <w:abstractNumId w:val="14"/>
  </w:num>
  <w:num w:numId="5">
    <w:abstractNumId w:val="1"/>
  </w:num>
  <w:num w:numId="6">
    <w:abstractNumId w:val="3"/>
  </w:num>
  <w:num w:numId="7">
    <w:abstractNumId w:val="13"/>
  </w:num>
  <w:num w:numId="8">
    <w:abstractNumId w:val="11"/>
  </w:num>
  <w:num w:numId="9">
    <w:abstractNumId w:val="0"/>
  </w:num>
  <w:num w:numId="10">
    <w:abstractNumId w:val="4"/>
  </w:num>
  <w:num w:numId="11">
    <w:abstractNumId w:val="12"/>
  </w:num>
  <w:num w:numId="12">
    <w:abstractNumId w:val="6"/>
  </w:num>
  <w:num w:numId="13">
    <w:abstractNumId w:val="2"/>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371C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9351DF5"/>
    <w:rsid w:val="0A9E30AD"/>
    <w:rsid w:val="0ACD1C2D"/>
    <w:rsid w:val="0BEB3B44"/>
    <w:rsid w:val="0C0644C0"/>
    <w:rsid w:val="10D62AA4"/>
    <w:rsid w:val="11BF758F"/>
    <w:rsid w:val="13552B79"/>
    <w:rsid w:val="13793DF7"/>
    <w:rsid w:val="141C4A83"/>
    <w:rsid w:val="14354A58"/>
    <w:rsid w:val="14677422"/>
    <w:rsid w:val="152E6B10"/>
    <w:rsid w:val="15BF1042"/>
    <w:rsid w:val="1656732A"/>
    <w:rsid w:val="165B59CC"/>
    <w:rsid w:val="16640041"/>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basedOn w:val="29"/>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basedOn w:val="29"/>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basedOn w:val="29"/>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 w:type="character" w:customStyle="1" w:styleId="80">
    <w:name w:val="font41"/>
    <w:basedOn w:val="29"/>
    <w:qFormat/>
    <w:uiPriority w:val="0"/>
    <w:rPr>
      <w:rFonts w:hint="eastAsia" w:ascii="宋体" w:hAnsi="宋体" w:eastAsia="宋体" w:cs="宋体"/>
      <w:color w:val="000000"/>
      <w:sz w:val="21"/>
      <w:szCs w:val="21"/>
      <w:u w:val="none"/>
    </w:rPr>
  </w:style>
  <w:style w:type="character" w:customStyle="1" w:styleId="81">
    <w:name w:val="font71"/>
    <w:basedOn w:val="29"/>
    <w:autoRedefine/>
    <w:qFormat/>
    <w:uiPriority w:val="0"/>
    <w:rPr>
      <w:rFonts w:hint="eastAsia" w:ascii="宋体" w:hAnsi="宋体" w:eastAsia="宋体" w:cs="宋体"/>
      <w:color w:val="000000"/>
      <w:sz w:val="22"/>
      <w:szCs w:val="22"/>
      <w:u w:val="none"/>
    </w:rPr>
  </w:style>
  <w:style w:type="character" w:customStyle="1" w:styleId="82">
    <w:name w:val="font81"/>
    <w:basedOn w:val="29"/>
    <w:autoRedefine/>
    <w:qFormat/>
    <w:uiPriority w:val="0"/>
    <w:rPr>
      <w:rFonts w:hint="default" w:ascii="Calibri" w:hAnsi="Calibri" w:cs="Calibri"/>
      <w:color w:val="000000"/>
      <w:sz w:val="22"/>
      <w:szCs w:val="22"/>
      <w:u w:val="none"/>
    </w:rPr>
  </w:style>
  <w:style w:type="character" w:customStyle="1" w:styleId="83">
    <w:name w:val="font51"/>
    <w:basedOn w:val="2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93</Pages>
  <Words>25517</Words>
  <Characters>27248</Characters>
  <Lines>123</Lines>
  <Paragraphs>34</Paragraphs>
  <TotalTime>2</TotalTime>
  <ScaleCrop>false</ScaleCrop>
  <LinksUpToDate>false</LinksUpToDate>
  <CharactersWithSpaces>27568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2024-12-18T05:25:51Z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3F3AEF60031F459BB45F1EB8C7A16E06</vt:lpwstr>
  </property>
</Properties>
</file>