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26D858">
      <w:pPr>
        <w:pStyle w:val="5"/>
        <w:spacing w:before="0" w:after="0"/>
        <w:jc w:val="center"/>
        <w:rPr>
          <w:rFonts w:hint="eastAsia"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第四章  采购需求</w:t>
      </w:r>
    </w:p>
    <w:p w14:paraId="23049889">
      <w:pPr>
        <w:widowControl/>
        <w:adjustRightInd w:val="0"/>
        <w:spacing w:line="360" w:lineRule="auto"/>
        <w:rPr>
          <w:rFonts w:ascii="宋体" w:hAnsi="宋体"/>
          <w:b/>
          <w:kern w:val="0"/>
          <w:sz w:val="21"/>
          <w:szCs w:val="21"/>
        </w:rPr>
      </w:pPr>
      <w:bookmarkStart w:id="0" w:name="_Toc374512420"/>
      <w:bookmarkStart w:id="1" w:name="_Toc373230032"/>
      <w:bookmarkStart w:id="2" w:name="_Toc4426"/>
      <w:r>
        <w:rPr>
          <w:rFonts w:hint="eastAsia" w:ascii="宋体" w:hAnsi="宋体" w:cs="宋体"/>
          <w:b/>
          <w:sz w:val="21"/>
          <w:szCs w:val="21"/>
        </w:rPr>
        <w:t>一、</w:t>
      </w:r>
      <w:r>
        <w:rPr>
          <w:rFonts w:ascii="宋体" w:hAnsi="宋体"/>
          <w:b/>
          <w:kern w:val="0"/>
          <w:sz w:val="21"/>
          <w:szCs w:val="21"/>
        </w:rPr>
        <w:t>相关说明</w:t>
      </w:r>
    </w:p>
    <w:p w14:paraId="366FD7B5">
      <w:pPr>
        <w:widowControl/>
        <w:numPr>
          <w:ilvl w:val="2"/>
          <w:numId w:val="1"/>
        </w:numPr>
        <w:adjustRightInd w:val="0"/>
        <w:spacing w:line="360" w:lineRule="auto"/>
        <w:ind w:firstLine="420" w:firstLineChars="200"/>
        <w:jc w:val="left"/>
        <w:rPr>
          <w:rFonts w:hint="eastAsia" w:ascii="宋体" w:hAnsi="宋体"/>
          <w:kern w:val="0"/>
          <w:sz w:val="21"/>
          <w:szCs w:val="21"/>
        </w:rPr>
      </w:pPr>
      <w:r>
        <w:rPr>
          <w:rFonts w:hint="eastAsia" w:ascii="宋体" w:hAnsi="宋体"/>
          <w:kern w:val="0"/>
          <w:sz w:val="21"/>
          <w:szCs w:val="21"/>
        </w:rPr>
        <w:t>本次采购内容如果要求的某些技术标准低于国家标准，均以最新的国家标准为准。</w:t>
      </w:r>
      <w:r>
        <w:rPr>
          <w:rFonts w:hint="eastAsia" w:ascii="宋体" w:hAnsi="宋体"/>
          <w:kern w:val="0"/>
          <w:sz w:val="21"/>
          <w:szCs w:val="21"/>
          <w:lang w:eastAsia="zh-CN"/>
        </w:rPr>
        <w:t>采购</w:t>
      </w:r>
      <w:r>
        <w:rPr>
          <w:rFonts w:hint="eastAsia" w:ascii="宋体" w:hAnsi="宋体"/>
          <w:kern w:val="0"/>
          <w:sz w:val="21"/>
          <w:szCs w:val="21"/>
        </w:rPr>
        <w:t>技术要求中未明确的技术标准也均不得低于国家标准；</w:t>
      </w:r>
    </w:p>
    <w:p w14:paraId="7905F31D">
      <w:pPr>
        <w:widowControl/>
        <w:numPr>
          <w:ilvl w:val="2"/>
          <w:numId w:val="1"/>
        </w:numPr>
        <w:adjustRightInd w:val="0"/>
        <w:spacing w:line="360" w:lineRule="auto"/>
        <w:ind w:firstLine="420" w:firstLineChars="200"/>
        <w:jc w:val="left"/>
        <w:rPr>
          <w:rFonts w:hint="eastAsia" w:ascii="宋体" w:hAnsi="宋体"/>
          <w:kern w:val="0"/>
          <w:sz w:val="21"/>
          <w:szCs w:val="21"/>
        </w:rPr>
      </w:pPr>
      <w:r>
        <w:rPr>
          <w:rFonts w:ascii="宋体" w:hAnsi="宋体"/>
          <w:kern w:val="0"/>
          <w:sz w:val="21"/>
          <w:szCs w:val="21"/>
        </w:rPr>
        <w:t>本采购项目为交钥匙项目，</w:t>
      </w:r>
      <w:r>
        <w:rPr>
          <w:rFonts w:hint="eastAsia" w:ascii="宋体" w:hAnsi="宋体"/>
          <w:kern w:val="0"/>
          <w:sz w:val="21"/>
          <w:szCs w:val="21"/>
        </w:rPr>
        <w:t>验收合格前</w:t>
      </w:r>
      <w:r>
        <w:rPr>
          <w:rFonts w:ascii="宋体" w:hAnsi="宋体"/>
          <w:kern w:val="0"/>
          <w:sz w:val="21"/>
          <w:szCs w:val="21"/>
        </w:rPr>
        <w:t>所需的一切费用</w:t>
      </w:r>
      <w:r>
        <w:rPr>
          <w:rFonts w:hint="eastAsia" w:ascii="宋体" w:hAnsi="宋体"/>
          <w:kern w:val="0"/>
          <w:sz w:val="21"/>
          <w:szCs w:val="21"/>
        </w:rPr>
        <w:t>均</w:t>
      </w:r>
      <w:r>
        <w:rPr>
          <w:rFonts w:ascii="宋体" w:hAnsi="宋体"/>
          <w:kern w:val="0"/>
          <w:sz w:val="21"/>
          <w:szCs w:val="21"/>
        </w:rPr>
        <w:t>包含在报价之中，采购人不</w:t>
      </w:r>
      <w:r>
        <w:rPr>
          <w:rFonts w:hint="eastAsia" w:ascii="宋体" w:hAnsi="宋体"/>
          <w:kern w:val="0"/>
          <w:sz w:val="21"/>
          <w:szCs w:val="21"/>
        </w:rPr>
        <w:t>承担成交价格以外的</w:t>
      </w:r>
      <w:r>
        <w:rPr>
          <w:rFonts w:ascii="宋体" w:hAnsi="宋体"/>
          <w:kern w:val="0"/>
          <w:sz w:val="21"/>
          <w:szCs w:val="21"/>
        </w:rPr>
        <w:t>任何费用。</w:t>
      </w:r>
    </w:p>
    <w:p w14:paraId="555B2885">
      <w:pPr>
        <w:spacing w:line="360" w:lineRule="auto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二、</w:t>
      </w:r>
      <w:r>
        <w:rPr>
          <w:rFonts w:hint="eastAsia" w:ascii="宋体" w:hAnsi="宋体" w:cs="宋体"/>
          <w:b/>
          <w:sz w:val="21"/>
          <w:szCs w:val="21"/>
        </w:rPr>
        <w:t>商务要求</w:t>
      </w:r>
    </w:p>
    <w:p w14:paraId="10381272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="宋体" w:hAnsi="宋体"/>
          <w:color w:val="auto"/>
          <w:sz w:val="21"/>
          <w:szCs w:val="21"/>
        </w:rPr>
        <w:t>合同履行期限：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color w:val="auto"/>
          <w:sz w:val="21"/>
          <w:szCs w:val="21"/>
        </w:rPr>
        <w:t>年</w:t>
      </w:r>
    </w:p>
    <w:p w14:paraId="75B2E18D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default" w:ascii="宋体" w:hAnsi="宋体" w:eastAsia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highlight w:val="none"/>
          <w:lang w:val="en-US" w:eastAsia="zh-CN" w:bidi="ar-SA"/>
        </w:rPr>
        <w:t>2.</w:t>
      </w:r>
      <w:r>
        <w:rPr>
          <w:rFonts w:hint="eastAsia" w:ascii="宋体" w:hAnsi="宋体"/>
          <w:color w:val="auto"/>
          <w:sz w:val="21"/>
          <w:szCs w:val="21"/>
          <w:highlight w:val="none"/>
        </w:rPr>
        <w:t>供货</w:t>
      </w:r>
      <w:r>
        <w:rPr>
          <w:rFonts w:hint="eastAsia" w:ascii="宋体" w:hAnsi="宋体"/>
          <w:color w:val="auto"/>
          <w:sz w:val="21"/>
          <w:szCs w:val="21"/>
          <w:highlight w:val="none"/>
          <w:lang w:eastAsia="zh-CN"/>
        </w:rPr>
        <w:t>（服务）</w:t>
      </w:r>
      <w:r>
        <w:rPr>
          <w:rFonts w:hint="eastAsia" w:ascii="宋体" w:hAnsi="宋体"/>
          <w:color w:val="auto"/>
          <w:sz w:val="21"/>
          <w:szCs w:val="21"/>
          <w:highlight w:val="none"/>
        </w:rPr>
        <w:t>地点：</w:t>
      </w:r>
      <w:r>
        <w:rPr>
          <w:rFonts w:hint="eastAsia" w:ascii="宋体" w:hAnsi="宋体"/>
          <w:color w:val="auto"/>
          <w:sz w:val="21"/>
          <w:szCs w:val="21"/>
          <w:highlight w:val="none"/>
          <w:lang w:val="en-US" w:eastAsia="zh-CN"/>
        </w:rPr>
        <w:t>成交供应商文物保护修复室</w:t>
      </w:r>
    </w:p>
    <w:p w14:paraId="09031F55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</w:rPr>
      </w:pP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3.</w:t>
      </w:r>
      <w:r>
        <w:rPr>
          <w:rFonts w:hint="eastAsia" w:ascii="宋体" w:hAnsi="宋体"/>
          <w:color w:val="auto"/>
          <w:sz w:val="21"/>
          <w:szCs w:val="21"/>
        </w:rPr>
        <w:t>质量标准：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符合国家质量标准及相关行业标准</w:t>
      </w:r>
    </w:p>
    <w:p w14:paraId="2C10D597">
      <w:pPr>
        <w:numPr>
          <w:ilvl w:val="2"/>
          <w:numId w:val="0"/>
        </w:numPr>
        <w:spacing w:line="360" w:lineRule="auto"/>
        <w:ind w:left="0" w:leftChars="0" w:firstLine="420" w:firstLineChars="200"/>
        <w:rPr>
          <w:rFonts w:hint="eastAsia" w:ascii="宋体" w:hAnsi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default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ascii="宋体" w:hAnsi="宋体"/>
          <w:color w:val="auto"/>
          <w:sz w:val="21"/>
          <w:szCs w:val="21"/>
        </w:rPr>
        <w:t>付款方式：</w:t>
      </w:r>
      <w:r>
        <w:rPr>
          <w:rFonts w:hint="eastAsia" w:ascii="宋体" w:hAnsi="宋体"/>
          <w:color w:val="auto"/>
          <w:sz w:val="21"/>
          <w:szCs w:val="21"/>
          <w:lang w:val="en-US" w:eastAsia="zh-CN"/>
        </w:rPr>
        <w:t>合同签订后10个工作日内，甲方向乙方支付合同金额的60% 作为首付款，待完成本项目所有工作内容，甲方向乙方支付剩余40%的合同款。</w:t>
      </w:r>
    </w:p>
    <w:p w14:paraId="3CC8AF5E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/>
          <w:b/>
          <w:bCs/>
          <w:kern w:val="0"/>
          <w:sz w:val="21"/>
          <w:szCs w:val="21"/>
          <w:lang w:eastAsia="zh-CN" w:bidi="ar"/>
        </w:rPr>
        <w:t>三、</w:t>
      </w:r>
      <w:r>
        <w:rPr>
          <w:rFonts w:hint="eastAsia" w:ascii="宋体" w:hAnsi="宋体" w:cs="宋体"/>
          <w:b/>
          <w:sz w:val="21"/>
          <w:szCs w:val="21"/>
        </w:rPr>
        <w:t>采购内容及技术要求</w:t>
      </w:r>
    </w:p>
    <w:bookmarkEnd w:id="0"/>
    <w:bookmarkEnd w:id="1"/>
    <w:bookmarkEnd w:id="2"/>
    <w:p w14:paraId="50B9C49D">
      <w:pPr>
        <w:pStyle w:val="2"/>
        <w:spacing w:line="360" w:lineRule="auto"/>
        <w:ind w:firstLine="632" w:firstLineChars="300"/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  <w:t>1、主要目标：</w:t>
      </w:r>
      <w:r>
        <w:rPr>
          <w:rFonts w:hint="eastAsia" w:ascii="宋体" w:hAnsi="宋体" w:eastAsia="宋体" w:cs="宋体"/>
          <w:color w:val="auto"/>
          <w:kern w:val="2"/>
          <w:sz w:val="21"/>
          <w:szCs w:val="21"/>
          <w:lang w:val="en-US" w:eastAsia="zh-CN" w:bidi="ar-SA"/>
        </w:rPr>
        <w:t>计划1年内完成武陟县文物保护中心馆藏33套（83件）的保护修复工作。在严格遵循“最小干预”、“不改变文物原貌”的原则下，依据有关规定和行业技术标准，采用传统和现代科技方法，完成上述33套（83件）书画文物的修复保护。要求文物保护修复所用的材料应具有可逆性，保持文物原貌，最大限度保存历史信息。经保护修复后，文物本体稳定性和物理强度得到提高，不影响其平整度和光泽度，色差在可接受范围内。保护处理后的文物能安全保存和展陈；经脱酸处理后的纸质文物pH值达到7.0以上并能保持时效性。完成纸质文物保护修复档案及保护修复报告编写。通过保护修复恢复器物原貌，认知纸质文物的科技价值，展现其历史与艺术价值，有利文化遗产保护及传承与展示。</w:t>
      </w:r>
    </w:p>
    <w:p w14:paraId="5915C6AB">
      <w:pPr>
        <w:spacing w:line="360" w:lineRule="auto"/>
        <w:ind w:firstLine="632" w:firstLineChars="300"/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 w:bidi="ar-SA"/>
        </w:rPr>
        <w:t>33套（83件）书画文物清单</w:t>
      </w:r>
    </w:p>
    <w:tbl>
      <w:tblPr>
        <w:tblStyle w:val="8"/>
        <w:tblW w:w="10884" w:type="dxa"/>
        <w:tblInd w:w="-8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840"/>
        <w:gridCol w:w="1248"/>
        <w:gridCol w:w="660"/>
        <w:gridCol w:w="744"/>
        <w:gridCol w:w="672"/>
        <w:gridCol w:w="1488"/>
        <w:gridCol w:w="1848"/>
        <w:gridCol w:w="1092"/>
        <w:gridCol w:w="1764"/>
      </w:tblGrid>
      <w:tr w14:paraId="0D0C1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3BD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E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藏品号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CCF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藏品名称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65C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年代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EC9E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级别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C6D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903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藏品尺寸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216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完残程度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225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00D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图片</w:t>
            </w:r>
          </w:p>
        </w:tc>
      </w:tr>
      <w:tr w14:paraId="0075BC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67B5A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66D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00387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288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加封翰林院庶吉士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A8D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F20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94E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丝织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F54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横199.5 纵30.5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E477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941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47A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45"/>
              </w:rPr>
              <w:drawing>
                <wp:inline distT="0" distB="0" distL="114300" distR="114300">
                  <wp:extent cx="973455" cy="685800"/>
                  <wp:effectExtent l="0" t="0" r="1905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B15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72A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0FC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39D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刘慕松琴棋书画四扇屏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FE1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70B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EC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C3D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横27.8 纵66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60FE3D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有折痕；天、地残缺严重。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193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0F5D9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86"/>
              </w:rPr>
              <w:drawing>
                <wp:inline distT="0" distB="0" distL="114300" distR="114300">
                  <wp:extent cx="1056005" cy="600710"/>
                  <wp:effectExtent l="0" t="0" r="10795" b="889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60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1024255" cy="549910"/>
                  <wp:effectExtent l="0" t="0" r="12065" b="13970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973455" cy="601980"/>
                  <wp:effectExtent l="0" t="0" r="1905" b="7620"/>
                  <wp:docPr id="2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6"/>
              </w:rPr>
              <w:drawing>
                <wp:inline distT="0" distB="0" distL="114300" distR="114300">
                  <wp:extent cx="942975" cy="564515"/>
                  <wp:effectExtent l="0" t="0" r="1905" b="14605"/>
                  <wp:docPr id="18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4D4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C10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1B6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93B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刘慕松仕女图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9B9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9CB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85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94A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横30.1 纵60.5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7F9B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折裂、老化、焦脆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D38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D891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position w:val="-46"/>
              </w:rPr>
              <w:drawing>
                <wp:inline distT="0" distB="0" distL="114300" distR="114300">
                  <wp:extent cx="1128395" cy="485140"/>
                  <wp:effectExtent l="0" t="0" r="14605" b="2540"/>
                  <wp:docPr id="1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1A4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9D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469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496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毛树棠楷书对联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191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A8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348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08B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横39  纵17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1C8E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有折痕、折裂。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69A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3334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04900" cy="454660"/>
                  <wp:effectExtent l="0" t="0" r="7620" b="2540"/>
                  <wp:docPr id="2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4"/>
              </w:rPr>
              <w:drawing>
                <wp:inline distT="0" distB="0" distL="114300" distR="114300">
                  <wp:extent cx="1104900" cy="481330"/>
                  <wp:effectExtent l="0" t="0" r="7620" b="6350"/>
                  <wp:docPr id="16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7A07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7A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D33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00398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6A9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小意圆花鸟图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86F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5B6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E56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CF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横36.7  纵125.4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8A143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E3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F2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059815" cy="977265"/>
                  <wp:effectExtent l="0" t="0" r="6985" b="13335"/>
                  <wp:docPr id="1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23"/>
              </w:rPr>
              <w:drawing>
                <wp:inline distT="0" distB="0" distL="114300" distR="114300">
                  <wp:extent cx="880745" cy="1437005"/>
                  <wp:effectExtent l="0" t="0" r="3175" b="10795"/>
                  <wp:docPr id="2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E4D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40F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04A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00400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3073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毛树棠草书八扇屏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B40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78F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A3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1C4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横33.1  纵101.7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AD19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折痕严重，缺片。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4EF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A30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2165985"/>
                  <wp:effectExtent l="0" t="0" r="11430" b="13335"/>
                  <wp:docPr id="2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7445" cy="2280285"/>
                  <wp:effectExtent l="0" t="0" r="10795" b="5715"/>
                  <wp:docPr id="2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DB9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F90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822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B657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方朔隶字横批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553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51D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C6B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2AF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横99 纵62.9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E380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有折痕，折裂。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157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9D9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779780"/>
                  <wp:effectExtent l="0" t="0" r="12065" b="1270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6894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9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FEE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C0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富贵白头图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9A3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92B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FEA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A91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横44.4 纵128.1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E4797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512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B5C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461645"/>
                  <wp:effectExtent l="0" t="0" r="11430" b="10795"/>
                  <wp:docPr id="2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0C6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FA5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5A0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00414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03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杜严魏碑对联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0C5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821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D41A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C31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横32.5 纵129.5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3C60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FF3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B1D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1727200"/>
                  <wp:effectExtent l="0" t="0" r="10160" b="10160"/>
                  <wp:docPr id="24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A97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35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413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00421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0CE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毛树棠行书对联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66B4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F2A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0E53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A11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横32 纵145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EEAE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8A4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5DD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1704975"/>
                  <wp:effectExtent l="0" t="0" r="12700" b="1905"/>
                  <wp:docPr id="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DB1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6EAA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EA4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00422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A8D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张桐楷书12条屏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F4E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B71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BF0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31FD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横28.2 纵129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7C11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0F8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275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1933575"/>
                  <wp:effectExtent l="0" t="0" r="11430" b="1905"/>
                  <wp:docPr id="2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8080" cy="2018665"/>
                  <wp:effectExtent l="0" t="0" r="10160" b="8255"/>
                  <wp:docPr id="1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46810" cy="2116455"/>
                  <wp:effectExtent l="0" t="0" r="11430" b="1905"/>
                  <wp:docPr id="1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223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3C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611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01140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502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清毛昶熙手迹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C48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593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C48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A3C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横8.1 纵17.2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A0BA9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26B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55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1080770"/>
                  <wp:effectExtent l="0" t="0" r="11430" b="1270"/>
                  <wp:docPr id="1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ADF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74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54B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01142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44C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清午桥浩隶书横幅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FFB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C1E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90D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96A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横156 纵92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FEEED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折裂，缺片，有霉点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4C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4EA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63905"/>
                  <wp:effectExtent l="0" t="0" r="10795" b="13335"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52F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1E6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EAE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01099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9C88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清毛树棠行草条屏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81F3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92C9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D12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19E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横25 纵115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6CD8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折痕、折裂、虫蛀、污迹、锈迹、霉迹、破口、断裂、上轴掉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CEA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38E9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2135505"/>
                  <wp:effectExtent l="0" t="0" r="11430" b="13335"/>
                  <wp:docPr id="3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213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11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3B50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9E4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01067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6A1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清何韶基行楷对联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B374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CB2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EC4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73D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横29 纵132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4FFB32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折痕、墨迹、破洞、污迹、擦毛、焦脆、泛黄、折裂严重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76BD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CF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1590040"/>
                  <wp:effectExtent l="0" t="0" r="10795" b="10160"/>
                  <wp:docPr id="4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F62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7FE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C93B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01082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AE6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民国王文田篆书对联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C0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815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51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E958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横36.4 纵139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7C0F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折痕、折裂、破洞、焦黄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39B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998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763905"/>
                  <wp:effectExtent l="0" t="0" r="10160" b="13335"/>
                  <wp:docPr id="4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686B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D3CD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4EBC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01096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D77C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元赵子昂行书对联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96A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092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5DE9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790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横25 纵115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DCC2B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折痕、折裂、缺口、霉迹、污迹、泛黄、焦脆、破口、虫蛀、变色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3D60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784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774700"/>
                  <wp:effectExtent l="0" t="0" r="12700" b="2540"/>
                  <wp:docPr id="3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FDC1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9E6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5B3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2024-0415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8567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清毛昶熙之祖父母诰命圣旨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1DFF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225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未定级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0EB2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丝织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202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454*31.5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092FA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有虫洞缺失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7B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0E2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5540" cy="188595"/>
                  <wp:effectExtent l="0" t="0" r="12700" b="9525"/>
                  <wp:docPr id="3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40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A97B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5BC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BA1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979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民国行书条幅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747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民国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EDD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02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1A3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145*38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230B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7BED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8317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2096770"/>
                  <wp:effectExtent l="0" t="0" r="10795" b="6350"/>
                  <wp:docPr id="4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150A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EFB1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C7B2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E99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清周天霖楷书祝寿屏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9B3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A3C3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413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10C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41.5*176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69180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C7D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tbl>
            <w:tblPr>
              <w:tblStyle w:val="10"/>
              <w:tblW w:w="10886" w:type="dxa"/>
              <w:jc w:val="center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166"/>
            </w:tblGrid>
            <w:tr w14:paraId="0C918FD4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763" w:hRule="atLeast"/>
                <w:jc w:val="center"/>
              </w:trPr>
              <w:tc>
                <w:tcPr>
                  <w:tcW w:w="2166" w:type="dxa"/>
                  <w:noWrap w:val="0"/>
                  <w:vAlign w:val="center"/>
                </w:tcPr>
                <w:p w14:paraId="2DD50883">
                  <w:pPr>
                    <w:jc w:val="center"/>
                    <w:rPr>
                      <w:rFonts w:ascii="仿宋" w:hAnsi="仿宋" w:eastAsia="仿宋" w:cs="仿宋"/>
                      <w:sz w:val="24"/>
                    </w:rPr>
                  </w:pPr>
                  <w:r>
                    <w:drawing>
                      <wp:inline distT="0" distB="0" distL="114300" distR="114300">
                        <wp:extent cx="1147445" cy="1802130"/>
                        <wp:effectExtent l="0" t="0" r="10795" b="11430"/>
                        <wp:docPr id="34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1802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7445" cy="2072640"/>
                        <wp:effectExtent l="0" t="0" r="10795" b="0"/>
                        <wp:docPr id="37" name="图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207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7445" cy="2220595"/>
                        <wp:effectExtent l="0" t="0" r="10795" b="4445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445" cy="2220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drawing>
                      <wp:inline distT="0" distB="0" distL="114300" distR="114300">
                        <wp:extent cx="1146175" cy="901065"/>
                        <wp:effectExtent l="0" t="0" r="12065" b="13335"/>
                        <wp:docPr id="35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图片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175" cy="901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065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 w14:paraId="6F52DB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9A2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C10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5ED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明末清初地府图水陆轴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C45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AFA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2A3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B14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E0BE77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683F6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FF9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95960"/>
                  <wp:effectExtent l="0" t="0" r="10160" b="5080"/>
                  <wp:docPr id="31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96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A164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451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00519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D14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明末清初天降图水陆轴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3EA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245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E3B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952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176*72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B59BE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538D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EE4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62635"/>
                  <wp:effectExtent l="0" t="0" r="10795" b="14605"/>
                  <wp:docPr id="38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AAE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291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162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00520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DDE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明末清初上界、下界、地府三界图水陆轴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DF4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7B8E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116F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A7F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179*73.5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D2FBC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816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61A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645795"/>
                  <wp:effectExtent l="0" t="0" r="12065" b="9525"/>
                  <wp:docPr id="39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38A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545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B6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00521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55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明末清初朝辕图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5C9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B9E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70C8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B0E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173*73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5C898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折裂，缺片，有霉点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99DB1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50AE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582295"/>
                  <wp:effectExtent l="0" t="0" r="11430" b="12065"/>
                  <wp:docPr id="40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093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63F4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60C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00522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389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明末清初诸神图水陆轴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C5DA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456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21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0D6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171*72.5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D95B2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折痕、折裂、虫蛀、污迹、锈迹、霉迹、破口、断裂、上轴掉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DD4B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AC22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10235"/>
                  <wp:effectExtent l="0" t="0" r="10160" b="14605"/>
                  <wp:docPr id="41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085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1A7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9AB4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00523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88B4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明末清初道教众仙图水陆轴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BA2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896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5E0D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EFE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A104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折痕、墨迹、破洞、污迹、擦毛、焦脆、泛黄、折裂严重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DE7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136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632460"/>
                  <wp:effectExtent l="0" t="0" r="12065" b="7620"/>
                  <wp:docPr id="4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97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F75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7ED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00524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588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明末清初地府审贪图水陆轴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D40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9401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9D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D6E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170*71.5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D9AC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折痕、折裂、破洞、焦黄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D34D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64F8F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755015"/>
                  <wp:effectExtent l="0" t="0" r="11430" b="6985"/>
                  <wp:docPr id="4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AA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ED2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79E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CA1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明末清初人物故事水陆轴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34A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20C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95E1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562A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164*71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F22A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折痕、折裂、缺口、霉迹、污迹、泛黄、焦脆、破口、虫蛀、变色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B6E2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3F9D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754380"/>
                  <wp:effectExtent l="0" t="0" r="10795" b="7620"/>
                  <wp:docPr id="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21E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9C5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F7E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00526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CA53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明末清初众仙图水陆轴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0037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DB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171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F50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155*73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4469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有折痕，霉斑现象严重。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8A44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3DE6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175" cy="768985"/>
                  <wp:effectExtent l="0" t="0" r="12065" b="8255"/>
                  <wp:docPr id="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12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73F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DC2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2E7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清代北斗星君图轴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370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3E2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6B8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F2B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172*86.5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5B8D5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残缺现象严重，有折痕，小孔。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B690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06D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8080" cy="647065"/>
                  <wp:effectExtent l="0" t="0" r="10160" b="8255"/>
                  <wp:docPr id="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90E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03B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F15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00528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1F3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明末清初彩绘释迦牟尼轴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CE5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609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2146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E32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223*91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477C5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折裂，折痕，缺片。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A16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3D3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6810" cy="767715"/>
                  <wp:effectExtent l="0" t="0" r="11430" b="9525"/>
                  <wp:docPr id="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57C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9FFE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7B7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02127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E1F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清三清道祖水陆轴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440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9AE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307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BBC1B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72*172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430A9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轴掉，折裂，折痕。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3FE8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236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547370"/>
                  <wp:effectExtent l="0" t="0" r="10795" b="1270"/>
                  <wp:docPr id="10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D554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</w:trPr>
        <w:tc>
          <w:tcPr>
            <w:tcW w:w="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9283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D70A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02128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7DC2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清竹禅篆书条幅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B83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清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AC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三级</w:t>
            </w:r>
          </w:p>
        </w:tc>
        <w:tc>
          <w:tcPr>
            <w:tcW w:w="6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FA9B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纸质</w:t>
            </w:r>
          </w:p>
        </w:tc>
        <w:tc>
          <w:tcPr>
            <w:tcW w:w="1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6F6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45*158</w:t>
            </w:r>
          </w:p>
        </w:tc>
        <w:tc>
          <w:tcPr>
            <w:tcW w:w="18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8F8D8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折裂，折痕现象严重，有霉点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49A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1件</w:t>
            </w:r>
          </w:p>
        </w:tc>
        <w:tc>
          <w:tcPr>
            <w:tcW w:w="17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C31C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147445" cy="515620"/>
                  <wp:effectExtent l="0" t="0" r="10795" b="2540"/>
                  <wp:docPr id="11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7F2F7">
      <w:pPr>
        <w:pStyle w:val="6"/>
        <w:numPr>
          <w:ilvl w:val="0"/>
          <w:numId w:val="1"/>
        </w:numPr>
        <w:ind w:left="840" w:leftChars="0" w:hanging="420" w:firstLineChars="0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技术要求</w:t>
      </w:r>
    </w:p>
    <w:p w14:paraId="124BE651"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为保护文物的安全，供应商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工作场所和技术设备应满足《可移动文物保护修复室规范化建设与仪器装备基本要求》（GB/T30238-2013）规定的区域技术中心以上的标准条件和功能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文物保管场所安全条件符合《文物系统博物馆风险等级和安全防护级别的规定（GA27—2002）》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</w:t>
      </w:r>
    </w:p>
    <w:p w14:paraId="16E91383"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文物在移交采购人前，供应商负责相应文物在保护修复期间的保管、运输和安全责任，相应费用包含在成交价中。非经采购人书面认可、同意，成交供应商不得更换项目负责人。 </w:t>
      </w:r>
    </w:p>
    <w:p w14:paraId="242A2CF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（1）基本原则</w:t>
      </w:r>
    </w:p>
    <w:p w14:paraId="73A93DC7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①不改变文物原状的原则，同时在实施保护修复中不允许对文物造成新的破坏。</w:t>
      </w:r>
    </w:p>
    <w:p w14:paraId="6705159D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②最小干预原则。</w:t>
      </w:r>
    </w:p>
    <w:p w14:paraId="746A8085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③使用的材料必须符合可再处理的原则。</w:t>
      </w:r>
    </w:p>
    <w:p w14:paraId="4400704F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④可识别与整体协调相结合的原则。</w:t>
      </w:r>
    </w:p>
    <w:p w14:paraId="4620FA2F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⑤保护修复工作过程中，要严格执行保证文物真实性的原则。</w:t>
      </w:r>
    </w:p>
    <w:p w14:paraId="627CC8A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（2）工作目标</w:t>
      </w:r>
    </w:p>
    <w:p w14:paraId="7D55DEE7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以相同原料的传统手工纸为参考目标，经过保护修复的纸质文物将达到以下技术指标：</w:t>
      </w:r>
    </w:p>
    <w:p w14:paraId="0AC85694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①色差：△E≤0.5；</w:t>
      </w:r>
    </w:p>
    <w:p w14:paraId="488103CD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②手感无明显变化，柔软性明显增强；</w:t>
      </w:r>
    </w:p>
    <w:p w14:paraId="366D87B6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③防虫抗霉变；</w:t>
      </w:r>
    </w:p>
    <w:p w14:paraId="5B179CE1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④满足展陈和研究的需要；</w:t>
      </w:r>
    </w:p>
    <w:p w14:paraId="610AB12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⑤依据修复原则对残损的纸质文物进行保护修复，使用传统工艺技术和材料，所有新材料和新工艺都必须经过前期试验和研究，以对文物最无害的工艺技术用于保护修复。经保护修复后，文物本体稳定性和物理强度得到提高，不影响其平整度和光泽度。</w:t>
      </w:r>
    </w:p>
    <w:p w14:paraId="24C62CE9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操作流程</w:t>
      </w:r>
    </w:p>
    <w:p w14:paraId="1833B608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34740" cy="5948680"/>
            <wp:effectExtent l="0" t="0" r="7620" b="10160"/>
            <wp:docPr id="6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0CBB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 w14:paraId="0CB13C3F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3.1. 消毒</w:t>
      </w:r>
    </w:p>
    <w:p w14:paraId="1D8AFF9A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保护修复的33 套（83 件）纸质文物中发现有少量的微生物损害，为防止霉菌交叉感染其它文物，这批全部33 套（83 件） 纸质文物均需进行相应的消毒灭菌处理。</w:t>
      </w:r>
    </w:p>
    <w:p w14:paraId="6E04ABA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3" w:name="bookmark13"/>
      <w:bookmarkEnd w:id="3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3.2. 脱酸</w:t>
      </w:r>
    </w:p>
    <w:p w14:paraId="5B7522D9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经现场检查，判定部分文物有不同程度的酸化现象。每件文物在实际保护修复前也需进行表面无损酸度测试，酸化较重的文物（pH  值≤5.0）需进行脱酸处理。</w:t>
      </w:r>
    </w:p>
    <w:p w14:paraId="179B3529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4" w:name="bookmark14"/>
      <w:bookmarkEnd w:id="4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3.3. 清洗</w:t>
      </w:r>
    </w:p>
    <w:p w14:paraId="7FDDC226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根据病害调查，保护修复的33 套（83 件）文物中部分存在不同程度的水渍、 污渍和少量微生物等病害，所以在进行装裱处理前一定要采取传统与科学的清洗方法予以去除。</w:t>
      </w:r>
    </w:p>
    <w:p w14:paraId="725B862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（1）水渍</w:t>
      </w:r>
    </w:p>
    <w:p w14:paraId="0F029B16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水渍是纸质文物最常见的病害之一，在揭裱修复过程中比较容易去除。</w:t>
      </w:r>
    </w:p>
    <w:p w14:paraId="141767A8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（2）污点和微生物损害等</w:t>
      </w:r>
    </w:p>
    <w:p w14:paraId="4CB5DC83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处理方法是用棉签蘸取酒精涂擦，避免使用化学药品，再用蒸馏水或纯净水冲洗干净。</w:t>
      </w:r>
    </w:p>
    <w:p w14:paraId="7292612D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bookmarkStart w:id="5" w:name="bookmark15"/>
      <w:bookmarkEnd w:id="5"/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3.4. 装裱</w:t>
      </w:r>
    </w:p>
    <w:p w14:paraId="10E7CB6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(1) 揭裱</w:t>
      </w:r>
    </w:p>
    <w:p w14:paraId="37DB06B3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(2) 修补</w:t>
      </w:r>
    </w:p>
    <w:p w14:paraId="1C2B461D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(3) 上托纸</w:t>
      </w:r>
    </w:p>
    <w:p w14:paraId="32DE4AE2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(4)  全色</w:t>
      </w:r>
    </w:p>
    <w:p w14:paraId="598AF386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(5) 装裱</w:t>
      </w:r>
    </w:p>
    <w:p w14:paraId="1CECD84C"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(6)  资料记录工作</w:t>
      </w:r>
    </w:p>
    <w:p w14:paraId="73B361D3">
      <w:pPr>
        <w:spacing w:line="360" w:lineRule="auto"/>
        <w:ind w:firstLine="480" w:firstLineChars="200"/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按照科学、规范化要求，对该批保护修复的纸质文物建立科学档案，对现状、病害、工艺和保护修复后的效果进行比对、观察、记录、照相、建立文字和图片档案，要详尽、科学地描述，为今后的保护、研究工作提供完整数据。</w:t>
      </w:r>
      <w:bookmarkStart w:id="6" w:name="_GoBack"/>
      <w:bookmarkEnd w:id="6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1660B8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151A9FB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aYJL0wAAAAUBAAAPAAAAAAAAAAEAIAAAACIAAABk&#10;cnMvZG93bnJldi54bWxQSwECFAAUAAAACACHTuJAUD9+1dIBAAClAwAADgAAAAAAAAABACAAAAAi&#10;AQAAZHJzL2Uyb0RvYy54bWxQSwUGAAAAAAYABgBZAQAAZgUAAAAA&#10;">
              <v:path/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151A9FB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E36AFE"/>
    <w:multiLevelType w:val="singleLevel"/>
    <w:tmpl w:val="D1E36AFE"/>
    <w:lvl w:ilvl="0" w:tentative="0">
      <w:start w:val="3"/>
      <w:numFmt w:val="decimal"/>
      <w:suff w:val="nothing"/>
      <w:lvlText w:val="（%1）"/>
      <w:lvlJc w:val="left"/>
    </w:lvl>
  </w:abstractNum>
  <w:abstractNum w:abstractNumId="1">
    <w:nsid w:val="00000030"/>
    <w:multiLevelType w:val="multilevel"/>
    <w:tmpl w:val="00000030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decimal"/>
      <w:suff w:val="nothing"/>
      <w:lvlText w:val="%3.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B0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500" w:beforeLines="0" w:after="500" w:afterLines="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6">
    <w:name w:val="heading 3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2"/>
    </w:pPr>
    <w:rPr>
      <w:rFonts w:eastAsia="幼圆"/>
      <w:b/>
      <w:bCs/>
      <w:sz w:val="32"/>
      <w:szCs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iPriority w:val="0"/>
    <w:pPr>
      <w:numPr>
        <w:ilvl w:val="0"/>
        <w:numId w:val="0"/>
      </w:numPr>
      <w:spacing w:after="120" w:afterLines="0"/>
    </w:pPr>
  </w:style>
  <w:style w:type="paragraph" w:styleId="3">
    <w:name w:val="Body Text Indent"/>
    <w:basedOn w:val="1"/>
    <w:next w:val="4"/>
    <w:uiPriority w:val="0"/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customStyle="1" w:styleId="10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2025-12-05T06:33:23Z</dcterms:created>
  <dc:creator>Administrator</dc:creator>
  <cp:lastModifiedBy>Administrator</cp:lastModifiedBy>
  <dcterms:modified xsi:type="dcterms:W3CDTF">2025-12-05T06:34:16Z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eyJoZGlkIjoiZmMxNjhhMGQ5ZTk1MDI4NjNmM2FlZWRlM2YyNGRkNTQiLCJ1c2VySWQiOiI1Mzg4NjQ1ODQifQ==</vt:lpwstr>
  </property>
  <property fmtid="{D5CDD505-2E9C-101B-9397-08002B2CF9AE}" pid="4" name="ICV">
    <vt:lpwstr>5530CB4C138B4ECE8F980509FE663B35_12</vt:lpwstr>
  </property>
</Properties>
</file>