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5C87">
      <w:pPr>
        <w:jc w:val="center"/>
        <w:rPr>
          <w:rFonts w:hint="eastAsia" w:eastAsiaTheme="minorEastAsia"/>
          <w:b/>
          <w:bCs/>
          <w:sz w:val="36"/>
          <w:szCs w:val="36"/>
          <w:lang w:eastAsia="zh-CN"/>
        </w:rPr>
      </w:pPr>
      <w:r>
        <w:rPr>
          <w:rFonts w:hint="eastAsia" w:eastAsiaTheme="minorEastAsia"/>
          <w:b/>
          <w:bCs/>
          <w:sz w:val="36"/>
          <w:szCs w:val="36"/>
          <w:lang w:eastAsia="zh-CN"/>
        </w:rPr>
        <w:drawing>
          <wp:inline distT="0" distB="0" distL="114300" distR="114300">
            <wp:extent cx="5822950" cy="8340725"/>
            <wp:effectExtent l="0" t="0" r="6350" b="3175"/>
            <wp:docPr id="4" name="图片 4" descr="e671c23be4559c85acba215a8a051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671c23be4559c85acba215a8a0513a6"/>
                    <pic:cNvPicPr>
                      <a:picLocks noChangeAspect="1"/>
                    </pic:cNvPicPr>
                  </pic:nvPicPr>
                  <pic:blipFill>
                    <a:blip r:embed="rId7"/>
                    <a:stretch>
                      <a:fillRect/>
                    </a:stretch>
                  </pic:blipFill>
                  <pic:spPr>
                    <a:xfrm>
                      <a:off x="0" y="0"/>
                      <a:ext cx="5822950" cy="8340725"/>
                    </a:xfrm>
                    <a:prstGeom prst="rect">
                      <a:avLst/>
                    </a:prstGeom>
                  </pic:spPr>
                </pic:pic>
              </a:graphicData>
            </a:graphic>
          </wp:inline>
        </w:drawing>
      </w:r>
    </w:p>
    <w:p w14:paraId="712E058D">
      <w:pPr>
        <w:pStyle w:val="2"/>
        <w:rPr>
          <w:rFonts w:hint="eastAsia" w:eastAsiaTheme="minorEastAsia"/>
          <w:b/>
          <w:bCs/>
          <w:sz w:val="36"/>
          <w:szCs w:val="36"/>
          <w:lang w:eastAsia="zh-CN"/>
        </w:rPr>
      </w:pPr>
    </w:p>
    <w:p w14:paraId="36E9420E">
      <w:pPr>
        <w:pStyle w:val="5"/>
        <w:rPr>
          <w:rFonts w:hint="eastAsia" w:eastAsiaTheme="minorEastAsia"/>
          <w:b/>
          <w:bCs/>
          <w:sz w:val="36"/>
          <w:szCs w:val="36"/>
          <w:lang w:eastAsia="zh-CN"/>
        </w:rPr>
      </w:pPr>
    </w:p>
    <w:p w14:paraId="335B93D2">
      <w:pPr>
        <w:pStyle w:val="3"/>
        <w:rPr>
          <w:rFonts w:hint="eastAsia"/>
          <w:lang w:eastAsia="zh-CN"/>
        </w:rPr>
      </w:pPr>
    </w:p>
    <w:p w14:paraId="7E7EBD61">
      <w:pPr>
        <w:jc w:val="center"/>
        <w:rPr>
          <w:rFonts w:hint="eastAsia" w:eastAsiaTheme="minorEastAsia"/>
          <w:b/>
          <w:bCs/>
          <w:sz w:val="40"/>
          <w:szCs w:val="40"/>
          <w:lang w:val="en-US" w:eastAsia="zh-CN"/>
        </w:rPr>
      </w:pPr>
      <w:r>
        <w:rPr>
          <w:rFonts w:hint="eastAsia" w:eastAsiaTheme="minorEastAsia"/>
          <w:b/>
          <w:bCs/>
          <w:sz w:val="40"/>
          <w:szCs w:val="40"/>
          <w:lang w:eastAsia="zh-CN"/>
        </w:rPr>
        <w:t>三门峡市消防应急科普教育基地建设</w:t>
      </w:r>
      <w:r>
        <w:rPr>
          <w:rFonts w:hint="eastAsia" w:eastAsiaTheme="minorEastAsia"/>
          <w:b/>
          <w:bCs/>
          <w:sz w:val="40"/>
          <w:szCs w:val="40"/>
          <w:lang w:val="en-US" w:eastAsia="zh-CN"/>
        </w:rPr>
        <w:t>项目</w:t>
      </w:r>
    </w:p>
    <w:p w14:paraId="2775A069">
      <w:pPr>
        <w:jc w:val="center"/>
        <w:rPr>
          <w:rFonts w:hint="eastAsia" w:eastAsiaTheme="minorEastAsia"/>
          <w:b/>
          <w:bCs/>
          <w:sz w:val="36"/>
          <w:szCs w:val="36"/>
          <w:lang w:val="en-US" w:eastAsia="zh-CN"/>
        </w:rPr>
      </w:pPr>
    </w:p>
    <w:p w14:paraId="42A3B879">
      <w:pPr>
        <w:jc w:val="center"/>
        <w:rPr>
          <w:rFonts w:hint="eastAsia" w:eastAsiaTheme="minorEastAsia"/>
          <w:b/>
          <w:bCs/>
          <w:sz w:val="36"/>
          <w:szCs w:val="36"/>
          <w:lang w:val="en-US" w:eastAsia="zh-CN"/>
        </w:rPr>
      </w:pPr>
    </w:p>
    <w:p w14:paraId="7F6E1FA3">
      <w:pPr>
        <w:jc w:val="center"/>
        <w:rPr>
          <w:rFonts w:hint="eastAsia"/>
          <w:b/>
          <w:bCs/>
          <w:sz w:val="72"/>
          <w:szCs w:val="72"/>
          <w:lang w:val="en-US" w:eastAsia="zh-CN"/>
        </w:rPr>
      </w:pPr>
      <w:r>
        <w:rPr>
          <w:rFonts w:hint="eastAsia"/>
          <w:b/>
          <w:bCs/>
          <w:sz w:val="72"/>
          <w:szCs w:val="72"/>
          <w:lang w:val="en-US" w:eastAsia="zh-CN"/>
        </w:rPr>
        <w:t>招 标 文 件</w:t>
      </w:r>
    </w:p>
    <w:p w14:paraId="5637E09F">
      <w:pPr>
        <w:jc w:val="center"/>
        <w:rPr>
          <w:rFonts w:hint="eastAsia"/>
          <w:b/>
          <w:bCs/>
          <w:sz w:val="44"/>
          <w:szCs w:val="44"/>
          <w:lang w:val="en-US" w:eastAsia="zh-CN"/>
        </w:rPr>
      </w:pPr>
    </w:p>
    <w:p w14:paraId="72D94D9B">
      <w:pPr>
        <w:jc w:val="center"/>
        <w:rPr>
          <w:rFonts w:hint="eastAsia"/>
          <w:b/>
          <w:bCs/>
          <w:sz w:val="44"/>
          <w:szCs w:val="44"/>
          <w:lang w:val="en-US" w:eastAsia="zh-CN"/>
        </w:rPr>
      </w:pPr>
      <w:r>
        <w:rPr>
          <w:rFonts w:hint="eastAsia"/>
          <w:b/>
          <w:bCs/>
          <w:sz w:val="44"/>
          <w:szCs w:val="44"/>
          <w:lang w:val="en-US" w:eastAsia="zh-CN"/>
        </w:rPr>
        <w:t>（二标段）</w:t>
      </w:r>
    </w:p>
    <w:p w14:paraId="4AEA0B50">
      <w:pPr>
        <w:jc w:val="center"/>
        <w:rPr>
          <w:rFonts w:hint="eastAsia"/>
          <w:b/>
          <w:bCs/>
          <w:sz w:val="40"/>
          <w:szCs w:val="40"/>
          <w:lang w:val="en-US" w:eastAsia="zh-CN"/>
        </w:rPr>
      </w:pPr>
    </w:p>
    <w:p w14:paraId="22CB431B">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项目编号：三财公开采购-2025-59、SGZ[2025]485-ZC319</w:t>
      </w:r>
    </w:p>
    <w:p w14:paraId="5A0AD2DA">
      <w:pPr>
        <w:jc w:val="center"/>
        <w:rPr>
          <w:rFonts w:hint="eastAsia"/>
          <w:b/>
          <w:bCs/>
          <w:sz w:val="72"/>
          <w:szCs w:val="72"/>
          <w:lang w:val="en-US" w:eastAsia="zh-CN"/>
        </w:rPr>
      </w:pPr>
    </w:p>
    <w:p w14:paraId="7FED7706">
      <w:pPr>
        <w:jc w:val="center"/>
        <w:rPr>
          <w:rFonts w:hint="eastAsia"/>
          <w:sz w:val="20"/>
          <w:szCs w:val="21"/>
          <w:lang w:val="en-US" w:eastAsia="zh-CN"/>
        </w:rPr>
      </w:pPr>
      <w:r>
        <w:rPr>
          <w:rFonts w:hint="eastAsia"/>
          <w:sz w:val="20"/>
          <w:szCs w:val="21"/>
          <w:lang w:val="en-US" w:eastAsia="zh-CN"/>
        </w:rPr>
        <w:drawing>
          <wp:inline distT="0" distB="0" distL="114300" distR="114300">
            <wp:extent cx="2195195" cy="1870075"/>
            <wp:effectExtent l="0" t="0" r="14605" b="1587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8"/>
                    <a:stretch>
                      <a:fillRect/>
                    </a:stretch>
                  </pic:blipFill>
                  <pic:spPr>
                    <a:xfrm>
                      <a:off x="0" y="0"/>
                      <a:ext cx="2195195" cy="1870075"/>
                    </a:xfrm>
                    <a:prstGeom prst="rect">
                      <a:avLst/>
                    </a:prstGeom>
                  </pic:spPr>
                </pic:pic>
              </a:graphicData>
            </a:graphic>
          </wp:inline>
        </w:drawing>
      </w:r>
    </w:p>
    <w:p w14:paraId="50CCD7BF">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bookmarkStart w:id="0" w:name="_Toc25229"/>
      <w:bookmarkStart w:id="1" w:name="_Toc21994"/>
    </w:p>
    <w:p w14:paraId="14F62947">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3D62074D">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ascii="宋体" w:hAnsi="宋体" w:eastAsia="宋体" w:cs="宋体"/>
          <w:b/>
          <w:color w:val="auto"/>
          <w:spacing w:val="-6"/>
          <w:kern w:val="0"/>
          <w:sz w:val="32"/>
          <w:szCs w:val="32"/>
        </w:rPr>
      </w:pPr>
      <w:r>
        <w:rPr>
          <w:rFonts w:hint="eastAsia" w:ascii="宋体" w:hAnsi="宋体" w:eastAsia="宋体" w:cs="宋体"/>
          <w:b/>
          <w:color w:val="auto"/>
          <w:spacing w:val="-6"/>
          <w:kern w:val="0"/>
          <w:sz w:val="32"/>
          <w:szCs w:val="32"/>
        </w:rPr>
        <w:t>采   购   人：三门峡市消防救援支队</w:t>
      </w:r>
      <w:bookmarkEnd w:id="0"/>
      <w:bookmarkEnd w:id="1"/>
    </w:p>
    <w:p w14:paraId="053A14A0">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hint="default" w:ascii="宋体" w:hAnsi="宋体" w:eastAsia="宋体" w:cs="宋体"/>
          <w:b/>
          <w:color w:val="auto"/>
          <w:spacing w:val="-6"/>
          <w:kern w:val="0"/>
          <w:sz w:val="32"/>
          <w:szCs w:val="32"/>
          <w:lang w:val="en-US" w:eastAsia="zh-CN"/>
        </w:rPr>
      </w:pPr>
      <w:r>
        <w:rPr>
          <w:rFonts w:hint="eastAsia" w:ascii="宋体" w:hAnsi="宋体" w:eastAsia="宋体" w:cs="宋体"/>
          <w:b/>
          <w:color w:val="auto"/>
          <w:spacing w:val="-6"/>
          <w:kern w:val="0"/>
          <w:sz w:val="32"/>
          <w:szCs w:val="32"/>
        </w:rPr>
        <w:t>采购代理机构：</w:t>
      </w:r>
      <w:r>
        <w:rPr>
          <w:rFonts w:hint="eastAsia" w:ascii="宋体" w:hAnsi="宋体" w:eastAsia="宋体" w:cs="宋体"/>
          <w:b/>
          <w:color w:val="auto"/>
          <w:spacing w:val="-6"/>
          <w:kern w:val="0"/>
          <w:sz w:val="32"/>
          <w:szCs w:val="32"/>
          <w:lang w:val="en-US" w:eastAsia="zh-CN"/>
        </w:rPr>
        <w:t>河南邦兴工程服务有限公司</w:t>
      </w:r>
    </w:p>
    <w:p w14:paraId="66C44D46">
      <w:pPr>
        <w:ind w:firstLine="1856" w:firstLineChars="600"/>
        <w:jc w:val="both"/>
        <w:rPr>
          <w:rFonts w:hint="eastAsia" w:ascii="宋体" w:hAnsi="宋体" w:eastAsia="宋体" w:cs="宋体"/>
          <w:b/>
          <w:color w:val="auto"/>
          <w:spacing w:val="-6"/>
          <w:kern w:val="0"/>
          <w:sz w:val="32"/>
          <w:szCs w:val="32"/>
          <w:lang w:eastAsia="zh-CN"/>
        </w:rPr>
      </w:pPr>
      <w:bookmarkStart w:id="2" w:name="_Toc32763"/>
      <w:r>
        <w:rPr>
          <w:rFonts w:hint="eastAsia" w:ascii="宋体" w:hAnsi="宋体" w:eastAsia="宋体" w:cs="宋体"/>
          <w:b/>
          <w:color w:val="auto"/>
          <w:spacing w:val="-6"/>
          <w:kern w:val="0"/>
          <w:sz w:val="32"/>
          <w:szCs w:val="32"/>
        </w:rPr>
        <w:t>日        期：</w:t>
      </w:r>
      <w:bookmarkEnd w:id="2"/>
      <w:r>
        <w:rPr>
          <w:rFonts w:hint="eastAsia" w:ascii="宋体" w:hAnsi="宋体" w:eastAsia="宋体" w:cs="宋体"/>
          <w:b/>
          <w:color w:val="auto"/>
          <w:spacing w:val="-6"/>
          <w:kern w:val="0"/>
          <w:sz w:val="32"/>
          <w:szCs w:val="32"/>
          <w:lang w:eastAsia="zh-CN"/>
        </w:rPr>
        <w:t>二○二五年</w:t>
      </w:r>
      <w:r>
        <w:rPr>
          <w:rFonts w:hint="eastAsia" w:ascii="宋体" w:hAnsi="宋体" w:eastAsia="宋体" w:cs="宋体"/>
          <w:b/>
          <w:color w:val="auto"/>
          <w:spacing w:val="-6"/>
          <w:kern w:val="0"/>
          <w:sz w:val="32"/>
          <w:szCs w:val="32"/>
          <w:lang w:val="en-US" w:eastAsia="zh-CN"/>
        </w:rPr>
        <w:t>十</w:t>
      </w:r>
      <w:r>
        <w:rPr>
          <w:rFonts w:hint="eastAsia" w:ascii="宋体" w:hAnsi="宋体" w:eastAsia="宋体" w:cs="宋体"/>
          <w:b/>
          <w:color w:val="auto"/>
          <w:spacing w:val="-6"/>
          <w:kern w:val="0"/>
          <w:sz w:val="32"/>
          <w:szCs w:val="32"/>
          <w:lang w:eastAsia="zh-CN"/>
        </w:rPr>
        <w:t>月</w:t>
      </w:r>
    </w:p>
    <w:p w14:paraId="6AB8AEFE">
      <w:pPr>
        <w:jc w:val="both"/>
        <w:rPr>
          <w:rFonts w:hint="eastAsia" w:ascii="宋体" w:hAnsi="宋体" w:eastAsia="宋体" w:cs="宋体"/>
          <w:b/>
          <w:color w:val="auto"/>
          <w:spacing w:val="-6"/>
          <w:kern w:val="0"/>
          <w:sz w:val="32"/>
          <w:szCs w:val="32"/>
          <w:lang w:eastAsia="zh-CN"/>
        </w:rPr>
      </w:pPr>
    </w:p>
    <w:p w14:paraId="0C6BCE31">
      <w:pPr>
        <w:spacing w:before="0" w:beforeLines="0" w:after="0" w:afterLines="0" w:line="600" w:lineRule="auto"/>
        <w:ind w:left="0" w:leftChars="0" w:right="0" w:rightChars="0" w:firstLine="0" w:firstLineChars="0"/>
        <w:jc w:val="center"/>
        <w:rPr>
          <w:b/>
          <w:bCs/>
          <w:color w:val="auto"/>
          <w:sz w:val="40"/>
          <w:szCs w:val="44"/>
        </w:rPr>
      </w:pPr>
      <w:r>
        <w:rPr>
          <w:rFonts w:ascii="宋体" w:hAnsi="宋体" w:eastAsia="宋体"/>
          <w:b/>
          <w:bCs/>
          <w:color w:val="auto"/>
          <w:sz w:val="40"/>
          <w:szCs w:val="44"/>
        </w:rPr>
        <w:t>目录</w:t>
      </w:r>
    </w:p>
    <w:p w14:paraId="235FCD25">
      <w:pPr>
        <w:pStyle w:val="18"/>
        <w:tabs>
          <w:tab w:val="right" w:leader="dot" w:pos="9174"/>
        </w:tabs>
        <w:rPr>
          <w:sz w:val="32"/>
          <w:szCs w:val="24"/>
        </w:rPr>
      </w:pPr>
      <w:r>
        <w:rPr>
          <w:color w:val="auto"/>
          <w:sz w:val="40"/>
          <w:szCs w:val="40"/>
          <w:lang w:val="zh-CN"/>
        </w:rPr>
        <w:fldChar w:fldCharType="begin"/>
      </w:r>
      <w:r>
        <w:rPr>
          <w:color w:val="auto"/>
          <w:sz w:val="40"/>
          <w:szCs w:val="40"/>
          <w:lang w:val="zh-CN"/>
        </w:rPr>
        <w:instrText xml:space="preserve">TOC \o "1-1" \h \u </w:instrText>
      </w:r>
      <w:r>
        <w:rPr>
          <w:color w:val="auto"/>
          <w:sz w:val="40"/>
          <w:szCs w:val="40"/>
          <w:lang w:val="zh-CN"/>
        </w:rPr>
        <w:fldChar w:fldCharType="separate"/>
      </w:r>
      <w:r>
        <w:rPr>
          <w:color w:val="auto"/>
          <w:sz w:val="32"/>
          <w:szCs w:val="52"/>
          <w:lang w:val="zh-CN"/>
        </w:rPr>
        <w:fldChar w:fldCharType="begin"/>
      </w:r>
      <w:r>
        <w:rPr>
          <w:sz w:val="32"/>
          <w:szCs w:val="52"/>
          <w:lang w:val="zh-CN"/>
        </w:rPr>
        <w:instrText xml:space="preserve"> HYPERLINK \l _Toc4320 </w:instrText>
      </w:r>
      <w:r>
        <w:rPr>
          <w:sz w:val="32"/>
          <w:szCs w:val="52"/>
          <w:lang w:val="zh-CN"/>
        </w:rPr>
        <w:fldChar w:fldCharType="separate"/>
      </w:r>
      <w:r>
        <w:rPr>
          <w:rFonts w:hint="eastAsia"/>
          <w:bCs/>
          <w:sz w:val="32"/>
          <w:szCs w:val="48"/>
          <w:lang w:val="zh-CN"/>
        </w:rPr>
        <w:t xml:space="preserve">第一章 </w:t>
      </w:r>
      <w:r>
        <w:rPr>
          <w:rFonts w:hint="eastAsia"/>
          <w:bCs/>
          <w:sz w:val="32"/>
          <w:szCs w:val="48"/>
          <w:lang w:val="en-US" w:eastAsia="zh-CN"/>
        </w:rPr>
        <w:t>招标</w:t>
      </w:r>
      <w:r>
        <w:rPr>
          <w:rFonts w:hint="eastAsia"/>
          <w:bCs/>
          <w:sz w:val="32"/>
          <w:szCs w:val="48"/>
          <w:lang w:val="zh-CN"/>
        </w:rPr>
        <w:t>公告</w:t>
      </w:r>
      <w:r>
        <w:rPr>
          <w:sz w:val="32"/>
          <w:szCs w:val="24"/>
        </w:rPr>
        <w:tab/>
      </w:r>
      <w:r>
        <w:rPr>
          <w:sz w:val="32"/>
          <w:szCs w:val="24"/>
        </w:rPr>
        <w:fldChar w:fldCharType="begin"/>
      </w:r>
      <w:r>
        <w:rPr>
          <w:sz w:val="32"/>
          <w:szCs w:val="24"/>
        </w:rPr>
        <w:instrText xml:space="preserve"> PAGEREF _Toc4320 \h </w:instrText>
      </w:r>
      <w:r>
        <w:rPr>
          <w:sz w:val="32"/>
          <w:szCs w:val="24"/>
        </w:rPr>
        <w:fldChar w:fldCharType="separate"/>
      </w:r>
      <w:r>
        <w:rPr>
          <w:sz w:val="32"/>
          <w:szCs w:val="24"/>
        </w:rPr>
        <w:t>4</w:t>
      </w:r>
      <w:r>
        <w:rPr>
          <w:sz w:val="32"/>
          <w:szCs w:val="24"/>
        </w:rPr>
        <w:fldChar w:fldCharType="end"/>
      </w:r>
      <w:r>
        <w:rPr>
          <w:color w:val="auto"/>
          <w:sz w:val="32"/>
          <w:szCs w:val="52"/>
          <w:lang w:val="zh-CN"/>
        </w:rPr>
        <w:fldChar w:fldCharType="end"/>
      </w:r>
    </w:p>
    <w:p w14:paraId="07429529">
      <w:pPr>
        <w:pStyle w:val="18"/>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_Toc12163 </w:instrText>
      </w:r>
      <w:r>
        <w:rPr>
          <w:sz w:val="32"/>
          <w:szCs w:val="52"/>
          <w:lang w:val="zh-CN"/>
        </w:rPr>
        <w:fldChar w:fldCharType="separate"/>
      </w:r>
      <w:r>
        <w:rPr>
          <w:rFonts w:hint="eastAsia"/>
          <w:sz w:val="32"/>
          <w:szCs w:val="24"/>
        </w:rPr>
        <w:t xml:space="preserve">第二章 </w:t>
      </w:r>
      <w:r>
        <w:rPr>
          <w:rFonts w:hint="eastAsia"/>
          <w:sz w:val="32"/>
          <w:szCs w:val="24"/>
          <w:lang w:eastAsia="zh-CN"/>
        </w:rPr>
        <w:t>供应商须知</w:t>
      </w:r>
      <w:r>
        <w:rPr>
          <w:sz w:val="32"/>
          <w:szCs w:val="24"/>
        </w:rPr>
        <w:tab/>
      </w:r>
      <w:r>
        <w:rPr>
          <w:sz w:val="32"/>
          <w:szCs w:val="24"/>
        </w:rPr>
        <w:fldChar w:fldCharType="begin"/>
      </w:r>
      <w:r>
        <w:rPr>
          <w:sz w:val="32"/>
          <w:szCs w:val="24"/>
        </w:rPr>
        <w:instrText xml:space="preserve"> PAGEREF _Toc12163 \h </w:instrText>
      </w:r>
      <w:r>
        <w:rPr>
          <w:sz w:val="32"/>
          <w:szCs w:val="24"/>
        </w:rPr>
        <w:fldChar w:fldCharType="separate"/>
      </w:r>
      <w:r>
        <w:rPr>
          <w:sz w:val="32"/>
          <w:szCs w:val="24"/>
        </w:rPr>
        <w:t>10</w:t>
      </w:r>
      <w:r>
        <w:rPr>
          <w:sz w:val="32"/>
          <w:szCs w:val="24"/>
        </w:rPr>
        <w:fldChar w:fldCharType="end"/>
      </w:r>
      <w:r>
        <w:rPr>
          <w:color w:val="auto"/>
          <w:sz w:val="32"/>
          <w:szCs w:val="52"/>
          <w:lang w:val="zh-CN"/>
        </w:rPr>
        <w:fldChar w:fldCharType="end"/>
      </w:r>
    </w:p>
    <w:p w14:paraId="40B16204">
      <w:pPr>
        <w:pStyle w:val="18"/>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_Toc6364 </w:instrText>
      </w:r>
      <w:r>
        <w:rPr>
          <w:sz w:val="32"/>
          <w:szCs w:val="52"/>
          <w:lang w:val="zh-CN"/>
        </w:rPr>
        <w:fldChar w:fldCharType="separate"/>
      </w:r>
      <w:r>
        <w:rPr>
          <w:rFonts w:hint="eastAsia"/>
          <w:sz w:val="32"/>
          <w:szCs w:val="24"/>
          <w:lang w:val="en-US" w:eastAsia="zh-CN"/>
        </w:rPr>
        <w:t>第三章 采购清单及参数</w:t>
      </w:r>
      <w:r>
        <w:rPr>
          <w:sz w:val="32"/>
          <w:szCs w:val="24"/>
        </w:rPr>
        <w:tab/>
      </w:r>
      <w:r>
        <w:rPr>
          <w:sz w:val="32"/>
          <w:szCs w:val="24"/>
        </w:rPr>
        <w:fldChar w:fldCharType="begin"/>
      </w:r>
      <w:r>
        <w:rPr>
          <w:sz w:val="32"/>
          <w:szCs w:val="24"/>
        </w:rPr>
        <w:instrText xml:space="preserve"> PAGEREF _Toc6364 \h </w:instrText>
      </w:r>
      <w:r>
        <w:rPr>
          <w:sz w:val="32"/>
          <w:szCs w:val="24"/>
        </w:rPr>
        <w:fldChar w:fldCharType="separate"/>
      </w:r>
      <w:r>
        <w:rPr>
          <w:sz w:val="32"/>
          <w:szCs w:val="24"/>
        </w:rPr>
        <w:t>30</w:t>
      </w:r>
      <w:r>
        <w:rPr>
          <w:sz w:val="32"/>
          <w:szCs w:val="24"/>
        </w:rPr>
        <w:fldChar w:fldCharType="end"/>
      </w:r>
      <w:r>
        <w:rPr>
          <w:color w:val="auto"/>
          <w:sz w:val="32"/>
          <w:szCs w:val="52"/>
          <w:lang w:val="zh-CN"/>
        </w:rPr>
        <w:fldChar w:fldCharType="end"/>
      </w:r>
    </w:p>
    <w:p w14:paraId="499CA0F9">
      <w:pPr>
        <w:pStyle w:val="18"/>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_Toc6258 </w:instrText>
      </w:r>
      <w:r>
        <w:rPr>
          <w:sz w:val="32"/>
          <w:szCs w:val="52"/>
          <w:lang w:val="zh-CN"/>
        </w:rPr>
        <w:fldChar w:fldCharType="separate"/>
      </w:r>
      <w:r>
        <w:rPr>
          <w:rFonts w:hint="eastAsia" w:ascii="宋体" w:hAnsi="宋体" w:cs="宋体"/>
          <w:bCs/>
          <w:sz w:val="32"/>
          <w:szCs w:val="44"/>
        </w:rPr>
        <w:t>第</w:t>
      </w:r>
      <w:r>
        <w:rPr>
          <w:rFonts w:hint="eastAsia" w:ascii="宋体" w:hAnsi="宋体" w:cs="宋体"/>
          <w:bCs/>
          <w:sz w:val="32"/>
          <w:szCs w:val="44"/>
          <w:lang w:val="en-US" w:eastAsia="zh-CN"/>
        </w:rPr>
        <w:t>四</w:t>
      </w:r>
      <w:r>
        <w:rPr>
          <w:rFonts w:hint="eastAsia" w:ascii="宋体" w:hAnsi="宋体" w:cs="宋体"/>
          <w:bCs/>
          <w:sz w:val="32"/>
          <w:szCs w:val="44"/>
        </w:rPr>
        <w:t xml:space="preserve">章 </w:t>
      </w:r>
      <w:r>
        <w:rPr>
          <w:rFonts w:hint="eastAsia" w:ascii="宋体" w:hAnsi="宋体" w:cs="宋体"/>
          <w:bCs/>
          <w:sz w:val="32"/>
          <w:szCs w:val="44"/>
          <w:lang w:val="zh-CN"/>
        </w:rPr>
        <w:t>评</w:t>
      </w:r>
      <w:r>
        <w:rPr>
          <w:rFonts w:hint="eastAsia" w:ascii="宋体" w:hAnsi="宋体" w:cs="宋体"/>
          <w:bCs/>
          <w:sz w:val="32"/>
          <w:szCs w:val="44"/>
          <w:lang w:val="en-US" w:eastAsia="zh-CN"/>
        </w:rPr>
        <w:t>审</w:t>
      </w:r>
      <w:r>
        <w:rPr>
          <w:rFonts w:hint="eastAsia" w:ascii="宋体" w:hAnsi="宋体" w:cs="宋体"/>
          <w:bCs/>
          <w:sz w:val="32"/>
          <w:szCs w:val="44"/>
          <w:lang w:val="zh-CN"/>
        </w:rPr>
        <w:t>办法（综合评分法）</w:t>
      </w:r>
      <w:r>
        <w:rPr>
          <w:sz w:val="32"/>
          <w:szCs w:val="24"/>
        </w:rPr>
        <w:tab/>
      </w:r>
      <w:r>
        <w:rPr>
          <w:sz w:val="32"/>
          <w:szCs w:val="24"/>
        </w:rPr>
        <w:fldChar w:fldCharType="begin"/>
      </w:r>
      <w:r>
        <w:rPr>
          <w:sz w:val="32"/>
          <w:szCs w:val="24"/>
        </w:rPr>
        <w:instrText xml:space="preserve"> PAGEREF _Toc6258 \h </w:instrText>
      </w:r>
      <w:r>
        <w:rPr>
          <w:sz w:val="32"/>
          <w:szCs w:val="24"/>
        </w:rPr>
        <w:fldChar w:fldCharType="separate"/>
      </w:r>
      <w:r>
        <w:rPr>
          <w:sz w:val="32"/>
          <w:szCs w:val="24"/>
        </w:rPr>
        <w:t>58</w:t>
      </w:r>
      <w:r>
        <w:rPr>
          <w:sz w:val="32"/>
          <w:szCs w:val="24"/>
        </w:rPr>
        <w:fldChar w:fldCharType="end"/>
      </w:r>
      <w:r>
        <w:rPr>
          <w:color w:val="auto"/>
          <w:sz w:val="32"/>
          <w:szCs w:val="52"/>
          <w:lang w:val="zh-CN"/>
        </w:rPr>
        <w:fldChar w:fldCharType="end"/>
      </w:r>
    </w:p>
    <w:p w14:paraId="5BD320F8">
      <w:pPr>
        <w:pStyle w:val="18"/>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_Toc27351 </w:instrText>
      </w:r>
      <w:r>
        <w:rPr>
          <w:sz w:val="32"/>
          <w:szCs w:val="52"/>
          <w:lang w:val="zh-CN"/>
        </w:rPr>
        <w:fldChar w:fldCharType="separate"/>
      </w:r>
      <w:r>
        <w:rPr>
          <w:rFonts w:hint="eastAsia"/>
          <w:sz w:val="32"/>
          <w:szCs w:val="24"/>
          <w:lang w:val="en-US" w:eastAsia="zh-CN"/>
        </w:rPr>
        <w:t xml:space="preserve">第五章 </w:t>
      </w:r>
      <w:r>
        <w:rPr>
          <w:rFonts w:hint="eastAsia"/>
          <w:sz w:val="32"/>
          <w:szCs w:val="24"/>
        </w:rPr>
        <w:t>合同条款及格式</w:t>
      </w:r>
      <w:r>
        <w:rPr>
          <w:sz w:val="32"/>
          <w:szCs w:val="24"/>
        </w:rPr>
        <w:tab/>
      </w:r>
      <w:r>
        <w:rPr>
          <w:sz w:val="32"/>
          <w:szCs w:val="24"/>
        </w:rPr>
        <w:fldChar w:fldCharType="begin"/>
      </w:r>
      <w:r>
        <w:rPr>
          <w:sz w:val="32"/>
          <w:szCs w:val="24"/>
        </w:rPr>
        <w:instrText xml:space="preserve"> PAGEREF _Toc27351 \h </w:instrText>
      </w:r>
      <w:r>
        <w:rPr>
          <w:sz w:val="32"/>
          <w:szCs w:val="24"/>
        </w:rPr>
        <w:fldChar w:fldCharType="separate"/>
      </w:r>
      <w:r>
        <w:rPr>
          <w:sz w:val="32"/>
          <w:szCs w:val="24"/>
        </w:rPr>
        <w:t>65</w:t>
      </w:r>
      <w:r>
        <w:rPr>
          <w:sz w:val="32"/>
          <w:szCs w:val="24"/>
        </w:rPr>
        <w:fldChar w:fldCharType="end"/>
      </w:r>
      <w:r>
        <w:rPr>
          <w:color w:val="auto"/>
          <w:sz w:val="32"/>
          <w:szCs w:val="52"/>
          <w:lang w:val="zh-CN"/>
        </w:rPr>
        <w:fldChar w:fldCharType="end"/>
      </w:r>
    </w:p>
    <w:p w14:paraId="5302BD82">
      <w:pPr>
        <w:pStyle w:val="18"/>
        <w:tabs>
          <w:tab w:val="right" w:leader="dot" w:pos="9174"/>
        </w:tabs>
      </w:pPr>
      <w:r>
        <w:rPr>
          <w:color w:val="auto"/>
          <w:sz w:val="32"/>
          <w:szCs w:val="52"/>
          <w:lang w:val="zh-CN"/>
        </w:rPr>
        <w:fldChar w:fldCharType="begin"/>
      </w:r>
      <w:r>
        <w:rPr>
          <w:sz w:val="32"/>
          <w:szCs w:val="52"/>
          <w:lang w:val="zh-CN"/>
        </w:rPr>
        <w:instrText xml:space="preserve"> HYPERLINK \l _Toc5481 </w:instrText>
      </w:r>
      <w:r>
        <w:rPr>
          <w:sz w:val="32"/>
          <w:szCs w:val="52"/>
          <w:lang w:val="zh-CN"/>
        </w:rPr>
        <w:fldChar w:fldCharType="separate"/>
      </w:r>
      <w:r>
        <w:rPr>
          <w:rFonts w:hint="eastAsia"/>
          <w:sz w:val="32"/>
          <w:szCs w:val="24"/>
          <w:lang w:val="en-US" w:eastAsia="zh-CN"/>
        </w:rPr>
        <w:t>第六章 电子投标文件格式</w:t>
      </w:r>
      <w:r>
        <w:rPr>
          <w:sz w:val="32"/>
          <w:szCs w:val="24"/>
        </w:rPr>
        <w:tab/>
      </w:r>
      <w:r>
        <w:rPr>
          <w:sz w:val="32"/>
          <w:szCs w:val="24"/>
        </w:rPr>
        <w:fldChar w:fldCharType="begin"/>
      </w:r>
      <w:r>
        <w:rPr>
          <w:sz w:val="32"/>
          <w:szCs w:val="24"/>
        </w:rPr>
        <w:instrText xml:space="preserve"> PAGEREF _Toc5481 \h </w:instrText>
      </w:r>
      <w:r>
        <w:rPr>
          <w:sz w:val="32"/>
          <w:szCs w:val="24"/>
        </w:rPr>
        <w:fldChar w:fldCharType="separate"/>
      </w:r>
      <w:r>
        <w:rPr>
          <w:sz w:val="32"/>
          <w:szCs w:val="24"/>
        </w:rPr>
        <w:t>72</w:t>
      </w:r>
      <w:r>
        <w:rPr>
          <w:sz w:val="32"/>
          <w:szCs w:val="24"/>
        </w:rPr>
        <w:fldChar w:fldCharType="end"/>
      </w:r>
      <w:r>
        <w:rPr>
          <w:color w:val="auto"/>
          <w:sz w:val="32"/>
          <w:szCs w:val="52"/>
          <w:lang w:val="zh-CN"/>
        </w:rPr>
        <w:fldChar w:fldCharType="end"/>
      </w:r>
    </w:p>
    <w:p w14:paraId="7F8ABED3">
      <w:pPr>
        <w:pStyle w:val="18"/>
        <w:tabs>
          <w:tab w:val="right" w:leader="dot" w:pos="9174"/>
        </w:tabs>
      </w:pPr>
    </w:p>
    <w:p w14:paraId="0605686F">
      <w:pPr>
        <w:pStyle w:val="18"/>
        <w:tabs>
          <w:tab w:val="right" w:leader="dot" w:pos="9174"/>
        </w:tabs>
      </w:pPr>
    </w:p>
    <w:p w14:paraId="38F5E583">
      <w:pPr>
        <w:jc w:val="both"/>
        <w:rPr>
          <w:color w:val="auto"/>
          <w:sz w:val="24"/>
          <w:szCs w:val="40"/>
          <w:lang w:val="zh-CN"/>
        </w:rPr>
      </w:pPr>
      <w:r>
        <w:rPr>
          <w:color w:val="auto"/>
          <w:szCs w:val="40"/>
          <w:lang w:val="zh-CN"/>
        </w:rPr>
        <w:fldChar w:fldCharType="end"/>
      </w:r>
    </w:p>
    <w:p w14:paraId="1CB37B5B">
      <w:pPr>
        <w:jc w:val="both"/>
        <w:rPr>
          <w:color w:val="auto"/>
          <w:sz w:val="24"/>
          <w:szCs w:val="40"/>
          <w:lang w:val="zh-CN"/>
        </w:rPr>
      </w:pPr>
    </w:p>
    <w:p w14:paraId="11A65221">
      <w:pPr>
        <w:jc w:val="both"/>
        <w:rPr>
          <w:color w:val="auto"/>
          <w:sz w:val="24"/>
          <w:szCs w:val="40"/>
          <w:lang w:val="zh-CN"/>
        </w:rPr>
      </w:pPr>
    </w:p>
    <w:p w14:paraId="30228EA6">
      <w:pPr>
        <w:jc w:val="both"/>
        <w:rPr>
          <w:color w:val="auto"/>
          <w:sz w:val="24"/>
          <w:szCs w:val="40"/>
          <w:lang w:val="zh-CN"/>
        </w:rPr>
      </w:pPr>
    </w:p>
    <w:p w14:paraId="30282FCD">
      <w:pPr>
        <w:jc w:val="both"/>
        <w:rPr>
          <w:color w:val="auto"/>
          <w:sz w:val="24"/>
          <w:szCs w:val="40"/>
          <w:lang w:val="zh-CN"/>
        </w:rPr>
      </w:pPr>
    </w:p>
    <w:p w14:paraId="772ED5E2">
      <w:pPr>
        <w:jc w:val="both"/>
        <w:rPr>
          <w:color w:val="auto"/>
          <w:sz w:val="24"/>
          <w:szCs w:val="40"/>
          <w:lang w:val="zh-CN"/>
        </w:rPr>
      </w:pPr>
    </w:p>
    <w:p w14:paraId="44B60F63">
      <w:pPr>
        <w:jc w:val="both"/>
        <w:rPr>
          <w:color w:val="auto"/>
          <w:sz w:val="24"/>
          <w:szCs w:val="40"/>
          <w:lang w:val="zh-CN"/>
        </w:rPr>
      </w:pPr>
    </w:p>
    <w:p w14:paraId="38C92982">
      <w:pPr>
        <w:jc w:val="both"/>
        <w:rPr>
          <w:color w:val="auto"/>
          <w:sz w:val="24"/>
          <w:szCs w:val="40"/>
          <w:lang w:val="zh-CN"/>
        </w:rPr>
      </w:pPr>
    </w:p>
    <w:p w14:paraId="6FA6EE1D">
      <w:pPr>
        <w:jc w:val="both"/>
        <w:rPr>
          <w:color w:val="auto"/>
          <w:sz w:val="24"/>
          <w:szCs w:val="40"/>
          <w:lang w:val="zh-CN"/>
        </w:rPr>
      </w:pPr>
    </w:p>
    <w:p w14:paraId="27F15EA8">
      <w:pPr>
        <w:jc w:val="both"/>
        <w:rPr>
          <w:color w:val="auto"/>
          <w:sz w:val="24"/>
          <w:szCs w:val="40"/>
          <w:lang w:val="zh-CN"/>
        </w:rPr>
      </w:pPr>
    </w:p>
    <w:p w14:paraId="2FE34771">
      <w:pPr>
        <w:jc w:val="both"/>
        <w:rPr>
          <w:color w:val="auto"/>
          <w:sz w:val="24"/>
          <w:szCs w:val="40"/>
          <w:lang w:val="zh-CN"/>
        </w:rPr>
      </w:pPr>
    </w:p>
    <w:p w14:paraId="27B530D7">
      <w:pPr>
        <w:jc w:val="both"/>
        <w:rPr>
          <w:color w:val="auto"/>
          <w:sz w:val="24"/>
          <w:szCs w:val="40"/>
          <w:lang w:val="zh-CN"/>
        </w:rPr>
      </w:pPr>
    </w:p>
    <w:p w14:paraId="43B50785">
      <w:pPr>
        <w:pStyle w:val="5"/>
        <w:rPr>
          <w:color w:val="auto"/>
          <w:sz w:val="24"/>
          <w:szCs w:val="40"/>
          <w:lang w:val="zh-CN"/>
        </w:rPr>
      </w:pPr>
    </w:p>
    <w:p w14:paraId="5637314B">
      <w:pPr>
        <w:pStyle w:val="2"/>
        <w:rPr>
          <w:lang w:val="zh-CN"/>
        </w:rPr>
      </w:pPr>
    </w:p>
    <w:p w14:paraId="5DDA35EB">
      <w:pPr>
        <w:jc w:val="both"/>
        <w:rPr>
          <w:color w:val="auto"/>
          <w:sz w:val="24"/>
          <w:szCs w:val="40"/>
          <w:lang w:val="zh-CN"/>
        </w:rPr>
      </w:pPr>
    </w:p>
    <w:p w14:paraId="2A793ED6">
      <w:pPr>
        <w:jc w:val="both"/>
        <w:rPr>
          <w:color w:val="auto"/>
          <w:sz w:val="24"/>
          <w:szCs w:val="40"/>
          <w:lang w:val="zh-CN"/>
        </w:rPr>
      </w:pPr>
    </w:p>
    <w:p w14:paraId="3E7AA0CA">
      <w:pPr>
        <w:jc w:val="both"/>
        <w:rPr>
          <w:color w:val="auto"/>
          <w:sz w:val="24"/>
          <w:szCs w:val="40"/>
          <w:lang w:val="zh-CN"/>
        </w:rPr>
      </w:pPr>
    </w:p>
    <w:p w14:paraId="2413B73F">
      <w:pPr>
        <w:jc w:val="both"/>
        <w:rPr>
          <w:color w:val="auto"/>
          <w:sz w:val="24"/>
          <w:szCs w:val="40"/>
          <w:lang w:val="zh-CN"/>
        </w:rPr>
      </w:pPr>
    </w:p>
    <w:p w14:paraId="0CA0323B">
      <w:pPr>
        <w:jc w:val="both"/>
        <w:rPr>
          <w:color w:val="auto"/>
          <w:sz w:val="24"/>
          <w:szCs w:val="40"/>
          <w:lang w:val="zh-CN"/>
        </w:rPr>
      </w:pPr>
    </w:p>
    <w:p w14:paraId="32C4E4A5">
      <w:pPr>
        <w:jc w:val="both"/>
        <w:rPr>
          <w:color w:val="auto"/>
          <w:sz w:val="24"/>
          <w:szCs w:val="40"/>
          <w:lang w:val="zh-CN"/>
        </w:rPr>
      </w:pPr>
    </w:p>
    <w:p w14:paraId="1ABA1442">
      <w:pPr>
        <w:pStyle w:val="6"/>
        <w:bidi w:val="0"/>
        <w:jc w:val="center"/>
        <w:rPr>
          <w:b/>
          <w:bCs/>
          <w:color w:val="auto"/>
          <w:sz w:val="36"/>
          <w:szCs w:val="36"/>
          <w:lang w:val="zh-CN"/>
        </w:rPr>
      </w:pPr>
      <w:bookmarkStart w:id="3" w:name="_Toc4320"/>
      <w:r>
        <w:rPr>
          <w:rFonts w:hint="eastAsia"/>
          <w:b/>
          <w:bCs/>
          <w:color w:val="auto"/>
          <w:sz w:val="36"/>
          <w:szCs w:val="36"/>
          <w:lang w:val="zh-CN"/>
        </w:rPr>
        <w:t xml:space="preserve">第一章 </w:t>
      </w:r>
      <w:r>
        <w:rPr>
          <w:rFonts w:hint="eastAsia"/>
          <w:b/>
          <w:bCs/>
          <w:color w:val="auto"/>
          <w:sz w:val="36"/>
          <w:szCs w:val="36"/>
          <w:lang w:val="en-US" w:eastAsia="zh-CN"/>
        </w:rPr>
        <w:t>招标</w:t>
      </w:r>
      <w:r>
        <w:rPr>
          <w:rFonts w:hint="eastAsia"/>
          <w:b/>
          <w:bCs/>
          <w:color w:val="auto"/>
          <w:sz w:val="36"/>
          <w:szCs w:val="36"/>
          <w:lang w:val="zh-CN"/>
        </w:rPr>
        <w:t>公告</w:t>
      </w:r>
      <w:bookmarkEnd w:id="3"/>
    </w:p>
    <w:p w14:paraId="29EC116B">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一、招标条件</w:t>
      </w:r>
    </w:p>
    <w:p w14:paraId="0001C36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已具备招标条件，采购人为三门峡市消防救援支队，采购代理机构为</w:t>
      </w:r>
      <w:r>
        <w:rPr>
          <w:rFonts w:hint="eastAsia" w:ascii="宋体" w:hAnsi="宋体" w:eastAsia="宋体" w:cs="宋体"/>
          <w:color w:val="auto"/>
          <w:sz w:val="24"/>
          <w:szCs w:val="24"/>
          <w:lang w:val="en-US" w:eastAsia="zh-CN"/>
        </w:rPr>
        <w:t>河南邦兴工程服务</w:t>
      </w:r>
      <w:r>
        <w:rPr>
          <w:rFonts w:hint="eastAsia" w:ascii="宋体" w:hAnsi="宋体" w:eastAsia="宋体" w:cs="宋体"/>
          <w:color w:val="auto"/>
          <w:sz w:val="24"/>
          <w:szCs w:val="24"/>
        </w:rPr>
        <w:t>有限公司，资金来源为财政资金，</w:t>
      </w:r>
      <w:r>
        <w:rPr>
          <w:rFonts w:hint="eastAsia" w:ascii="宋体" w:hAnsi="宋体" w:eastAsia="宋体" w:cs="宋体"/>
          <w:color w:val="auto"/>
          <w:sz w:val="24"/>
          <w:szCs w:val="24"/>
          <w:lang w:val="en-US" w:eastAsia="zh-CN"/>
        </w:rPr>
        <w:t>现对该项目进行公开招标</w:t>
      </w:r>
      <w:r>
        <w:rPr>
          <w:rFonts w:hint="eastAsia" w:ascii="宋体" w:hAnsi="宋体" w:eastAsia="宋体" w:cs="宋体"/>
          <w:color w:val="auto"/>
          <w:sz w:val="24"/>
          <w:szCs w:val="24"/>
        </w:rPr>
        <w:t>。</w:t>
      </w:r>
    </w:p>
    <w:p w14:paraId="1C712CE3">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二、项目概况</w:t>
      </w:r>
    </w:p>
    <w:p w14:paraId="71A508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w:t>
      </w:r>
    </w:p>
    <w:p w14:paraId="4486D1D9">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三财公开采购-2025-59、SGZ[2025]485-ZC319</w:t>
      </w:r>
      <w:r>
        <w:rPr>
          <w:rFonts w:hint="eastAsia" w:ascii="宋体" w:hAnsi="宋体" w:eastAsia="宋体" w:cs="宋体"/>
          <w:color w:val="auto"/>
          <w:sz w:val="24"/>
          <w:szCs w:val="24"/>
          <w:highlight w:val="none"/>
          <w:lang w:eastAsia="zh-CN"/>
        </w:rPr>
        <w:t>；</w:t>
      </w:r>
    </w:p>
    <w:p w14:paraId="6E05E325">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3、资金来源：财政资金，已落实；</w:t>
      </w:r>
    </w:p>
    <w:p w14:paraId="6B59EF61">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4、采购方式：公开招标；</w:t>
      </w:r>
    </w:p>
    <w:p w14:paraId="0CE418F6">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5、招标控制价：2130407.70元；</w:t>
      </w:r>
    </w:p>
    <w:tbl>
      <w:tblPr>
        <w:tblStyle w:val="22"/>
        <w:tblW w:w="9665"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80"/>
        <w:gridCol w:w="3606"/>
        <w:gridCol w:w="1438"/>
        <w:gridCol w:w="1750"/>
      </w:tblGrid>
      <w:tr w14:paraId="7C8A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3" w:type="dxa"/>
            <w:vAlign w:val="center"/>
          </w:tcPr>
          <w:p w14:paraId="561F8A88">
            <w:pPr>
              <w:pStyle w:val="3"/>
              <w:jc w:val="center"/>
              <w:rPr>
                <w:rFonts w:hint="eastAsia" w:eastAsiaTheme="minorEastAsia"/>
                <w:vertAlign w:val="baseline"/>
                <w:lang w:val="en-US" w:eastAsia="zh-CN"/>
              </w:rPr>
            </w:pPr>
            <w:r>
              <w:rPr>
                <w:rFonts w:hint="eastAsia"/>
                <w:vertAlign w:val="baseline"/>
                <w:lang w:val="en-US" w:eastAsia="zh-CN"/>
              </w:rPr>
              <w:t>序号</w:t>
            </w:r>
          </w:p>
        </w:tc>
        <w:tc>
          <w:tcPr>
            <w:tcW w:w="1732" w:type="dxa"/>
            <w:vAlign w:val="center"/>
          </w:tcPr>
          <w:p w14:paraId="77A600E8">
            <w:pPr>
              <w:pStyle w:val="3"/>
              <w:jc w:val="center"/>
              <w:rPr>
                <w:rFonts w:hint="eastAsia" w:eastAsiaTheme="minorEastAsia"/>
                <w:vertAlign w:val="baseline"/>
                <w:lang w:val="en-US" w:eastAsia="zh-CN"/>
              </w:rPr>
            </w:pPr>
            <w:r>
              <w:rPr>
                <w:rFonts w:hint="eastAsia"/>
                <w:vertAlign w:val="baseline"/>
                <w:lang w:val="en-US" w:eastAsia="zh-CN"/>
              </w:rPr>
              <w:t>包号</w:t>
            </w:r>
          </w:p>
        </w:tc>
        <w:tc>
          <w:tcPr>
            <w:tcW w:w="3968" w:type="dxa"/>
            <w:vAlign w:val="center"/>
          </w:tcPr>
          <w:p w14:paraId="7A1DD80F">
            <w:pPr>
              <w:pStyle w:val="3"/>
              <w:jc w:val="center"/>
              <w:rPr>
                <w:rFonts w:hint="eastAsia" w:eastAsiaTheme="minorEastAsia"/>
                <w:vertAlign w:val="baseline"/>
                <w:lang w:val="en-US" w:eastAsia="zh-CN"/>
              </w:rPr>
            </w:pPr>
            <w:r>
              <w:rPr>
                <w:rFonts w:hint="eastAsia"/>
                <w:vertAlign w:val="baseline"/>
                <w:lang w:val="en-US" w:eastAsia="zh-CN"/>
              </w:rPr>
              <w:t>包名称</w:t>
            </w:r>
          </w:p>
        </w:tc>
        <w:tc>
          <w:tcPr>
            <w:tcW w:w="1446" w:type="dxa"/>
            <w:vAlign w:val="center"/>
          </w:tcPr>
          <w:p w14:paraId="77820CEA">
            <w:pPr>
              <w:pStyle w:val="3"/>
              <w:jc w:val="center"/>
              <w:rPr>
                <w:rFonts w:hint="eastAsia" w:eastAsiaTheme="minorEastAsia"/>
                <w:vertAlign w:val="baseline"/>
                <w:lang w:val="en-US" w:eastAsia="zh-CN"/>
              </w:rPr>
            </w:pPr>
            <w:r>
              <w:rPr>
                <w:rFonts w:hint="eastAsia"/>
                <w:vertAlign w:val="baseline"/>
                <w:lang w:val="en-US" w:eastAsia="zh-CN"/>
              </w:rPr>
              <w:t>包预算（元）</w:t>
            </w:r>
          </w:p>
        </w:tc>
        <w:tc>
          <w:tcPr>
            <w:tcW w:w="1796" w:type="dxa"/>
            <w:vAlign w:val="center"/>
          </w:tcPr>
          <w:p w14:paraId="201734D4">
            <w:pPr>
              <w:pStyle w:val="3"/>
              <w:jc w:val="center"/>
              <w:rPr>
                <w:rFonts w:hint="eastAsia" w:eastAsiaTheme="minorEastAsia"/>
                <w:vertAlign w:val="baseline"/>
                <w:lang w:val="en-US" w:eastAsia="zh-CN"/>
              </w:rPr>
            </w:pPr>
            <w:r>
              <w:rPr>
                <w:rFonts w:hint="eastAsia"/>
                <w:vertAlign w:val="baseline"/>
                <w:lang w:val="en-US" w:eastAsia="zh-CN"/>
              </w:rPr>
              <w:t>包最高限价（元）</w:t>
            </w:r>
          </w:p>
        </w:tc>
      </w:tr>
      <w:tr w14:paraId="401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3" w:type="dxa"/>
            <w:vAlign w:val="center"/>
          </w:tcPr>
          <w:p w14:paraId="777EC3AD">
            <w:pPr>
              <w:pStyle w:val="3"/>
              <w:jc w:val="center"/>
              <w:rPr>
                <w:rFonts w:hint="eastAsia" w:eastAsiaTheme="minorEastAsia"/>
                <w:vertAlign w:val="baseline"/>
                <w:lang w:val="en-US" w:eastAsia="zh-CN"/>
              </w:rPr>
            </w:pPr>
            <w:r>
              <w:rPr>
                <w:rFonts w:hint="eastAsia"/>
                <w:vertAlign w:val="baseline"/>
                <w:lang w:val="en-US" w:eastAsia="zh-CN"/>
              </w:rPr>
              <w:t>1</w:t>
            </w:r>
          </w:p>
        </w:tc>
        <w:tc>
          <w:tcPr>
            <w:tcW w:w="1732" w:type="dxa"/>
            <w:vAlign w:val="center"/>
          </w:tcPr>
          <w:p w14:paraId="4EFDBFA1">
            <w:pPr>
              <w:pStyle w:val="3"/>
              <w:jc w:val="center"/>
              <w:rPr>
                <w:rFonts w:hint="default" w:eastAsiaTheme="minorEastAsia"/>
                <w:color w:val="FF0000"/>
                <w:highlight w:val="none"/>
                <w:vertAlign w:val="baseline"/>
                <w:lang w:val="en-US" w:eastAsia="zh-CN"/>
              </w:rPr>
            </w:pPr>
            <w:r>
              <w:rPr>
                <w:rFonts w:hint="default" w:eastAsiaTheme="minorEastAsia"/>
                <w:color w:val="auto"/>
                <w:highlight w:val="none"/>
                <w:vertAlign w:val="baseline"/>
                <w:lang w:val="en-US" w:eastAsia="zh-CN"/>
              </w:rPr>
              <w:t>SGZ[2025]485-ZC319</w:t>
            </w:r>
            <w:r>
              <w:rPr>
                <w:rFonts w:hint="eastAsia"/>
                <w:color w:val="auto"/>
                <w:highlight w:val="none"/>
                <w:vertAlign w:val="baseline"/>
                <w:lang w:val="en-US" w:eastAsia="zh-CN"/>
              </w:rPr>
              <w:t>-2</w:t>
            </w:r>
          </w:p>
        </w:tc>
        <w:tc>
          <w:tcPr>
            <w:tcW w:w="3968" w:type="dxa"/>
            <w:vAlign w:val="center"/>
          </w:tcPr>
          <w:p w14:paraId="1C3FBA50">
            <w:pPr>
              <w:pStyle w:val="3"/>
              <w:jc w:val="center"/>
              <w:rPr>
                <w:rFonts w:hint="default"/>
                <w:vertAlign w:val="baseline"/>
                <w:lang w:val="en-US"/>
              </w:rPr>
            </w:pPr>
            <w:r>
              <w:rPr>
                <w:rFonts w:hint="eastAsia"/>
                <w:vertAlign w:val="baseline"/>
                <w:lang w:eastAsia="zh-CN"/>
              </w:rPr>
              <w:t>三门峡市消防应急科普教育基地建设</w:t>
            </w:r>
            <w:r>
              <w:rPr>
                <w:rFonts w:hint="eastAsia"/>
                <w:vertAlign w:val="baseline"/>
                <w:lang w:val="en-US" w:eastAsia="zh-CN"/>
              </w:rPr>
              <w:t>项目一标段——建筑与装饰工程、安装工程</w:t>
            </w:r>
          </w:p>
        </w:tc>
        <w:tc>
          <w:tcPr>
            <w:tcW w:w="1446" w:type="dxa"/>
            <w:vAlign w:val="center"/>
          </w:tcPr>
          <w:p w14:paraId="19B891D8">
            <w:pPr>
              <w:pStyle w:val="3"/>
              <w:jc w:val="center"/>
              <w:rPr>
                <w:rFonts w:hint="default" w:eastAsiaTheme="minorEastAsia"/>
                <w:sz w:val="24"/>
                <w:szCs w:val="32"/>
                <w:vertAlign w:val="baseline"/>
                <w:lang w:val="en-US" w:eastAsia="zh-CN"/>
              </w:rPr>
            </w:pPr>
            <w:r>
              <w:rPr>
                <w:rFonts w:hint="eastAsia"/>
                <w:sz w:val="24"/>
                <w:szCs w:val="32"/>
                <w:vertAlign w:val="baseline"/>
                <w:lang w:val="en-US" w:eastAsia="zh-CN"/>
              </w:rPr>
              <w:t>740620.70</w:t>
            </w:r>
          </w:p>
        </w:tc>
        <w:tc>
          <w:tcPr>
            <w:tcW w:w="1796" w:type="dxa"/>
            <w:vAlign w:val="center"/>
          </w:tcPr>
          <w:p w14:paraId="06AD5BE0">
            <w:pPr>
              <w:pStyle w:val="3"/>
              <w:jc w:val="center"/>
              <w:rPr>
                <w:rFonts w:hint="eastAsia"/>
                <w:sz w:val="24"/>
                <w:szCs w:val="32"/>
                <w:vertAlign w:val="baseline"/>
              </w:rPr>
            </w:pPr>
            <w:r>
              <w:rPr>
                <w:rFonts w:hint="eastAsia"/>
                <w:sz w:val="24"/>
                <w:szCs w:val="32"/>
                <w:vertAlign w:val="baseline"/>
                <w:lang w:val="en-US" w:eastAsia="zh-CN"/>
              </w:rPr>
              <w:t>740620.70</w:t>
            </w:r>
          </w:p>
        </w:tc>
      </w:tr>
      <w:tr w14:paraId="1FAC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23" w:type="dxa"/>
            <w:vAlign w:val="center"/>
          </w:tcPr>
          <w:p w14:paraId="6DCC781A">
            <w:pPr>
              <w:pStyle w:val="3"/>
              <w:jc w:val="center"/>
              <w:rPr>
                <w:rFonts w:hint="eastAsia" w:eastAsiaTheme="minorEastAsia"/>
                <w:vertAlign w:val="baseline"/>
                <w:lang w:val="en-US" w:eastAsia="zh-CN"/>
              </w:rPr>
            </w:pPr>
            <w:r>
              <w:rPr>
                <w:rFonts w:hint="eastAsia"/>
                <w:vertAlign w:val="baseline"/>
                <w:lang w:val="en-US" w:eastAsia="zh-CN"/>
              </w:rPr>
              <w:t>2</w:t>
            </w:r>
          </w:p>
        </w:tc>
        <w:tc>
          <w:tcPr>
            <w:tcW w:w="1732" w:type="dxa"/>
            <w:vAlign w:val="center"/>
          </w:tcPr>
          <w:p w14:paraId="2070A094">
            <w:pPr>
              <w:pStyle w:val="3"/>
              <w:jc w:val="center"/>
              <w:rPr>
                <w:rFonts w:hint="eastAsia" w:eastAsiaTheme="minorEastAsia"/>
                <w:color w:val="FF0000"/>
                <w:highlight w:val="none"/>
                <w:vertAlign w:val="baseline"/>
                <w:lang w:val="en-US" w:eastAsia="zh-CN"/>
              </w:rPr>
            </w:pPr>
            <w:r>
              <w:rPr>
                <w:rFonts w:hint="eastAsia" w:eastAsiaTheme="minorEastAsia"/>
                <w:color w:val="auto"/>
                <w:highlight w:val="none"/>
                <w:vertAlign w:val="baseline"/>
                <w:lang w:val="en-US" w:eastAsia="zh-CN"/>
              </w:rPr>
              <w:t>SGZ[2025]485-ZC319</w:t>
            </w:r>
            <w:r>
              <w:rPr>
                <w:rFonts w:hint="eastAsia"/>
                <w:color w:val="auto"/>
                <w:highlight w:val="none"/>
                <w:vertAlign w:val="baseline"/>
                <w:lang w:val="en-US" w:eastAsia="zh-CN"/>
              </w:rPr>
              <w:t>-1</w:t>
            </w:r>
          </w:p>
        </w:tc>
        <w:tc>
          <w:tcPr>
            <w:tcW w:w="3968" w:type="dxa"/>
            <w:vAlign w:val="center"/>
          </w:tcPr>
          <w:p w14:paraId="044B057D">
            <w:pPr>
              <w:pStyle w:val="3"/>
              <w:jc w:val="center"/>
              <w:rPr>
                <w:rFonts w:hint="default"/>
                <w:vertAlign w:val="baseline"/>
                <w:lang w:val="en-US"/>
              </w:rPr>
            </w:pPr>
            <w:r>
              <w:rPr>
                <w:rFonts w:hint="eastAsia"/>
                <w:vertAlign w:val="baseline"/>
                <w:lang w:eastAsia="zh-CN"/>
              </w:rPr>
              <w:t>三门峡市消防应急科普教育基地建设</w:t>
            </w:r>
            <w:r>
              <w:rPr>
                <w:rFonts w:hint="eastAsia"/>
                <w:vertAlign w:val="baseline"/>
                <w:lang w:val="en-US" w:eastAsia="zh-CN"/>
              </w:rPr>
              <w:t>项目二标段——设备安装工程</w:t>
            </w:r>
          </w:p>
        </w:tc>
        <w:tc>
          <w:tcPr>
            <w:tcW w:w="1446" w:type="dxa"/>
            <w:vAlign w:val="center"/>
          </w:tcPr>
          <w:p w14:paraId="33EA1084">
            <w:pPr>
              <w:pStyle w:val="3"/>
              <w:jc w:val="center"/>
              <w:rPr>
                <w:rFonts w:hint="default" w:eastAsiaTheme="minorEastAsia"/>
                <w:sz w:val="24"/>
                <w:szCs w:val="32"/>
                <w:vertAlign w:val="baseline"/>
                <w:lang w:val="en-US" w:eastAsia="zh-CN"/>
              </w:rPr>
            </w:pPr>
            <w:r>
              <w:rPr>
                <w:rFonts w:hint="eastAsia"/>
                <w:sz w:val="24"/>
                <w:szCs w:val="32"/>
                <w:vertAlign w:val="baseline"/>
                <w:lang w:val="en-US" w:eastAsia="zh-CN"/>
              </w:rPr>
              <w:t>1389787.00</w:t>
            </w:r>
          </w:p>
        </w:tc>
        <w:tc>
          <w:tcPr>
            <w:tcW w:w="1796" w:type="dxa"/>
            <w:vAlign w:val="center"/>
          </w:tcPr>
          <w:p w14:paraId="3473319F">
            <w:pPr>
              <w:pStyle w:val="3"/>
              <w:jc w:val="center"/>
              <w:rPr>
                <w:rFonts w:hint="eastAsia"/>
                <w:sz w:val="24"/>
                <w:szCs w:val="32"/>
                <w:vertAlign w:val="baseline"/>
              </w:rPr>
            </w:pPr>
            <w:r>
              <w:rPr>
                <w:rFonts w:hint="eastAsia"/>
                <w:sz w:val="24"/>
                <w:szCs w:val="32"/>
                <w:vertAlign w:val="baseline"/>
                <w:lang w:val="en-US" w:eastAsia="zh-CN"/>
              </w:rPr>
              <w:t>1389787.00</w:t>
            </w:r>
          </w:p>
        </w:tc>
      </w:tr>
    </w:tbl>
    <w:p w14:paraId="6D7228BA">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6、项目</w:t>
      </w:r>
      <w:r>
        <w:rPr>
          <w:rFonts w:hint="eastAsia" w:ascii="宋体" w:hAnsi="宋体" w:eastAsia="宋体" w:cs="宋体"/>
          <w:color w:val="auto"/>
          <w:sz w:val="24"/>
          <w:szCs w:val="24"/>
        </w:rPr>
        <w:t>概况</w:t>
      </w:r>
      <w:r>
        <w:rPr>
          <w:rFonts w:hint="eastAsia" w:ascii="宋体" w:hAnsi="宋体" w:eastAsia="宋体" w:cs="宋体"/>
          <w:color w:val="auto"/>
          <w:sz w:val="24"/>
          <w:szCs w:val="24"/>
          <w:lang w:eastAsia="zh-CN"/>
        </w:rPr>
        <w:t>：本项目位于市科技馆第三主题展区，净面积473.66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。主要建设内容为拆除原有隔墙、地面、天棚，新建地胶楼地面、石膏板隔墙、石膏板吊顶及广告牌等，以及设备安装工程；</w:t>
      </w:r>
    </w:p>
    <w:p w14:paraId="510851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7、招标</w:t>
      </w:r>
      <w:r>
        <w:rPr>
          <w:rFonts w:hint="eastAsia" w:ascii="宋体" w:hAnsi="宋体" w:eastAsia="宋体" w:cs="宋体"/>
          <w:color w:val="auto"/>
          <w:sz w:val="24"/>
          <w:szCs w:val="24"/>
        </w:rPr>
        <w:t>范围：</w:t>
      </w:r>
    </w:p>
    <w:p w14:paraId="5E3E353E">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sz w:val="24"/>
          <w:szCs w:val="24"/>
          <w:lang w:val="en-US" w:eastAsia="zh-CN"/>
        </w:rPr>
        <w:t>一标段：招标文件及建筑与装饰工程、安装工程的全部内容</w:t>
      </w:r>
      <w:r>
        <w:rPr>
          <w:rFonts w:hint="eastAsia" w:ascii="宋体" w:hAnsi="宋体" w:eastAsia="宋体" w:cs="宋体"/>
          <w:color w:val="auto"/>
          <w:sz w:val="24"/>
          <w:szCs w:val="24"/>
        </w:rPr>
        <w:t>；</w:t>
      </w:r>
    </w:p>
    <w:p w14:paraId="10F2DCF9">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二标段：招标文件及设备安装工程的全部内容</w:t>
      </w:r>
      <w:r>
        <w:rPr>
          <w:rFonts w:hint="eastAsia" w:ascii="宋体" w:hAnsi="宋体" w:eastAsia="宋体" w:cs="宋体"/>
          <w:color w:val="auto"/>
          <w:sz w:val="24"/>
          <w:szCs w:val="24"/>
          <w:lang w:eastAsia="zh-CN"/>
        </w:rPr>
        <w:t>；</w:t>
      </w:r>
    </w:p>
    <w:p w14:paraId="1EF3F8E5">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8、项目</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r>
        <w:rPr>
          <w:rFonts w:hint="eastAsia" w:ascii="宋体" w:hAnsi="宋体" w:eastAsia="宋体" w:cs="宋体"/>
          <w:color w:val="auto"/>
          <w:sz w:val="24"/>
          <w:szCs w:val="24"/>
        </w:rPr>
        <w:t>；</w:t>
      </w:r>
    </w:p>
    <w:p w14:paraId="25152E20">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9、一标段工期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自合同签订后90</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二标段交货及安装期：自合同签订后90日历天；</w:t>
      </w:r>
    </w:p>
    <w:p w14:paraId="69F92A58">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10、质量标准：</w:t>
      </w:r>
    </w:p>
    <w:p w14:paraId="52E2DA09">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一标段：符合国家现行建设工程施工质量验收规范合格标准；</w:t>
      </w:r>
    </w:p>
    <w:p w14:paraId="035BB634">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二标段：合格，符合国家及行业标准；</w:t>
      </w:r>
    </w:p>
    <w:p w14:paraId="434BC6A4">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质保期：执行国家相关保修期限的规定；</w:t>
      </w:r>
    </w:p>
    <w:p w14:paraId="0E4819CD">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标段划分：本项目</w:t>
      </w:r>
      <w:r>
        <w:rPr>
          <w:rFonts w:hint="eastAsia" w:ascii="宋体" w:hAnsi="宋体" w:eastAsia="宋体" w:cs="宋体"/>
          <w:color w:val="auto"/>
          <w:sz w:val="24"/>
          <w:szCs w:val="24"/>
          <w:lang w:val="en-US" w:eastAsia="zh-CN"/>
        </w:rPr>
        <w:t>划分2个标段</w:t>
      </w:r>
      <w:r>
        <w:rPr>
          <w:rFonts w:hint="eastAsia" w:ascii="宋体" w:hAnsi="宋体" w:eastAsia="宋体" w:cs="宋体"/>
          <w:color w:val="auto"/>
          <w:sz w:val="24"/>
          <w:szCs w:val="24"/>
          <w:lang w:eastAsia="zh-CN"/>
        </w:rPr>
        <w:t>；</w:t>
      </w:r>
    </w:p>
    <w:p w14:paraId="78C87F7C">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13、本项目是否接受联合体投标：否；</w:t>
      </w:r>
    </w:p>
    <w:p w14:paraId="19ECF2BB">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14、是否接受进口产品：否。</w:t>
      </w:r>
    </w:p>
    <w:p w14:paraId="6CCDF541">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资格要求</w:t>
      </w:r>
    </w:p>
    <w:p w14:paraId="7B596334">
      <w:pPr>
        <w:spacing w:line="360" w:lineRule="auto"/>
        <w:ind w:firstLine="487" w:firstLineChars="202"/>
        <w:rPr>
          <w:rFonts w:hint="eastAsia" w:ascii="宋体" w:hAnsi="宋体" w:eastAsia="宋体" w:cs="宋体"/>
          <w:b/>
          <w:bCs/>
          <w:color w:val="auto"/>
          <w:sz w:val="24"/>
          <w:szCs w:val="24"/>
          <w:lang w:val="en-US" w:eastAsia="zh-CN"/>
        </w:rPr>
      </w:pPr>
      <w:bookmarkStart w:id="4" w:name="_Toc4460"/>
      <w:bookmarkStart w:id="5" w:name="_Toc524622265"/>
      <w:bookmarkStart w:id="6" w:name="_Toc524622267"/>
      <w:bookmarkStart w:id="7" w:name="_Toc20281"/>
      <w:bookmarkStart w:id="8" w:name="_Toc528051171"/>
      <w:bookmarkStart w:id="9" w:name="_Toc528057047"/>
      <w:bookmarkStart w:id="10" w:name="_Toc30420"/>
      <w:bookmarkStart w:id="11" w:name="_Toc1168"/>
      <w:bookmarkStart w:id="12" w:name="_Toc528057036"/>
      <w:bookmarkStart w:id="13" w:name="_Toc528051182"/>
      <w:bookmarkStart w:id="14" w:name="_Toc1160"/>
      <w:r>
        <w:rPr>
          <w:rFonts w:hint="eastAsia" w:ascii="宋体" w:hAnsi="宋体" w:eastAsia="宋体" w:cs="宋体"/>
          <w:b/>
          <w:bCs/>
          <w:color w:val="auto"/>
          <w:sz w:val="24"/>
          <w:szCs w:val="24"/>
          <w:lang w:val="en-US" w:eastAsia="zh-CN"/>
        </w:rPr>
        <w:t>（一标段）</w:t>
      </w:r>
    </w:p>
    <w:bookmarkEnd w:id="4"/>
    <w:bookmarkEnd w:id="5"/>
    <w:bookmarkEnd w:id="6"/>
    <w:bookmarkEnd w:id="7"/>
    <w:bookmarkEnd w:id="8"/>
    <w:bookmarkEnd w:id="9"/>
    <w:bookmarkEnd w:id="10"/>
    <w:bookmarkEnd w:id="11"/>
    <w:bookmarkEnd w:id="12"/>
    <w:bookmarkEnd w:id="13"/>
    <w:bookmarkEnd w:id="14"/>
    <w:p w14:paraId="4DA8CC13">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1、供应商必须是在中华人民共和国境内注册的能够独立承担民事责任的独立法人，具有有效的营业执照；</w:t>
      </w:r>
    </w:p>
    <w:p w14:paraId="588B70EE">
      <w:pPr>
        <w:spacing w:line="360" w:lineRule="auto"/>
        <w:ind w:firstLine="484" w:firstLineChars="202"/>
        <w:rPr>
          <w:rFonts w:hint="default" w:eastAsia="宋体"/>
          <w:lang w:val="en-US" w:eastAsia="zh-CN"/>
        </w:rPr>
      </w:pPr>
      <w:bookmarkStart w:id="15" w:name="_Toc528051172"/>
      <w:bookmarkStart w:id="16" w:name="_Toc19525"/>
      <w:bookmarkStart w:id="17" w:name="_Toc528057037"/>
      <w:bookmarkStart w:id="18" w:name="_Toc29172"/>
      <w:bookmarkStart w:id="19" w:name="_Toc528051173"/>
      <w:bookmarkStart w:id="20" w:name="_Toc28844"/>
      <w:bookmarkStart w:id="21" w:name="_Toc25061"/>
      <w:bookmarkStart w:id="22" w:name="_Toc5339"/>
      <w:bookmarkStart w:id="23" w:name="_Toc23029"/>
      <w:bookmarkStart w:id="24" w:name="_Toc528057038"/>
      <w:bookmarkStart w:id="25" w:name="_Toc11085"/>
      <w:bookmarkStart w:id="26" w:name="_Toc15351"/>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落实政府采购政策满足的资格要求：</w:t>
      </w:r>
      <w:r>
        <w:rPr>
          <w:rFonts w:hint="eastAsia" w:asciiTheme="minorEastAsia" w:hAnsiTheme="minorEastAsia" w:eastAsiaTheme="minorEastAsia"/>
          <w:color w:val="auto"/>
          <w:sz w:val="24"/>
          <w:szCs w:val="24"/>
          <w:highlight w:val="none"/>
          <w:lang w:eastAsia="zh-CN"/>
        </w:rPr>
        <w:t>本项目非专门面向中小微企业采购项目，执行促进中小型企业发展政策（残疾人福利性企业、监狱企业视同小微企业）、优先采购节能环保产品等政府采购政策。</w:t>
      </w:r>
    </w:p>
    <w:p w14:paraId="03CA881B">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须具有建筑工程施工总承包叁级（含叁级）及以上资质或建筑装修装饰工程专业承包贰级（含贰级）及以上资质且具有效的安全生产许可证，并在人员、设备、资金等方面具有相应的施工能力（提供承诺书或证明材料，承诺书格式自拟）；</w:t>
      </w:r>
    </w:p>
    <w:bookmarkEnd w:id="15"/>
    <w:bookmarkEnd w:id="16"/>
    <w:bookmarkEnd w:id="17"/>
    <w:bookmarkEnd w:id="18"/>
    <w:bookmarkEnd w:id="19"/>
    <w:bookmarkEnd w:id="20"/>
    <w:bookmarkEnd w:id="21"/>
    <w:bookmarkEnd w:id="22"/>
    <w:bookmarkEnd w:id="23"/>
    <w:bookmarkEnd w:id="24"/>
    <w:bookmarkEnd w:id="25"/>
    <w:bookmarkEnd w:id="26"/>
    <w:p w14:paraId="099604F5">
      <w:pPr>
        <w:spacing w:line="360" w:lineRule="auto"/>
        <w:ind w:firstLine="480" w:firstLineChars="200"/>
        <w:rPr>
          <w:rFonts w:hint="eastAsia" w:ascii="宋体" w:hAnsi="宋体" w:eastAsia="宋体" w:cs="宋体"/>
          <w:color w:val="auto"/>
          <w:sz w:val="24"/>
          <w:szCs w:val="24"/>
          <w:highlight w:val="none"/>
          <w:lang w:val="en-US" w:eastAsia="zh-CN"/>
        </w:rPr>
      </w:pPr>
      <w:bookmarkStart w:id="27" w:name="_Toc31847"/>
      <w:bookmarkStart w:id="28" w:name="_Toc25787"/>
      <w:bookmarkStart w:id="29" w:name="_Toc19362"/>
      <w:bookmarkStart w:id="30" w:name="_Toc27709"/>
      <w:bookmarkStart w:id="31" w:name="_Toc26141"/>
      <w:bookmarkStart w:id="32" w:name="_Toc528057042"/>
      <w:bookmarkStart w:id="33" w:name="_Toc2303"/>
      <w:bookmarkStart w:id="34" w:name="_Toc528051177"/>
      <w:bookmarkStart w:id="35" w:name="_Toc18362"/>
      <w:bookmarkStart w:id="36" w:name="_Toc21850"/>
      <w:r>
        <w:rPr>
          <w:rFonts w:hint="eastAsia" w:ascii="宋体" w:hAnsi="宋体" w:eastAsia="宋体" w:cs="宋体"/>
          <w:color w:val="auto"/>
          <w:sz w:val="24"/>
          <w:szCs w:val="24"/>
          <w:lang w:val="en-US" w:eastAsia="zh-CN"/>
        </w:rPr>
        <w:t>4、供应商拟派项目经理应具备建筑工程专业贰级及以上注册建造师资格，具有有效</w:t>
      </w:r>
      <w:r>
        <w:rPr>
          <w:rFonts w:hint="eastAsia" w:ascii="宋体" w:hAnsi="宋体" w:eastAsia="宋体" w:cs="宋体"/>
          <w:color w:val="auto"/>
          <w:sz w:val="24"/>
          <w:szCs w:val="24"/>
          <w:highlight w:val="none"/>
          <w:lang w:val="en-US" w:eastAsia="zh-CN"/>
        </w:rPr>
        <w:t>的安全生产考核合格证，养老保险缴纳证明（提供承诺书或证明材料，承诺书格式自拟）；且未在其他在建项目中担任项目经理，出具无在建承诺书，格式自拟；</w:t>
      </w:r>
    </w:p>
    <w:p w14:paraId="4A786472">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具有良好的商业信誉和健全的财务会计制度（提供承诺书或证明材料，承诺书格式自拟）；</w:t>
      </w:r>
    </w:p>
    <w:p w14:paraId="5026FBE3">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bookmarkEnd w:id="27"/>
      <w:bookmarkEnd w:id="28"/>
      <w:bookmarkEnd w:id="29"/>
      <w:bookmarkEnd w:id="30"/>
      <w:bookmarkEnd w:id="31"/>
      <w:bookmarkEnd w:id="32"/>
      <w:bookmarkEnd w:id="33"/>
      <w:bookmarkEnd w:id="34"/>
      <w:bookmarkEnd w:id="35"/>
      <w:bookmarkEnd w:id="36"/>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highlight w:val="none"/>
          <w:lang w:eastAsia="zh-CN"/>
        </w:rPr>
        <w:t>；</w:t>
      </w:r>
    </w:p>
    <w:p w14:paraId="7FCA1F00">
      <w:pPr>
        <w:pStyle w:val="15"/>
        <w:spacing w:line="360" w:lineRule="auto"/>
        <w:ind w:left="0" w:leftChars="0" w:firstLine="480" w:firstLineChars="200"/>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7、供应商</w:t>
      </w:r>
      <w:r>
        <w:rPr>
          <w:rFonts w:hint="eastAsia" w:ascii="宋体" w:hAnsi="宋体" w:eastAsia="宋体" w:cs="宋体"/>
          <w:color w:val="auto"/>
          <w:kern w:val="0"/>
          <w:sz w:val="24"/>
          <w:szCs w:val="24"/>
          <w:highlight w:val="none"/>
          <w:lang w:val="en-US" w:eastAsia="zh-CN" w:bidi="ar-SA"/>
        </w:rPr>
        <w:t>出具无行贿犯罪记录在中国裁判文书网自行查询或自行承诺（查询/承诺对象：企业、法定代表人），查询日期必须在本项目招标公告发布之日后，查询截图需显示查询时间；</w:t>
      </w:r>
    </w:p>
    <w:p w14:paraId="26D3240A">
      <w:pPr>
        <w:spacing w:line="360" w:lineRule="auto"/>
        <w:ind w:firstLine="484" w:firstLineChars="202"/>
        <w:rPr>
          <w:rFonts w:hint="eastAsia" w:ascii="宋体" w:hAnsi="宋体" w:eastAsia="宋体" w:cs="宋体"/>
          <w:color w:val="auto"/>
          <w:sz w:val="24"/>
          <w:szCs w:val="24"/>
          <w:highlight w:val="none"/>
        </w:rPr>
      </w:pPr>
      <w:bookmarkStart w:id="37" w:name="_Toc16817"/>
      <w:bookmarkStart w:id="38" w:name="_Toc24426"/>
      <w:bookmarkStart w:id="39" w:name="_Toc528051179"/>
      <w:bookmarkStart w:id="40" w:name="_Toc8049"/>
      <w:bookmarkStart w:id="41" w:name="_Toc528057044"/>
      <w:bookmarkStart w:id="42" w:name="_Toc3725"/>
      <w:bookmarkStart w:id="43" w:name="_Toc2196"/>
      <w:bookmarkStart w:id="44" w:name="_Toc17502"/>
      <w:bookmarkStart w:id="45" w:name="_Toc31941"/>
      <w:bookmarkStart w:id="46" w:name="_Toc16304"/>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highlight w:val="none"/>
        </w:rPr>
        <w:t>；</w:t>
      </w:r>
    </w:p>
    <w:p w14:paraId="3FC65D1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highlight w:val="none"/>
          <w:lang w:val="en-US" w:eastAsia="zh-CN"/>
        </w:rPr>
      </w:pPr>
      <w:r>
        <w:rPr>
          <w:rFonts w:hint="eastAsia" w:ascii="宋体" w:hAnsi="宋体" w:eastAsia="宋体" w:cs="宋体"/>
          <w:color w:val="auto"/>
          <w:sz w:val="24"/>
          <w:szCs w:val="24"/>
          <w:highlight w:val="none"/>
          <w:lang w:val="en-US" w:eastAsia="zh-CN"/>
        </w:rPr>
        <w:t>9、</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bookmarkEnd w:id="37"/>
    <w:bookmarkEnd w:id="38"/>
    <w:bookmarkEnd w:id="39"/>
    <w:bookmarkEnd w:id="40"/>
    <w:bookmarkEnd w:id="41"/>
    <w:bookmarkEnd w:id="42"/>
    <w:bookmarkEnd w:id="43"/>
    <w:bookmarkEnd w:id="44"/>
    <w:bookmarkEnd w:id="45"/>
    <w:bookmarkEnd w:id="46"/>
    <w:p w14:paraId="1036E4F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（提供非联合体承诺书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7BDE0A0">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kern w:val="0"/>
          <w:sz w:val="24"/>
          <w:szCs w:val="28"/>
          <w:highlight w:val="none"/>
          <w:lang w:val="en-US" w:eastAsia="zh-CN"/>
        </w:rPr>
        <w:t>11</w:t>
      </w:r>
      <w:r>
        <w:rPr>
          <w:rFonts w:hint="eastAsia" w:ascii="宋体" w:hAnsi="宋体" w:cs="宋体"/>
          <w:kern w:val="0"/>
          <w:sz w:val="24"/>
          <w:szCs w:val="28"/>
          <w:highlight w:val="none"/>
        </w:rPr>
        <w:t>、本次招标实行资格后审，资格审查的具体要求见招标文件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资格后审</w:t>
      </w:r>
      <w:r>
        <w:rPr>
          <w:rFonts w:hint="eastAsia" w:ascii="宋体" w:hAnsi="宋体" w:eastAsia="宋体" w:cs="宋体"/>
          <w:color w:val="auto"/>
          <w:sz w:val="24"/>
          <w:szCs w:val="24"/>
          <w:highlight w:val="none"/>
        </w:rPr>
        <w:t>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r>
        <w:rPr>
          <w:rFonts w:hint="eastAsia" w:ascii="宋体" w:hAnsi="宋体" w:cs="宋体"/>
          <w:kern w:val="0"/>
          <w:sz w:val="24"/>
          <w:szCs w:val="28"/>
          <w:highlight w:val="none"/>
        </w:rPr>
        <w:t>。</w:t>
      </w:r>
      <w:r>
        <w:rPr>
          <w:rFonts w:hint="eastAsia" w:ascii="宋体" w:hAnsi="宋体" w:eastAsia="宋体" w:cs="宋体"/>
          <w:color w:val="auto"/>
          <w:sz w:val="24"/>
          <w:szCs w:val="24"/>
          <w:highlight w:val="none"/>
        </w:rPr>
        <w:t xml:space="preserve"> </w:t>
      </w:r>
    </w:p>
    <w:p w14:paraId="41592678">
      <w:pPr>
        <w:widowControl/>
        <w:spacing w:line="48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二标段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62D41747">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1、供应商必须是在中华人民共和国境内注册的能够独立承担民事责任的独立法人，具有有效的营业执照；</w:t>
      </w:r>
    </w:p>
    <w:p w14:paraId="5DE77E0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2、落实政府采购政策满足的资格要求：本项目非专门面向中小微企业采购项目，执行促进中小型企业发展政策（残疾人福利性企业、监狱企业视同小微企业）、优先采购节能环保产品等政府采购政策；</w:t>
      </w:r>
    </w:p>
    <w:p w14:paraId="33903F2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3、供应商须具有履行合同所必须的设备、人员和专业技术能力；（提供承诺书或证明材料，承诺书格式自拟）；</w:t>
      </w:r>
    </w:p>
    <w:p w14:paraId="54506528">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4、供应商具有良好的商业信誉和健全的财务会计制度（提供承诺书或证明材料，承诺书格式自拟）；</w:t>
      </w:r>
    </w:p>
    <w:p w14:paraId="0DA56282">
      <w:pPr>
        <w:spacing w:line="360" w:lineRule="auto"/>
        <w:ind w:firstLine="484" w:firstLineChars="20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5、供应商具有依法缴纳税收和社会保障资金的良好记录</w:t>
      </w:r>
      <w:r>
        <w:rPr>
          <w:rFonts w:hint="eastAsia" w:ascii="宋体" w:hAnsi="宋体" w:eastAsia="宋体" w:cs="宋体"/>
          <w:color w:val="auto"/>
          <w:sz w:val="24"/>
          <w:szCs w:val="24"/>
          <w:highlight w:val="none"/>
          <w:lang w:val="en-US" w:eastAsia="zh-CN"/>
        </w:rPr>
        <w:t>（提供承诺书或证明材料，承诺书格式自拟）</w:t>
      </w:r>
      <w:r>
        <w:rPr>
          <w:rFonts w:hint="eastAsia" w:ascii="宋体" w:hAnsi="宋体" w:eastAsia="宋体" w:cs="宋体"/>
          <w:color w:val="000000"/>
          <w:sz w:val="24"/>
          <w:szCs w:val="24"/>
          <w:highlight w:val="none"/>
          <w:lang w:val="en-US" w:eastAsia="zh-CN"/>
        </w:rPr>
        <w:t>；拟派项目负责人</w:t>
      </w:r>
      <w:r>
        <w:rPr>
          <w:rFonts w:hint="eastAsia" w:ascii="宋体" w:hAnsi="宋体" w:eastAsia="宋体" w:cs="宋体"/>
          <w:color w:val="auto"/>
          <w:sz w:val="24"/>
          <w:szCs w:val="24"/>
          <w:highlight w:val="none"/>
          <w:lang w:val="en-US" w:eastAsia="zh-CN"/>
        </w:rPr>
        <w:t>养老保险缴纳证明（提供承诺书或证明材料，承诺书格式自拟）</w:t>
      </w:r>
      <w:r>
        <w:rPr>
          <w:rFonts w:hint="eastAsia" w:ascii="宋体" w:hAnsi="宋体" w:eastAsia="宋体" w:cs="宋体"/>
          <w:color w:val="000000"/>
          <w:sz w:val="24"/>
          <w:szCs w:val="24"/>
          <w:highlight w:val="none"/>
          <w:lang w:val="en-US" w:eastAsia="zh-CN"/>
        </w:rPr>
        <w:t>；</w:t>
      </w:r>
    </w:p>
    <w:p w14:paraId="0884E41E">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lang w:eastAsia="zh-CN"/>
        </w:rPr>
        <w:t>；</w:t>
      </w:r>
    </w:p>
    <w:p w14:paraId="6A4910F9">
      <w:pPr>
        <w:pStyle w:val="15"/>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7、供应商</w:t>
      </w:r>
      <w:r>
        <w:rPr>
          <w:rFonts w:hint="eastAsia" w:ascii="宋体" w:hAnsi="宋体" w:eastAsia="宋体" w:cs="宋体"/>
          <w:color w:val="auto"/>
          <w:kern w:val="0"/>
          <w:sz w:val="24"/>
          <w:szCs w:val="24"/>
          <w:lang w:val="en-US" w:eastAsia="zh-CN" w:bidi="ar-SA"/>
        </w:rPr>
        <w:t>出具无行贿犯罪记录在中国裁判文书网自行查询或自行承诺（查询/承诺对象：企业、法定代表人），查询日期必须在本项目招标公告发布之日后，查询截图需显示查询时间；</w:t>
      </w:r>
    </w:p>
    <w:p w14:paraId="15FF68BD">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rPr>
        <w:t>；</w:t>
      </w:r>
    </w:p>
    <w:p w14:paraId="6D9BDDD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lang w:val="en-US" w:eastAsia="zh-CN"/>
        </w:rPr>
      </w:pPr>
      <w:r>
        <w:rPr>
          <w:rFonts w:hint="eastAsia" w:ascii="宋体" w:hAnsi="宋体" w:eastAsia="宋体" w:cs="宋体"/>
          <w:color w:val="auto"/>
          <w:sz w:val="24"/>
          <w:szCs w:val="24"/>
          <w:lang w:val="en-US" w:eastAsia="zh-CN"/>
        </w:rPr>
        <w:t>9、</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4B14C5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（提供非联合体承诺书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710C256A">
      <w:pPr>
        <w:widowControl/>
        <w:spacing w:line="480" w:lineRule="exact"/>
        <w:ind w:firstLine="480" w:firstLineChars="200"/>
        <w:jc w:val="left"/>
        <w:rPr>
          <w:rFonts w:hint="eastAsia" w:ascii="宋体" w:hAnsi="宋体" w:eastAsia="宋体" w:cs="宋体"/>
          <w:color w:val="auto"/>
          <w:sz w:val="24"/>
          <w:szCs w:val="24"/>
        </w:rPr>
      </w:pPr>
      <w:r>
        <w:rPr>
          <w:rFonts w:hint="eastAsia" w:ascii="宋体" w:hAnsi="宋体" w:cs="宋体"/>
          <w:kern w:val="0"/>
          <w:sz w:val="24"/>
          <w:szCs w:val="28"/>
          <w:lang w:val="en-US" w:eastAsia="zh-CN"/>
        </w:rPr>
        <w:t>11</w:t>
      </w:r>
      <w:r>
        <w:rPr>
          <w:rFonts w:hint="eastAsia" w:ascii="宋体" w:hAnsi="宋体" w:cs="宋体"/>
          <w:kern w:val="0"/>
          <w:sz w:val="24"/>
          <w:szCs w:val="28"/>
        </w:rPr>
        <w:t>、本次招标实行资格后审，资格审查的具体要求见招标文件</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资格后审</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cs="宋体"/>
          <w:kern w:val="0"/>
          <w:sz w:val="24"/>
          <w:szCs w:val="28"/>
        </w:rPr>
        <w:t>。</w:t>
      </w:r>
      <w:r>
        <w:rPr>
          <w:rFonts w:hint="eastAsia" w:ascii="宋体" w:hAnsi="宋体" w:eastAsia="宋体" w:cs="宋体"/>
          <w:color w:val="auto"/>
          <w:sz w:val="24"/>
          <w:szCs w:val="24"/>
        </w:rPr>
        <w:t xml:space="preserve">  </w:t>
      </w:r>
    </w:p>
    <w:p w14:paraId="2405F764">
      <w:pPr>
        <w:widowControl/>
        <w:spacing w:line="480" w:lineRule="exact"/>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注：本次</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可以投报多个标段，但只能按正顺序中一个标段。</w:t>
      </w:r>
      <w:r>
        <w:rPr>
          <w:rFonts w:hint="eastAsia" w:ascii="宋体" w:hAnsi="宋体" w:eastAsia="宋体" w:cs="宋体"/>
          <w:color w:val="auto"/>
          <w:sz w:val="24"/>
          <w:szCs w:val="24"/>
        </w:rPr>
        <w:t xml:space="preserve">                                                        </w:t>
      </w:r>
    </w:p>
    <w:p w14:paraId="6B91CC01">
      <w:pPr>
        <w:spacing w:line="360" w:lineRule="auto"/>
        <w:ind w:firstLine="482" w:firstLineChars="200"/>
        <w:rPr>
          <w:rFonts w:ascii="宋体" w:hAnsi="宋体" w:cs="Times New Roman"/>
          <w:b/>
          <w:sz w:val="24"/>
          <w:szCs w:val="24"/>
        </w:rPr>
      </w:pPr>
      <w:bookmarkStart w:id="47" w:name="_Toc518840739"/>
      <w:bookmarkStart w:id="48" w:name="_Toc20887"/>
      <w:bookmarkStart w:id="49" w:name="_Toc513818619"/>
      <w:bookmarkStart w:id="50" w:name="_Toc518840700"/>
      <w:r>
        <w:rPr>
          <w:rFonts w:hint="eastAsia" w:ascii="宋体" w:hAnsi="宋体" w:cs="Times New Roman"/>
          <w:b/>
          <w:sz w:val="24"/>
          <w:szCs w:val="24"/>
          <w:lang w:val="en-US" w:eastAsia="zh-CN"/>
        </w:rPr>
        <w:t>四、</w:t>
      </w:r>
      <w:r>
        <w:rPr>
          <w:rFonts w:ascii="宋体" w:hAnsi="宋体" w:cs="Times New Roman"/>
          <w:b/>
          <w:sz w:val="24"/>
          <w:szCs w:val="24"/>
        </w:rPr>
        <w:t>招标文件的获取</w:t>
      </w:r>
    </w:p>
    <w:p w14:paraId="647FB54E">
      <w:pPr>
        <w:spacing w:line="360" w:lineRule="auto"/>
        <w:ind w:firstLine="480" w:firstLineChars="200"/>
        <w:rPr>
          <w:rFonts w:hint="eastAsia" w:ascii="宋体" w:hAnsi="宋体" w:eastAsia="宋体" w:cs="宋体"/>
          <w:color w:val="auto"/>
          <w:sz w:val="24"/>
          <w:szCs w:val="24"/>
          <w:highlight w:val="none"/>
        </w:rPr>
      </w:pPr>
      <w:bookmarkStart w:id="51" w:name="_Toc247513938"/>
      <w:bookmarkStart w:id="52" w:name="_Toc247527539"/>
      <w:bookmarkStart w:id="53" w:name="_Toc152045516"/>
      <w:bookmarkStart w:id="54" w:name="_Toc144974484"/>
      <w:bookmarkStart w:id="55" w:name="_Toc152042292"/>
      <w:r>
        <w:rPr>
          <w:rFonts w:hint="eastAsia" w:ascii="宋体" w:hAnsi="宋体" w:eastAsia="宋体" w:cs="宋体"/>
          <w:color w:val="auto"/>
          <w:sz w:val="24"/>
          <w:szCs w:val="24"/>
          <w:highlight w:val="none"/>
          <w:lang w:val="en-US" w:eastAsia="zh-CN"/>
        </w:rPr>
        <w:t>1、招标文件下载</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分（北京时间，法定节假日除外。）</w:t>
      </w:r>
    </w:p>
    <w:p w14:paraId="090FF3C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地点：三门峡市公共资源交易平台（网址：http://gzjy.smx.gov.cn/）</w:t>
      </w:r>
    </w:p>
    <w:p w14:paraId="4B25CC86">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方式：</w:t>
      </w:r>
      <w:r>
        <w:rPr>
          <w:rFonts w:hint="eastAsia" w:ascii="宋体" w:hAnsi="宋体" w:cs="宋体"/>
          <w:sz w:val="24"/>
          <w:szCs w:val="24"/>
          <w:lang w:eastAsia="zh-CN"/>
        </w:rPr>
        <w:t>供应商</w:t>
      </w:r>
      <w:r>
        <w:rPr>
          <w:rFonts w:hint="eastAsia" w:ascii="宋体" w:hAnsi="宋体" w:cs="宋体"/>
          <w:sz w:val="24"/>
          <w:szCs w:val="24"/>
        </w:rPr>
        <w:t>凭CA数字证书通过三门峡市公共资源交易中心网（网址：http://gzjy.smx.gov.cn/），点击交易平台选择“市场主体登录”，在所参与项目右侧点击参与投标，即可直接下载本项目招标文件及其相关资料。本项目为全电子招标，不再收取招标文件费用。</w:t>
      </w:r>
    </w:p>
    <w:p w14:paraId="385B9152">
      <w:pPr>
        <w:spacing w:line="360" w:lineRule="auto"/>
        <w:ind w:firstLine="480" w:firstLineChars="200"/>
        <w:rPr>
          <w:rFonts w:ascii="宋体" w:hAnsi="宋体" w:cs="宋体"/>
          <w:sz w:val="24"/>
          <w:szCs w:val="24"/>
        </w:rPr>
      </w:pPr>
      <w:r>
        <w:rPr>
          <w:rFonts w:hint="eastAsia" w:ascii="宋体" w:hAnsi="宋体" w:cs="宋体"/>
          <w:sz w:val="24"/>
          <w:szCs w:val="24"/>
        </w:rPr>
        <w:t>具体操作请查看以下链接：</w:t>
      </w:r>
    </w:p>
    <w:p w14:paraId="65C0C027">
      <w:pPr>
        <w:spacing w:line="360" w:lineRule="auto"/>
        <w:ind w:firstLine="480" w:firstLineChars="200"/>
        <w:rPr>
          <w:rFonts w:ascii="宋体" w:hAnsi="宋体" w:cs="宋体"/>
          <w:sz w:val="24"/>
          <w:szCs w:val="24"/>
        </w:rPr>
      </w:pPr>
      <w:r>
        <w:rPr>
          <w:rFonts w:hint="eastAsia" w:ascii="宋体" w:hAnsi="宋体" w:cs="宋体"/>
          <w:sz w:val="24"/>
          <w:szCs w:val="24"/>
        </w:rPr>
        <w:t>三门峡市公共资源交易平台操作手册：</w:t>
      </w:r>
    </w:p>
    <w:p w14:paraId="4908B9A2">
      <w:pPr>
        <w:spacing w:line="360" w:lineRule="auto"/>
        <w:ind w:firstLine="480" w:firstLineChars="200"/>
        <w:rPr>
          <w:rFonts w:ascii="宋体" w:hAnsi="宋体" w:cs="宋体"/>
          <w:color w:val="000000"/>
          <w:sz w:val="24"/>
          <w:szCs w:val="24"/>
          <w:u w:val="none"/>
        </w:rPr>
      </w:pPr>
      <w:r>
        <w:rPr>
          <w:color w:val="000000"/>
          <w:sz w:val="24"/>
          <w:szCs w:val="24"/>
          <w:u w:val="none"/>
        </w:rPr>
        <w:fldChar w:fldCharType="begin"/>
      </w:r>
      <w:r>
        <w:rPr>
          <w:color w:val="000000"/>
          <w:sz w:val="24"/>
          <w:szCs w:val="24"/>
          <w:u w:val="none"/>
        </w:rPr>
        <w:instrText xml:space="preserve"> HYPERLINK "http://gzjy.smx.gov.cn/fwzn/004003/20200325/b13aa3fa-a543-403f-b537-82cb417132bd.html" </w:instrText>
      </w:r>
      <w:r>
        <w:rPr>
          <w:color w:val="000000"/>
          <w:sz w:val="24"/>
          <w:szCs w:val="24"/>
          <w:u w:val="none"/>
        </w:rPr>
        <w:fldChar w:fldCharType="separate"/>
      </w:r>
      <w:r>
        <w:rPr>
          <w:rFonts w:hint="eastAsia" w:ascii="宋体" w:hAnsi="宋体" w:cs="宋体"/>
          <w:color w:val="000000"/>
          <w:sz w:val="24"/>
          <w:szCs w:val="24"/>
          <w:u w:val="none"/>
        </w:rPr>
        <w:t>http://gzjy.smx.gov.cn/fwzn/004003/20200325/b13aa3fa-a543-403f-b537-82cb417132bd.html</w:t>
      </w:r>
      <w:r>
        <w:rPr>
          <w:rFonts w:hint="eastAsia" w:ascii="宋体" w:hAnsi="宋体" w:cs="宋体"/>
          <w:color w:val="000000"/>
          <w:sz w:val="24"/>
          <w:szCs w:val="24"/>
          <w:u w:val="none"/>
        </w:rPr>
        <w:fldChar w:fldCharType="end"/>
      </w:r>
    </w:p>
    <w:p w14:paraId="4BF34B18">
      <w:pPr>
        <w:spacing w:line="360" w:lineRule="auto"/>
        <w:ind w:firstLine="480" w:firstLineChars="200"/>
        <w:rPr>
          <w:rFonts w:ascii="宋体" w:hAnsi="宋体" w:cs="宋体"/>
          <w:sz w:val="24"/>
          <w:szCs w:val="24"/>
        </w:rPr>
      </w:pPr>
      <w:r>
        <w:rPr>
          <w:rFonts w:hint="eastAsia" w:ascii="宋体" w:hAnsi="宋体" w:cs="宋体"/>
          <w:sz w:val="24"/>
          <w:szCs w:val="24"/>
        </w:rPr>
        <w:t>办理CA证书：</w:t>
      </w:r>
    </w:p>
    <w:p w14:paraId="0CB6EE93">
      <w:pPr>
        <w:spacing w:line="360" w:lineRule="auto"/>
        <w:ind w:firstLine="480" w:firstLineChars="200"/>
        <w:rPr>
          <w:rFonts w:ascii="宋体" w:hAnsi="宋体" w:cs="宋体"/>
          <w:sz w:val="24"/>
          <w:szCs w:val="24"/>
        </w:rPr>
      </w:pPr>
      <w:r>
        <w:rPr>
          <w:rFonts w:ascii="宋体" w:hAnsi="宋体" w:cs="宋体"/>
          <w:sz w:val="24"/>
          <w:szCs w:val="24"/>
        </w:rPr>
        <w:t>http://gzjy.smx.gov.cn/bzzx/008001/20231102/4defc9b5-408e-47f2-9e9f-1f376a06ee1f.html</w:t>
      </w:r>
    </w:p>
    <w:p w14:paraId="36AE4E07">
      <w:pPr>
        <w:spacing w:line="360" w:lineRule="auto"/>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cs="宋体"/>
          <w:sz w:val="24"/>
          <w:szCs w:val="24"/>
        </w:rPr>
        <w:t>原因未能解密、解密失败或解密超时的将被拒绝。</w:t>
      </w:r>
    </w:p>
    <w:p w14:paraId="155E62C4">
      <w:pPr>
        <w:pStyle w:val="3"/>
        <w:ind w:firstLine="480" w:firstLineChars="200"/>
        <w:rPr>
          <w:rFonts w:hint="eastAsia" w:eastAsiaTheme="minorEastAsia"/>
          <w:lang w:val="en-US" w:eastAsia="zh-CN"/>
        </w:rPr>
      </w:pPr>
      <w:r>
        <w:rPr>
          <w:rFonts w:hint="eastAsia" w:ascii="宋体" w:hAnsi="宋体" w:cs="宋体"/>
          <w:sz w:val="24"/>
          <w:szCs w:val="24"/>
          <w:lang w:val="en-US" w:eastAsia="zh-CN"/>
        </w:rPr>
        <w:t>4、</w:t>
      </w:r>
      <w:r>
        <w:rPr>
          <w:rFonts w:hint="eastAsia" w:ascii="宋体" w:hAnsi="宋体"/>
          <w:color w:val="auto"/>
          <w:sz w:val="24"/>
          <w:szCs w:val="24"/>
          <w:highlight w:val="none"/>
        </w:rPr>
        <w:t>售价：0元</w:t>
      </w:r>
    </w:p>
    <w:p w14:paraId="60B086A5">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五</w:t>
      </w:r>
      <w:r>
        <w:rPr>
          <w:rFonts w:ascii="宋体" w:hAnsi="宋体" w:cs="Times New Roman"/>
          <w:b/>
          <w:sz w:val="24"/>
          <w:szCs w:val="24"/>
        </w:rPr>
        <w:t>、投标文件递交</w:t>
      </w:r>
      <w:bookmarkEnd w:id="51"/>
      <w:bookmarkEnd w:id="52"/>
      <w:bookmarkEnd w:id="53"/>
      <w:bookmarkEnd w:id="54"/>
      <w:bookmarkEnd w:id="55"/>
    </w:p>
    <w:p w14:paraId="71C1847E">
      <w:pPr>
        <w:spacing w:line="360" w:lineRule="auto"/>
        <w:ind w:firstLine="480" w:firstLineChars="200"/>
        <w:rPr>
          <w:rFonts w:ascii="宋体" w:hAnsi="宋体" w:cs="宋体"/>
          <w:sz w:val="24"/>
          <w:szCs w:val="24"/>
        </w:rPr>
      </w:pPr>
      <w:r>
        <w:rPr>
          <w:rFonts w:hint="eastAsia" w:ascii="宋体" w:hAnsi="宋体" w:cs="宋体"/>
          <w:sz w:val="24"/>
          <w:szCs w:val="24"/>
        </w:rPr>
        <w:t>本项目实行资格后审，审查内容以投标截止时间前在三门峡市公共资源交易中心网提交</w:t>
      </w:r>
      <w:r>
        <w:rPr>
          <w:rFonts w:hint="eastAsia" w:ascii="宋体" w:hAnsi="宋体" w:cs="宋体"/>
          <w:sz w:val="24"/>
          <w:szCs w:val="24"/>
          <w:lang w:eastAsia="zh-CN"/>
        </w:rPr>
        <w:t>招标</w:t>
      </w:r>
      <w:r>
        <w:rPr>
          <w:rFonts w:hint="eastAsia" w:ascii="宋体" w:hAnsi="宋体" w:cs="宋体"/>
          <w:sz w:val="24"/>
          <w:szCs w:val="24"/>
          <w:lang w:val="en-US" w:eastAsia="zh-CN"/>
        </w:rPr>
        <w:t>投标</w:t>
      </w:r>
      <w:r>
        <w:rPr>
          <w:rFonts w:hint="eastAsia" w:ascii="宋体" w:hAnsi="宋体" w:cs="宋体"/>
          <w:sz w:val="24"/>
          <w:szCs w:val="24"/>
        </w:rPr>
        <w:t>文件的信息为准。其上传资料真实性由供应商自行承担，同时，供应商要完善主体库。原件扫描件清晰可辨。否则，由此造成应得分而未得分或资格审查不合格等情况的，由供应商承担责任。</w:t>
      </w:r>
    </w:p>
    <w:bookmarkEnd w:id="47"/>
    <w:bookmarkEnd w:id="48"/>
    <w:bookmarkEnd w:id="49"/>
    <w:bookmarkEnd w:id="50"/>
    <w:p w14:paraId="695E4B14">
      <w:pPr>
        <w:spacing w:line="360" w:lineRule="auto"/>
        <w:ind w:firstLine="487" w:firstLineChars="202"/>
        <w:rPr>
          <w:rFonts w:hint="eastAsia" w:ascii="宋体" w:hAnsi="宋体" w:eastAsia="宋体" w:cs="宋体"/>
          <w:b/>
          <w:bCs/>
          <w:color w:val="auto"/>
          <w:sz w:val="24"/>
          <w:szCs w:val="24"/>
          <w:lang w:val="en-US" w:eastAsia="zh-CN"/>
        </w:rPr>
      </w:pPr>
      <w:bookmarkStart w:id="56" w:name="_Toc739"/>
      <w:bookmarkStart w:id="57" w:name="_Toc518840740"/>
      <w:bookmarkStart w:id="58" w:name="_Toc518840701"/>
      <w:bookmarkStart w:id="59" w:name="_Toc513818620"/>
      <w:r>
        <w:rPr>
          <w:rFonts w:hint="eastAsia" w:ascii="宋体" w:hAnsi="宋体" w:eastAsia="宋体" w:cs="宋体"/>
          <w:b/>
          <w:bCs/>
          <w:color w:val="auto"/>
          <w:sz w:val="24"/>
          <w:szCs w:val="24"/>
        </w:rPr>
        <w:t>六、</w:t>
      </w:r>
      <w:bookmarkEnd w:id="56"/>
      <w:bookmarkEnd w:id="57"/>
      <w:bookmarkEnd w:id="58"/>
      <w:bookmarkEnd w:id="59"/>
      <w:r>
        <w:rPr>
          <w:rFonts w:hint="eastAsia" w:ascii="宋体" w:hAnsi="宋体" w:eastAsia="宋体" w:cs="宋体"/>
          <w:b/>
          <w:bCs/>
          <w:color w:val="auto"/>
          <w:sz w:val="24"/>
          <w:szCs w:val="24"/>
          <w:lang w:val="en-US" w:eastAsia="zh-CN"/>
        </w:rPr>
        <w:t>投标保证金</w:t>
      </w:r>
    </w:p>
    <w:p w14:paraId="31E6C97D">
      <w:pPr>
        <w:pStyle w:val="35"/>
        <w:shd w:val="clear" w:fill="auto"/>
        <w:tabs>
          <w:tab w:val="left" w:pos="1006"/>
        </w:tabs>
        <w:autoSpaceDE/>
        <w:autoSpaceDN/>
        <w:adjustRightInd w:val="0"/>
        <w:snapToGrid w:val="0"/>
        <w:spacing w:line="360" w:lineRule="auto"/>
        <w:ind w:firstLine="560"/>
        <w:jc w:val="both"/>
        <w:rPr>
          <w:rFonts w:hint="eastAsia" w:ascii="宋体" w:hAnsi="宋体" w:eastAsia="宋体" w:cs="宋体"/>
          <w:color w:val="auto"/>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bidi="ar-SA"/>
        </w:rPr>
        <w:t>按照《河南省财政厅关于优化政府采购营商环境有关问题的通知》（豫财购[2019]4号文）的要求本项目不再收取</w:t>
      </w:r>
      <w:r>
        <w:rPr>
          <w:rFonts w:hint="eastAsia" w:cs="宋体"/>
          <w:color w:val="auto"/>
          <w:sz w:val="24"/>
          <w:szCs w:val="24"/>
          <w:shd w:val="clear" w:color="auto" w:fill="auto"/>
          <w:lang w:val="en-US" w:eastAsia="zh-CN" w:bidi="ar-SA"/>
        </w:rPr>
        <w:t>投标</w:t>
      </w:r>
      <w:r>
        <w:rPr>
          <w:rFonts w:hint="eastAsia" w:ascii="宋体" w:hAnsi="宋体" w:eastAsia="宋体" w:cs="宋体"/>
          <w:color w:val="auto"/>
          <w:sz w:val="24"/>
          <w:szCs w:val="24"/>
          <w:shd w:val="clear" w:color="auto" w:fill="auto"/>
          <w:lang w:val="en-US" w:eastAsia="zh-CN" w:bidi="ar-SA"/>
        </w:rPr>
        <w:t>保证金。</w:t>
      </w:r>
    </w:p>
    <w:p w14:paraId="7078287D">
      <w:pPr>
        <w:pStyle w:val="35"/>
        <w:numPr>
          <w:ilvl w:val="0"/>
          <w:numId w:val="0"/>
        </w:numPr>
        <w:shd w:val="clear" w:fill="auto"/>
        <w:tabs>
          <w:tab w:val="left" w:pos="1006"/>
        </w:tabs>
        <w:autoSpaceDE/>
        <w:autoSpaceDN/>
        <w:adjustRightInd w:val="0"/>
        <w:snapToGrid w:val="0"/>
        <w:spacing w:line="360" w:lineRule="auto"/>
        <w:ind w:firstLine="482" w:firstLineChars="200"/>
        <w:jc w:val="both"/>
        <w:rPr>
          <w:rFonts w:hint="eastAsia" w:cs="宋体"/>
          <w:b/>
          <w:bCs/>
          <w:color w:val="auto"/>
          <w:sz w:val="24"/>
          <w:szCs w:val="24"/>
          <w:shd w:val="clear" w:color="auto" w:fill="auto"/>
          <w:lang w:val="en-US" w:eastAsia="zh-CN" w:bidi="ar-SA"/>
        </w:rPr>
      </w:pPr>
      <w:r>
        <w:rPr>
          <w:rFonts w:hint="eastAsia" w:cs="宋体"/>
          <w:b/>
          <w:bCs/>
          <w:color w:val="auto"/>
          <w:sz w:val="24"/>
          <w:szCs w:val="24"/>
          <w:shd w:val="clear" w:color="auto" w:fill="auto"/>
          <w:lang w:val="en-US" w:eastAsia="zh-CN" w:bidi="ar-SA"/>
        </w:rPr>
        <w:t>七、投标文件的递交截止时间（开标时间）及开、评标地点</w:t>
      </w:r>
    </w:p>
    <w:p w14:paraId="045892D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p w14:paraId="751FFEA1">
      <w:pPr>
        <w:spacing w:line="360"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2、开标</w:t>
      </w:r>
      <w:r>
        <w:rPr>
          <w:rFonts w:hint="eastAsia" w:ascii="宋体" w:hAnsi="宋体" w:cs="宋体"/>
          <w:color w:val="auto"/>
          <w:sz w:val="24"/>
          <w:szCs w:val="24"/>
          <w:highlight w:val="none"/>
        </w:rPr>
        <w:t>地点：三门峡市公共资源交易</w:t>
      </w:r>
      <w:r>
        <w:rPr>
          <w:rFonts w:hint="eastAsia" w:ascii="宋体" w:hAnsi="宋体" w:cs="宋体"/>
          <w:color w:val="auto"/>
          <w:sz w:val="24"/>
          <w:szCs w:val="24"/>
          <w:highlight w:val="none"/>
          <w:lang w:val="en-US" w:eastAsia="zh-CN"/>
        </w:rPr>
        <w:t>五楼</w:t>
      </w:r>
      <w:r>
        <w:rPr>
          <w:rFonts w:hint="eastAsia" w:cs="宋体"/>
          <w:color w:val="auto"/>
          <w:sz w:val="24"/>
          <w:szCs w:val="24"/>
          <w:highlight w:val="none"/>
          <w:lang w:val="en-US" w:eastAsia="zh-CN"/>
        </w:rPr>
        <w:t>第四开标室；</w:t>
      </w:r>
    </w:p>
    <w:p w14:paraId="26A5EA4D">
      <w:pPr>
        <w:pStyle w:val="35"/>
        <w:numPr>
          <w:ilvl w:val="0"/>
          <w:numId w:val="0"/>
        </w:numPr>
        <w:shd w:val="clear" w:fill="auto"/>
        <w:tabs>
          <w:tab w:val="left" w:pos="1006"/>
        </w:tabs>
        <w:autoSpaceDE/>
        <w:autoSpaceDN/>
        <w:adjustRightInd w:val="0"/>
        <w:snapToGrid w:val="0"/>
        <w:spacing w:line="360" w:lineRule="auto"/>
        <w:ind w:firstLine="480" w:firstLineChars="200"/>
        <w:jc w:val="both"/>
        <w:rPr>
          <w:rFonts w:hint="default" w:cs="宋体"/>
          <w:color w:val="FF0000"/>
          <w:sz w:val="24"/>
          <w:szCs w:val="24"/>
          <w:highlight w:val="none"/>
          <w:shd w:val="clear" w:color="auto" w:fill="auto"/>
          <w:lang w:val="en-US" w:eastAsia="zh-CN" w:bidi="ar-SA"/>
        </w:rPr>
      </w:pPr>
      <w:r>
        <w:rPr>
          <w:rFonts w:hint="eastAsia" w:cs="宋体"/>
          <w:color w:val="auto"/>
          <w:sz w:val="24"/>
          <w:szCs w:val="24"/>
          <w:highlight w:val="none"/>
          <w:shd w:val="clear" w:color="auto" w:fill="auto"/>
          <w:lang w:val="en-US" w:eastAsia="zh-CN" w:bidi="ar-SA"/>
        </w:rPr>
        <w:t>3、评标地点：</w:t>
      </w:r>
      <w:r>
        <w:rPr>
          <w:rFonts w:hint="eastAsia" w:ascii="宋体" w:hAnsi="宋体" w:cs="宋体"/>
          <w:color w:val="auto"/>
          <w:sz w:val="24"/>
          <w:szCs w:val="24"/>
          <w:highlight w:val="none"/>
        </w:rPr>
        <w:t>三门峡市公共资源交易</w:t>
      </w:r>
      <w:r>
        <w:rPr>
          <w:rFonts w:hint="eastAsia" w:cs="宋体"/>
          <w:color w:val="auto"/>
          <w:sz w:val="24"/>
          <w:szCs w:val="24"/>
          <w:highlight w:val="none"/>
          <w:lang w:val="en-US" w:eastAsia="zh-CN"/>
        </w:rPr>
        <w:t>六</w:t>
      </w:r>
      <w:r>
        <w:rPr>
          <w:rFonts w:hint="eastAsia" w:ascii="宋体" w:hAnsi="宋体" w:cs="宋体"/>
          <w:color w:val="auto"/>
          <w:sz w:val="24"/>
          <w:szCs w:val="24"/>
          <w:highlight w:val="none"/>
          <w:lang w:val="en-US" w:eastAsia="zh-CN"/>
        </w:rPr>
        <w:t>楼</w:t>
      </w:r>
      <w:r>
        <w:rPr>
          <w:rFonts w:hint="eastAsia" w:cs="宋体"/>
          <w:color w:val="auto"/>
          <w:sz w:val="24"/>
          <w:szCs w:val="24"/>
          <w:highlight w:val="none"/>
          <w:lang w:val="en-US" w:eastAsia="zh-CN"/>
        </w:rPr>
        <w:t>第三评标室。</w:t>
      </w:r>
    </w:p>
    <w:p w14:paraId="47E9DD79">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八、其他事项</w:t>
      </w:r>
    </w:p>
    <w:p w14:paraId="56FEEFD9">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1、</w:t>
      </w:r>
      <w:r>
        <w:rPr>
          <w:rFonts w:hint="eastAsia" w:ascii="宋体" w:hAnsi="宋体" w:cs="方正仿宋_GB2312"/>
          <w:bCs/>
          <w:sz w:val="24"/>
          <w:szCs w:val="24"/>
          <w:lang w:eastAsia="zh-CN"/>
        </w:rPr>
        <w:t>供应商</w:t>
      </w:r>
      <w:r>
        <w:rPr>
          <w:rFonts w:hint="eastAsia" w:ascii="宋体" w:hAnsi="宋体" w:cs="方正仿宋_GB2312"/>
          <w:bCs/>
          <w:sz w:val="24"/>
          <w:szCs w:val="24"/>
        </w:rPr>
        <w:t>应仔细阅读操作手册，在本公告中要求的截止时间</w:t>
      </w:r>
      <w:r>
        <w:rPr>
          <w:rFonts w:hint="eastAsia" w:ascii="宋体" w:hAnsi="宋体" w:cs="方正仿宋_GB2312"/>
          <w:bCs/>
          <w:sz w:val="24"/>
          <w:szCs w:val="24"/>
          <w:lang w:val="en-US" w:eastAsia="zh-CN"/>
        </w:rPr>
        <w:t>网上投标等</w:t>
      </w:r>
      <w:r>
        <w:rPr>
          <w:rFonts w:hint="eastAsia" w:ascii="宋体" w:hAnsi="宋体" w:cs="方正仿宋_GB2312"/>
          <w:bCs/>
          <w:sz w:val="24"/>
          <w:szCs w:val="24"/>
        </w:rPr>
        <w:t>工作。并充分考虑人为操作和银行异地跨行转账到账的时间等因素，因</w:t>
      </w:r>
      <w:r>
        <w:rPr>
          <w:rFonts w:hint="eastAsia" w:ascii="宋体" w:hAnsi="宋体" w:cs="方正仿宋_GB2312"/>
          <w:bCs/>
          <w:sz w:val="24"/>
          <w:szCs w:val="24"/>
          <w:lang w:eastAsia="zh-CN"/>
        </w:rPr>
        <w:t>供应商</w:t>
      </w:r>
      <w:r>
        <w:rPr>
          <w:rFonts w:hint="eastAsia" w:ascii="宋体" w:hAnsi="宋体" w:cs="方正仿宋_GB2312"/>
          <w:bCs/>
          <w:sz w:val="24"/>
          <w:szCs w:val="24"/>
        </w:rPr>
        <w:t>操作不当等问题造成的无法投标等一切后果，由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自行承担。发现</w:t>
      </w:r>
      <w:r>
        <w:rPr>
          <w:rFonts w:hint="eastAsia" w:ascii="宋体" w:hAnsi="宋体" w:cs="方正仿宋_GB2312"/>
          <w:bCs/>
          <w:sz w:val="24"/>
          <w:szCs w:val="24"/>
          <w:lang w:eastAsia="zh-CN"/>
        </w:rPr>
        <w:t>供应商</w:t>
      </w:r>
      <w:r>
        <w:rPr>
          <w:rFonts w:hint="eastAsia" w:ascii="宋体" w:hAnsi="宋体" w:cs="方正仿宋_GB2312"/>
          <w:bCs/>
          <w:sz w:val="24"/>
          <w:szCs w:val="24"/>
        </w:rPr>
        <w:t>弄虚作假中标或合同履行期间不能满足</w:t>
      </w:r>
      <w:r>
        <w:rPr>
          <w:rFonts w:hint="eastAsia" w:ascii="宋体" w:hAnsi="宋体" w:cs="方正仿宋_GB2312"/>
          <w:bCs/>
          <w:sz w:val="24"/>
          <w:szCs w:val="24"/>
          <w:lang w:val="en-US" w:eastAsia="zh-CN"/>
        </w:rPr>
        <w:t>项目</w:t>
      </w:r>
      <w:r>
        <w:rPr>
          <w:rFonts w:hint="eastAsia" w:ascii="宋体" w:hAnsi="宋体" w:cs="方正仿宋_GB2312"/>
          <w:bCs/>
          <w:sz w:val="24"/>
          <w:szCs w:val="24"/>
        </w:rPr>
        <w:t>要求等情况，</w:t>
      </w:r>
      <w:r>
        <w:rPr>
          <w:rFonts w:hint="eastAsia" w:ascii="宋体" w:hAnsi="宋体" w:cs="方正仿宋_GB2312"/>
          <w:bCs/>
          <w:sz w:val="24"/>
          <w:szCs w:val="24"/>
          <w:lang w:val="en-US" w:eastAsia="zh-CN"/>
        </w:rPr>
        <w:t>招标人</w:t>
      </w:r>
      <w:r>
        <w:rPr>
          <w:rFonts w:hint="eastAsia" w:ascii="宋体" w:hAnsi="宋体" w:cs="方正仿宋_GB2312"/>
          <w:bCs/>
          <w:sz w:val="24"/>
          <w:szCs w:val="24"/>
        </w:rPr>
        <w:t>有权单方面解除合同并要求赔偿相应损失。</w:t>
      </w:r>
    </w:p>
    <w:p w14:paraId="44B94E96">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2、</w:t>
      </w:r>
      <w:r>
        <w:rPr>
          <w:rFonts w:hint="eastAsia" w:ascii="宋体" w:hAnsi="宋体" w:cs="方正仿宋_GB2312"/>
          <w:bCs/>
          <w:sz w:val="24"/>
          <w:szCs w:val="24"/>
        </w:rPr>
        <w:t>投标所发生一切费用由各</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自行承担，并承担相应的风险和责任。</w:t>
      </w:r>
    </w:p>
    <w:p w14:paraId="36143928">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3、</w:t>
      </w:r>
      <w:r>
        <w:rPr>
          <w:rFonts w:hint="eastAsia" w:ascii="宋体" w:hAnsi="宋体" w:cs="方正仿宋_GB2312"/>
          <w:bCs/>
          <w:sz w:val="24"/>
          <w:szCs w:val="24"/>
        </w:rPr>
        <w:t>本项目不组织</w:t>
      </w:r>
      <w:r>
        <w:rPr>
          <w:rFonts w:hint="eastAsia" w:ascii="宋体" w:hAnsi="宋体" w:cs="方正仿宋_GB2312"/>
          <w:bCs/>
          <w:sz w:val="24"/>
          <w:szCs w:val="24"/>
          <w:lang w:eastAsia="zh-CN"/>
        </w:rPr>
        <w:t>供应商</w:t>
      </w:r>
      <w:r>
        <w:rPr>
          <w:rFonts w:hint="eastAsia" w:ascii="宋体" w:hAnsi="宋体" w:cs="方正仿宋_GB2312"/>
          <w:bCs/>
          <w:sz w:val="24"/>
          <w:szCs w:val="24"/>
        </w:rPr>
        <w:t>踏勘现场。</w:t>
      </w:r>
    </w:p>
    <w:p w14:paraId="664BC27F">
      <w:pPr>
        <w:spacing w:line="360" w:lineRule="auto"/>
        <w:ind w:firstLine="480" w:firstLineChars="200"/>
        <w:rPr>
          <w:rFonts w:hint="eastAsia" w:ascii="宋体" w:hAnsi="宋体" w:cs="方正仿宋_GB2312"/>
          <w:bCs/>
          <w:sz w:val="24"/>
          <w:szCs w:val="24"/>
        </w:rPr>
      </w:pPr>
      <w:r>
        <w:rPr>
          <w:rFonts w:hint="eastAsia" w:ascii="宋体" w:hAnsi="宋体" w:cs="方正仿宋_GB2312"/>
          <w:bCs/>
          <w:sz w:val="24"/>
          <w:szCs w:val="24"/>
          <w:lang w:val="en-US" w:eastAsia="zh-CN"/>
        </w:rPr>
        <w:t>4、</w:t>
      </w:r>
      <w:r>
        <w:rPr>
          <w:rFonts w:hint="eastAsia" w:ascii="宋体" w:hAnsi="宋体" w:cs="方正仿宋_GB2312"/>
          <w:bCs/>
          <w:sz w:val="24"/>
          <w:szCs w:val="24"/>
        </w:rPr>
        <w:t>根据优化营商环境的要求，评标时以投标文件为准：</w:t>
      </w:r>
    </w:p>
    <w:p w14:paraId="7B9FDE3E">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（1）资格评（预）审部分：资格评（预）以投标文件为准，其上传资料真实性由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自行承担，同时，</w:t>
      </w:r>
      <w:r>
        <w:rPr>
          <w:rFonts w:hint="eastAsia" w:ascii="宋体" w:hAnsi="宋体" w:cs="方正仿宋_GB2312"/>
          <w:bCs/>
          <w:sz w:val="24"/>
          <w:szCs w:val="24"/>
          <w:lang w:eastAsia="zh-CN"/>
        </w:rPr>
        <w:t>供应商</w:t>
      </w:r>
      <w:r>
        <w:rPr>
          <w:rFonts w:hint="eastAsia" w:ascii="宋体" w:hAnsi="宋体" w:cs="方正仿宋_GB2312"/>
          <w:bCs/>
          <w:sz w:val="24"/>
          <w:szCs w:val="24"/>
        </w:rPr>
        <w:t>要完善主体库。</w:t>
      </w:r>
    </w:p>
    <w:p w14:paraId="53A1C5A7">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（2）评标打分部分：评标打分部分仍按照100分制原则进行，涉及到资格审查、企业荣誉、人员业绩、企业业绩等计分部分时，以投标单位自行上传到投标文件中的相应内容为准。</w:t>
      </w:r>
    </w:p>
    <w:p w14:paraId="59FDECCA">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（3）投标文件编制部分：在招标文件中要求</w:t>
      </w:r>
      <w:r>
        <w:rPr>
          <w:rFonts w:hint="eastAsia" w:ascii="宋体" w:hAnsi="宋体" w:cs="方正仿宋_GB2312"/>
          <w:bCs/>
          <w:sz w:val="24"/>
          <w:szCs w:val="24"/>
          <w:lang w:eastAsia="zh-CN"/>
        </w:rPr>
        <w:t>供应商</w:t>
      </w:r>
      <w:r>
        <w:rPr>
          <w:rFonts w:hint="eastAsia" w:ascii="宋体" w:hAnsi="宋体" w:cs="方正仿宋_GB2312"/>
          <w:bCs/>
          <w:sz w:val="24"/>
          <w:szCs w:val="24"/>
        </w:rPr>
        <w:t>按照</w:t>
      </w:r>
      <w:r>
        <w:rPr>
          <w:rFonts w:hint="eastAsia" w:ascii="宋体" w:hAnsi="宋体" w:cs="方正仿宋_GB2312"/>
          <w:bCs/>
          <w:sz w:val="24"/>
          <w:szCs w:val="24"/>
          <w:lang w:val="en-US" w:eastAsia="zh-CN"/>
        </w:rPr>
        <w:t>电子</w:t>
      </w:r>
      <w:r>
        <w:rPr>
          <w:rFonts w:hint="eastAsia" w:ascii="宋体" w:hAnsi="宋体" w:cs="方正仿宋_GB2312"/>
          <w:bCs/>
          <w:sz w:val="24"/>
          <w:szCs w:val="24"/>
        </w:rPr>
        <w:t xml:space="preserve">投标文件格式进行投标文件编制，在投标文件编制时，应明确将投标单位企业基本情况、人员情况、财务情况、业绩情况编入投标文件，便于进行资格审查及评标打分。本项目评分业绩以投标文件业绩信息为准，可使用电子营业执照。 </w:t>
      </w:r>
    </w:p>
    <w:p w14:paraId="7D7E91E1">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温馨提示：本项目为电子化、无纸化交易项目，开标时不再接受任何纸质资料，为保证您能投标成功，请需仔细阅读招标文件和三门峡市公共资源交易中心官网业务办理指南。</w:t>
      </w:r>
    </w:p>
    <w:p w14:paraId="1A6E1672">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发布公告的媒介及公告期限</w:t>
      </w:r>
    </w:p>
    <w:p w14:paraId="4B6A58B2">
      <w:pPr>
        <w:spacing w:line="360" w:lineRule="auto"/>
        <w:ind w:firstLine="484" w:firstLineChars="202"/>
        <w:rPr>
          <w:rFonts w:hint="eastAsia" w:ascii="宋体" w:hAnsi="宋体" w:eastAsia="宋体" w:cs="宋体"/>
          <w:color w:val="auto"/>
          <w:sz w:val="24"/>
          <w:szCs w:val="24"/>
        </w:rPr>
      </w:pPr>
      <w:bookmarkStart w:id="60" w:name="_Toc4839"/>
      <w:bookmarkStart w:id="61" w:name="_Toc513818621"/>
      <w:bookmarkStart w:id="62" w:name="_Toc518840702"/>
      <w:bookmarkStart w:id="63" w:name="_Toc518840741"/>
      <w:r>
        <w:rPr>
          <w:rFonts w:hint="eastAsia" w:ascii="宋体" w:hAnsi="宋体" w:eastAsia="宋体" w:cs="宋体"/>
          <w:color w:val="auto"/>
          <w:sz w:val="24"/>
          <w:szCs w:val="24"/>
        </w:rPr>
        <w:t>本次招标公告同时在《河南省政府采购网》、《三门峡市公共资源交易中心网》、《中国招标投标公共服务平台》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发布。</w:t>
      </w:r>
    </w:p>
    <w:p w14:paraId="3D1D13CD">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、联系方式</w:t>
      </w:r>
      <w:bookmarkEnd w:id="60"/>
      <w:bookmarkEnd w:id="61"/>
      <w:bookmarkEnd w:id="62"/>
      <w:bookmarkEnd w:id="63"/>
    </w:p>
    <w:p w14:paraId="7F516D14">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监督</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三门峡市财政局政府采购监督管理科</w:t>
      </w:r>
    </w:p>
    <w:p w14:paraId="201C138A">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0398-2608915</w:t>
      </w:r>
    </w:p>
    <w:p w14:paraId="3C710C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采购人：三门峡市消防救援支队</w:t>
      </w:r>
    </w:p>
    <w:p w14:paraId="5F35C142">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联系人：赵先生</w:t>
      </w:r>
    </w:p>
    <w:p w14:paraId="366FAACE">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联系电话：0398-3119051 </w:t>
      </w:r>
    </w:p>
    <w:p w14:paraId="323E161E">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地址：河南省三门峡市开发区分陕路16号</w:t>
      </w:r>
    </w:p>
    <w:p w14:paraId="048EEF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河南邦兴工程服务有限公司</w:t>
      </w:r>
    </w:p>
    <w:p w14:paraId="67D8AA9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李女士</w:t>
      </w:r>
    </w:p>
    <w:p w14:paraId="6BC40EA2">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18530360709</w:t>
      </w:r>
    </w:p>
    <w:p w14:paraId="2515BF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lang w:val="en-US" w:eastAsia="zh-CN"/>
        </w:rPr>
        <w:t>河南省郑州市高新技术产业开发区翠竹街1号23幢3层01号</w:t>
      </w:r>
    </w:p>
    <w:p w14:paraId="39407C98">
      <w:pPr>
        <w:spacing w:line="360" w:lineRule="auto"/>
        <w:ind w:firstLine="484" w:firstLineChars="202"/>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4、项目联系人</w:t>
      </w:r>
    </w:p>
    <w:p w14:paraId="347B3570">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联系人：李女士</w:t>
      </w:r>
    </w:p>
    <w:p w14:paraId="0441E756">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联系方式：18530360709</w:t>
      </w:r>
    </w:p>
    <w:p w14:paraId="10BBB15C">
      <w:pPr>
        <w:spacing w:line="360" w:lineRule="auto"/>
        <w:rPr>
          <w:rFonts w:hint="default" w:ascii="宋体" w:hAnsi="宋体" w:eastAsia="宋体" w:cs="宋体"/>
          <w:color w:val="auto"/>
          <w:sz w:val="24"/>
          <w:szCs w:val="24"/>
          <w:lang w:val="en-US" w:eastAsia="zh-CN"/>
        </w:rPr>
      </w:pPr>
    </w:p>
    <w:p w14:paraId="10C42CB8">
      <w:pPr>
        <w:pStyle w:val="3"/>
        <w:rPr>
          <w:rFonts w:hint="default" w:ascii="宋体" w:hAnsi="宋体" w:eastAsia="宋体" w:cs="宋体"/>
          <w:color w:val="auto"/>
          <w:sz w:val="24"/>
          <w:szCs w:val="24"/>
          <w:lang w:val="en-US" w:eastAsia="zh-CN"/>
        </w:rPr>
      </w:pPr>
    </w:p>
    <w:p w14:paraId="73227F4E">
      <w:pPr>
        <w:rPr>
          <w:rFonts w:hint="default" w:ascii="宋体" w:hAnsi="宋体" w:eastAsia="宋体" w:cs="宋体"/>
          <w:color w:val="auto"/>
          <w:sz w:val="24"/>
          <w:szCs w:val="24"/>
          <w:lang w:val="en-US" w:eastAsia="zh-CN"/>
        </w:rPr>
      </w:pPr>
    </w:p>
    <w:p w14:paraId="1B126DEE">
      <w:pPr>
        <w:pStyle w:val="3"/>
        <w:rPr>
          <w:rFonts w:hint="default" w:ascii="宋体" w:hAnsi="宋体" w:eastAsia="宋体" w:cs="宋体"/>
          <w:color w:val="auto"/>
          <w:sz w:val="24"/>
          <w:szCs w:val="24"/>
          <w:lang w:val="en-US" w:eastAsia="zh-CN"/>
        </w:rPr>
      </w:pPr>
    </w:p>
    <w:p w14:paraId="040A3DD4">
      <w:pPr>
        <w:rPr>
          <w:rFonts w:hint="default" w:ascii="宋体" w:hAnsi="宋体" w:eastAsia="宋体" w:cs="宋体"/>
          <w:color w:val="auto"/>
          <w:sz w:val="24"/>
          <w:szCs w:val="24"/>
          <w:lang w:val="en-US" w:eastAsia="zh-CN"/>
        </w:rPr>
      </w:pPr>
    </w:p>
    <w:p w14:paraId="744BB638">
      <w:pPr>
        <w:pStyle w:val="3"/>
        <w:rPr>
          <w:rFonts w:hint="default" w:ascii="宋体" w:hAnsi="宋体" w:eastAsia="宋体" w:cs="宋体"/>
          <w:color w:val="auto"/>
          <w:sz w:val="24"/>
          <w:szCs w:val="24"/>
          <w:lang w:val="en-US" w:eastAsia="zh-CN"/>
        </w:rPr>
      </w:pPr>
    </w:p>
    <w:p w14:paraId="729D8809">
      <w:pPr>
        <w:rPr>
          <w:rFonts w:hint="default" w:ascii="宋体" w:hAnsi="宋体" w:eastAsia="宋体" w:cs="宋体"/>
          <w:color w:val="auto"/>
          <w:sz w:val="24"/>
          <w:szCs w:val="24"/>
          <w:lang w:val="en-US" w:eastAsia="zh-CN"/>
        </w:rPr>
      </w:pPr>
    </w:p>
    <w:p w14:paraId="05BD550D">
      <w:pPr>
        <w:pStyle w:val="3"/>
        <w:rPr>
          <w:rFonts w:hint="default" w:ascii="宋体" w:hAnsi="宋体" w:eastAsia="宋体" w:cs="宋体"/>
          <w:color w:val="auto"/>
          <w:sz w:val="24"/>
          <w:szCs w:val="24"/>
          <w:lang w:val="en-US" w:eastAsia="zh-CN"/>
        </w:rPr>
      </w:pPr>
    </w:p>
    <w:p w14:paraId="73F96598">
      <w:pPr>
        <w:rPr>
          <w:rFonts w:hint="default" w:ascii="宋体" w:hAnsi="宋体" w:eastAsia="宋体" w:cs="宋体"/>
          <w:color w:val="auto"/>
          <w:sz w:val="24"/>
          <w:szCs w:val="24"/>
          <w:lang w:val="en-US" w:eastAsia="zh-CN"/>
        </w:rPr>
      </w:pPr>
    </w:p>
    <w:p w14:paraId="3D6B6444">
      <w:pPr>
        <w:pStyle w:val="3"/>
        <w:rPr>
          <w:rFonts w:hint="default" w:ascii="宋体" w:hAnsi="宋体" w:eastAsia="宋体" w:cs="宋体"/>
          <w:color w:val="auto"/>
          <w:sz w:val="24"/>
          <w:szCs w:val="24"/>
          <w:lang w:val="en-US" w:eastAsia="zh-CN"/>
        </w:rPr>
      </w:pPr>
    </w:p>
    <w:p w14:paraId="6794F40B">
      <w:pPr>
        <w:rPr>
          <w:rFonts w:hint="default" w:ascii="宋体" w:hAnsi="宋体" w:eastAsia="宋体" w:cs="宋体"/>
          <w:color w:val="auto"/>
          <w:sz w:val="24"/>
          <w:szCs w:val="24"/>
          <w:lang w:val="en-US" w:eastAsia="zh-CN"/>
        </w:rPr>
      </w:pPr>
    </w:p>
    <w:p w14:paraId="30E16F55">
      <w:pPr>
        <w:pStyle w:val="3"/>
        <w:rPr>
          <w:rFonts w:hint="default" w:ascii="宋体" w:hAnsi="宋体" w:eastAsia="宋体" w:cs="宋体"/>
          <w:color w:val="auto"/>
          <w:sz w:val="24"/>
          <w:szCs w:val="24"/>
          <w:lang w:val="en-US" w:eastAsia="zh-CN"/>
        </w:rPr>
      </w:pPr>
    </w:p>
    <w:p w14:paraId="70620EA5">
      <w:pPr>
        <w:rPr>
          <w:rFonts w:hint="default" w:ascii="宋体" w:hAnsi="宋体" w:eastAsia="宋体" w:cs="宋体"/>
          <w:color w:val="auto"/>
          <w:sz w:val="24"/>
          <w:szCs w:val="24"/>
          <w:lang w:val="en-US" w:eastAsia="zh-CN"/>
        </w:rPr>
      </w:pPr>
    </w:p>
    <w:p w14:paraId="2046E7ED">
      <w:pPr>
        <w:pStyle w:val="3"/>
        <w:rPr>
          <w:rFonts w:hint="default" w:ascii="宋体" w:hAnsi="宋体" w:eastAsia="宋体" w:cs="宋体"/>
          <w:color w:val="auto"/>
          <w:sz w:val="24"/>
          <w:szCs w:val="24"/>
          <w:lang w:val="en-US" w:eastAsia="zh-CN"/>
        </w:rPr>
      </w:pPr>
    </w:p>
    <w:p w14:paraId="1B62E7B4">
      <w:pPr>
        <w:rPr>
          <w:rFonts w:hint="default" w:ascii="宋体" w:hAnsi="宋体" w:eastAsia="宋体" w:cs="宋体"/>
          <w:color w:val="auto"/>
          <w:sz w:val="24"/>
          <w:szCs w:val="24"/>
          <w:lang w:val="en-US" w:eastAsia="zh-CN"/>
        </w:rPr>
      </w:pPr>
    </w:p>
    <w:p w14:paraId="487F6ECF">
      <w:pPr>
        <w:pStyle w:val="3"/>
        <w:rPr>
          <w:rFonts w:hint="default" w:ascii="宋体" w:hAnsi="宋体" w:eastAsia="宋体" w:cs="宋体"/>
          <w:color w:val="auto"/>
          <w:sz w:val="24"/>
          <w:szCs w:val="24"/>
          <w:lang w:val="en-US" w:eastAsia="zh-CN"/>
        </w:rPr>
      </w:pPr>
    </w:p>
    <w:p w14:paraId="34BD7217">
      <w:pPr>
        <w:rPr>
          <w:rFonts w:hint="default" w:ascii="宋体" w:hAnsi="宋体" w:eastAsia="宋体" w:cs="宋体"/>
          <w:color w:val="auto"/>
          <w:sz w:val="24"/>
          <w:szCs w:val="24"/>
          <w:lang w:val="en-US" w:eastAsia="zh-CN"/>
        </w:rPr>
      </w:pPr>
    </w:p>
    <w:p w14:paraId="53CE98EB">
      <w:pPr>
        <w:pStyle w:val="3"/>
        <w:rPr>
          <w:rFonts w:hint="default" w:ascii="宋体" w:hAnsi="宋体" w:eastAsia="宋体" w:cs="宋体"/>
          <w:color w:val="auto"/>
          <w:sz w:val="24"/>
          <w:szCs w:val="24"/>
          <w:lang w:val="en-US" w:eastAsia="zh-CN"/>
        </w:rPr>
      </w:pPr>
    </w:p>
    <w:p w14:paraId="663CD9E3">
      <w:pPr>
        <w:rPr>
          <w:rFonts w:hint="default" w:ascii="宋体" w:hAnsi="宋体" w:eastAsia="宋体" w:cs="宋体"/>
          <w:color w:val="auto"/>
          <w:sz w:val="24"/>
          <w:szCs w:val="24"/>
          <w:lang w:val="en-US" w:eastAsia="zh-CN"/>
        </w:rPr>
      </w:pPr>
    </w:p>
    <w:p w14:paraId="6088863B">
      <w:pPr>
        <w:pStyle w:val="3"/>
        <w:rPr>
          <w:rFonts w:hint="default" w:ascii="宋体" w:hAnsi="宋体" w:eastAsia="宋体" w:cs="宋体"/>
          <w:color w:val="auto"/>
          <w:sz w:val="24"/>
          <w:szCs w:val="24"/>
          <w:lang w:val="en-US" w:eastAsia="zh-CN"/>
        </w:rPr>
      </w:pPr>
    </w:p>
    <w:p w14:paraId="3F840433">
      <w:pPr>
        <w:rPr>
          <w:rFonts w:hint="default" w:ascii="宋体" w:hAnsi="宋体" w:eastAsia="宋体" w:cs="宋体"/>
          <w:color w:val="auto"/>
          <w:sz w:val="24"/>
          <w:szCs w:val="24"/>
          <w:lang w:val="en-US" w:eastAsia="zh-CN"/>
        </w:rPr>
      </w:pPr>
    </w:p>
    <w:p w14:paraId="3A6853C5">
      <w:pPr>
        <w:pStyle w:val="3"/>
        <w:rPr>
          <w:rFonts w:hint="default" w:ascii="宋体" w:hAnsi="宋体" w:eastAsia="宋体" w:cs="宋体"/>
          <w:color w:val="auto"/>
          <w:sz w:val="24"/>
          <w:szCs w:val="24"/>
          <w:lang w:val="en-US" w:eastAsia="zh-CN"/>
        </w:rPr>
      </w:pPr>
    </w:p>
    <w:p w14:paraId="2F7355C3">
      <w:pPr>
        <w:rPr>
          <w:rFonts w:hint="default" w:ascii="宋体" w:hAnsi="宋体" w:eastAsia="宋体" w:cs="宋体"/>
          <w:color w:val="auto"/>
          <w:sz w:val="24"/>
          <w:szCs w:val="24"/>
          <w:lang w:val="en-US" w:eastAsia="zh-CN"/>
        </w:rPr>
      </w:pPr>
    </w:p>
    <w:p w14:paraId="00946E8C">
      <w:pPr>
        <w:pStyle w:val="6"/>
        <w:bidi w:val="0"/>
        <w:jc w:val="center"/>
        <w:rPr>
          <w:rFonts w:hint="eastAsia"/>
          <w:lang w:eastAsia="zh-CN"/>
        </w:rPr>
      </w:pPr>
      <w:bookmarkStart w:id="64" w:name="_Toc12163"/>
      <w:bookmarkStart w:id="65" w:name="_Toc30124"/>
      <w:bookmarkStart w:id="66" w:name="_Toc12906"/>
      <w:bookmarkStart w:id="67" w:name="_Toc11140"/>
      <w:bookmarkStart w:id="68" w:name="_Toc18194"/>
      <w:r>
        <w:rPr>
          <w:rFonts w:hint="eastAsia"/>
        </w:rPr>
        <w:t xml:space="preserve">第二章 </w:t>
      </w:r>
      <w:r>
        <w:rPr>
          <w:rFonts w:hint="eastAsia"/>
          <w:lang w:eastAsia="zh-CN"/>
        </w:rPr>
        <w:t>供应商须知</w:t>
      </w:r>
      <w:bookmarkEnd w:id="64"/>
      <w:bookmarkEnd w:id="65"/>
      <w:bookmarkEnd w:id="66"/>
      <w:bookmarkEnd w:id="67"/>
      <w:bookmarkEnd w:id="68"/>
    </w:p>
    <w:p w14:paraId="779A9529">
      <w:pPr>
        <w:autoSpaceDE w:val="0"/>
        <w:autoSpaceDN w:val="0"/>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 xml:space="preserve"> 供应商须知前附表</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lang w:val="en-US" w:eastAsia="zh-CN"/>
        </w:rPr>
        <w:t>二标段</w:t>
      </w:r>
      <w:r>
        <w:rPr>
          <w:rFonts w:hint="eastAsia" w:ascii="宋体" w:hAnsi="宋体" w:eastAsia="宋体" w:cs="宋体"/>
          <w:b/>
          <w:bCs w:val="0"/>
          <w:color w:val="auto"/>
          <w:sz w:val="28"/>
          <w:szCs w:val="28"/>
          <w:highlight w:val="none"/>
          <w:lang w:eastAsia="zh-CN"/>
        </w:rPr>
        <w:t>）</w:t>
      </w:r>
    </w:p>
    <w:tbl>
      <w:tblPr>
        <w:tblStyle w:val="21"/>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434"/>
        <w:gridCol w:w="7744"/>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1434"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744"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0"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34"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监督单位与</w:t>
            </w:r>
            <w:r>
              <w:rPr>
                <w:rFonts w:hint="eastAsia" w:ascii="宋体" w:hAnsi="宋体" w:eastAsia="宋体" w:cs="宋体"/>
                <w:color w:val="auto"/>
                <w:kern w:val="2"/>
                <w:sz w:val="24"/>
                <w:szCs w:val="24"/>
                <w:highlight w:val="none"/>
              </w:rPr>
              <w:t>采购人</w:t>
            </w:r>
          </w:p>
        </w:tc>
        <w:tc>
          <w:tcPr>
            <w:tcW w:w="7744" w:type="dxa"/>
            <w:tcBorders>
              <w:top w:val="single" w:color="auto" w:sz="4" w:space="0"/>
              <w:left w:val="nil"/>
              <w:bottom w:val="single" w:color="auto" w:sz="6" w:space="0"/>
              <w:right w:val="single" w:color="auto" w:sz="4" w:space="0"/>
            </w:tcBorders>
            <w:noWrap w:val="0"/>
            <w:vAlign w:val="center"/>
          </w:tcPr>
          <w:p w14:paraId="7A3015D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1、</w:t>
            </w:r>
            <w:r>
              <w:rPr>
                <w:rFonts w:hint="default" w:ascii="宋体" w:hAnsi="宋体" w:eastAsia="宋体" w:cs="仿宋"/>
                <w:color w:val="auto"/>
                <w:kern w:val="2"/>
                <w:sz w:val="24"/>
                <w:szCs w:val="24"/>
                <w:highlight w:val="none"/>
                <w:lang w:val="en-US"/>
              </w:rPr>
              <w:t>监督</w:t>
            </w:r>
            <w:r>
              <w:rPr>
                <w:rFonts w:hint="default" w:ascii="宋体" w:hAnsi="宋体" w:eastAsia="宋体" w:cs="仿宋"/>
                <w:color w:val="auto"/>
                <w:kern w:val="2"/>
                <w:sz w:val="24"/>
                <w:szCs w:val="24"/>
                <w:highlight w:val="none"/>
                <w:lang w:val="en-US" w:eastAsia="zh-CN"/>
              </w:rPr>
              <w:t>单位</w:t>
            </w:r>
            <w:r>
              <w:rPr>
                <w:rFonts w:hint="default" w:ascii="宋体" w:hAnsi="宋体" w:eastAsia="宋体" w:cs="仿宋"/>
                <w:color w:val="auto"/>
                <w:kern w:val="2"/>
                <w:sz w:val="24"/>
                <w:szCs w:val="24"/>
                <w:highlight w:val="none"/>
                <w:lang w:val="en-US"/>
              </w:rPr>
              <w:t>：</w:t>
            </w:r>
            <w:r>
              <w:rPr>
                <w:rFonts w:hint="default" w:ascii="宋体" w:hAnsi="宋体" w:eastAsia="宋体" w:cs="仿宋"/>
                <w:color w:val="auto"/>
                <w:kern w:val="2"/>
                <w:sz w:val="24"/>
                <w:szCs w:val="24"/>
                <w:highlight w:val="none"/>
                <w:lang w:val="en-US" w:eastAsia="zh-CN"/>
              </w:rPr>
              <w:t>三门峡市财政局政府采购监督管理科</w:t>
            </w:r>
          </w:p>
          <w:p w14:paraId="4A6C4EEB">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rPr>
              <w:t>联系电话：</w:t>
            </w:r>
            <w:r>
              <w:rPr>
                <w:rFonts w:hint="default" w:ascii="宋体" w:hAnsi="宋体" w:eastAsia="宋体" w:cs="仿宋"/>
                <w:color w:val="auto"/>
                <w:kern w:val="2"/>
                <w:sz w:val="24"/>
                <w:szCs w:val="24"/>
                <w:highlight w:val="none"/>
                <w:lang w:val="en-US" w:eastAsia="zh-CN"/>
              </w:rPr>
              <w:t>0398-2608915</w:t>
            </w:r>
          </w:p>
          <w:p w14:paraId="50EE3412">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p>
          <w:p w14:paraId="6375F5B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2、</w:t>
            </w:r>
            <w:r>
              <w:rPr>
                <w:rFonts w:hint="default" w:ascii="宋体" w:hAnsi="宋体" w:eastAsia="宋体" w:cs="仿宋"/>
                <w:color w:val="auto"/>
                <w:kern w:val="2"/>
                <w:sz w:val="24"/>
                <w:szCs w:val="24"/>
                <w:highlight w:val="none"/>
                <w:lang w:val="en-US"/>
              </w:rPr>
              <w:t>采购人：三门峡市消防救援支队</w:t>
            </w:r>
          </w:p>
          <w:p w14:paraId="4392CCE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联系人：赵先生</w:t>
            </w:r>
          </w:p>
          <w:p w14:paraId="3D9687F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 xml:space="preserve">联系电话：0398-3119051 </w:t>
            </w:r>
          </w:p>
          <w:p w14:paraId="03493360">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地址：河南省三门峡市开发区分陕路16号</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744" w:type="dxa"/>
            <w:tcBorders>
              <w:top w:val="single" w:color="auto" w:sz="4" w:space="0"/>
              <w:left w:val="nil"/>
              <w:bottom w:val="single" w:color="auto" w:sz="4" w:space="0"/>
              <w:right w:val="single" w:color="auto" w:sz="4" w:space="0"/>
            </w:tcBorders>
            <w:noWrap w:val="0"/>
            <w:vAlign w:val="center"/>
          </w:tcPr>
          <w:p w14:paraId="6035C43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采购代理机构：</w:t>
            </w:r>
            <w:r>
              <w:rPr>
                <w:rFonts w:hint="eastAsia" w:ascii="宋体" w:hAnsi="宋体" w:eastAsia="宋体" w:cs="仿宋"/>
                <w:color w:val="auto"/>
                <w:kern w:val="2"/>
                <w:sz w:val="24"/>
                <w:szCs w:val="24"/>
                <w:highlight w:val="none"/>
                <w:lang w:val="en-US" w:eastAsia="zh-CN"/>
              </w:rPr>
              <w:t>河南邦兴工程服务有限公司</w:t>
            </w:r>
          </w:p>
          <w:p w14:paraId="4467D87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联系人：</w:t>
            </w:r>
            <w:r>
              <w:rPr>
                <w:rFonts w:hint="eastAsia" w:ascii="宋体" w:hAnsi="宋体" w:eastAsia="宋体" w:cs="仿宋"/>
                <w:color w:val="auto"/>
                <w:kern w:val="2"/>
                <w:sz w:val="24"/>
                <w:szCs w:val="24"/>
                <w:highlight w:val="none"/>
                <w:lang w:val="en-US" w:eastAsia="zh-CN"/>
              </w:rPr>
              <w:t>李女士</w:t>
            </w:r>
          </w:p>
          <w:p w14:paraId="73FCFCD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电  话：</w:t>
            </w:r>
            <w:r>
              <w:rPr>
                <w:rFonts w:hint="eastAsia" w:ascii="宋体" w:hAnsi="宋体" w:eastAsia="宋体" w:cs="仿宋"/>
                <w:color w:val="auto"/>
                <w:kern w:val="2"/>
                <w:sz w:val="24"/>
                <w:szCs w:val="24"/>
                <w:highlight w:val="none"/>
                <w:lang w:val="en-US" w:eastAsia="zh-CN"/>
              </w:rPr>
              <w:t>18530360709</w:t>
            </w:r>
          </w:p>
          <w:p w14:paraId="3E0DE64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地  址: </w:t>
            </w:r>
            <w:r>
              <w:rPr>
                <w:rFonts w:hint="eastAsia" w:ascii="宋体" w:hAnsi="宋体" w:eastAsia="宋体" w:cs="仿宋"/>
                <w:color w:val="auto"/>
                <w:kern w:val="2"/>
                <w:sz w:val="24"/>
                <w:szCs w:val="24"/>
                <w:highlight w:val="none"/>
                <w:lang w:val="en-US" w:eastAsia="zh-CN"/>
              </w:rPr>
              <w:t>河南省郑州市高新技术产业开发区翠竹街1号23幢3层01号</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434"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744"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40"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434"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leftChars="0" w:right="0" w:rightChars="0"/>
              <w:jc w:val="center"/>
              <w:rPr>
                <w:rFonts w:hint="default" w:ascii="宋体" w:hAnsi="宋体" w:eastAsia="宋体" w:cs="Calibri"/>
                <w:color w:val="auto"/>
                <w:kern w:val="2"/>
                <w:sz w:val="24"/>
                <w:szCs w:val="24"/>
                <w:highlight w:val="yellow"/>
                <w:lang w:val="en-US" w:eastAsia="zh-CN"/>
              </w:rPr>
            </w:pPr>
            <w:r>
              <w:rPr>
                <w:rFonts w:hint="eastAsia" w:ascii="宋体" w:hAnsi="宋体" w:eastAsia="宋体" w:cs="Calibri"/>
                <w:color w:val="auto"/>
                <w:kern w:val="2"/>
                <w:sz w:val="24"/>
                <w:szCs w:val="24"/>
                <w:highlight w:val="none"/>
                <w:lang w:val="en-US" w:eastAsia="zh-CN"/>
              </w:rPr>
              <w:t>项目编号</w:t>
            </w:r>
          </w:p>
        </w:tc>
        <w:tc>
          <w:tcPr>
            <w:tcW w:w="7744"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leftChars="0" w:right="0" w:rightChars="0"/>
              <w:jc w:val="left"/>
              <w:rPr>
                <w:rFonts w:hint="default" w:ascii="宋体" w:hAnsi="宋体" w:eastAsia="宋体" w:cs="Calibri"/>
                <w:color w:val="auto"/>
                <w:kern w:val="2"/>
                <w:sz w:val="24"/>
                <w:szCs w:val="24"/>
                <w:highlight w:val="yellow"/>
                <w:lang w:val="en-US" w:eastAsia="zh-CN"/>
              </w:rPr>
            </w:pPr>
            <w:r>
              <w:rPr>
                <w:rFonts w:hint="default" w:ascii="宋体" w:hAnsi="宋体" w:eastAsia="宋体" w:cs="Calibri"/>
                <w:color w:val="auto"/>
                <w:kern w:val="2"/>
                <w:sz w:val="24"/>
                <w:szCs w:val="24"/>
                <w:highlight w:val="none"/>
                <w:lang w:val="en-US" w:eastAsia="zh-CN"/>
              </w:rPr>
              <w:t>三财公开采购-2025-59</w:t>
            </w:r>
            <w:r>
              <w:rPr>
                <w:rFonts w:hint="eastAsia" w:ascii="宋体" w:hAnsi="宋体" w:eastAsia="宋体" w:cs="Calibri"/>
                <w:color w:val="auto"/>
                <w:kern w:val="2"/>
                <w:sz w:val="24"/>
                <w:szCs w:val="24"/>
                <w:highlight w:val="none"/>
                <w:lang w:val="en-US" w:eastAsia="zh-CN"/>
              </w:rPr>
              <w:t xml:space="preserve">、SGZ[2025]485-ZC319 </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1434"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招标控制价</w:t>
            </w:r>
          </w:p>
        </w:tc>
        <w:tc>
          <w:tcPr>
            <w:tcW w:w="7744" w:type="dxa"/>
            <w:tcBorders>
              <w:top w:val="nil"/>
              <w:left w:val="nil"/>
              <w:bottom w:val="single" w:color="auto" w:sz="4" w:space="0"/>
              <w:right w:val="single" w:color="auto" w:sz="4" w:space="0"/>
            </w:tcBorders>
            <w:noWrap w:val="0"/>
            <w:vAlign w:val="center"/>
          </w:tcPr>
          <w:p w14:paraId="6873F772">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rPr>
            </w:pPr>
            <w:r>
              <w:rPr>
                <w:rFonts w:hint="eastAsia" w:ascii="宋体" w:hAnsi="宋体" w:eastAsia="宋体" w:cs="宋体"/>
                <w:color w:val="auto"/>
                <w:sz w:val="24"/>
                <w:szCs w:val="24"/>
                <w:lang w:val="en-US" w:eastAsia="zh-CN"/>
              </w:rPr>
              <w:t>二标段：1389787.00元</w:t>
            </w:r>
          </w:p>
        </w:tc>
      </w:tr>
      <w:tr w14:paraId="12A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278BF1D8">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434" w:type="dxa"/>
            <w:tcBorders>
              <w:top w:val="nil"/>
              <w:left w:val="nil"/>
              <w:bottom w:val="single" w:color="auto" w:sz="4" w:space="0"/>
              <w:right w:val="single" w:color="auto" w:sz="4" w:space="0"/>
            </w:tcBorders>
            <w:noWrap w:val="0"/>
            <w:vAlign w:val="center"/>
          </w:tcPr>
          <w:p w14:paraId="651D0E06">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招标方式</w:t>
            </w:r>
          </w:p>
        </w:tc>
        <w:tc>
          <w:tcPr>
            <w:tcW w:w="7744" w:type="dxa"/>
            <w:tcBorders>
              <w:top w:val="nil"/>
              <w:left w:val="nil"/>
              <w:bottom w:val="single" w:color="auto" w:sz="4" w:space="0"/>
              <w:right w:val="single" w:color="auto" w:sz="4" w:space="0"/>
            </w:tcBorders>
            <w:noWrap w:val="0"/>
            <w:vAlign w:val="center"/>
          </w:tcPr>
          <w:p w14:paraId="6CCC0B8E">
            <w:pPr>
              <w:widowControl/>
              <w:spacing w:before="0" w:beforeLines="0" w:beforeAutospacing="0" w:after="0" w:afterLines="0" w:afterAutospacing="0" w:line="400" w:lineRule="exac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公开招标</w:t>
            </w:r>
          </w:p>
        </w:tc>
      </w:tr>
      <w:tr w14:paraId="2F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1434"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w:t>
            </w:r>
          </w:p>
        </w:tc>
        <w:tc>
          <w:tcPr>
            <w:tcW w:w="7744" w:type="dxa"/>
            <w:tcBorders>
              <w:top w:val="nil"/>
              <w:left w:val="nil"/>
              <w:bottom w:val="single" w:color="auto" w:sz="4" w:space="0"/>
              <w:right w:val="single" w:color="auto" w:sz="4" w:space="0"/>
            </w:tcBorders>
            <w:noWrap w:val="0"/>
            <w:vAlign w:val="center"/>
          </w:tcPr>
          <w:p w14:paraId="60C4BE39">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本项目划分2个标段：</w:t>
            </w:r>
          </w:p>
          <w:p w14:paraId="22DCC4B6">
            <w:pPr>
              <w:widowControl/>
              <w:spacing w:before="0" w:beforeLines="0" w:beforeAutospacing="0" w:after="0" w:afterLines="0" w:afterAutospacing="0" w:line="400" w:lineRule="exact"/>
              <w:ind w:left="0" w:leftChars="0" w:right="0"/>
              <w:jc w:val="left"/>
              <w:rPr>
                <w:rFonts w:hint="default"/>
                <w:lang w:val="en-US" w:eastAsia="zh-CN"/>
              </w:rPr>
            </w:pPr>
            <w:r>
              <w:rPr>
                <w:rFonts w:hint="eastAsia" w:ascii="宋体" w:hAnsi="宋体" w:eastAsia="宋体" w:cs="Calibri"/>
                <w:color w:val="auto"/>
                <w:kern w:val="2"/>
                <w:sz w:val="24"/>
                <w:szCs w:val="24"/>
                <w:highlight w:val="none"/>
                <w:lang w:val="en-US" w:eastAsia="zh-CN"/>
              </w:rPr>
              <w:t>二标段：</w:t>
            </w:r>
            <w:r>
              <w:rPr>
                <w:rFonts w:hint="eastAsia" w:ascii="宋体" w:hAnsi="宋体" w:eastAsia="宋体" w:cs="Calibri"/>
                <w:color w:val="auto"/>
                <w:kern w:val="2"/>
                <w:sz w:val="24"/>
                <w:szCs w:val="24"/>
                <w:highlight w:val="none"/>
                <w:lang w:eastAsia="zh-CN"/>
              </w:rPr>
              <w:t>设备安装</w:t>
            </w:r>
            <w:r>
              <w:rPr>
                <w:rFonts w:hint="eastAsia" w:ascii="宋体" w:hAnsi="宋体" w:eastAsia="宋体" w:cs="Calibri"/>
                <w:color w:val="auto"/>
                <w:kern w:val="2"/>
                <w:sz w:val="24"/>
                <w:szCs w:val="24"/>
                <w:highlight w:val="none"/>
                <w:lang w:val="en-US" w:eastAsia="zh-CN"/>
              </w:rPr>
              <w:t>工程</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1434"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744"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项目概况</w:t>
            </w:r>
          </w:p>
        </w:tc>
        <w:tc>
          <w:tcPr>
            <w:tcW w:w="7744" w:type="dxa"/>
            <w:tcBorders>
              <w:top w:val="single" w:color="auto" w:sz="4" w:space="0"/>
              <w:left w:val="nil"/>
              <w:bottom w:val="single" w:color="auto" w:sz="4" w:space="0"/>
              <w:right w:val="single" w:color="auto" w:sz="4" w:space="0"/>
            </w:tcBorders>
            <w:noWrap w:val="0"/>
            <w:vAlign w:val="center"/>
          </w:tcPr>
          <w:p w14:paraId="1A6897F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主要建设内容为拆除原有隔墙、地面、天棚，新建地胶楼地面、石膏板隔墙、石膏板吊顶及广告牌等，以及设备安装工程</w:t>
            </w:r>
            <w:r>
              <w:rPr>
                <w:rFonts w:hint="eastAsia" w:ascii="宋体" w:hAnsi="宋体" w:eastAsia="宋体" w:cs="仿宋"/>
                <w:color w:val="auto"/>
                <w:kern w:val="2"/>
                <w:sz w:val="24"/>
                <w:szCs w:val="24"/>
                <w:highlight w:val="none"/>
              </w:rPr>
              <w:t>（具体内容详见采购清单）</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1434"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w:t>
            </w:r>
            <w:r>
              <w:rPr>
                <w:rFonts w:hint="eastAsia" w:ascii="宋体" w:hAnsi="宋体" w:eastAsia="宋体" w:cs="仿宋"/>
                <w:color w:val="auto"/>
                <w:kern w:val="2"/>
                <w:sz w:val="24"/>
                <w:szCs w:val="24"/>
                <w:highlight w:val="none"/>
              </w:rPr>
              <w:t>地点</w:t>
            </w:r>
          </w:p>
        </w:tc>
        <w:tc>
          <w:tcPr>
            <w:tcW w:w="7744"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1434"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交货及安装期</w:t>
            </w:r>
          </w:p>
        </w:tc>
        <w:tc>
          <w:tcPr>
            <w:tcW w:w="7744"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自合同签订后90日历天</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1434"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质量要求</w:t>
            </w:r>
          </w:p>
        </w:tc>
        <w:tc>
          <w:tcPr>
            <w:tcW w:w="7744" w:type="dxa"/>
            <w:tcBorders>
              <w:top w:val="single" w:color="auto" w:sz="4" w:space="0"/>
              <w:left w:val="nil"/>
              <w:bottom w:val="single" w:color="auto" w:sz="4" w:space="0"/>
              <w:right w:val="single" w:color="auto" w:sz="4" w:space="0"/>
            </w:tcBorders>
            <w:noWrap w:val="0"/>
            <w:vAlign w:val="center"/>
          </w:tcPr>
          <w:p w14:paraId="6C5FE7A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二标段：合格，符合国家及行业标准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3</w:t>
            </w:r>
          </w:p>
        </w:tc>
        <w:tc>
          <w:tcPr>
            <w:tcW w:w="1434"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leftChars="0" w:right="0" w:rightChars="0"/>
              <w:jc w:val="center"/>
              <w:rPr>
                <w:rFonts w:ascii="宋体" w:hAnsi="宋体" w:eastAsia="宋体" w:cs="Calibri"/>
                <w:color w:val="auto"/>
                <w:kern w:val="2"/>
                <w:sz w:val="24"/>
                <w:szCs w:val="24"/>
                <w:highlight w:val="none"/>
              </w:rPr>
            </w:pPr>
            <w:r>
              <w:rPr>
                <w:rFonts w:hint="eastAsia" w:ascii="宋体" w:hAnsi="宋体" w:eastAsia="宋体" w:cs="仿宋"/>
                <w:color w:val="auto"/>
                <w:kern w:val="2"/>
                <w:sz w:val="24"/>
                <w:szCs w:val="24"/>
                <w:highlight w:val="none"/>
                <w:lang w:val="en-US" w:eastAsia="zh-CN"/>
              </w:rPr>
              <w:t>质保期</w:t>
            </w:r>
          </w:p>
        </w:tc>
        <w:tc>
          <w:tcPr>
            <w:tcW w:w="7744"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leftChars="0" w:right="0" w:rightChars="0"/>
              <w:rPr>
                <w:rFonts w:hint="default" w:ascii="宋体" w:hAnsi="宋体" w:eastAsia="宋体" w:cs="Calibri"/>
                <w:color w:val="auto"/>
                <w:kern w:val="2"/>
                <w:sz w:val="24"/>
                <w:szCs w:val="24"/>
                <w:highlight w:val="none"/>
                <w:lang w:val="en-US"/>
              </w:rPr>
            </w:pPr>
            <w:r>
              <w:rPr>
                <w:rFonts w:hint="eastAsia" w:ascii="宋体" w:hAnsi="宋体" w:eastAsia="宋体" w:cs="宋体"/>
                <w:color w:val="auto"/>
                <w:sz w:val="24"/>
                <w:szCs w:val="24"/>
              </w:rPr>
              <w:t>执行国家相关保修期限的规定</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744"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744"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744"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1434" w:type="dxa"/>
            <w:tcBorders>
              <w:top w:val="single" w:color="auto" w:sz="4" w:space="0"/>
              <w:left w:val="nil"/>
              <w:bottom w:val="single" w:color="auto" w:sz="4" w:space="0"/>
              <w:right w:val="single" w:color="auto" w:sz="4" w:space="0"/>
            </w:tcBorders>
            <w:noWrap w:val="0"/>
            <w:vAlign w:val="center"/>
          </w:tcPr>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是否接受联合体投标</w:t>
            </w:r>
          </w:p>
        </w:tc>
        <w:tc>
          <w:tcPr>
            <w:tcW w:w="7744"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1434"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744"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1434"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744"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1434"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744"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1434"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744"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允许</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lang w:val="en-US" w:eastAsia="zh-CN"/>
              </w:rPr>
              <w:t>正偏离</w:t>
            </w:r>
            <w:r>
              <w:rPr>
                <w:rFonts w:hint="eastAsia" w:ascii="宋体" w:hAnsi="宋体" w:eastAsia="宋体" w:cs="仿宋"/>
                <w:color w:val="auto"/>
                <w:kern w:val="2"/>
                <w:sz w:val="24"/>
                <w:szCs w:val="24"/>
                <w:highlight w:val="none"/>
                <w:lang w:eastAsia="zh-CN"/>
              </w:rPr>
              <w:t>）</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1434"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744"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1434"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4</w:t>
            </w:r>
          </w:p>
        </w:tc>
        <w:tc>
          <w:tcPr>
            <w:tcW w:w="1434"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744"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1434"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744"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文件截止之日10日前</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供应商确认收到招标文件澄清</w:t>
            </w:r>
            <w:r>
              <w:rPr>
                <w:rFonts w:hint="eastAsia" w:ascii="宋体" w:hAnsi="宋体" w:eastAsia="宋体" w:cs="宋体"/>
                <w:color w:val="auto"/>
                <w:kern w:val="0"/>
                <w:sz w:val="24"/>
                <w:szCs w:val="24"/>
                <w:highlight w:val="none"/>
              </w:rPr>
              <w:t>的时间</w:t>
            </w:r>
          </w:p>
        </w:tc>
        <w:tc>
          <w:tcPr>
            <w:tcW w:w="7744"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744"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1434"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744"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投标文件递交截止之日起</w:t>
            </w:r>
            <w:r>
              <w:rPr>
                <w:rFonts w:hint="eastAsia" w:ascii="宋体" w:hAnsi="宋体" w:eastAsia="宋体" w:cs="仿宋"/>
                <w:color w:val="auto"/>
                <w:kern w:val="2"/>
                <w:sz w:val="24"/>
                <w:szCs w:val="24"/>
                <w:highlight w:val="none"/>
                <w:lang w:val="en-US" w:eastAsia="zh-CN"/>
              </w:rPr>
              <w:t>90</w:t>
            </w:r>
            <w:r>
              <w:rPr>
                <w:rFonts w:hint="eastAsia" w:ascii="宋体" w:hAnsi="宋体" w:eastAsia="宋体" w:cs="仿宋"/>
                <w:color w:val="auto"/>
                <w:kern w:val="2"/>
                <w:sz w:val="24"/>
                <w:szCs w:val="24"/>
                <w:highlight w:val="none"/>
              </w:rPr>
              <w:t>日历天</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744"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1434"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744"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具体详见公告部分</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1434"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744"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1434"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744"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w:t>
            </w:r>
          </w:p>
        </w:tc>
        <w:tc>
          <w:tcPr>
            <w:tcW w:w="1434"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744"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744"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744" w:type="dxa"/>
            <w:tcBorders>
              <w:top w:val="single" w:color="auto" w:sz="4" w:space="0"/>
              <w:left w:val="single" w:color="auto" w:sz="4" w:space="0"/>
              <w:bottom w:val="single" w:color="auto" w:sz="4" w:space="0"/>
              <w:right w:val="single" w:color="auto" w:sz="4" w:space="0"/>
            </w:tcBorders>
            <w:noWrap w:val="0"/>
            <w:vAlign w:val="center"/>
          </w:tcPr>
          <w:p w14:paraId="01AE1111">
            <w:pPr>
              <w:spacing w:line="360" w:lineRule="auto"/>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1、本项目采用全过程电子化投标，</w:t>
            </w:r>
            <w:r>
              <w:rPr>
                <w:rFonts w:hint="eastAsia" w:ascii="宋体" w:hAnsi="宋体" w:cs="宋体"/>
                <w:color w:val="auto"/>
                <w:sz w:val="24"/>
                <w:highlight w:val="none"/>
                <w:lang w:eastAsia="zh-CN" w:bidi="ar"/>
              </w:rPr>
              <w:t>供应商</w:t>
            </w:r>
            <w:r>
              <w:rPr>
                <w:rFonts w:hint="eastAsia" w:ascii="宋体" w:hAnsi="宋体" w:cs="宋体"/>
                <w:color w:val="auto"/>
                <w:sz w:val="24"/>
                <w:highlight w:val="none"/>
                <w:lang w:bidi="ar"/>
              </w:rPr>
              <w:t>需用 CA 在电子平台上传电子投标文件；</w:t>
            </w:r>
          </w:p>
          <w:p w14:paraId="3F0C4E3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cs="宋体"/>
                <w:color w:val="auto"/>
                <w:sz w:val="24"/>
                <w:highlight w:val="none"/>
                <w:lang w:bidi="ar"/>
              </w:rPr>
              <w:t>2、</w:t>
            </w:r>
            <w:r>
              <w:rPr>
                <w:rFonts w:hint="eastAsia" w:ascii="宋体" w:hAnsi="宋体" w:cs="宋体"/>
                <w:b/>
                <w:bCs/>
                <w:color w:val="auto"/>
                <w:sz w:val="24"/>
                <w:highlight w:val="none"/>
                <w:lang w:bidi="ar"/>
              </w:rPr>
              <w:t>开标时不再递交纸质投标文件，中标单位领取中标通知书时提交叁份与电子化投标文件相同的纸质投标文件，投标文件应按以下要求装订：胶装（不得采用活页装订），应有目录，并逐页标注连续页码，需加盖公章。</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744"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1434"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744"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1434"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744"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91BA9C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744"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right="0" w:firstLine="484" w:firstLineChars="200"/>
              <w:jc w:val="both"/>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招标控制价：</w:t>
            </w:r>
            <w:r>
              <w:rPr>
                <w:rFonts w:hint="eastAsia" w:ascii="宋体" w:hAnsi="宋体" w:eastAsia="宋体" w:cs="宋体"/>
                <w:color w:val="auto"/>
                <w:sz w:val="24"/>
                <w:szCs w:val="24"/>
                <w:lang w:val="en-US" w:eastAsia="zh-CN"/>
              </w:rPr>
              <w:t>2130407.70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其中一标段：740620.70元；二标段：1389787.00元，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报价超过招标控制价的，其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val="en-US" w:eastAsia="zh-CN"/>
              </w:rPr>
              <w:t xml:space="preserve">  </w:t>
            </w:r>
          </w:p>
          <w:p w14:paraId="7410ECF3">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w:t>
            </w:r>
            <w:r>
              <w:rPr>
                <w:rFonts w:hint="eastAsia" w:ascii="宋体" w:hAnsi="宋体" w:eastAsia="宋体" w:cs="仿宋"/>
                <w:color w:val="auto"/>
                <w:kern w:val="2"/>
                <w:sz w:val="24"/>
                <w:szCs w:val="24"/>
                <w:highlight w:val="none"/>
                <w:lang w:val="en-US" w:eastAsia="zh-CN"/>
              </w:rPr>
              <w:t>报价</w:t>
            </w:r>
            <w:r>
              <w:rPr>
                <w:rFonts w:hint="eastAsia" w:ascii="宋体" w:hAnsi="宋体" w:eastAsia="宋体" w:cs="仿宋"/>
                <w:color w:val="auto"/>
                <w:kern w:val="2"/>
                <w:sz w:val="24"/>
                <w:szCs w:val="24"/>
                <w:highlight w:val="none"/>
              </w:rPr>
              <w:t>范围，不得任意分割或合并所规定的分项；</w:t>
            </w:r>
          </w:p>
          <w:p w14:paraId="3BCC9E21">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w:t>
            </w:r>
            <w:r>
              <w:rPr>
                <w:rFonts w:hint="eastAsia" w:ascii="宋体" w:hAnsi="宋体" w:eastAsia="宋体" w:cs="仿宋"/>
                <w:color w:val="auto"/>
                <w:kern w:val="2"/>
                <w:sz w:val="24"/>
                <w:szCs w:val="24"/>
                <w:highlight w:val="none"/>
                <w:lang w:val="en-US" w:eastAsia="zh-CN"/>
              </w:rPr>
              <w:t>一项</w:t>
            </w:r>
            <w:r>
              <w:rPr>
                <w:rFonts w:hint="eastAsia" w:ascii="宋体" w:hAnsi="宋体" w:eastAsia="宋体" w:cs="仿宋"/>
                <w:color w:val="auto"/>
                <w:kern w:val="2"/>
                <w:sz w:val="24"/>
                <w:szCs w:val="24"/>
                <w:highlight w:val="none"/>
              </w:rPr>
              <w:t>只允许有一个报价，采购人和招标代理机构不接受有任何选择报价的投标。（注：本项目不允许提交备选方案）；</w:t>
            </w:r>
          </w:p>
          <w:p w14:paraId="2A42ABAF">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744"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人民币</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0"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1434"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744" w:type="dxa"/>
            <w:tcBorders>
              <w:top w:val="single" w:color="auto" w:sz="4" w:space="0"/>
              <w:left w:val="nil"/>
              <w:bottom w:val="single" w:color="auto" w:sz="4" w:space="0"/>
              <w:right w:val="single" w:color="auto" w:sz="4" w:space="0"/>
            </w:tcBorders>
            <w:noWrap w:val="0"/>
            <w:vAlign w:val="center"/>
          </w:tcPr>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1</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开标后从</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专家库中随机抽取</w:t>
            </w:r>
            <w:r>
              <w:rPr>
                <w:rFonts w:hint="eastAsia" w:ascii="宋体" w:hAnsi="宋体" w:eastAsia="宋体" w:cs="仿宋"/>
                <w:color w:val="auto"/>
                <w:kern w:val="2"/>
                <w:sz w:val="24"/>
                <w:szCs w:val="24"/>
                <w:highlight w:val="none"/>
              </w:rPr>
              <w:t>。</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1434" w:type="dxa"/>
            <w:tcBorders>
              <w:top w:val="single" w:color="auto" w:sz="4" w:space="0"/>
              <w:left w:val="nil"/>
              <w:right w:val="single" w:color="auto" w:sz="4" w:space="0"/>
            </w:tcBorders>
            <w:noWrap w:val="0"/>
            <w:vAlign w:val="center"/>
          </w:tcPr>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是否授权评标委员会确定中标人</w:t>
            </w:r>
          </w:p>
        </w:tc>
        <w:tc>
          <w:tcPr>
            <w:tcW w:w="7744"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744"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744"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40" w:type="dxa"/>
            <w:vMerge w:val="restart"/>
            <w:tcBorders>
              <w:top w:val="single" w:color="auto" w:sz="4" w:space="0"/>
              <w:left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1434" w:type="dxa"/>
            <w:vMerge w:val="restart"/>
            <w:tcBorders>
              <w:top w:val="single" w:color="auto" w:sz="4" w:space="0"/>
              <w:left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744"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w:t>
            </w:r>
          </w:p>
        </w:tc>
      </w:tr>
      <w:tr w14:paraId="42A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40" w:type="dxa"/>
            <w:vMerge w:val="continue"/>
            <w:tcBorders>
              <w:left w:val="single" w:color="auto" w:sz="4" w:space="0"/>
              <w:bottom w:val="single" w:color="auto" w:sz="4" w:space="0"/>
              <w:right w:val="single" w:color="auto" w:sz="4" w:space="0"/>
            </w:tcBorders>
            <w:noWrap w:val="0"/>
            <w:vAlign w:val="center"/>
          </w:tcPr>
          <w:p w14:paraId="76259786">
            <w:pPr>
              <w:widowControl/>
              <w:spacing w:before="0" w:beforeLines="0" w:beforeAutospacing="0" w:after="0" w:afterLines="0" w:afterAutospacing="0" w:line="400" w:lineRule="exact"/>
              <w:ind w:left="0" w:right="0"/>
            </w:pPr>
          </w:p>
        </w:tc>
        <w:tc>
          <w:tcPr>
            <w:tcW w:w="1434" w:type="dxa"/>
            <w:vMerge w:val="continue"/>
            <w:tcBorders>
              <w:left w:val="single" w:color="auto" w:sz="4" w:space="0"/>
              <w:bottom w:val="single" w:color="auto" w:sz="4" w:space="0"/>
              <w:right w:val="single" w:color="auto" w:sz="4" w:space="0"/>
            </w:tcBorders>
            <w:noWrap w:val="0"/>
            <w:vAlign w:val="center"/>
          </w:tcPr>
          <w:p w14:paraId="4574DD52">
            <w:pPr>
              <w:widowControl/>
              <w:spacing w:before="0" w:beforeLines="0" w:beforeAutospacing="0" w:after="0" w:afterLines="0" w:afterAutospacing="0" w:line="400" w:lineRule="exact"/>
              <w:ind w:left="0" w:right="0"/>
            </w:pPr>
          </w:p>
        </w:tc>
        <w:tc>
          <w:tcPr>
            <w:tcW w:w="7744" w:type="dxa"/>
            <w:tcBorders>
              <w:top w:val="single" w:color="auto" w:sz="4" w:space="0"/>
              <w:left w:val="nil"/>
              <w:bottom w:val="single" w:color="auto" w:sz="4" w:space="0"/>
              <w:right w:val="single" w:color="auto" w:sz="4" w:space="0"/>
            </w:tcBorders>
            <w:noWrap w:val="0"/>
            <w:vAlign w:val="center"/>
          </w:tcPr>
          <w:p w14:paraId="2EC08763">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本项目对应的中小企业划分标准所属行业为</w:t>
            </w:r>
            <w:r>
              <w:rPr>
                <w:rFonts w:hint="eastAsia" w:asciiTheme="minorEastAsia" w:hAnsiTheme="minorEastAsia"/>
                <w:color w:val="auto"/>
                <w:sz w:val="24"/>
                <w:szCs w:val="24"/>
                <w:highlight w:val="none"/>
                <w:lang w:eastAsia="zh-CN"/>
              </w:rPr>
              <w:t>：</w:t>
            </w:r>
          </w:p>
          <w:p w14:paraId="4FB4EEFC">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yellow"/>
                <w:lang w:val="en-US" w:eastAsia="zh-CN"/>
              </w:rPr>
            </w:pPr>
            <w:r>
              <w:rPr>
                <w:rFonts w:hint="eastAsia" w:asciiTheme="minorEastAsia" w:hAnsiTheme="minorEastAsia"/>
                <w:color w:val="auto"/>
                <w:sz w:val="24"/>
                <w:szCs w:val="24"/>
                <w:highlight w:val="none"/>
                <w:lang w:val="en-US" w:eastAsia="zh-CN"/>
              </w:rPr>
              <w:t>二标段：工业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9F2A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rPr>
              <w:t>合同形式</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106E51CC">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rPr>
              <w:t>固定单价</w:t>
            </w:r>
            <w:r>
              <w:rPr>
                <w:rFonts w:hint="eastAsia" w:ascii="宋体" w:hAnsi="宋体" w:eastAsia="宋体" w:cs="宋体"/>
                <w:color w:val="auto"/>
                <w:kern w:val="44"/>
                <w:sz w:val="24"/>
                <w:szCs w:val="24"/>
              </w:rPr>
              <w:t>合同</w:t>
            </w:r>
          </w:p>
        </w:tc>
      </w:tr>
      <w:tr w14:paraId="7957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821C6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933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货款支付</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59CBE8C4">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highlight w:val="none"/>
                <w:lang w:val="en-US" w:eastAsia="zh-CN"/>
              </w:rPr>
            </w:pPr>
            <w:r>
              <w:rPr>
                <w:rFonts w:hint="eastAsia" w:ascii="宋体" w:hAnsi="宋体" w:eastAsia="宋体" w:cs="宋体"/>
                <w:color w:val="auto"/>
                <w:kern w:val="44"/>
                <w:sz w:val="24"/>
                <w:szCs w:val="24"/>
                <w:highlight w:val="none"/>
                <w:lang w:val="en-US" w:eastAsia="zh-CN"/>
              </w:rPr>
              <w:t>项目完工验收合格付合同总金额的80%，项目完成审计后付合同总金额的20%。</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744"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《中国采购与招标网》</w:t>
            </w:r>
            <w:r>
              <w:rPr>
                <w:rFonts w:hint="eastAsia" w:ascii="宋体" w:hAnsi="宋体" w:eastAsia="宋体" w:cs="仿宋"/>
                <w:color w:val="auto"/>
                <w:kern w:val="2"/>
                <w:sz w:val="24"/>
                <w:szCs w:val="24"/>
                <w:highlight w:val="none"/>
              </w:rPr>
              <w:t>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744" w:type="dxa"/>
            <w:tcBorders>
              <w:top w:val="single" w:color="auto" w:sz="4" w:space="0"/>
              <w:left w:val="nil"/>
              <w:bottom w:val="single" w:color="auto" w:sz="4" w:space="0"/>
              <w:right w:val="single" w:color="auto" w:sz="4" w:space="0"/>
            </w:tcBorders>
            <w:noWrap w:val="0"/>
            <w:vAlign w:val="center"/>
          </w:tcPr>
          <w:p w14:paraId="1EE4D130">
            <w:pPr>
              <w:widowControl/>
              <w:spacing w:before="0" w:beforeLines="0" w:beforeAutospacing="0" w:after="0" w:afterLines="0" w:afterAutospacing="0" w:line="400" w:lineRule="exact"/>
              <w:ind w:left="0" w:right="0"/>
              <w:rPr>
                <w:rFonts w:hint="default"/>
                <w:highlight w:val="none"/>
                <w:lang w:val="en-US" w:eastAsia="zh-CN"/>
              </w:rPr>
            </w:pPr>
            <w:r>
              <w:rPr>
                <w:rFonts w:hint="eastAsia" w:ascii="宋体" w:hAnsi="宋体" w:eastAsia="宋体" w:cs="仿宋"/>
                <w:color w:val="auto"/>
                <w:kern w:val="2"/>
                <w:sz w:val="22"/>
                <w:szCs w:val="22"/>
                <w:highlight w:val="none"/>
                <w:lang w:val="en-US" w:eastAsia="zh-CN"/>
              </w:rPr>
              <w:t>二标段：</w:t>
            </w:r>
            <w:r>
              <w:rPr>
                <w:rFonts w:hint="eastAsia" w:ascii="宋体" w:hAnsi="宋体" w:eastAsia="宋体" w:cs="仿宋"/>
                <w:color w:val="auto"/>
                <w:kern w:val="2"/>
                <w:sz w:val="22"/>
                <w:szCs w:val="22"/>
                <w:highlight w:val="none"/>
                <w:lang w:eastAsia="zh-CN"/>
              </w:rPr>
              <w:t>不收取。</w:t>
            </w:r>
          </w:p>
        </w:tc>
      </w:tr>
      <w:tr w14:paraId="2087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744"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1434"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744"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1434"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744"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1434"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744"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1434"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744"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1434"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744" w:type="dxa"/>
            <w:tcBorders>
              <w:top w:val="single" w:color="auto" w:sz="4" w:space="0"/>
              <w:left w:val="nil"/>
              <w:bottom w:val="single" w:color="auto" w:sz="4" w:space="0"/>
              <w:right w:val="single" w:color="auto" w:sz="4" w:space="0"/>
            </w:tcBorders>
            <w:noWrap w:val="0"/>
            <w:vAlign w:val="center"/>
          </w:tcPr>
          <w:p w14:paraId="1BABD89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rPr>
              <w:t>招标代理服务费及其他所有费用由中标人</w:t>
            </w:r>
            <w:r>
              <w:rPr>
                <w:rFonts w:hint="eastAsia" w:ascii="宋体" w:hAnsi="宋体" w:eastAsia="宋体" w:cs="宋体"/>
                <w:color w:val="auto"/>
                <w:sz w:val="24"/>
                <w:szCs w:val="24"/>
                <w:highlight w:val="none"/>
                <w:lang w:val="en-US" w:eastAsia="zh-CN"/>
              </w:rPr>
              <w:t>在领取中标通知书时，以现</w:t>
            </w:r>
            <w:r>
              <w:rPr>
                <w:rFonts w:hint="eastAsia" w:ascii="宋体" w:hAnsi="宋体" w:eastAsia="宋体" w:cs="仿宋"/>
                <w:color w:val="auto"/>
                <w:kern w:val="2"/>
                <w:sz w:val="24"/>
                <w:szCs w:val="24"/>
                <w:highlight w:val="none"/>
                <w:lang w:val="en-US" w:eastAsia="zh-CN"/>
              </w:rPr>
              <w:t xml:space="preserve">金或转账的方式一次性缴纳 </w:t>
            </w:r>
          </w:p>
          <w:p w14:paraId="189CB303">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账户:河南邦兴工程服务有限公司三门峡分公司</w:t>
            </w:r>
          </w:p>
          <w:p w14:paraId="25DA9715">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 xml:space="preserve">账号：16174101040023257    </w:t>
            </w:r>
          </w:p>
          <w:p w14:paraId="63713A0F">
            <w:pPr>
              <w:widowControl/>
              <w:spacing w:before="0" w:beforeLines="0" w:beforeAutospacing="0" w:after="0" w:afterLines="0" w:afterAutospacing="0" w:line="400" w:lineRule="exact"/>
              <w:ind w:left="0" w:right="0" w:firstLine="480" w:firstLineChars="200"/>
            </w:pPr>
            <w:r>
              <w:rPr>
                <w:rFonts w:hint="eastAsia" w:ascii="宋体" w:hAnsi="宋体" w:eastAsia="宋体" w:cs="仿宋"/>
                <w:color w:val="auto"/>
                <w:kern w:val="2"/>
                <w:sz w:val="24"/>
                <w:szCs w:val="24"/>
                <w:highlight w:val="none"/>
                <w:lang w:val="en-US" w:eastAsia="zh-CN"/>
              </w:rPr>
              <w:t>开户银行:中国农业银行股份有限公司三门峡陕州支行</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1434"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744"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除供应商须知正文规定的情形外，除非已经产生中标候选人，在投标有效期内同意延长投标有效期的供应商少于三个的，招标人应当依法重新招标。</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1434"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744"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1434"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744"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1"/>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w:t>
            </w:r>
            <w:r>
              <w:rPr>
                <w:rFonts w:hint="eastAsia" w:ascii="宋体" w:hAnsi="宋体" w:eastAsia="宋体" w:cs="仿宋"/>
                <w:color w:val="auto"/>
                <w:kern w:val="2"/>
                <w:sz w:val="24"/>
                <w:szCs w:val="24"/>
                <w:highlight w:val="none"/>
                <w:lang w:val="en-US" w:eastAsia="zh-CN"/>
              </w:rPr>
              <w:t>介</w:t>
            </w:r>
            <w:r>
              <w:rPr>
                <w:rFonts w:hint="eastAsia" w:ascii="宋体" w:hAnsi="宋体" w:eastAsia="宋体" w:cs="仿宋"/>
                <w:color w:val="auto"/>
                <w:kern w:val="2"/>
                <w:sz w:val="24"/>
                <w:szCs w:val="24"/>
                <w:highlight w:val="none"/>
              </w:rPr>
              <w:t>服务机构通过开标大厅对话框提出质疑。中介服务机构做好书面记录。</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66D2EC58">
            <w:pPr>
              <w:pStyle w:val="5"/>
              <w:numPr>
                <w:ilvl w:val="0"/>
                <w:numId w:val="0"/>
              </w:numPr>
              <w:spacing w:line="360" w:lineRule="auto"/>
              <w:rPr>
                <w:rFonts w:hint="default"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6、开标会议结束后，由采购人和采购代理机构人员按照招标文件公告部分供应商资格要求，对二标段投标供应商进行资格审查，有一项不符合的，视为未通过资格审查，不得进入下一评标过程。</w:t>
            </w:r>
          </w:p>
          <w:p w14:paraId="01FC607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right="0"/>
              <w:jc w:val="both"/>
              <w:textAlignment w:val="auto"/>
              <w:outlineLvl w:val="9"/>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7、采购人将符合资格审查的电子化投标文件提交于评标委员会进行详细评审及比较。</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8</w:t>
            </w:r>
            <w:r>
              <w:rPr>
                <w:rFonts w:hint="eastAsia" w:ascii="宋体" w:hAnsi="宋体" w:eastAsia="宋体" w:cs="仿宋"/>
                <w:color w:val="auto"/>
                <w:kern w:val="2"/>
                <w:sz w:val="24"/>
                <w:szCs w:val="24"/>
                <w:highlight w:val="none"/>
              </w:rPr>
              <w:t>、评标时，评标委员会对电子化投标文件有质疑的，将通过电子化交易系统对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24D0B088">
      <w:pPr>
        <w:spacing w:line="360" w:lineRule="auto"/>
        <w:rPr>
          <w:rFonts w:hint="default" w:ascii="宋体" w:hAnsi="宋体" w:eastAsia="宋体" w:cs="宋体"/>
          <w:color w:val="auto"/>
          <w:sz w:val="24"/>
          <w:szCs w:val="24"/>
          <w:lang w:val="en-US" w:eastAsia="zh-CN"/>
        </w:rPr>
      </w:pPr>
    </w:p>
    <w:p w14:paraId="32D4441D">
      <w:pPr>
        <w:spacing w:line="360" w:lineRule="auto"/>
        <w:jc w:val="center"/>
        <w:outlineLvl w:val="0"/>
        <w:rPr>
          <w:rFonts w:ascii="宋体" w:hAnsi="宋体"/>
          <w:b/>
          <w:bCs/>
          <w:color w:val="auto"/>
          <w:sz w:val="32"/>
          <w:highlight w:val="none"/>
        </w:rPr>
      </w:pPr>
      <w:bookmarkStart w:id="69" w:name="_Toc18330"/>
      <w:bookmarkStart w:id="70" w:name="_Toc25796"/>
      <w:bookmarkStart w:id="71" w:name="_Toc19045"/>
      <w:bookmarkStart w:id="72" w:name="_Toc7842"/>
      <w:bookmarkStart w:id="73" w:name="_Toc3544"/>
      <w:r>
        <w:rPr>
          <w:rFonts w:hint="eastAsia" w:ascii="宋体" w:hAnsi="宋体"/>
          <w:b/>
          <w:bCs/>
          <w:color w:val="auto"/>
          <w:sz w:val="32"/>
          <w:highlight w:val="none"/>
        </w:rPr>
        <w:t>总  则</w:t>
      </w:r>
      <w:bookmarkEnd w:id="69"/>
      <w:bookmarkEnd w:id="70"/>
      <w:bookmarkEnd w:id="71"/>
      <w:bookmarkEnd w:id="72"/>
      <w:bookmarkEnd w:id="73"/>
    </w:p>
    <w:p w14:paraId="600E782C">
      <w:pPr>
        <w:spacing w:line="440" w:lineRule="exact"/>
        <w:ind w:firstLine="482" w:firstLineChars="200"/>
        <w:rPr>
          <w:rFonts w:ascii="宋体" w:hAnsi="宋体" w:eastAsia="宋体" w:cs="宋体"/>
          <w:b/>
          <w:bCs/>
          <w:color w:val="auto"/>
          <w:kern w:val="0"/>
          <w:sz w:val="24"/>
          <w:szCs w:val="24"/>
          <w:highlight w:val="none"/>
        </w:rPr>
      </w:pPr>
      <w:bookmarkStart w:id="74" w:name="_Toc479"/>
      <w:r>
        <w:rPr>
          <w:rFonts w:hint="eastAsia" w:ascii="宋体" w:hAnsi="宋体" w:eastAsia="宋体" w:cs="宋体"/>
          <w:b/>
          <w:bCs/>
          <w:color w:val="auto"/>
          <w:kern w:val="0"/>
          <w:sz w:val="24"/>
          <w:szCs w:val="24"/>
          <w:highlight w:val="none"/>
        </w:rPr>
        <w:t>1.1项目概况</w:t>
      </w:r>
    </w:p>
    <w:p w14:paraId="3C9E200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 等有关法律、法规和规章的规定，本项目已具备</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条件，现对本项目进行</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w:t>
      </w:r>
    </w:p>
    <w:p w14:paraId="45468D4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项目采购人：见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8CCE93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项目招标代理机构：见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4FD611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C4924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E8575F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w:t>
      </w:r>
    </w:p>
    <w:p w14:paraId="73497F3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1CC931E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范围、计划工期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交货期及安装期</w:t>
      </w:r>
      <w:r>
        <w:rPr>
          <w:rFonts w:hint="eastAsia" w:ascii="宋体" w:hAnsi="宋体" w:eastAsia="宋体" w:cs="宋体"/>
          <w:b/>
          <w:bCs/>
          <w:color w:val="auto"/>
          <w:sz w:val="24"/>
          <w:szCs w:val="24"/>
          <w:highlight w:val="none"/>
        </w:rPr>
        <w:t>和质量要求</w:t>
      </w:r>
    </w:p>
    <w:p w14:paraId="0856A92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EC385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AAB17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的质量要求：见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3F37D91">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4C4AB2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资格条件</w:t>
      </w:r>
      <w:r>
        <w:rPr>
          <w:rFonts w:hint="eastAsia" w:ascii="宋体" w:hAnsi="宋体" w:eastAsia="宋体" w:cs="宋体"/>
          <w:color w:val="auto"/>
          <w:sz w:val="24"/>
          <w:szCs w:val="24"/>
          <w:highlight w:val="none"/>
        </w:rPr>
        <w:t>见前附表。</w:t>
      </w:r>
    </w:p>
    <w:p w14:paraId="303F0EF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7E67B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470557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项目前期准备提供设计或咨询服务，但设计施工总承包的除外；</w:t>
      </w:r>
    </w:p>
    <w:p w14:paraId="6CDA23D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w:t>
      </w:r>
    </w:p>
    <w:p w14:paraId="3E94431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项目的代建人；</w:t>
      </w:r>
    </w:p>
    <w:p w14:paraId="18D5E6E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项目提供采购代理服务的；</w:t>
      </w:r>
    </w:p>
    <w:p w14:paraId="76A14B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项目的监理人或代建人或采购代理机构同为一个法定代表人的；</w:t>
      </w:r>
    </w:p>
    <w:p w14:paraId="2C8898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项目的监理人或代建人或采购代理机构相互控股或参股的；</w:t>
      </w:r>
    </w:p>
    <w:p w14:paraId="48004FF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项目的监理人或代建人或采购代理机构相互任职或工作的；</w:t>
      </w:r>
    </w:p>
    <w:p w14:paraId="40672E2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6C632F1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资格的；</w:t>
      </w:r>
    </w:p>
    <w:p w14:paraId="5E757C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5150944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5B35B7A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14:paraId="462FEDA6">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zh-CN" w:bidi="ar"/>
        </w:rPr>
        <w:t>供应商</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有关的费用，无论</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结果如何，采购代理机构和采购人在任何情况下均无义务和责任承担这些费用。</w:t>
      </w:r>
    </w:p>
    <w:p w14:paraId="2AC07CD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14:paraId="04D996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文件中的商业和技术等秘密保密，违者应对由此造成的后果承担法律责任。</w:t>
      </w:r>
    </w:p>
    <w:p w14:paraId="1E056BE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14:paraId="03027C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有关的语言均使用中文。必要时专用术语应附有中文注释。</w:t>
      </w:r>
    </w:p>
    <w:p w14:paraId="7663BF8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14:paraId="7EF4AF6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E0B9C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14:paraId="04B00B2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0B80095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1.10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预备会</w:t>
      </w:r>
    </w:p>
    <w:p w14:paraId="0728A2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349689B8">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14:paraId="52227FB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3826C611">
      <w:pPr>
        <w:keepNext/>
        <w:keepLines/>
        <w:spacing w:line="440" w:lineRule="exact"/>
        <w:ind w:firstLine="482" w:firstLineChars="2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 偏离</w:t>
      </w:r>
      <w:bookmarkStart w:id="75" w:name="_Toc466566784"/>
      <w:bookmarkEnd w:id="75"/>
      <w:bookmarkStart w:id="76" w:name="_Toc184635072"/>
      <w:bookmarkEnd w:id="76"/>
      <w:bookmarkStart w:id="77" w:name="_Toc466566695"/>
      <w:bookmarkStart w:id="78" w:name="_Toc25592"/>
      <w:bookmarkStart w:id="79" w:name="_Toc20725"/>
      <w:bookmarkStart w:id="80" w:name="_Toc3921"/>
      <w:bookmarkStart w:id="81" w:name="_Toc23678"/>
      <w:bookmarkStart w:id="82" w:name="_Toc26910"/>
      <w:bookmarkStart w:id="83" w:name="_Toc17642"/>
      <w:bookmarkStart w:id="84" w:name="_Toc17517"/>
    </w:p>
    <w:p w14:paraId="374D8AE0">
      <w:pPr>
        <w:keepNext/>
        <w:keepLines/>
        <w:spacing w:line="440" w:lineRule="exact"/>
        <w:ind w:firstLine="480" w:firstLineChars="200"/>
        <w:outlineLvl w:val="3"/>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允许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正偏离</w:t>
      </w:r>
      <w:r>
        <w:rPr>
          <w:rFonts w:hint="eastAsia" w:ascii="宋体" w:hAnsi="宋体" w:eastAsia="宋体" w:cs="宋体"/>
          <w:b w:val="0"/>
          <w:bCs/>
          <w:color w:val="auto"/>
          <w:sz w:val="24"/>
          <w:szCs w:val="24"/>
          <w:highlight w:val="none"/>
          <w:lang w:eastAsia="zh-CN"/>
        </w:rPr>
        <w:t>）</w:t>
      </w:r>
    </w:p>
    <w:p w14:paraId="7AFEF888">
      <w:pPr>
        <w:keepNext/>
        <w:keepLines/>
        <w:spacing w:line="440" w:lineRule="exact"/>
        <w:ind w:firstLine="482" w:firstLineChars="200"/>
        <w:outlineLvl w:val="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bookmarkEnd w:id="77"/>
      <w:bookmarkEnd w:id="78"/>
      <w:bookmarkEnd w:id="79"/>
      <w:bookmarkEnd w:id="80"/>
      <w:bookmarkEnd w:id="81"/>
      <w:bookmarkEnd w:id="82"/>
      <w:bookmarkEnd w:id="83"/>
      <w:bookmarkEnd w:id="84"/>
    </w:p>
    <w:p w14:paraId="2396E816">
      <w:pPr>
        <w:keepNext/>
        <w:keepLines/>
        <w:spacing w:line="440" w:lineRule="exact"/>
        <w:ind w:firstLine="482" w:firstLineChars="200"/>
        <w:outlineLvl w:val="1"/>
        <w:rPr>
          <w:rFonts w:ascii="宋体" w:hAnsi="宋体" w:eastAsia="宋体" w:cs="宋体"/>
          <w:color w:val="auto"/>
          <w:sz w:val="24"/>
          <w:szCs w:val="24"/>
          <w:highlight w:val="none"/>
        </w:rPr>
      </w:pPr>
      <w:bookmarkStart w:id="85" w:name="_Toc5370"/>
      <w:r>
        <w:rPr>
          <w:rFonts w:hint="eastAsia" w:ascii="宋体" w:hAnsi="宋体" w:eastAsia="宋体" w:cs="宋体"/>
          <w:b/>
          <w:color w:val="auto"/>
          <w:sz w:val="24"/>
          <w:szCs w:val="24"/>
          <w:highlight w:val="none"/>
        </w:rPr>
        <w:t xml:space="preserve">2.1.1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文件的组成</w:t>
      </w:r>
      <w:bookmarkEnd w:id="85"/>
    </w:p>
    <w:p w14:paraId="4620C7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文件包括：</w:t>
      </w:r>
    </w:p>
    <w:p w14:paraId="0D2C412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公告；</w:t>
      </w:r>
    </w:p>
    <w:p w14:paraId="055CF96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p>
    <w:p w14:paraId="1D92A46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采购清单及参数</w:t>
      </w:r>
    </w:p>
    <w:p w14:paraId="6B1E6F9B">
      <w:pPr>
        <w:spacing w:line="44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办法；</w:t>
      </w:r>
    </w:p>
    <w:p w14:paraId="769A751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）合同条款及格式；</w:t>
      </w:r>
    </w:p>
    <w:p w14:paraId="781B300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w:t>
      </w:r>
    </w:p>
    <w:p w14:paraId="1C2D01C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文件所作的澄清、修改，构成</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文件的组成部分。</w:t>
      </w:r>
    </w:p>
    <w:p w14:paraId="5716CD4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2.2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文件的澄清</w:t>
      </w:r>
    </w:p>
    <w:p w14:paraId="7DDA2AE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如有疑问，可要求澄清。要求澄清应按投标邀请中载明的投标截止日期10日前按照招标公告中载明的地址以书面形式递交采购代理机构。采购代理机构将视情况在投标截止时间15日（如至原定截止时间不足15日，则需延长开标时间）前将不标明查询来源的书面答复发给所有潜在供应商，并在原采购信息发布的媒体上发布更正公告。该澄清内容为招标文件的组成部分。</w:t>
      </w:r>
    </w:p>
    <w:p w14:paraId="4086FD9A">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文件的修改</w:t>
      </w:r>
    </w:p>
    <w:p w14:paraId="7F8BFC63">
      <w:pPr>
        <w:spacing w:line="440" w:lineRule="exact"/>
        <w:ind w:firstLine="480" w:firstLineChars="200"/>
        <w:outlineLvl w:val="0"/>
        <w:rPr>
          <w:rFonts w:hint="eastAsia" w:ascii="宋体" w:hAnsi="宋体" w:eastAsia="宋体" w:cs="宋体"/>
          <w:b w:val="0"/>
          <w:bCs w:val="0"/>
          <w:color w:val="auto"/>
          <w:kern w:val="0"/>
          <w:sz w:val="24"/>
          <w:szCs w:val="24"/>
          <w:highlight w:val="none"/>
        </w:rPr>
      </w:pPr>
      <w:bookmarkStart w:id="86" w:name="_Toc27188"/>
      <w:bookmarkStart w:id="87" w:name="_Toc1460"/>
      <w:bookmarkStart w:id="88" w:name="_Toc15930"/>
      <w:bookmarkStart w:id="89" w:name="_Toc19970"/>
      <w:r>
        <w:rPr>
          <w:rFonts w:hint="eastAsia" w:ascii="宋体" w:hAnsi="宋体" w:eastAsia="宋体" w:cs="宋体"/>
          <w:b w:val="0"/>
          <w:bCs w:val="0"/>
          <w:color w:val="auto"/>
          <w:kern w:val="0"/>
          <w:sz w:val="24"/>
          <w:szCs w:val="24"/>
          <w:highlight w:val="none"/>
        </w:rPr>
        <w:t>至投标截止日期前15日（如至原定截止时间不足15日，则需延长开标时间），采购代理机构可主动或依供应商要求澄清的问题而修改招标文件，应在原信息发布的媒体上发布更正公告通知所有潜在供应商。该修改内容为招标文件的组成部分，对供应商具有约束力。</w:t>
      </w:r>
      <w:bookmarkEnd w:id="86"/>
    </w:p>
    <w:p w14:paraId="17FE6ACF">
      <w:pPr>
        <w:spacing w:line="440" w:lineRule="exact"/>
        <w:ind w:firstLine="482" w:firstLineChars="200"/>
        <w:outlineLvl w:val="0"/>
        <w:rPr>
          <w:rFonts w:hint="default" w:ascii="宋体" w:hAnsi="宋体" w:eastAsia="宋体" w:cs="宋体"/>
          <w:b/>
          <w:bCs/>
          <w:color w:val="auto"/>
          <w:kern w:val="0"/>
          <w:sz w:val="24"/>
          <w:szCs w:val="24"/>
          <w:highlight w:val="none"/>
          <w:lang w:val="en-US" w:eastAsia="zh-CN"/>
        </w:rPr>
      </w:pPr>
      <w:bookmarkStart w:id="90" w:name="_Toc16369"/>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w:t>
      </w:r>
      <w:bookmarkEnd w:id="87"/>
      <w:bookmarkEnd w:id="88"/>
      <w:bookmarkEnd w:id="89"/>
      <w:r>
        <w:rPr>
          <w:rFonts w:hint="eastAsia" w:ascii="宋体" w:hAnsi="宋体" w:eastAsia="宋体" w:cs="宋体"/>
          <w:b/>
          <w:bCs/>
          <w:color w:val="auto"/>
          <w:kern w:val="0"/>
          <w:sz w:val="24"/>
          <w:szCs w:val="24"/>
          <w:highlight w:val="none"/>
          <w:lang w:val="en-US" w:eastAsia="zh-CN"/>
        </w:rPr>
        <w:t>的编写</w:t>
      </w:r>
      <w:bookmarkEnd w:id="90"/>
    </w:p>
    <w:p w14:paraId="2244D0A8">
      <w:pPr>
        <w:spacing w:line="440" w:lineRule="exact"/>
        <w:ind w:firstLine="480" w:firstLineChars="200"/>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3.1 </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文件的组成</w:t>
      </w:r>
    </w:p>
    <w:p w14:paraId="08AB247B">
      <w:pPr>
        <w:keepNext/>
        <w:keepLines/>
        <w:spacing w:line="440" w:lineRule="exact"/>
        <w:ind w:firstLine="480" w:firstLineChars="200"/>
        <w:outlineLvl w:val="3"/>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3.1.1 </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文件应包括下列内容：</w:t>
      </w:r>
    </w:p>
    <w:p w14:paraId="77DF87E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w:t>
      </w:r>
    </w:p>
    <w:p w14:paraId="227EBA8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开标一览表</w:t>
      </w:r>
    </w:p>
    <w:p w14:paraId="22A7C618">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）参数一览表</w:t>
      </w:r>
    </w:p>
    <w:p w14:paraId="32F39F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授权委托书</w:t>
      </w:r>
    </w:p>
    <w:p w14:paraId="2DCA76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承诺函</w:t>
      </w:r>
    </w:p>
    <w:p w14:paraId="1D6D7292">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已标价的采购清单及参数</w:t>
      </w:r>
    </w:p>
    <w:p w14:paraId="34FD66EF">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项目实施方案</w:t>
      </w:r>
    </w:p>
    <w:p w14:paraId="564BA0F8">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供应商基本情况表</w:t>
      </w:r>
    </w:p>
    <w:p w14:paraId="02673C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年以来供应商承担过的类似业绩（如有）</w:t>
      </w:r>
    </w:p>
    <w:p w14:paraId="014E1750">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资料</w:t>
      </w:r>
    </w:p>
    <w:p w14:paraId="3F7416FB">
      <w:pPr>
        <w:spacing w:line="44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文件编制，在文件编制时，应明确将投标单位企业基本情况、人员情况、财务情况、业绩情况编入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62C7BBF4">
      <w:pPr>
        <w:autoSpaceDE w:val="0"/>
        <w:autoSpaceDN w:val="0"/>
        <w:adjustRightInd w:val="0"/>
        <w:spacing w:line="440" w:lineRule="exact"/>
        <w:ind w:firstLine="542" w:firstLineChars="22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3.2 </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报价</w:t>
      </w:r>
    </w:p>
    <w:p w14:paraId="7B0ABC4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3.2.1投标供应商应报出货到交货地点价。其中应包各项与此项目有关的一切费用</w:t>
      </w:r>
      <w:r>
        <w:rPr>
          <w:rFonts w:hint="eastAsia" w:ascii="宋体" w:hAnsi="宋体" w:eastAsia="宋体" w:cs="宋体"/>
          <w:color w:val="auto"/>
          <w:sz w:val="24"/>
          <w:szCs w:val="24"/>
          <w:highlight w:val="none"/>
        </w:rPr>
        <w:t>。</w:t>
      </w:r>
    </w:p>
    <w:p w14:paraId="454FF2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的报价应按照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文件、补充通知、答疑纪要、现场情况、承包范围，并充分考虑</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期间各类建材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市场风险和国家政策性调整等风险系数，由各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根据自身情况，在合理范围内，自主考虑、优惠报价，但不得低于企业成本。</w:t>
      </w:r>
    </w:p>
    <w:p w14:paraId="3D81ACF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报价应是</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文件所确定的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范围内的全部工作内容的价格体现。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文件，根据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文件规定的内容，对本次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的全部工作内容进行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23F2C6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报价包括的风险范围为：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p>
    <w:p w14:paraId="3F2D72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报价将被认为已综合考虑了在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全过程中可能发生的全部不可预见费用。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未考虑到或漏算的项目，合同执行期间人员费用等相关的变动；各种原因</w:t>
      </w:r>
      <w:r>
        <w:rPr>
          <w:rFonts w:hint="eastAsia" w:ascii="宋体" w:hAnsi="宋体" w:eastAsia="宋体" w:cs="宋体"/>
          <w:color w:val="auto"/>
          <w:sz w:val="24"/>
          <w:szCs w:val="24"/>
          <w:highlight w:val="none"/>
          <w:lang w:val="en-US" w:eastAsia="zh-CN"/>
        </w:rPr>
        <w:t>导致供货</w:t>
      </w:r>
      <w:r>
        <w:rPr>
          <w:rFonts w:hint="eastAsia" w:ascii="宋体" w:hAnsi="宋体" w:eastAsia="宋体" w:cs="宋体"/>
          <w:color w:val="auto"/>
          <w:sz w:val="24"/>
          <w:szCs w:val="24"/>
          <w:highlight w:val="none"/>
        </w:rPr>
        <w:t>周期时间延长，</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无权再以任何理由提出延长</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周期、增加价款或索赔等要求。如果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对任何报价遗漏或未计，均被认为已包含在其他费用中，采购人不另行支付。</w:t>
      </w:r>
    </w:p>
    <w:p w14:paraId="434381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报价函中的大写金额和小写金额不一致的，以大写金额为准；总价金额与单价金额不一致的，以单价金额为准，但单价金额小数点有明显错误的除外；对不同文字文本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文件的解释发生异议的，以中文文本为准。</w:t>
      </w:r>
    </w:p>
    <w:p w14:paraId="10A1174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1378D60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报价前可以自行踏勘现场，充分考虑了现状条件可能影响到项目正常服务工作的所有风险因素。无论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是否进行了上述现场踏勘工作，其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报价中均将被认为已包含有在作业期间发生的全部不可预见的风险费用，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成交后则无权因此要求任何</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周期或费用上的索赔。</w:t>
      </w:r>
    </w:p>
    <w:p w14:paraId="6F9833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szCs w:val="24"/>
          <w:highlight w:val="none"/>
        </w:rPr>
        <w:t>期间由于</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条件发生变化或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原因造成技术方案的更改，所增加的措施费用及</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周期一概不予调整，相应的费用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报价中充分考虑，采购人不另支付。</w:t>
      </w:r>
    </w:p>
    <w:p w14:paraId="5693D0F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3.3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有效期</w:t>
      </w:r>
    </w:p>
    <w:p w14:paraId="15DAA1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不得要求撤销或修改其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38299F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有效期的，采购人以书面形式通知所有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同意延长的，不得要求或被允许修改或撤销其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失效。</w:t>
      </w:r>
    </w:p>
    <w:p w14:paraId="331444F3">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3.4 </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47598B5C">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资格审查资料</w:t>
      </w:r>
    </w:p>
    <w:p w14:paraId="55C2E966">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详见供应商前附表</w:t>
      </w:r>
      <w:r>
        <w:rPr>
          <w:rFonts w:hint="eastAsia" w:ascii="宋体" w:hAnsi="宋体" w:eastAsia="宋体" w:cs="宋体"/>
          <w:color w:val="auto"/>
          <w:sz w:val="24"/>
          <w:szCs w:val="24"/>
          <w:highlight w:val="none"/>
          <w:lang w:eastAsia="zh-CN"/>
        </w:rPr>
        <w:t>。</w:t>
      </w:r>
    </w:p>
    <w:p w14:paraId="62BECC8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3.6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文件的编制</w:t>
      </w:r>
    </w:p>
    <w:p w14:paraId="075A26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文件格式”进行编写，如有必要，可以增加附页，作为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文件的组成部分。其中，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函附录在满足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文件实质性要求的基础上，可以提出比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文件要求更有利于采购人的承诺。</w:t>
      </w:r>
    </w:p>
    <w:p w14:paraId="230479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文件应当对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文件有关计划工期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质量要求等实质性内容作出响应。</w:t>
      </w:r>
    </w:p>
    <w:p w14:paraId="50CCEEC3">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3.7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文件的签署</w:t>
      </w:r>
    </w:p>
    <w:p w14:paraId="34C5FCC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文件必须上传电子评标系统</w:t>
      </w:r>
      <w:r>
        <w:rPr>
          <w:rFonts w:hint="eastAsia" w:ascii="宋体" w:hAnsi="宋体" w:eastAsia="宋体" w:cs="宋体"/>
          <w:b/>
          <w:bCs/>
          <w:color w:val="auto"/>
          <w:sz w:val="24"/>
          <w:szCs w:val="24"/>
          <w:highlight w:val="none"/>
        </w:rPr>
        <w:t>。</w:t>
      </w:r>
    </w:p>
    <w:p w14:paraId="372A4CD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的法定代表人签字或盖章。</w:t>
      </w:r>
      <w:bookmarkStart w:id="91" w:name="_Toc184635074"/>
      <w:bookmarkEnd w:id="91"/>
    </w:p>
    <w:p w14:paraId="6F333CE3">
      <w:pPr>
        <w:numPr>
          <w:ilvl w:val="0"/>
          <w:numId w:val="2"/>
        </w:numPr>
        <w:spacing w:line="440" w:lineRule="exact"/>
        <w:ind w:firstLine="482" w:firstLineChars="200"/>
        <w:outlineLvl w:val="0"/>
        <w:rPr>
          <w:rFonts w:ascii="宋体" w:hAnsi="宋体" w:eastAsia="宋体" w:cs="宋体"/>
          <w:b/>
          <w:bCs/>
          <w:color w:val="auto"/>
          <w:kern w:val="28"/>
          <w:sz w:val="24"/>
          <w:szCs w:val="24"/>
          <w:highlight w:val="none"/>
        </w:rPr>
      </w:pPr>
      <w:bookmarkStart w:id="92" w:name="_Toc27005"/>
      <w:r>
        <w:rPr>
          <w:rFonts w:hint="eastAsia" w:ascii="宋体" w:hAnsi="宋体" w:eastAsia="宋体" w:cs="宋体"/>
          <w:b/>
          <w:bCs/>
          <w:color w:val="auto"/>
          <w:kern w:val="28"/>
          <w:sz w:val="24"/>
          <w:szCs w:val="24"/>
          <w:highlight w:val="none"/>
          <w:lang w:eastAsia="zh-CN"/>
        </w:rPr>
        <w:t>招标</w:t>
      </w:r>
      <w:bookmarkEnd w:id="92"/>
    </w:p>
    <w:p w14:paraId="3089C5F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文件的递交</w:t>
      </w:r>
    </w:p>
    <w:p w14:paraId="7151B8D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1EF2D28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文件的地点：</w:t>
      </w:r>
      <w:r>
        <w:rPr>
          <w:rFonts w:hint="eastAsia" w:ascii="宋体" w:hAnsi="宋体" w:eastAsia="宋体" w:cs="宋体"/>
          <w:color w:val="auto"/>
          <w:sz w:val="24"/>
          <w:szCs w:val="24"/>
          <w:highlight w:val="none"/>
          <w:lang w:val="en-US" w:eastAsia="zh-CN"/>
        </w:rPr>
        <w:t>见招标公告</w:t>
      </w:r>
      <w:r>
        <w:rPr>
          <w:rFonts w:hint="eastAsia" w:ascii="宋体" w:hAnsi="宋体" w:eastAsia="宋体" w:cs="宋体"/>
          <w:color w:val="auto"/>
          <w:sz w:val="24"/>
          <w:szCs w:val="24"/>
          <w:highlight w:val="none"/>
        </w:rPr>
        <w:t>。</w:t>
      </w:r>
      <w:bookmarkStart w:id="93" w:name="_Toc466566785"/>
      <w:bookmarkEnd w:id="93"/>
      <w:bookmarkStart w:id="94" w:name="_Toc466566696"/>
      <w:bookmarkEnd w:id="94"/>
      <w:bookmarkStart w:id="95" w:name="_Toc184635075"/>
    </w:p>
    <w:p w14:paraId="7C36084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逾期送达或者未送达指定地点的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文件，采购人不予受理。</w:t>
      </w:r>
      <w:bookmarkEnd w:id="95"/>
    </w:p>
    <w:p w14:paraId="64AC9672">
      <w:pPr>
        <w:spacing w:line="440" w:lineRule="exact"/>
        <w:ind w:firstLine="482" w:firstLineChars="200"/>
        <w:rPr>
          <w:rFonts w:ascii="宋体" w:hAnsi="宋体" w:eastAsia="宋体" w:cs="宋体"/>
          <w:color w:val="auto"/>
          <w:sz w:val="24"/>
          <w:szCs w:val="24"/>
          <w:highlight w:val="none"/>
        </w:rPr>
      </w:pPr>
      <w:bookmarkStart w:id="96" w:name="_Toc2978"/>
      <w:bookmarkStart w:id="97" w:name="_Toc18198"/>
      <w:bookmarkStart w:id="98" w:name="_Toc4345"/>
      <w:bookmarkStart w:id="99" w:name="_Toc23682"/>
      <w:bookmarkStart w:id="100" w:name="_Toc27427"/>
      <w:bookmarkStart w:id="101" w:name="_Toc22748"/>
      <w:r>
        <w:rPr>
          <w:rFonts w:hint="eastAsia" w:ascii="宋体" w:hAnsi="宋体" w:eastAsia="宋体" w:cs="宋体"/>
          <w:b/>
          <w:bCs/>
          <w:color w:val="auto"/>
          <w:sz w:val="24"/>
          <w:szCs w:val="24"/>
          <w:highlight w:val="none"/>
        </w:rPr>
        <w:t>5．</w:t>
      </w:r>
      <w:bookmarkEnd w:id="96"/>
      <w:bookmarkEnd w:id="97"/>
      <w:bookmarkEnd w:id="98"/>
      <w:bookmarkEnd w:id="99"/>
      <w:bookmarkEnd w:id="100"/>
      <w:bookmarkEnd w:id="101"/>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程序</w:t>
      </w:r>
    </w:p>
    <w:p w14:paraId="022CAAA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2" w:name="_Toc32516"/>
      <w:bookmarkStart w:id="103" w:name="_Toc18474"/>
      <w:bookmarkStart w:id="104" w:name="_Toc12301"/>
      <w:bookmarkStart w:id="105" w:name="_Toc31324"/>
      <w:bookmarkStart w:id="106" w:name="_Toc4669"/>
      <w:bookmarkStart w:id="107" w:name="_Toc2977"/>
      <w:bookmarkStart w:id="108" w:name="_Toc9104"/>
      <w:r>
        <w:rPr>
          <w:rFonts w:hint="eastAsia" w:ascii="宋体" w:hAnsi="宋体" w:eastAsia="宋体" w:cs="宋体"/>
          <w:b w:val="0"/>
          <w:bCs w:val="0"/>
          <w:color w:val="auto"/>
          <w:sz w:val="24"/>
          <w:szCs w:val="24"/>
          <w:highlight w:val="none"/>
          <w:lang w:val="en-US" w:eastAsia="zh-CN"/>
        </w:rPr>
        <w:t xml:space="preserve">5.1 </w:t>
      </w:r>
      <w:r>
        <w:rPr>
          <w:rFonts w:hint="eastAsia" w:ascii="宋体" w:hAnsi="宋体" w:eastAsia="宋体" w:cs="宋体"/>
          <w:b w:val="0"/>
          <w:bCs w:val="0"/>
          <w:color w:val="auto"/>
          <w:sz w:val="24"/>
          <w:szCs w:val="24"/>
          <w:highlight w:val="none"/>
        </w:rPr>
        <w:t>开标、评标时间</w:t>
      </w:r>
      <w:bookmarkEnd w:id="102"/>
    </w:p>
    <w:p w14:paraId="509F06B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9" w:name="_Toc4255"/>
      <w:r>
        <w:rPr>
          <w:rFonts w:hint="eastAsia" w:ascii="宋体" w:hAnsi="宋体" w:eastAsia="宋体" w:cs="宋体"/>
          <w:b w:val="0"/>
          <w:bCs w:val="0"/>
          <w:color w:val="auto"/>
          <w:sz w:val="24"/>
          <w:szCs w:val="24"/>
          <w:highlight w:val="none"/>
          <w:lang w:val="en-US" w:eastAsia="zh-CN"/>
        </w:rPr>
        <w:t>5.1</w:t>
      </w:r>
      <w:r>
        <w:rPr>
          <w:rFonts w:hint="eastAsia" w:ascii="宋体" w:hAnsi="宋体" w:eastAsia="宋体" w:cs="宋体"/>
          <w:b w:val="0"/>
          <w:bCs w:val="0"/>
          <w:color w:val="auto"/>
          <w:sz w:val="24"/>
          <w:szCs w:val="24"/>
          <w:highlight w:val="none"/>
        </w:rPr>
        <w:t>.1 在供应商须知前附表中所规定的时间、地点公开开标。</w:t>
      </w:r>
      <w:bookmarkEnd w:id="109"/>
    </w:p>
    <w:p w14:paraId="6BFCE7A0">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0" w:name="_Toc2858"/>
      <w:r>
        <w:rPr>
          <w:rFonts w:hint="eastAsia" w:ascii="宋体" w:hAnsi="宋体" w:eastAsia="宋体" w:cs="宋体"/>
          <w:b w:val="0"/>
          <w:bCs w:val="0"/>
          <w:color w:val="auto"/>
          <w:sz w:val="24"/>
          <w:szCs w:val="24"/>
          <w:highlight w:val="none"/>
          <w:lang w:val="en-US" w:eastAsia="zh-CN"/>
        </w:rPr>
        <w:t xml:space="preserve">5.1.2 </w:t>
      </w:r>
      <w:r>
        <w:rPr>
          <w:rFonts w:hint="eastAsia" w:ascii="宋体" w:hAnsi="宋体" w:eastAsia="宋体" w:cs="宋体"/>
          <w:b w:val="0"/>
          <w:bCs w:val="0"/>
          <w:color w:val="auto"/>
          <w:sz w:val="24"/>
          <w:szCs w:val="24"/>
          <w:highlight w:val="none"/>
        </w:rPr>
        <w:t>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原因未能解密、解密失败或解密超时的将被拒绝。</w:t>
      </w:r>
      <w:bookmarkEnd w:id="110"/>
    </w:p>
    <w:p w14:paraId="6A47234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1" w:name="_Toc23457"/>
      <w:r>
        <w:rPr>
          <w:rFonts w:hint="eastAsia" w:ascii="宋体" w:hAnsi="宋体" w:eastAsia="宋体" w:cs="宋体"/>
          <w:b w:val="0"/>
          <w:bCs w:val="0"/>
          <w:color w:val="auto"/>
          <w:sz w:val="24"/>
          <w:szCs w:val="24"/>
          <w:highlight w:val="none"/>
          <w:lang w:val="en-US" w:eastAsia="zh-CN"/>
        </w:rPr>
        <w:t>5.1.3</w:t>
      </w:r>
      <w:r>
        <w:rPr>
          <w:rFonts w:hint="eastAsia" w:ascii="宋体" w:hAnsi="宋体" w:eastAsia="宋体" w:cs="宋体"/>
          <w:b w:val="0"/>
          <w:bCs w:val="0"/>
          <w:color w:val="auto"/>
          <w:sz w:val="24"/>
          <w:szCs w:val="24"/>
          <w:highlight w:val="none"/>
        </w:rPr>
        <w:t xml:space="preserve"> 在开标时间前撤回的投标文件不予解密，并退回给投标供应商；按本须知规定确定为无效的投标文件，不予送交评审。</w:t>
      </w:r>
      <w:bookmarkEnd w:id="111"/>
    </w:p>
    <w:p w14:paraId="53C85D5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2" w:name="_Toc32616"/>
      <w:r>
        <w:rPr>
          <w:rFonts w:hint="eastAsia" w:ascii="宋体" w:hAnsi="宋体" w:eastAsia="宋体" w:cs="宋体"/>
          <w:b w:val="0"/>
          <w:bCs w:val="0"/>
          <w:color w:val="auto"/>
          <w:sz w:val="24"/>
          <w:szCs w:val="24"/>
          <w:highlight w:val="none"/>
          <w:lang w:val="en-US" w:eastAsia="zh-CN"/>
        </w:rPr>
        <w:t>5.1.4</w:t>
      </w:r>
      <w:r>
        <w:rPr>
          <w:rFonts w:hint="eastAsia" w:ascii="宋体" w:hAnsi="宋体" w:eastAsia="宋体" w:cs="宋体"/>
          <w:b w:val="0"/>
          <w:bCs w:val="0"/>
          <w:color w:val="auto"/>
          <w:sz w:val="24"/>
          <w:szCs w:val="24"/>
          <w:highlight w:val="none"/>
        </w:rPr>
        <w:t xml:space="preserve"> 开标时，在监督单位的监督下，对各供应商的投标文件进行解密，由唱标人宣唱并记录各供应商的报价。</w:t>
      </w:r>
      <w:bookmarkEnd w:id="112"/>
    </w:p>
    <w:p w14:paraId="6294A61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3" w:name="_Toc5183"/>
      <w:r>
        <w:rPr>
          <w:rFonts w:hint="eastAsia" w:ascii="宋体" w:hAnsi="宋体" w:eastAsia="宋体" w:cs="宋体"/>
          <w:b w:val="0"/>
          <w:bCs w:val="0"/>
          <w:color w:val="auto"/>
          <w:sz w:val="24"/>
          <w:szCs w:val="24"/>
          <w:highlight w:val="none"/>
          <w:lang w:val="en-US" w:eastAsia="zh-CN"/>
        </w:rPr>
        <w:t xml:space="preserve">5.2 </w:t>
      </w:r>
      <w:r>
        <w:rPr>
          <w:rFonts w:hint="eastAsia" w:ascii="宋体" w:hAnsi="宋体" w:eastAsia="宋体" w:cs="宋体"/>
          <w:b w:val="0"/>
          <w:bCs w:val="0"/>
          <w:color w:val="auto"/>
          <w:sz w:val="24"/>
          <w:szCs w:val="24"/>
          <w:highlight w:val="none"/>
        </w:rPr>
        <w:t>开标程序：</w:t>
      </w:r>
      <w:bookmarkEnd w:id="113"/>
    </w:p>
    <w:p w14:paraId="0AD77F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4" w:name="_Toc22055"/>
      <w:r>
        <w:rPr>
          <w:rFonts w:hint="eastAsia" w:ascii="宋体" w:hAnsi="宋体" w:eastAsia="宋体" w:cs="宋体"/>
          <w:b w:val="0"/>
          <w:bCs w:val="0"/>
          <w:color w:val="auto"/>
          <w:sz w:val="24"/>
          <w:szCs w:val="24"/>
          <w:highlight w:val="none"/>
          <w:lang w:val="en-US" w:eastAsia="zh-CN"/>
        </w:rPr>
        <w:t xml:space="preserve">5.2.1 </w:t>
      </w:r>
      <w:r>
        <w:rPr>
          <w:rFonts w:hint="eastAsia" w:ascii="宋体" w:hAnsi="宋体" w:eastAsia="宋体" w:cs="宋体"/>
          <w:b w:val="0"/>
          <w:bCs w:val="0"/>
          <w:color w:val="auto"/>
          <w:sz w:val="24"/>
          <w:szCs w:val="24"/>
          <w:highlight w:val="none"/>
        </w:rPr>
        <w:t>主持人按下列程序进行开标：</w:t>
      </w:r>
      <w:bookmarkEnd w:id="114"/>
    </w:p>
    <w:p w14:paraId="2B8A29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5" w:name="_Toc19543"/>
      <w:r>
        <w:rPr>
          <w:rFonts w:hint="eastAsia" w:ascii="宋体" w:hAnsi="宋体" w:eastAsia="宋体" w:cs="宋体"/>
          <w:b w:val="0"/>
          <w:bCs w:val="0"/>
          <w:color w:val="auto"/>
          <w:sz w:val="24"/>
          <w:szCs w:val="24"/>
          <w:highlight w:val="none"/>
        </w:rPr>
        <w:t>（1）宣布开标纪律；</w:t>
      </w:r>
      <w:bookmarkEnd w:id="115"/>
    </w:p>
    <w:p w14:paraId="1682B7C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6" w:name="_Toc16000"/>
      <w:r>
        <w:rPr>
          <w:rFonts w:hint="eastAsia" w:ascii="宋体" w:hAnsi="宋体" w:eastAsia="宋体" w:cs="宋体"/>
          <w:b w:val="0"/>
          <w:bCs w:val="0"/>
          <w:color w:val="auto"/>
          <w:sz w:val="24"/>
          <w:szCs w:val="24"/>
          <w:highlight w:val="none"/>
        </w:rPr>
        <w:t>（2）公布在投标截止时间前递交投标文件的投标供应商名称；</w:t>
      </w:r>
      <w:bookmarkEnd w:id="116"/>
    </w:p>
    <w:p w14:paraId="65E983C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7" w:name="_Toc4230"/>
      <w:r>
        <w:rPr>
          <w:rFonts w:hint="eastAsia" w:ascii="宋体" w:hAnsi="宋体" w:eastAsia="宋体" w:cs="宋体"/>
          <w:b w:val="0"/>
          <w:bCs w:val="0"/>
          <w:color w:val="auto"/>
          <w:sz w:val="24"/>
          <w:szCs w:val="24"/>
          <w:highlight w:val="none"/>
        </w:rPr>
        <w:t>（3）宣布开标人、唱标人、记录人、监标人等有关人员姓名；</w:t>
      </w:r>
      <w:bookmarkEnd w:id="117"/>
    </w:p>
    <w:p w14:paraId="3C6A87E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8" w:name="_Toc27870"/>
      <w:r>
        <w:rPr>
          <w:rFonts w:hint="eastAsia" w:ascii="宋体" w:hAnsi="宋体" w:eastAsia="宋体" w:cs="宋体"/>
          <w:b w:val="0"/>
          <w:bCs w:val="0"/>
          <w:color w:val="auto"/>
          <w:sz w:val="24"/>
          <w:szCs w:val="24"/>
          <w:highlight w:val="none"/>
        </w:rPr>
        <w:t>（4）电子化投标文件解密；</w:t>
      </w:r>
      <w:bookmarkEnd w:id="118"/>
    </w:p>
    <w:p w14:paraId="566D8EC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9" w:name="_Toc15564"/>
      <w:r>
        <w:rPr>
          <w:rFonts w:hint="eastAsia" w:ascii="宋体" w:hAnsi="宋体" w:eastAsia="宋体" w:cs="宋体"/>
          <w:b w:val="0"/>
          <w:bCs w:val="0"/>
          <w:color w:val="auto"/>
          <w:sz w:val="24"/>
          <w:szCs w:val="24"/>
          <w:highlight w:val="none"/>
        </w:rPr>
        <w:t>（5）按照解密的逆顺序当众唱标，公布投标供应商名称、项目名称、投标报价等其他采购人认为有必要宣读的内容；</w:t>
      </w:r>
      <w:bookmarkEnd w:id="119"/>
    </w:p>
    <w:p w14:paraId="005F78F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0" w:name="_Toc18835"/>
      <w:r>
        <w:rPr>
          <w:rFonts w:hint="eastAsia" w:ascii="宋体" w:hAnsi="宋体" w:eastAsia="宋体" w:cs="宋体"/>
          <w:b w:val="0"/>
          <w:bCs w:val="0"/>
          <w:color w:val="auto"/>
          <w:sz w:val="24"/>
          <w:szCs w:val="24"/>
          <w:highlight w:val="none"/>
        </w:rPr>
        <w:t>（6）开标结束。</w:t>
      </w:r>
      <w:bookmarkEnd w:id="120"/>
    </w:p>
    <w:p w14:paraId="2E7880BD">
      <w:pPr>
        <w:spacing w:line="440" w:lineRule="exact"/>
        <w:ind w:firstLine="480" w:firstLineChars="200"/>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5.2.2 开标会议结束后，由采购人和采购代理机构人员按照招标文件公告部分供应商资格要求，对投标供应商进行资格审查，有一项不符合的，视为未通过资格审查，不得进入下一评标过程。</w:t>
      </w:r>
    </w:p>
    <w:p w14:paraId="2134939B">
      <w:pPr>
        <w:spacing w:line="440" w:lineRule="exact"/>
        <w:ind w:firstLine="480" w:firstLineChars="200"/>
        <w:outlineLvl w:val="0"/>
        <w:rPr>
          <w:rFonts w:hint="eastAsia" w:ascii="宋体" w:hAnsi="宋体" w:eastAsia="宋体" w:cs="仿宋"/>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5.2.3采购人将符合资格审查的电子化投标文件提交于评标</w:t>
      </w:r>
      <w:r>
        <w:rPr>
          <w:rFonts w:hint="eastAsia" w:ascii="宋体" w:hAnsi="宋体" w:eastAsia="宋体" w:cs="仿宋"/>
          <w:color w:val="auto"/>
          <w:kern w:val="2"/>
          <w:sz w:val="24"/>
          <w:szCs w:val="24"/>
          <w:highlight w:val="none"/>
          <w:lang w:val="en-US" w:eastAsia="zh-CN" w:bidi="ar-SA"/>
        </w:rPr>
        <w:t>委员会进行详细评审及比较。</w:t>
      </w:r>
    </w:p>
    <w:p w14:paraId="6639662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1" w:name="_Toc27443"/>
      <w:r>
        <w:rPr>
          <w:rFonts w:hint="eastAsia" w:ascii="宋体" w:hAnsi="宋体" w:eastAsia="宋体" w:cs="宋体"/>
          <w:b w:val="0"/>
          <w:bCs w:val="0"/>
          <w:color w:val="auto"/>
          <w:sz w:val="24"/>
          <w:szCs w:val="24"/>
          <w:highlight w:val="none"/>
          <w:lang w:val="en-US" w:eastAsia="zh-CN"/>
        </w:rPr>
        <w:t xml:space="preserve">5.3 </w:t>
      </w:r>
      <w:r>
        <w:rPr>
          <w:rFonts w:hint="eastAsia" w:ascii="宋体" w:hAnsi="宋体" w:eastAsia="宋体" w:cs="宋体"/>
          <w:b w:val="0"/>
          <w:bCs w:val="0"/>
          <w:color w:val="auto"/>
          <w:sz w:val="24"/>
          <w:szCs w:val="24"/>
          <w:highlight w:val="none"/>
        </w:rPr>
        <w:t>投标文件的有效性</w:t>
      </w:r>
      <w:bookmarkEnd w:id="121"/>
    </w:p>
    <w:p w14:paraId="795F924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2" w:name="_Toc13669"/>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b w:val="0"/>
          <w:bCs w:val="0"/>
          <w:color w:val="auto"/>
          <w:sz w:val="24"/>
          <w:szCs w:val="24"/>
          <w:highlight w:val="none"/>
        </w:rPr>
        <w:t>.1 投标文件有下列情形之一的为无效投标文件，采购人不予受理：</w:t>
      </w:r>
      <w:bookmarkEnd w:id="122"/>
    </w:p>
    <w:p w14:paraId="559C15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3" w:name="_Toc29899"/>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投标供应商资格条件不符合国家有关规定和招标文件要求的；</w:t>
      </w:r>
      <w:bookmarkEnd w:id="123"/>
    </w:p>
    <w:p w14:paraId="6352616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4" w:name="_Toc693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没有按照招标文件要求提供投标承诺函；</w:t>
      </w:r>
      <w:bookmarkEnd w:id="124"/>
    </w:p>
    <w:p w14:paraId="33C2E33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5" w:name="_Toc3264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电子化投标文件附有采购人不能接受的条件的；</w:t>
      </w:r>
      <w:bookmarkEnd w:id="125"/>
    </w:p>
    <w:p w14:paraId="61F637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6" w:name="_Toc3234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投标报价低于成本、高于招标文件设定的最高投标限价；</w:t>
      </w:r>
      <w:bookmarkEnd w:id="126"/>
    </w:p>
    <w:p w14:paraId="33AC9AF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7" w:name="_Toc1012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以他人的名义投标、串通投标、以行贿手段谋取中标或者以其他弄虚作假方式投标的；</w:t>
      </w:r>
      <w:bookmarkEnd w:id="127"/>
    </w:p>
    <w:p w14:paraId="53F43BD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8" w:name="_Toc31774"/>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采取不正当手段谋取中标的；</w:t>
      </w:r>
      <w:bookmarkEnd w:id="128"/>
    </w:p>
    <w:p w14:paraId="5AC151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9" w:name="_Toc2462"/>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法律、法规规定的其他情况。</w:t>
      </w:r>
      <w:bookmarkEnd w:id="129"/>
    </w:p>
    <w:p w14:paraId="3199C70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0" w:name="_Toc3204"/>
      <w:r>
        <w:rPr>
          <w:rFonts w:hint="eastAsia" w:ascii="宋体" w:hAnsi="宋体" w:eastAsia="宋体" w:cs="宋体"/>
          <w:b w:val="0"/>
          <w:bCs w:val="0"/>
          <w:color w:val="auto"/>
          <w:sz w:val="24"/>
          <w:szCs w:val="24"/>
          <w:highlight w:val="none"/>
          <w:lang w:val="en-US" w:eastAsia="zh-CN"/>
        </w:rPr>
        <w:t xml:space="preserve">5.3.2 </w:t>
      </w:r>
      <w:r>
        <w:rPr>
          <w:rFonts w:hint="eastAsia" w:ascii="宋体" w:hAnsi="宋体" w:eastAsia="宋体" w:cs="宋体"/>
          <w:b w:val="0"/>
          <w:bCs w:val="0"/>
          <w:color w:val="auto"/>
          <w:sz w:val="24"/>
          <w:szCs w:val="24"/>
          <w:highlight w:val="none"/>
        </w:rPr>
        <w:t>有下列情形之一的，视为供应商串通投标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其投标无效：</w:t>
      </w:r>
      <w:bookmarkEnd w:id="130"/>
    </w:p>
    <w:p w14:paraId="66E83DB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1" w:name="_Toc232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不同供应商的投标文件由同一单位或者个人编制；</w:t>
      </w:r>
      <w:bookmarkEnd w:id="131"/>
    </w:p>
    <w:p w14:paraId="7569C21F">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2" w:name="_Toc8010"/>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不同供应商委托同一单位或者个人办理投标事宜；</w:t>
      </w:r>
      <w:bookmarkEnd w:id="132"/>
    </w:p>
    <w:p w14:paraId="275C470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3" w:name="_Toc26206"/>
      <w:r>
        <w:rPr>
          <w:rFonts w:hint="eastAsia" w:ascii="宋体" w:hAnsi="宋体" w:eastAsia="宋体" w:cs="宋体"/>
          <w:b w:val="0"/>
          <w:bCs w:val="0"/>
          <w:color w:val="auto"/>
          <w:sz w:val="24"/>
          <w:szCs w:val="24"/>
          <w:highlight w:val="none"/>
        </w:rPr>
        <w:t>（3）不同供应商的投标文件载明的项目管理成员或者联系人员为同一人；</w:t>
      </w:r>
      <w:bookmarkEnd w:id="133"/>
    </w:p>
    <w:p w14:paraId="2E9854E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4" w:name="_Toc11187"/>
      <w:r>
        <w:rPr>
          <w:rFonts w:hint="eastAsia" w:ascii="宋体" w:hAnsi="宋体" w:eastAsia="宋体" w:cs="宋体"/>
          <w:b w:val="0"/>
          <w:bCs w:val="0"/>
          <w:color w:val="auto"/>
          <w:sz w:val="24"/>
          <w:szCs w:val="24"/>
          <w:highlight w:val="none"/>
        </w:rPr>
        <w:t>（4）不同供应商的投标文件异常一致或者投标报价呈规律性差异；</w:t>
      </w:r>
      <w:bookmarkEnd w:id="134"/>
    </w:p>
    <w:p w14:paraId="4F9D241A">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5" w:name="_Toc17461"/>
      <w:r>
        <w:rPr>
          <w:rFonts w:hint="eastAsia" w:ascii="宋体" w:hAnsi="宋体" w:eastAsia="宋体" w:cs="宋体"/>
          <w:b w:val="0"/>
          <w:bCs w:val="0"/>
          <w:color w:val="auto"/>
          <w:sz w:val="24"/>
          <w:szCs w:val="24"/>
          <w:highlight w:val="none"/>
          <w:lang w:val="en-US" w:eastAsia="zh-CN"/>
        </w:rPr>
        <w:t xml:space="preserve">5.4 </w:t>
      </w:r>
      <w:r>
        <w:rPr>
          <w:rFonts w:hint="eastAsia" w:ascii="宋体" w:hAnsi="宋体" w:eastAsia="宋体" w:cs="宋体"/>
          <w:b w:val="0"/>
          <w:bCs w:val="0"/>
          <w:color w:val="auto"/>
          <w:sz w:val="24"/>
          <w:szCs w:val="24"/>
          <w:highlight w:val="none"/>
        </w:rPr>
        <w:t>评标委员会</w:t>
      </w:r>
      <w:bookmarkEnd w:id="135"/>
    </w:p>
    <w:p w14:paraId="544697F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6" w:name="_Toc22690"/>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.1采购代理机构根据招标</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的特点依法组建负责本次招标的评标工作的临时机构。评标委员会由技术、经济方面的专家和采购人代表组成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成员为5人以上单数组成，专家不能少于三分之二。评标委员会构成：</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人，其中采购人代表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人，其余相关经济、技术专家</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eastAsia="zh-CN"/>
        </w:rPr>
        <w:t>开标后</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w:t>
      </w:r>
      <w:r>
        <w:rPr>
          <w:rFonts w:hint="eastAsia" w:ascii="宋体" w:hAnsi="宋体" w:eastAsia="宋体" w:cs="宋体"/>
          <w:b w:val="0"/>
          <w:bCs w:val="0"/>
          <w:color w:val="auto"/>
          <w:sz w:val="24"/>
          <w:szCs w:val="24"/>
          <w:highlight w:val="none"/>
        </w:rPr>
        <w:t>随机抽取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在开标后由评标委员会对投标文件进行审查、质疑、评估和比较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推荐中标候选人数。</w:t>
      </w:r>
      <w:bookmarkEnd w:id="136"/>
    </w:p>
    <w:p w14:paraId="50DFC10D">
      <w:pPr>
        <w:spacing w:line="440" w:lineRule="exact"/>
        <w:ind w:firstLine="482" w:firstLineChars="200"/>
        <w:outlineLvl w:val="0"/>
        <w:rPr>
          <w:rFonts w:hint="eastAsia" w:ascii="宋体" w:hAnsi="宋体" w:eastAsia="宋体" w:cs="宋体"/>
          <w:b/>
          <w:bCs/>
          <w:color w:val="auto"/>
          <w:sz w:val="24"/>
          <w:szCs w:val="24"/>
          <w:highlight w:val="none"/>
        </w:rPr>
      </w:pPr>
      <w:bookmarkStart w:id="137" w:name="_Toc3153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投标文件的初审</w:t>
      </w:r>
      <w:bookmarkEnd w:id="137"/>
    </w:p>
    <w:p w14:paraId="1460EF4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8" w:name="_Toc18157"/>
      <w:r>
        <w:rPr>
          <w:rFonts w:hint="eastAsia" w:ascii="宋体" w:hAnsi="宋体" w:eastAsia="宋体" w:cs="宋体"/>
          <w:b w:val="0"/>
          <w:bCs w:val="0"/>
          <w:color w:val="auto"/>
          <w:sz w:val="24"/>
          <w:szCs w:val="24"/>
          <w:highlight w:val="none"/>
        </w:rPr>
        <w:t>对所有供应商的评估，都采用相同的程序和标准。评标过程将严格按照招标文件的要求和条件进行。</w:t>
      </w:r>
      <w:bookmarkEnd w:id="138"/>
    </w:p>
    <w:p w14:paraId="29B9B0E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9" w:name="_Toc4273"/>
      <w:r>
        <w:rPr>
          <w:rFonts w:hint="eastAsia" w:ascii="宋体" w:hAnsi="宋体" w:eastAsia="宋体" w:cs="宋体"/>
          <w:b w:val="0"/>
          <w:bCs w:val="0"/>
          <w:color w:val="auto"/>
          <w:sz w:val="24"/>
          <w:szCs w:val="24"/>
          <w:highlight w:val="none"/>
        </w:rPr>
        <w:t>有关投标文件的审查、澄清、评估和比较以及推荐中标候选人的一切情况都不得透露给任一供应商或与上述评标工作无关的人员。</w:t>
      </w:r>
      <w:bookmarkEnd w:id="139"/>
    </w:p>
    <w:p w14:paraId="3DC8A98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0" w:name="_Toc5868"/>
      <w:r>
        <w:rPr>
          <w:rFonts w:hint="eastAsia" w:ascii="宋体" w:hAnsi="宋体" w:eastAsia="宋体" w:cs="宋体"/>
          <w:b w:val="0"/>
          <w:bCs w:val="0"/>
          <w:color w:val="auto"/>
          <w:sz w:val="24"/>
          <w:szCs w:val="24"/>
          <w:highlight w:val="none"/>
        </w:rPr>
        <w:t>供应商任何试图影响评委会对投标文件的评估、比较或者推荐候选人的行为，都将导致其投标被拒绝。</w:t>
      </w:r>
      <w:bookmarkEnd w:id="140"/>
    </w:p>
    <w:p w14:paraId="741709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1" w:name="_Toc23123"/>
      <w:r>
        <w:rPr>
          <w:rFonts w:hint="eastAsia" w:ascii="宋体" w:hAnsi="宋体" w:eastAsia="宋体" w:cs="宋体"/>
          <w:b w:val="0"/>
          <w:bCs w:val="0"/>
          <w:color w:val="auto"/>
          <w:sz w:val="24"/>
          <w:szCs w:val="24"/>
          <w:highlight w:val="none"/>
          <w:lang w:val="en-US" w:eastAsia="zh-CN"/>
        </w:rPr>
        <w:t xml:space="preserve">6.1 </w:t>
      </w:r>
      <w:r>
        <w:rPr>
          <w:rFonts w:hint="eastAsia" w:ascii="宋体" w:hAnsi="宋体" w:eastAsia="宋体" w:cs="宋体"/>
          <w:b w:val="0"/>
          <w:bCs w:val="0"/>
          <w:color w:val="auto"/>
          <w:sz w:val="24"/>
          <w:szCs w:val="24"/>
          <w:highlight w:val="none"/>
        </w:rPr>
        <w:t>评委会将对投标文件进行检查，以确定投标文件是否完整、有无计算上的错误、文件是否已正确签署。</w:t>
      </w:r>
      <w:bookmarkEnd w:id="141"/>
      <w:r>
        <w:rPr>
          <w:rFonts w:hint="eastAsia" w:ascii="宋体" w:hAnsi="宋体" w:eastAsia="宋体" w:cs="宋体"/>
          <w:b w:val="0"/>
          <w:bCs w:val="0"/>
          <w:color w:val="auto"/>
          <w:sz w:val="24"/>
          <w:szCs w:val="24"/>
          <w:highlight w:val="none"/>
        </w:rPr>
        <w:t xml:space="preserve"> </w:t>
      </w:r>
    </w:p>
    <w:p w14:paraId="3F614A7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2" w:name="_Toc19403"/>
      <w:r>
        <w:rPr>
          <w:rFonts w:hint="eastAsia" w:ascii="宋体" w:hAnsi="宋体" w:eastAsia="宋体" w:cs="宋体"/>
          <w:b w:val="0"/>
          <w:bCs w:val="0"/>
          <w:color w:val="auto"/>
          <w:sz w:val="24"/>
          <w:szCs w:val="24"/>
          <w:highlight w:val="none"/>
          <w:lang w:val="en-US" w:eastAsia="zh-CN"/>
        </w:rPr>
        <w:t xml:space="preserve">6.2 </w:t>
      </w:r>
      <w:r>
        <w:rPr>
          <w:rFonts w:hint="eastAsia" w:ascii="宋体" w:hAnsi="宋体" w:eastAsia="宋体" w:cs="宋体"/>
          <w:b w:val="0"/>
          <w:bCs w:val="0"/>
          <w:color w:val="auto"/>
          <w:sz w:val="24"/>
          <w:szCs w:val="24"/>
          <w:highlight w:val="none"/>
        </w:rPr>
        <w:t>算术错误将按以下方法更正：</w:t>
      </w:r>
      <w:bookmarkEnd w:id="142"/>
    </w:p>
    <w:p w14:paraId="385F619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3" w:name="_Toc19087"/>
      <w:r>
        <w:rPr>
          <w:rFonts w:hint="eastAsia" w:ascii="宋体" w:hAnsi="宋体" w:eastAsia="宋体" w:cs="宋体"/>
          <w:b w:val="0"/>
          <w:bCs w:val="0"/>
          <w:color w:val="auto"/>
          <w:sz w:val="24"/>
          <w:szCs w:val="24"/>
          <w:highlight w:val="none"/>
        </w:rPr>
        <w:t>(1)投标文件中开标一览表(报价表)内容与投标文件中明细表内容不一致的，以开标一览表(报价表)为准。</w:t>
      </w:r>
      <w:bookmarkEnd w:id="143"/>
    </w:p>
    <w:p w14:paraId="3F96AF6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4" w:name="_Toc558"/>
      <w:r>
        <w:rPr>
          <w:rFonts w:hint="eastAsia" w:ascii="宋体" w:hAnsi="宋体" w:eastAsia="宋体" w:cs="宋体"/>
          <w:b w:val="0"/>
          <w:bCs w:val="0"/>
          <w:color w:val="auto"/>
          <w:sz w:val="24"/>
          <w:szCs w:val="24"/>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bookmarkEnd w:id="144"/>
    </w:p>
    <w:p w14:paraId="2A06EE53">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5" w:name="_Toc30530"/>
      <w:r>
        <w:rPr>
          <w:rFonts w:hint="eastAsia" w:ascii="宋体" w:hAnsi="宋体" w:eastAsia="宋体" w:cs="宋体"/>
          <w:b w:val="0"/>
          <w:bCs w:val="0"/>
          <w:color w:val="auto"/>
          <w:sz w:val="24"/>
          <w:szCs w:val="24"/>
          <w:highlight w:val="none"/>
        </w:rPr>
        <w:t>如果供应商不接受按上述方法对投标文件中的算术错误进行更正，其投标将被拒绝。</w:t>
      </w:r>
      <w:bookmarkEnd w:id="145"/>
    </w:p>
    <w:p w14:paraId="11131E1B">
      <w:pPr>
        <w:spacing w:line="440" w:lineRule="exact"/>
        <w:ind w:firstLine="482" w:firstLineChars="200"/>
        <w:outlineLvl w:val="0"/>
        <w:rPr>
          <w:rFonts w:hint="eastAsia" w:ascii="宋体" w:hAnsi="宋体" w:eastAsia="宋体" w:cs="宋体"/>
          <w:b/>
          <w:bCs/>
          <w:color w:val="auto"/>
          <w:sz w:val="24"/>
          <w:szCs w:val="24"/>
          <w:highlight w:val="none"/>
        </w:rPr>
      </w:pPr>
      <w:bookmarkStart w:id="146" w:name="_Toc23840"/>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评标原则和评标办法</w:t>
      </w:r>
      <w:bookmarkEnd w:id="146"/>
    </w:p>
    <w:p w14:paraId="2A8318C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7" w:name="_Toc20836"/>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评标原则:评标委员会必须公平、公正，不带任何倾向性和启发性；不得向外界透露任何与评标有关的内容；任何单位和个人不得干扰、影响评标</w:t>
      </w:r>
      <w:r>
        <w:rPr>
          <w:rFonts w:hint="eastAsia" w:ascii="宋体" w:hAnsi="宋体" w:eastAsia="宋体" w:cs="宋体"/>
          <w:b w:val="0"/>
          <w:bCs w:val="0"/>
          <w:color w:val="auto"/>
          <w:sz w:val="24"/>
          <w:szCs w:val="24"/>
          <w:highlight w:val="none"/>
          <w:lang w:val="en-US" w:eastAsia="zh-CN"/>
        </w:rPr>
        <w:t>工作的</w:t>
      </w:r>
      <w:r>
        <w:rPr>
          <w:rFonts w:hint="eastAsia" w:ascii="宋体" w:hAnsi="宋体" w:eastAsia="宋体" w:cs="宋体"/>
          <w:b w:val="0"/>
          <w:bCs w:val="0"/>
          <w:color w:val="auto"/>
          <w:sz w:val="24"/>
          <w:szCs w:val="24"/>
          <w:highlight w:val="none"/>
        </w:rPr>
        <w:t>正常进行；评标委员会及有关工作人员不得私下与供应商接触。</w:t>
      </w:r>
      <w:bookmarkEnd w:id="147"/>
    </w:p>
    <w:p w14:paraId="53F192D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48" w:name="_Toc25456"/>
      <w:r>
        <w:rPr>
          <w:rFonts w:hint="eastAsia" w:ascii="宋体" w:hAnsi="宋体" w:eastAsia="宋体" w:cs="宋体"/>
          <w:b w:val="0"/>
          <w:bCs w:val="0"/>
          <w:color w:val="auto"/>
          <w:sz w:val="24"/>
          <w:szCs w:val="24"/>
          <w:highlight w:val="none"/>
          <w:lang w:val="en-US" w:eastAsia="zh-CN"/>
        </w:rPr>
        <w:t xml:space="preserve">7.2 </w:t>
      </w:r>
      <w:r>
        <w:rPr>
          <w:rFonts w:hint="eastAsia" w:ascii="宋体" w:hAnsi="宋体" w:eastAsia="宋体" w:cs="宋体"/>
          <w:b w:val="0"/>
          <w:bCs w:val="0"/>
          <w:color w:val="auto"/>
          <w:sz w:val="24"/>
          <w:szCs w:val="24"/>
          <w:highlight w:val="none"/>
        </w:rPr>
        <w:t>评标办法:本项目评标办法是综合评分法，具体评标内容及评分标准等详见第四章：评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办法及评分标准。</w:t>
      </w:r>
      <w:bookmarkEnd w:id="148"/>
    </w:p>
    <w:p w14:paraId="128592CC">
      <w:pPr>
        <w:spacing w:line="440" w:lineRule="exact"/>
        <w:ind w:firstLine="482" w:firstLineChars="200"/>
        <w:outlineLvl w:val="0"/>
        <w:rPr>
          <w:rFonts w:ascii="宋体" w:hAnsi="宋体" w:eastAsia="宋体" w:cs="宋体"/>
          <w:b/>
          <w:bCs/>
          <w:color w:val="auto"/>
          <w:sz w:val="24"/>
          <w:szCs w:val="24"/>
          <w:highlight w:val="none"/>
        </w:rPr>
      </w:pPr>
      <w:bookmarkStart w:id="149" w:name="_Toc32629"/>
      <w:r>
        <w:rPr>
          <w:rFonts w:hint="eastAsia" w:ascii="宋体" w:hAnsi="宋体" w:eastAsia="宋体" w:cs="宋体"/>
          <w:b/>
          <w:bCs/>
          <w:color w:val="auto"/>
          <w:sz w:val="24"/>
          <w:szCs w:val="24"/>
          <w:highlight w:val="none"/>
          <w:lang w:val="en-US" w:eastAsia="zh-CN"/>
        </w:rPr>
        <w:t xml:space="preserve">8.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过程的保密</w:t>
      </w:r>
      <w:bookmarkEnd w:id="103"/>
      <w:bookmarkEnd w:id="104"/>
      <w:bookmarkEnd w:id="105"/>
      <w:bookmarkEnd w:id="106"/>
      <w:bookmarkEnd w:id="107"/>
      <w:bookmarkEnd w:id="108"/>
      <w:bookmarkEnd w:id="149"/>
    </w:p>
    <w:p w14:paraId="48475F6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投标</w:t>
      </w:r>
      <w:r>
        <w:rPr>
          <w:rFonts w:hint="eastAsia" w:ascii="宋体" w:hAnsi="宋体" w:eastAsia="宋体" w:cs="宋体"/>
          <w:color w:val="auto"/>
          <w:sz w:val="24"/>
          <w:szCs w:val="24"/>
          <w:highlight w:val="none"/>
        </w:rPr>
        <w:t>文件的审查、澄清、评价和比较的有关资料以及成交候选人的推荐情况，与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有关的其他任何情况均应严格保密。</w:t>
      </w:r>
    </w:p>
    <w:p w14:paraId="566AF25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文件的评审和比较、成交候选人推荐以及授予合同的过程中，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小组施加影响的任何行为，都将会导致其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被拒绝。</w:t>
      </w:r>
    </w:p>
    <w:p w14:paraId="6562DE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采购人不对未成交人就</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过程以及未能成交原因作出任何解释。未成交人不得向</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小组成员和其他有关人员索问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过程的情况和资料。</w:t>
      </w:r>
    </w:p>
    <w:p w14:paraId="4FEB6F73">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9. </w:t>
      </w:r>
      <w:r>
        <w:rPr>
          <w:rFonts w:hint="eastAsia" w:ascii="宋体" w:hAnsi="宋体" w:eastAsia="宋体" w:cs="宋体"/>
          <w:b/>
          <w:color w:val="auto"/>
          <w:sz w:val="24"/>
          <w:szCs w:val="24"/>
          <w:highlight w:val="none"/>
        </w:rPr>
        <w:t>定标与签订合同</w:t>
      </w:r>
    </w:p>
    <w:p w14:paraId="5917919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 </w:t>
      </w:r>
      <w:r>
        <w:rPr>
          <w:rFonts w:hint="eastAsia" w:ascii="宋体" w:hAnsi="宋体" w:eastAsia="宋体" w:cs="宋体"/>
          <w:b w:val="0"/>
          <w:bCs/>
          <w:color w:val="auto"/>
          <w:sz w:val="24"/>
          <w:szCs w:val="24"/>
          <w:highlight w:val="none"/>
        </w:rPr>
        <w:t>中标通知</w:t>
      </w:r>
    </w:p>
    <w:p w14:paraId="60D7D54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9.1.1 </w:t>
      </w:r>
      <w:r>
        <w:rPr>
          <w:rFonts w:hint="eastAsia" w:ascii="宋体" w:hAnsi="宋体" w:eastAsia="宋体" w:cs="宋体"/>
          <w:b w:val="0"/>
          <w:bCs/>
          <w:color w:val="auto"/>
          <w:sz w:val="24"/>
          <w:szCs w:val="24"/>
          <w:highlight w:val="none"/>
        </w:rPr>
        <w:t>评标结束后，采购人和其委托的采购代理机构，在政府采购项目评审结束</w:t>
      </w:r>
      <w:r>
        <w:rPr>
          <w:rFonts w:hint="eastAsia" w:ascii="宋体" w:hAnsi="宋体" w:eastAsia="宋体" w:cs="宋体"/>
          <w:b w:val="0"/>
          <w:bCs/>
          <w:color w:val="auto"/>
          <w:sz w:val="24"/>
          <w:szCs w:val="24"/>
          <w:highlight w:val="none"/>
          <w:lang w:eastAsia="zh-CN"/>
        </w:rPr>
        <w:t>当</w:t>
      </w:r>
      <w:r>
        <w:rPr>
          <w:rFonts w:hint="eastAsia" w:ascii="宋体" w:hAnsi="宋体" w:eastAsia="宋体" w:cs="宋体"/>
          <w:b w:val="0"/>
          <w:bCs/>
          <w:color w:val="auto"/>
          <w:sz w:val="24"/>
          <w:szCs w:val="24"/>
          <w:highlight w:val="none"/>
        </w:rPr>
        <w:t>日内完成评标报告的报送、中标供应商的确定、中标公告的发布、中标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48F883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《中标通知书》将作为签订合同的依据。《合同》签订后，《中标通知书》成为《合同》的一部分。</w:t>
      </w:r>
    </w:p>
    <w:p w14:paraId="7FF695E8">
      <w:pPr>
        <w:snapToGrid w:val="0"/>
        <w:spacing w:line="44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9.1.3 招标代理服务收费参照豫招协[2023]002号河南省招标投标协会关于印发《河南省招标代理服务收费指导意见》规定的收费标准收取中标服务费。河南省招标代理服务费计算标准</w:t>
      </w:r>
      <w:r>
        <w:rPr>
          <w:rFonts w:hint="eastAsia" w:ascii="宋体" w:hAnsi="宋体" w:eastAsia="宋体" w:cs="宋体"/>
          <w:b w:val="0"/>
          <w:bCs/>
          <w:color w:val="auto"/>
          <w:sz w:val="24"/>
          <w:szCs w:val="24"/>
          <w:highlight w:val="none"/>
        </w:rPr>
        <w:t>。</w:t>
      </w:r>
    </w:p>
    <w:p w14:paraId="3F2EE63F">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签订合同</w:t>
      </w:r>
    </w:p>
    <w:p w14:paraId="0EE68D94">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采购人、中标供应商在《中标通知书》发出之日起</w:t>
      </w:r>
      <w:r>
        <w:rPr>
          <w:rFonts w:hint="eastAsia" w:ascii="宋体" w:hAnsi="宋体" w:eastAsia="宋体" w:cs="宋体"/>
          <w:b w:val="0"/>
          <w:bCs/>
          <w:color w:val="auto"/>
          <w:sz w:val="24"/>
          <w:szCs w:val="24"/>
          <w:highlight w:val="none"/>
          <w:lang w:val="en-US" w:eastAsia="zh-CN"/>
        </w:rPr>
        <w:t>30日内</w:t>
      </w:r>
      <w:r>
        <w:rPr>
          <w:rFonts w:hint="eastAsia" w:ascii="宋体" w:hAnsi="宋体" w:eastAsia="宋体" w:cs="宋体"/>
          <w:b w:val="0"/>
          <w:bCs/>
          <w:color w:val="auto"/>
          <w:sz w:val="24"/>
          <w:szCs w:val="24"/>
          <w:highlight w:val="none"/>
        </w:rPr>
        <w:t>，根据招标文件确定的事项和中标供应商签订合同</w:t>
      </w:r>
      <w:r>
        <w:rPr>
          <w:rFonts w:hint="eastAsia" w:ascii="宋体" w:hAnsi="宋体" w:eastAsia="宋体" w:cs="宋体"/>
          <w:b w:val="0"/>
          <w:bCs/>
          <w:color w:val="auto"/>
          <w:sz w:val="24"/>
          <w:szCs w:val="24"/>
          <w:highlight w:val="none"/>
          <w:lang w:eastAsia="zh-CN"/>
        </w:rPr>
        <w:t>。在合同签订2个工作日内进行公告，</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日内在河南省政府采购网上发布公告并完成合同备案。双方所签订的合同不得对招标文件和中标供应商投标文件作实质性修改。逾期未签订合同，按照有关法律规定承担相应的法律责任</w:t>
      </w:r>
      <w:r>
        <w:rPr>
          <w:rFonts w:hint="eastAsia" w:ascii="宋体" w:hAnsi="宋体" w:eastAsia="宋体" w:cs="宋体"/>
          <w:b w:val="0"/>
          <w:bCs/>
          <w:color w:val="auto"/>
          <w:sz w:val="24"/>
          <w:szCs w:val="24"/>
          <w:highlight w:val="none"/>
          <w:lang w:eastAsia="zh-CN"/>
        </w:rPr>
        <w:t>。</w:t>
      </w:r>
    </w:p>
    <w:p w14:paraId="4E27ED9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78741E39">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付款方式变动，以双方</w:t>
      </w: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签订的合同条款为准</w:t>
      </w:r>
      <w:r>
        <w:rPr>
          <w:rFonts w:hint="eastAsia" w:ascii="宋体" w:hAnsi="宋体" w:eastAsia="宋体" w:cs="宋体"/>
          <w:b w:val="0"/>
          <w:bCs/>
          <w:color w:val="auto"/>
          <w:sz w:val="24"/>
          <w:szCs w:val="24"/>
          <w:highlight w:val="none"/>
          <w:lang w:eastAsia="zh-CN"/>
        </w:rPr>
        <w:t>。</w:t>
      </w:r>
    </w:p>
    <w:p w14:paraId="70816F00">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50" w:name="_Toc1842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重新招标</w:t>
      </w:r>
      <w:bookmarkEnd w:id="150"/>
    </w:p>
    <w:p w14:paraId="0755059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.1出现下列情形之一的，将终止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采购活动，发布项目终止公告并说明原因，重新开展采购活动：</w:t>
      </w:r>
    </w:p>
    <w:p w14:paraId="1B4A63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.1.1不符合法律、法规和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文件中规定的其他实质性要求的；</w:t>
      </w:r>
    </w:p>
    <w:p w14:paraId="535832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.1.2其他法律、法规及本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文件规定的属响应无效的情形。终止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采购活动的条款；</w:t>
      </w:r>
    </w:p>
    <w:p w14:paraId="2EE0461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.1.3、因情况变化，不再符合规定的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采购方式适用情形的；出现影响采购公正的违法、违规行为的；</w:t>
      </w:r>
    </w:p>
    <w:p w14:paraId="7544CE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招标</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不足3家的，应重新组织采购。评审期间符合专业条件的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6EF4BD84">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．质疑与投诉</w:t>
      </w:r>
    </w:p>
    <w:p w14:paraId="2A6F7BD3">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12.1 </w:t>
      </w:r>
      <w:r>
        <w:rPr>
          <w:rFonts w:hint="eastAsia" w:ascii="宋体" w:hAnsi="宋体" w:eastAsia="宋体" w:cs="宋体"/>
          <w:b w:val="0"/>
          <w:bCs/>
          <w:color w:val="auto"/>
          <w:sz w:val="24"/>
          <w:szCs w:val="24"/>
          <w:highlight w:val="none"/>
        </w:rPr>
        <w:t>供应商认为招标文件、采购过程、中标结果使自己的合法权益受到损害的，</w:t>
      </w:r>
      <w:r>
        <w:rPr>
          <w:rFonts w:ascii="宋体" w:hAnsi="宋体" w:eastAsia="宋体" w:cs="宋体"/>
          <w:color w:val="auto"/>
          <w:sz w:val="24"/>
          <w:szCs w:val="24"/>
          <w:highlight w:val="none"/>
        </w:rPr>
        <w:t>可以在知道或者应知其权益受到损害之日起7个工作日内，将质疑书原件送达采购人或采购代理机构。提出质疑期限的计算，依照下列规定办理</w:t>
      </w:r>
      <w:r>
        <w:rPr>
          <w:rFonts w:hint="eastAsia" w:ascii="宋体" w:hAnsi="宋体" w:eastAsia="宋体" w:cs="宋体"/>
          <w:color w:val="auto"/>
          <w:sz w:val="24"/>
          <w:szCs w:val="24"/>
          <w:highlight w:val="none"/>
          <w:lang w:eastAsia="zh-CN"/>
        </w:rPr>
        <w:t>。</w:t>
      </w:r>
    </w:p>
    <w:p w14:paraId="6276657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.1 </w:t>
      </w:r>
      <w:r>
        <w:rPr>
          <w:rFonts w:hint="eastAsia" w:ascii="宋体" w:hAnsi="宋体" w:eastAsia="宋体" w:cs="宋体"/>
          <w:b w:val="0"/>
          <w:bCs/>
          <w:color w:val="auto"/>
          <w:sz w:val="24"/>
          <w:szCs w:val="24"/>
          <w:highlight w:val="none"/>
        </w:rPr>
        <w:t>必须以书面形式提出质疑并陈述质疑的事实与理由</w:t>
      </w:r>
      <w:r>
        <w:rPr>
          <w:rFonts w:hint="eastAsia" w:ascii="宋体" w:hAnsi="宋体" w:eastAsia="宋体" w:cs="宋体"/>
          <w:b w:val="0"/>
          <w:bCs/>
          <w:color w:val="auto"/>
          <w:sz w:val="24"/>
          <w:szCs w:val="24"/>
          <w:highlight w:val="none"/>
          <w:lang w:eastAsia="zh-CN"/>
        </w:rPr>
        <w:t>。</w:t>
      </w:r>
    </w:p>
    <w:p w14:paraId="58D94BF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 必须在规定时间内提出质疑</w:t>
      </w:r>
      <w:r>
        <w:rPr>
          <w:rFonts w:hint="eastAsia" w:ascii="宋体" w:hAnsi="宋体" w:eastAsia="宋体" w:cs="宋体"/>
          <w:b w:val="0"/>
          <w:bCs/>
          <w:color w:val="auto"/>
          <w:sz w:val="24"/>
          <w:szCs w:val="24"/>
          <w:highlight w:val="none"/>
          <w:lang w:eastAsia="zh-CN"/>
        </w:rPr>
        <w:t>。</w:t>
      </w:r>
    </w:p>
    <w:p w14:paraId="47E0CCD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 对招标文件的质疑应在收到采购文件之日或者采购文件公告期限届满之日前提出，过期不再接受针对招标文件的质疑</w:t>
      </w:r>
      <w:r>
        <w:rPr>
          <w:rFonts w:hint="eastAsia" w:ascii="宋体" w:hAnsi="宋体" w:eastAsia="宋体" w:cs="宋体"/>
          <w:b w:val="0"/>
          <w:bCs/>
          <w:color w:val="auto"/>
          <w:sz w:val="24"/>
          <w:szCs w:val="24"/>
          <w:highlight w:val="none"/>
          <w:lang w:eastAsia="zh-CN"/>
        </w:rPr>
        <w:t>。</w:t>
      </w:r>
    </w:p>
    <w:p w14:paraId="3609FE63">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4 对采购过程的质疑，应自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宣布中标候选人七个工作日内提出</w:t>
      </w:r>
      <w:r>
        <w:rPr>
          <w:rFonts w:hint="eastAsia" w:ascii="宋体" w:hAnsi="宋体" w:eastAsia="宋体" w:cs="宋体"/>
          <w:b w:val="0"/>
          <w:bCs/>
          <w:color w:val="auto"/>
          <w:sz w:val="24"/>
          <w:szCs w:val="24"/>
          <w:highlight w:val="none"/>
          <w:lang w:eastAsia="zh-CN"/>
        </w:rPr>
        <w:t>。</w:t>
      </w:r>
    </w:p>
    <w:p w14:paraId="614F976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5 对中标、成交结果的质疑，应自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书面或口头等形式通知中标结果之日起七个工作日内提出</w:t>
      </w:r>
      <w:r>
        <w:rPr>
          <w:rFonts w:hint="eastAsia" w:ascii="宋体" w:hAnsi="宋体" w:eastAsia="宋体" w:cs="宋体"/>
          <w:b w:val="0"/>
          <w:bCs/>
          <w:color w:val="auto"/>
          <w:sz w:val="24"/>
          <w:szCs w:val="24"/>
          <w:highlight w:val="none"/>
          <w:lang w:eastAsia="zh-CN"/>
        </w:rPr>
        <w:t>。</w:t>
      </w:r>
    </w:p>
    <w:p w14:paraId="0A98E664">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的质疑答复内容不满意，或者</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未在规定期限内作出答复的，供应商可在答复期满后十五个工作日内，按《政府采购供应商投诉处理办法》的规定进行投诉。</w:t>
      </w:r>
    </w:p>
    <w:p w14:paraId="075B964C">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质疑书应当包括下列主要内容，并按照“谁主张、谁举证”的原则，附上相关证明材料。否则，采购人不予受理</w:t>
      </w:r>
      <w:r>
        <w:rPr>
          <w:rFonts w:hint="eastAsia" w:ascii="宋体" w:hAnsi="宋体" w:eastAsia="宋体" w:cs="宋体"/>
          <w:color w:val="auto"/>
          <w:sz w:val="24"/>
          <w:szCs w:val="24"/>
          <w:highlight w:val="none"/>
          <w:lang w:eastAsia="zh-CN"/>
        </w:rPr>
        <w:t>。</w:t>
      </w:r>
    </w:p>
    <w:p w14:paraId="11463F0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ascii="宋体" w:hAnsi="宋体" w:eastAsia="宋体" w:cs="宋体"/>
          <w:color w:val="auto"/>
          <w:sz w:val="24"/>
          <w:szCs w:val="24"/>
          <w:highlight w:val="none"/>
        </w:rPr>
        <w:t>提起质疑的日期</w:t>
      </w:r>
    </w:p>
    <w:p w14:paraId="0DE5DE9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12.3.1 </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0A9B76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12.3.2 </w:t>
      </w: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2ABADA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12.3.3 </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EBD4ED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12.3.4 </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活动正常进行的，属于严重不良行为，采购人将提请财政部门将其列入不良行为记录名单，并依法予以处罚。</w:t>
      </w:r>
    </w:p>
    <w:p w14:paraId="7AB1639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12.3.5 </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制度或程序，将被转交政府采购的管理部门审查。采购人遵循“谁过错谁负担”的原则，有过错的一方承担调查论证费用。</w:t>
      </w:r>
    </w:p>
    <w:p w14:paraId="7E945340">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lang w:val="en-US" w:eastAsia="zh-CN"/>
        </w:rPr>
        <w:t xml:space="preserve">12.3.6 </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08C15C4A">
      <w:pPr>
        <w:numPr>
          <w:ilvl w:val="0"/>
          <w:numId w:val="3"/>
        </w:num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纪律和监督</w:t>
      </w:r>
    </w:p>
    <w:p w14:paraId="298EB815">
      <w:pPr>
        <w:snapToGrid w:val="0"/>
        <w:spacing w:line="440" w:lineRule="exact"/>
        <w:ind w:firstLine="480" w:firstLineChars="200"/>
        <w:rPr>
          <w:rFonts w:hint="eastAsia" w:ascii="宋体" w:hAnsi="宋体" w:eastAsia="宋体" w:cs="宋体"/>
          <w:b w:val="0"/>
          <w:bCs/>
          <w:color w:val="auto"/>
          <w:sz w:val="24"/>
          <w:szCs w:val="24"/>
          <w:highlight w:val="none"/>
        </w:rPr>
      </w:pPr>
      <w:bookmarkStart w:id="151" w:name="_bookmark68"/>
      <w:bookmarkEnd w:id="151"/>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.1对采购人的纪律要求</w:t>
      </w:r>
    </w:p>
    <w:p w14:paraId="45802F8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采购人不得泄露招标投标活动中应当保密的情况和资料，不得与供应商串通损害国家利益、社会公共利益或者他人合法权益。</w:t>
      </w:r>
      <w:bookmarkStart w:id="152" w:name="_bookmark69"/>
      <w:bookmarkEnd w:id="152"/>
    </w:p>
    <w:p w14:paraId="638FA3A3">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.2 对供应商的纪律要求</w:t>
      </w:r>
    </w:p>
    <w:p w14:paraId="31E51FB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（1）供应商不得相互串通投标或者与采购人串通投标</w:t>
      </w:r>
      <w:r>
        <w:rPr>
          <w:rFonts w:hint="eastAsia" w:ascii="宋体" w:hAnsi="宋体" w:eastAsia="宋体" w:cs="宋体"/>
          <w:b w:val="0"/>
          <w:bCs/>
          <w:color w:val="auto"/>
          <w:sz w:val="24"/>
          <w:szCs w:val="24"/>
          <w:highlight w:val="none"/>
          <w:lang w:eastAsia="zh-CN"/>
        </w:rPr>
        <w:t>。</w:t>
      </w:r>
    </w:p>
    <w:p w14:paraId="46EC34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（2）不得向采购人或者评标委员会成员行贿谋取中标</w:t>
      </w:r>
      <w:r>
        <w:rPr>
          <w:rFonts w:hint="eastAsia" w:ascii="宋体" w:hAnsi="宋体" w:eastAsia="宋体" w:cs="宋体"/>
          <w:b w:val="0"/>
          <w:bCs/>
          <w:color w:val="auto"/>
          <w:sz w:val="24"/>
          <w:szCs w:val="24"/>
          <w:highlight w:val="none"/>
          <w:lang w:eastAsia="zh-CN"/>
        </w:rPr>
        <w:t>。</w:t>
      </w:r>
    </w:p>
    <w:p w14:paraId="65BFF23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（3）不得以他人名义投标或者以其他方式弄虚作假骗取中标</w:t>
      </w:r>
      <w:r>
        <w:rPr>
          <w:rFonts w:hint="eastAsia" w:ascii="宋体" w:hAnsi="宋体" w:eastAsia="宋体" w:cs="宋体"/>
          <w:b w:val="0"/>
          <w:bCs/>
          <w:color w:val="auto"/>
          <w:sz w:val="24"/>
          <w:szCs w:val="24"/>
          <w:highlight w:val="none"/>
          <w:lang w:eastAsia="zh-CN"/>
        </w:rPr>
        <w:t>。</w:t>
      </w:r>
    </w:p>
    <w:p w14:paraId="5C5F61F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（4）不得恶意低价抢标</w:t>
      </w:r>
      <w:r>
        <w:rPr>
          <w:rFonts w:hint="eastAsia" w:ascii="宋体" w:hAnsi="宋体" w:eastAsia="宋体" w:cs="宋体"/>
          <w:b w:val="0"/>
          <w:bCs/>
          <w:color w:val="auto"/>
          <w:sz w:val="24"/>
          <w:szCs w:val="24"/>
          <w:highlight w:val="none"/>
          <w:lang w:eastAsia="zh-CN"/>
        </w:rPr>
        <w:t>。</w:t>
      </w:r>
    </w:p>
    <w:p w14:paraId="53B5F675">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（5）供应商不得以任何方式干扰、影响评标工作。</w:t>
      </w:r>
    </w:p>
    <w:p w14:paraId="76DF11E1">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（6）不得向采购人提出不合理的要求作为签订合同的条件</w:t>
      </w:r>
      <w:r>
        <w:rPr>
          <w:rFonts w:hint="eastAsia" w:ascii="宋体" w:hAnsi="宋体" w:eastAsia="宋体" w:cs="宋体"/>
          <w:b w:val="0"/>
          <w:bCs/>
          <w:color w:val="auto"/>
          <w:sz w:val="24"/>
          <w:szCs w:val="24"/>
          <w:highlight w:val="none"/>
          <w:lang w:eastAsia="zh-CN"/>
        </w:rPr>
        <w:t>。</w:t>
      </w:r>
    </w:p>
    <w:p w14:paraId="1B71961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（7）不得无正当理由放弃中标或中标后拒绝与采购人签订合同</w:t>
      </w:r>
      <w:r>
        <w:rPr>
          <w:rFonts w:hint="eastAsia" w:ascii="宋体" w:hAnsi="宋体" w:eastAsia="宋体" w:cs="宋体"/>
          <w:b w:val="0"/>
          <w:bCs/>
          <w:color w:val="auto"/>
          <w:sz w:val="24"/>
          <w:szCs w:val="24"/>
          <w:highlight w:val="none"/>
          <w:lang w:eastAsia="zh-CN"/>
        </w:rPr>
        <w:t>。</w:t>
      </w:r>
    </w:p>
    <w:p w14:paraId="35AA10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（8）不得恶意诋毁其他供应商、采购人或采购代理机构</w:t>
      </w:r>
      <w:r>
        <w:rPr>
          <w:rFonts w:hint="eastAsia" w:ascii="宋体" w:hAnsi="宋体" w:eastAsia="宋体" w:cs="宋体"/>
          <w:b w:val="0"/>
          <w:bCs/>
          <w:color w:val="auto"/>
          <w:sz w:val="24"/>
          <w:szCs w:val="24"/>
          <w:highlight w:val="none"/>
          <w:lang w:eastAsia="zh-CN"/>
        </w:rPr>
        <w:t>。</w:t>
      </w:r>
    </w:p>
    <w:p w14:paraId="1CEA834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（9）在参与政府采购活动中，不得有其他违法违规行为。 </w:t>
      </w:r>
    </w:p>
    <w:p w14:paraId="199F18E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对评标委员会成员的纪律要求</w:t>
      </w:r>
    </w:p>
    <w:p w14:paraId="44A0D48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章“</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办法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”没有规定的评审因素和标准进行评标。</w:t>
      </w:r>
    </w:p>
    <w:p w14:paraId="7D078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（1）确定参与评标至评标结束前，不得私自接触供应商</w:t>
      </w:r>
      <w:r>
        <w:rPr>
          <w:rFonts w:hint="eastAsia" w:ascii="宋体" w:hAnsi="宋体" w:eastAsia="宋体" w:cs="宋体"/>
          <w:b w:val="0"/>
          <w:bCs/>
          <w:color w:val="auto"/>
          <w:sz w:val="24"/>
          <w:szCs w:val="24"/>
          <w:highlight w:val="none"/>
          <w:lang w:eastAsia="zh-CN"/>
        </w:rPr>
        <w:t>。</w:t>
      </w:r>
    </w:p>
    <w:p w14:paraId="04AF51F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（2）不得接受供应商提出的与投标文件不一致的澄清和说明</w:t>
      </w:r>
      <w:r>
        <w:rPr>
          <w:rFonts w:hint="eastAsia" w:ascii="宋体" w:hAnsi="宋体" w:eastAsia="宋体" w:cs="宋体"/>
          <w:b w:val="0"/>
          <w:bCs/>
          <w:color w:val="auto"/>
          <w:sz w:val="24"/>
          <w:szCs w:val="24"/>
          <w:highlight w:val="none"/>
          <w:lang w:eastAsia="zh-CN"/>
        </w:rPr>
        <w:t>。</w:t>
      </w:r>
    </w:p>
    <w:p w14:paraId="13D59F7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（3）不得征询采购人的倾向性意见</w:t>
      </w:r>
      <w:r>
        <w:rPr>
          <w:rFonts w:hint="eastAsia" w:ascii="宋体" w:hAnsi="宋体" w:eastAsia="宋体" w:cs="宋体"/>
          <w:b w:val="0"/>
          <w:bCs/>
          <w:color w:val="auto"/>
          <w:sz w:val="24"/>
          <w:szCs w:val="24"/>
          <w:highlight w:val="none"/>
          <w:lang w:eastAsia="zh-CN"/>
        </w:rPr>
        <w:t>。</w:t>
      </w:r>
    </w:p>
    <w:p w14:paraId="6DB3CB4B">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）不得对主观评审因素协商评分</w:t>
      </w:r>
      <w:r>
        <w:rPr>
          <w:rFonts w:hint="eastAsia" w:ascii="宋体" w:hAnsi="宋体" w:eastAsia="宋体" w:cs="宋体"/>
          <w:b w:val="0"/>
          <w:bCs/>
          <w:color w:val="auto"/>
          <w:sz w:val="24"/>
          <w:szCs w:val="24"/>
          <w:highlight w:val="none"/>
          <w:lang w:eastAsia="zh-CN"/>
        </w:rPr>
        <w:t>。</w:t>
      </w:r>
    </w:p>
    <w:p w14:paraId="2608E9ED">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）不得对客观评审因素评分不一致</w:t>
      </w:r>
      <w:r>
        <w:rPr>
          <w:rFonts w:hint="eastAsia" w:ascii="宋体" w:hAnsi="宋体" w:eastAsia="宋体" w:cs="宋体"/>
          <w:b w:val="0"/>
          <w:bCs/>
          <w:color w:val="auto"/>
          <w:sz w:val="24"/>
          <w:szCs w:val="24"/>
          <w:highlight w:val="none"/>
          <w:lang w:eastAsia="zh-CN"/>
        </w:rPr>
        <w:t>。</w:t>
      </w:r>
    </w:p>
    <w:p w14:paraId="4A334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（6）评标委员会成员不得接受供应商、采购人和采购代理机构等他人的贿赂或者其他不正当利益</w:t>
      </w:r>
      <w:r>
        <w:rPr>
          <w:rFonts w:hint="eastAsia" w:ascii="宋体" w:hAnsi="宋体" w:eastAsia="宋体" w:cs="宋体"/>
          <w:b w:val="0"/>
          <w:bCs/>
          <w:color w:val="auto"/>
          <w:sz w:val="24"/>
          <w:szCs w:val="24"/>
          <w:highlight w:val="none"/>
          <w:lang w:eastAsia="zh-CN"/>
        </w:rPr>
        <w:t>。</w:t>
      </w:r>
    </w:p>
    <w:p w14:paraId="180D4E05">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（7）不得以不合理的条件对供应商实行差别待遇或者歧视待遇，排斥其他供应商公平参与竞争</w:t>
      </w:r>
      <w:r>
        <w:rPr>
          <w:rFonts w:hint="eastAsia" w:ascii="宋体" w:hAnsi="宋体" w:eastAsia="宋体" w:cs="宋体"/>
          <w:b w:val="0"/>
          <w:bCs/>
          <w:color w:val="auto"/>
          <w:sz w:val="24"/>
          <w:szCs w:val="24"/>
          <w:highlight w:val="none"/>
          <w:lang w:eastAsia="zh-CN"/>
        </w:rPr>
        <w:t>。</w:t>
      </w:r>
    </w:p>
    <w:p w14:paraId="2367C0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（8）不得诱导、干预或影响其他评标专家依法依规独立评标</w:t>
      </w:r>
      <w:r>
        <w:rPr>
          <w:rFonts w:hint="eastAsia" w:ascii="宋体" w:hAnsi="宋体" w:eastAsia="宋体" w:cs="宋体"/>
          <w:b w:val="0"/>
          <w:bCs/>
          <w:color w:val="auto"/>
          <w:sz w:val="24"/>
          <w:szCs w:val="24"/>
          <w:highlight w:val="none"/>
          <w:lang w:eastAsia="zh-CN"/>
        </w:rPr>
        <w:t>。</w:t>
      </w:r>
    </w:p>
    <w:p w14:paraId="7FE00FE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（9）在评标活动中，评标委员会成员不得擅离职守，影响评标工作正常进行</w:t>
      </w:r>
      <w:r>
        <w:rPr>
          <w:rFonts w:hint="eastAsia" w:ascii="宋体" w:hAnsi="宋体" w:eastAsia="宋体" w:cs="宋体"/>
          <w:b w:val="0"/>
          <w:bCs/>
          <w:color w:val="auto"/>
          <w:sz w:val="24"/>
          <w:szCs w:val="24"/>
          <w:highlight w:val="none"/>
          <w:lang w:eastAsia="zh-CN"/>
        </w:rPr>
        <w:t>。</w:t>
      </w:r>
    </w:p>
    <w:p w14:paraId="653869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（10）不得记录、复制或带走任何评标资料</w:t>
      </w:r>
      <w:r>
        <w:rPr>
          <w:rFonts w:hint="eastAsia" w:ascii="宋体" w:hAnsi="宋体" w:eastAsia="宋体" w:cs="宋体"/>
          <w:b w:val="0"/>
          <w:bCs/>
          <w:color w:val="auto"/>
          <w:sz w:val="24"/>
          <w:szCs w:val="24"/>
          <w:highlight w:val="none"/>
          <w:lang w:eastAsia="zh-CN"/>
        </w:rPr>
        <w:t>。</w:t>
      </w:r>
    </w:p>
    <w:p w14:paraId="0122684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（11）不得泄露评标过程中获悉的对投标文件的评审和比较、中标候选人的推荐情况以及与评标有关的应当保密的情况和资料</w:t>
      </w:r>
      <w:r>
        <w:rPr>
          <w:rFonts w:hint="eastAsia" w:ascii="宋体" w:hAnsi="宋体" w:eastAsia="宋体" w:cs="宋体"/>
          <w:b w:val="0"/>
          <w:bCs/>
          <w:color w:val="auto"/>
          <w:sz w:val="24"/>
          <w:szCs w:val="24"/>
          <w:highlight w:val="none"/>
          <w:lang w:eastAsia="zh-CN"/>
        </w:rPr>
        <w:t>。</w:t>
      </w:r>
    </w:p>
    <w:p w14:paraId="15E7470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（12）评标委员会成员与供应商存在利害关系应当回避</w:t>
      </w:r>
      <w:r>
        <w:rPr>
          <w:rFonts w:hint="eastAsia" w:ascii="宋体" w:hAnsi="宋体" w:eastAsia="宋体" w:cs="宋体"/>
          <w:b w:val="0"/>
          <w:bCs/>
          <w:color w:val="auto"/>
          <w:sz w:val="24"/>
          <w:szCs w:val="24"/>
          <w:highlight w:val="none"/>
          <w:lang w:eastAsia="zh-CN"/>
        </w:rPr>
        <w:t>。</w:t>
      </w:r>
    </w:p>
    <w:p w14:paraId="7A43A19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（13）在参与政府采购评标活动中，不得有其他违法违规行为。 </w:t>
      </w:r>
      <w:bookmarkStart w:id="153" w:name="_bookmark71"/>
      <w:bookmarkEnd w:id="153"/>
    </w:p>
    <w:p w14:paraId="1B2BEF7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.4 对与评标活动有关的工作人员的纪律要求</w:t>
      </w:r>
    </w:p>
    <w:p w14:paraId="45FAADAE">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154" w:name="_bookmark72"/>
      <w:bookmarkEnd w:id="154"/>
    </w:p>
    <w:p w14:paraId="36B6E8E8">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rPr>
        <w:t>. 需要补充的其他内容</w:t>
      </w:r>
    </w:p>
    <w:p w14:paraId="785013D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 评标过程的保密</w:t>
      </w:r>
    </w:p>
    <w:p w14:paraId="5AF0E52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.1.1开标后，直至授予中标人合同为止，凡属于对投标文件的审查、澄清、评价和比较有关的资料，中标候选人的推荐情况，及其他任何与评标有关的情况均应严格保密。</w:t>
      </w:r>
    </w:p>
    <w:p w14:paraId="6DA6EFB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.1.2在投标文件的评审和比较、中标候选人推荐以及授予合同的过程中，供应商向采购人和评标委员会施加影响的任何行为，都将会导致其投标被拒绝。</w:t>
      </w:r>
    </w:p>
    <w:p w14:paraId="231101B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.1.3中标人确定后，采购人不对未中标单位就评标过程以及未能中标原因作出任何解释。未中标人不得向评标委员会组成人员或其他有关人员索问评标过程的情况和材料。</w:t>
      </w:r>
    </w:p>
    <w:p w14:paraId="1576896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.2 未尽事宜按国家有关规定执行。</w:t>
      </w:r>
    </w:p>
    <w:p w14:paraId="785F51F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.3 本招标文件最终解释权归采购人。</w:t>
      </w:r>
    </w:p>
    <w:p w14:paraId="52D1B1D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.4 需要补充的其他内容：见供应商须知前附表。</w:t>
      </w:r>
    </w:p>
    <w:p w14:paraId="120915B2">
      <w:pPr>
        <w:snapToGrid w:val="0"/>
        <w:spacing w:line="440" w:lineRule="exact"/>
        <w:ind w:firstLine="480" w:firstLineChars="200"/>
        <w:rPr>
          <w:rFonts w:hint="eastAsia" w:ascii="宋体" w:hAnsi="宋体" w:eastAsia="宋体" w:cs="宋体"/>
          <w:b w:val="0"/>
          <w:bCs/>
          <w:color w:val="auto"/>
          <w:sz w:val="24"/>
          <w:szCs w:val="24"/>
          <w:highlight w:val="none"/>
          <w:lang w:val="en-US" w:eastAsia="zh-CN"/>
        </w:rPr>
        <w:sectPr>
          <w:footerReference r:id="rId3" w:type="default"/>
          <w:pgSz w:w="11906" w:h="16838"/>
          <w:pgMar w:top="1160" w:right="1372" w:bottom="1151" w:left="1360" w:header="851" w:footer="992" w:gutter="0"/>
          <w:pgNumType w:fmt="decimal"/>
          <w:cols w:space="720" w:num="1"/>
          <w:docGrid w:type="lines" w:linePitch="312" w:charSpace="0"/>
        </w:sectPr>
      </w:pPr>
      <w:r>
        <w:rPr>
          <w:rFonts w:hint="eastAsia" w:ascii="宋体" w:hAnsi="宋体" w:eastAsia="宋体" w:cs="宋体"/>
          <w:b w:val="0"/>
          <w:bCs/>
          <w:color w:val="auto"/>
          <w:sz w:val="24"/>
          <w:szCs w:val="24"/>
          <w:highlight w:val="none"/>
          <w:lang w:val="en-US" w:eastAsia="zh-CN"/>
        </w:rPr>
        <w:t>14.5 本项目支持河南省政府采购合同融资政策，具体内容详见附件4。</w:t>
      </w:r>
    </w:p>
    <w:bookmarkEnd w:id="74"/>
    <w:p w14:paraId="04A1B45D">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15.招标代理服务收费参照豫招协[2023]002号河南省招标投标协会关于印发《河南省招标代理服务收费指导意见》规定的收费标准收取中标服务费。</w:t>
      </w:r>
    </w:p>
    <w:tbl>
      <w:tblPr>
        <w:tblStyle w:val="21"/>
        <w:tblpPr w:leftFromText="180" w:rightFromText="180" w:vertAnchor="text" w:horzAnchor="page" w:tblpX="1512" w:tblpY="4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22"/>
        <w:gridCol w:w="1694"/>
        <w:gridCol w:w="1478"/>
        <w:gridCol w:w="1765"/>
      </w:tblGrid>
      <w:tr w14:paraId="5F2D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2E406A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B0D07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DC7147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54297F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52B6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EE4ABD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3A4D6C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EEFF98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22FE720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945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F256E3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F4D8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777AB9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7784489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2E52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3DE88A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3B7305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C451F9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52EE38B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C4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962F30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104F42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93C99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075D42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064E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D0ABF74">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410520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C3E23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81851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6592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01CBA7E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CA5E8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B1D937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189C89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21B8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right w:val="single" w:color="000000" w:sz="4" w:space="0"/>
            </w:tcBorders>
            <w:noWrap w:val="0"/>
            <w:vAlign w:val="center"/>
          </w:tcPr>
          <w:p w14:paraId="17920FF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94" w:type="dxa"/>
            <w:tcBorders>
              <w:top w:val="single" w:color="000000" w:sz="4" w:space="0"/>
              <w:left w:val="single" w:color="000000" w:sz="4" w:space="0"/>
              <w:right w:val="single" w:color="000000" w:sz="4" w:space="0"/>
            </w:tcBorders>
            <w:noWrap w:val="0"/>
            <w:vAlign w:val="center"/>
          </w:tcPr>
          <w:p w14:paraId="5F05D2A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78" w:type="dxa"/>
            <w:tcBorders>
              <w:top w:val="single" w:color="000000" w:sz="4" w:space="0"/>
              <w:left w:val="single" w:color="000000" w:sz="4" w:space="0"/>
              <w:right w:val="single" w:color="000000" w:sz="4" w:space="0"/>
            </w:tcBorders>
            <w:noWrap w:val="0"/>
            <w:vAlign w:val="center"/>
          </w:tcPr>
          <w:p w14:paraId="3D2500D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65" w:type="dxa"/>
            <w:tcBorders>
              <w:top w:val="single" w:color="000000" w:sz="4" w:space="0"/>
              <w:left w:val="single" w:color="000000" w:sz="4" w:space="0"/>
              <w:right w:val="single" w:color="000000" w:sz="4" w:space="0"/>
            </w:tcBorders>
            <w:noWrap w:val="0"/>
            <w:vAlign w:val="center"/>
          </w:tcPr>
          <w:p w14:paraId="5F3CE48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E70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743259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52A1367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092869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D33574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FA0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19B5181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51AA9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2A90CD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95BDBE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4E5D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52C82A4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79046A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874A5F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1B9CE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9C0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65" w:hRule="atLeast"/>
        </w:trPr>
        <w:tc>
          <w:tcPr>
            <w:tcW w:w="9059" w:type="dxa"/>
            <w:gridSpan w:val="4"/>
            <w:noWrap w:val="0"/>
            <w:vAlign w:val="center"/>
          </w:tcPr>
          <w:p w14:paraId="4D356F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1E7B736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5B300E5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700FED3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21606F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7FF255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2BB8F9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C1B5DD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12F7922D">
      <w:pPr>
        <w:snapToGrid w:val="0"/>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p w14:paraId="430FD923">
      <w:pPr>
        <w:jc w:val="both"/>
        <w:rPr>
          <w:rFonts w:hint="default"/>
          <w:color w:val="auto"/>
          <w:sz w:val="24"/>
          <w:szCs w:val="40"/>
          <w:lang w:val="en-US" w:eastAsia="zh-CN"/>
        </w:rPr>
      </w:pPr>
    </w:p>
    <w:p w14:paraId="413F0E55">
      <w:pPr>
        <w:pStyle w:val="5"/>
        <w:rPr>
          <w:rFonts w:hint="default"/>
          <w:color w:val="auto"/>
          <w:sz w:val="24"/>
          <w:szCs w:val="40"/>
          <w:lang w:val="en-US" w:eastAsia="zh-CN"/>
        </w:rPr>
      </w:pPr>
    </w:p>
    <w:p w14:paraId="29FDF5C7">
      <w:pPr>
        <w:pStyle w:val="6"/>
        <w:bidi w:val="0"/>
        <w:jc w:val="center"/>
        <w:rPr>
          <w:rFonts w:hint="default"/>
          <w:sz w:val="36"/>
          <w:szCs w:val="21"/>
          <w:lang w:val="en-US" w:eastAsia="zh-CN"/>
        </w:rPr>
      </w:pPr>
      <w:bookmarkStart w:id="155" w:name="_Toc6364"/>
      <w:r>
        <w:rPr>
          <w:rFonts w:hint="eastAsia"/>
          <w:sz w:val="36"/>
          <w:szCs w:val="21"/>
          <w:lang w:val="en-US" w:eastAsia="zh-CN"/>
        </w:rPr>
        <w:t>第三章 采购清单及参数</w:t>
      </w:r>
      <w:bookmarkEnd w:id="155"/>
    </w:p>
    <w:p w14:paraId="6FAAFC4F">
      <w:pPr>
        <w:spacing w:line="360" w:lineRule="auto"/>
        <w:ind w:firstLine="565" w:firstLineChars="202"/>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eastAsia="zh-CN"/>
        </w:rPr>
        <w:t>：三门峡市消防应急科普教育基地建设</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w:t>
      </w:r>
    </w:p>
    <w:p w14:paraId="1C7CB4B3">
      <w:pPr>
        <w:spacing w:line="360" w:lineRule="auto"/>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三财公开采购-2025-59、SGZ[2025]485-ZC319；</w:t>
      </w:r>
    </w:p>
    <w:p w14:paraId="03909B4C">
      <w:pPr>
        <w:spacing w:line="360" w:lineRule="auto"/>
        <w:ind w:firstLine="565" w:firstLineChars="20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3、资金来源：财政资金，已落实；</w:t>
      </w:r>
    </w:p>
    <w:p w14:paraId="2BC4C456">
      <w:pPr>
        <w:spacing w:line="360" w:lineRule="auto"/>
        <w:ind w:firstLine="565" w:firstLineChars="202"/>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4、采购方式：公开招标；</w:t>
      </w:r>
    </w:p>
    <w:p w14:paraId="5A154AE6">
      <w:pPr>
        <w:spacing w:line="360" w:lineRule="auto"/>
        <w:ind w:firstLine="565" w:firstLineChars="20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5、招标控制价：2130407.70元，其中二标段：1389787.00元；</w:t>
      </w:r>
    </w:p>
    <w:p w14:paraId="3B23EB39">
      <w:pPr>
        <w:spacing w:line="360" w:lineRule="auto"/>
        <w:ind w:firstLine="565" w:firstLineChars="202"/>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6、项目</w:t>
      </w:r>
      <w:r>
        <w:rPr>
          <w:rFonts w:hint="eastAsia" w:ascii="宋体" w:hAnsi="宋体" w:eastAsia="宋体" w:cs="宋体"/>
          <w:color w:val="auto"/>
          <w:sz w:val="28"/>
          <w:szCs w:val="28"/>
        </w:rPr>
        <w:t>概况</w:t>
      </w:r>
      <w:r>
        <w:rPr>
          <w:rFonts w:hint="eastAsia" w:ascii="宋体" w:hAnsi="宋体" w:eastAsia="宋体" w:cs="宋体"/>
          <w:color w:val="auto"/>
          <w:sz w:val="28"/>
          <w:szCs w:val="28"/>
          <w:lang w:eastAsia="zh-CN"/>
        </w:rPr>
        <w:t>：本项目位于市科技馆第三主题展区，净面积473.66</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。主要建设内容为拆除原有隔墙、地面、天棚，新建地胶楼地面、石膏板隔墙、石膏板吊顶及广告牌等，以及设备安装工程；</w:t>
      </w:r>
    </w:p>
    <w:p w14:paraId="5DCFF350">
      <w:pPr>
        <w:spacing w:line="360" w:lineRule="auto"/>
        <w:ind w:firstLine="565" w:firstLineChars="20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7、招标</w:t>
      </w:r>
      <w:r>
        <w:rPr>
          <w:rFonts w:hint="eastAsia" w:ascii="宋体" w:hAnsi="宋体" w:eastAsia="宋体" w:cs="宋体"/>
          <w:color w:val="auto"/>
          <w:sz w:val="28"/>
          <w:szCs w:val="28"/>
        </w:rPr>
        <w:t>范围：</w:t>
      </w:r>
      <w:r>
        <w:rPr>
          <w:rFonts w:hint="eastAsia" w:ascii="宋体" w:hAnsi="宋体" w:eastAsia="宋体" w:cs="宋体"/>
          <w:color w:val="auto"/>
          <w:sz w:val="28"/>
          <w:szCs w:val="28"/>
          <w:lang w:val="en-US" w:eastAsia="zh-CN"/>
        </w:rPr>
        <w:t>二标段：招标文件及设备安装工程的全部内容</w:t>
      </w:r>
      <w:r>
        <w:rPr>
          <w:rFonts w:hint="eastAsia" w:ascii="宋体" w:hAnsi="宋体" w:eastAsia="宋体" w:cs="宋体"/>
          <w:color w:val="auto"/>
          <w:sz w:val="28"/>
          <w:szCs w:val="28"/>
          <w:lang w:eastAsia="zh-CN"/>
        </w:rPr>
        <w:t>；</w:t>
      </w:r>
    </w:p>
    <w:p w14:paraId="0A23A71B">
      <w:pPr>
        <w:spacing w:line="360" w:lineRule="auto"/>
        <w:ind w:firstLine="565" w:firstLineChars="202"/>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8、项目</w:t>
      </w:r>
      <w:r>
        <w:rPr>
          <w:rFonts w:hint="eastAsia" w:ascii="宋体" w:hAnsi="宋体" w:eastAsia="宋体" w:cs="宋体"/>
          <w:color w:val="auto"/>
          <w:sz w:val="28"/>
          <w:szCs w:val="28"/>
        </w:rPr>
        <w:t>地点：</w:t>
      </w:r>
      <w:r>
        <w:rPr>
          <w:rFonts w:hint="eastAsia" w:ascii="宋体" w:hAnsi="宋体" w:eastAsia="宋体" w:cs="宋体"/>
          <w:color w:val="auto"/>
          <w:sz w:val="28"/>
          <w:szCs w:val="28"/>
          <w:lang w:eastAsia="zh-CN"/>
        </w:rPr>
        <w:t>采购人指定地点</w:t>
      </w:r>
      <w:r>
        <w:rPr>
          <w:rFonts w:hint="eastAsia" w:ascii="宋体" w:hAnsi="宋体" w:eastAsia="宋体" w:cs="宋体"/>
          <w:color w:val="auto"/>
          <w:sz w:val="28"/>
          <w:szCs w:val="28"/>
        </w:rPr>
        <w:t>；</w:t>
      </w:r>
    </w:p>
    <w:p w14:paraId="1369F280">
      <w:pPr>
        <w:spacing w:line="360" w:lineRule="auto"/>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9、二标段交货及安装期：自合同签订后90日历天；</w:t>
      </w:r>
    </w:p>
    <w:p w14:paraId="5E74B7BC">
      <w:pPr>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10、质量标准：二标段：合格，符合国家及行业标准；</w:t>
      </w:r>
    </w:p>
    <w:p w14:paraId="57C7D701">
      <w:pPr>
        <w:spacing w:line="360" w:lineRule="auto"/>
        <w:ind w:firstLine="565" w:firstLineChars="202"/>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质保期：执行国家相关保修期限的规定；</w:t>
      </w:r>
    </w:p>
    <w:p w14:paraId="2733F32F">
      <w:pPr>
        <w:spacing w:line="360" w:lineRule="auto"/>
        <w:ind w:firstLine="565" w:firstLineChars="202"/>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标段划分：本项目</w:t>
      </w:r>
      <w:r>
        <w:rPr>
          <w:rFonts w:hint="eastAsia" w:ascii="宋体" w:hAnsi="宋体" w:eastAsia="宋体" w:cs="宋体"/>
          <w:color w:val="auto"/>
          <w:sz w:val="28"/>
          <w:szCs w:val="28"/>
          <w:lang w:val="en-US" w:eastAsia="zh-CN"/>
        </w:rPr>
        <w:t>划分2个标段</w:t>
      </w:r>
      <w:r>
        <w:rPr>
          <w:rFonts w:hint="eastAsia" w:ascii="宋体" w:hAnsi="宋体" w:eastAsia="宋体" w:cs="宋体"/>
          <w:color w:val="auto"/>
          <w:sz w:val="28"/>
          <w:szCs w:val="28"/>
          <w:lang w:eastAsia="zh-CN"/>
        </w:rPr>
        <w:t>；</w:t>
      </w:r>
    </w:p>
    <w:p w14:paraId="705BA315">
      <w:pPr>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13、本项目是否接受联合体投标：否；</w:t>
      </w:r>
    </w:p>
    <w:p w14:paraId="79D1A4FE">
      <w:pPr>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14、是否接受进口产品：否。</w:t>
      </w:r>
    </w:p>
    <w:p w14:paraId="6D4A0068">
      <w:pPr>
        <w:pStyle w:val="2"/>
        <w:ind w:left="0" w:leftChars="0" w:firstLine="0" w:firstLineChars="0"/>
        <w:rPr>
          <w:rFonts w:hint="default"/>
          <w:lang w:val="en-US" w:eastAsia="zh-CN"/>
        </w:rPr>
        <w:sectPr>
          <w:footerReference r:id="rId4" w:type="default"/>
          <w:pgSz w:w="11905" w:h="16838"/>
          <w:pgMar w:top="1162" w:right="1372" w:bottom="1151" w:left="1361" w:header="720" w:footer="720" w:gutter="0"/>
          <w:pgNumType w:fmt="decimal"/>
          <w:cols w:space="720" w:num="1"/>
          <w:rtlGutter w:val="0"/>
          <w:docGrid w:type="lines" w:linePitch="312" w:charSpace="0"/>
        </w:sectPr>
      </w:pPr>
    </w:p>
    <w:tbl>
      <w:tblPr>
        <w:tblStyle w:val="21"/>
        <w:tblW w:w="15255"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55"/>
        <w:gridCol w:w="1845"/>
        <w:gridCol w:w="2100"/>
        <w:gridCol w:w="7815"/>
        <w:gridCol w:w="675"/>
        <w:gridCol w:w="735"/>
        <w:gridCol w:w="690"/>
      </w:tblGrid>
      <w:tr w14:paraId="5883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6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0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图示（仅参考）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D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7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C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D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1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CD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937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B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382905</wp:posOffset>
                  </wp:positionH>
                  <wp:positionV relativeFrom="paragraph">
                    <wp:posOffset>-101600</wp:posOffset>
                  </wp:positionV>
                  <wp:extent cx="1418590" cy="1282065"/>
                  <wp:effectExtent l="0" t="0" r="0" b="13335"/>
                  <wp:wrapNone/>
                  <wp:docPr id="43" name="图片_18"/>
                  <wp:cNvGraphicFramePr/>
                  <a:graphic xmlns:a="http://schemas.openxmlformats.org/drawingml/2006/main">
                    <a:graphicData uri="http://schemas.openxmlformats.org/drawingml/2006/picture">
                      <pic:pic xmlns:pic="http://schemas.openxmlformats.org/drawingml/2006/picture">
                        <pic:nvPicPr>
                          <pic:cNvPr id="43" name="图片_18"/>
                          <pic:cNvPicPr/>
                        </pic:nvPicPr>
                        <pic:blipFill>
                          <a:blip r:embed="rId9"/>
                          <a:stretch>
                            <a:fillRect/>
                          </a:stretch>
                        </pic:blipFill>
                        <pic:spPr>
                          <a:xfrm>
                            <a:off x="0" y="0"/>
                            <a:ext cx="1418590" cy="12820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消防安全科普讲解机器人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8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D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W*D*H:≥1700*1700*2350(mm)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一体化玻璃钢造型机箱×1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中央控制系统×1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中央控制主机×1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音响装置×1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42寸液晶触摸屏×1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消防安全科普讲解内容×30</w:t>
            </w:r>
          </w:p>
        </w:tc>
        <w:tc>
          <w:tcPr>
            <w:tcW w:w="7815" w:type="dxa"/>
            <w:tcBorders>
              <w:top w:val="nil"/>
              <w:left w:val="single" w:color="000000" w:sz="4" w:space="0"/>
              <w:bottom w:val="single" w:color="000000" w:sz="4" w:space="0"/>
              <w:right w:val="single" w:color="000000" w:sz="4" w:space="0"/>
            </w:tcBorders>
            <w:shd w:val="clear" w:color="auto" w:fill="auto"/>
            <w:vAlign w:val="center"/>
          </w:tcPr>
          <w:p w14:paraId="14E03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科普讲解机器人是通过触摸设备、终端控制器和玻璃钢机器人外观及玻璃钢双灭火器造型构件共同组成，设备采用机器人的外观造型进行设计，是对传统触控一体机的一次升级改造设计，从外观造型上能够辨别产品属性，也能吸引体验者参与互动体验学习，增加安全教育的普及程度，体验者通过触控屏上播放的内容与机器人讲解的一些指示和知识，让体验者能加深了解消防安全的重要性和相应的安全知识。安全知识第一个模块是图文学习，它提供了消防行业新闻、政策法规和消防科技信息。用户可以通过该模块了解到各种消防相关的信息，例如灭火器的使用方法、火灾事故案例分析等等。消防资讯模块的内容不仅有趣、有用，而日帮助用户保持对消防行业的关注，提高消防安全意识。系统内包含图文知识点不低于20个。第二个模块是视频学习模块，它为用户提供了大量的消防教育视频，包括灭火器的使用、火灾逃生、火灾扑救等等。这些视频生动形象、简洁明了，可以帮助用户深入了解消防知识。消防教育视频模块不仅舌合个人学习，也适合学校、企事业单位组织集中培训使用。系统内包含视频不低于10个，总时长不低于20分钟。第三模块是消防知识答题，它为用户提供了丰富多彩的消防知识测试题目，用户可以通过该模块对自己的消防知识水平进行测试。进行答题时，系统会从题库中随机抽取10道试题分配给体验者，每道题10分，总分100分。在答题结束后，系统会根据体验者的作答结果，自动给出评分。答题考核题库中提供不低于100道考核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C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2A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BB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MR灭火猛士</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CBC5">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W*D*H:≥300*550*550(mm)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VR一体机头盔×1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电子改装灭火器×1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MR互动装置内容×20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-1623060</wp:posOffset>
                  </wp:positionH>
                  <wp:positionV relativeFrom="paragraph">
                    <wp:posOffset>661035</wp:posOffset>
                  </wp:positionV>
                  <wp:extent cx="1901190" cy="1912620"/>
                  <wp:effectExtent l="0" t="0" r="0" b="0"/>
                  <wp:wrapNone/>
                  <wp:docPr id="44" name="图片_6"/>
                  <wp:cNvGraphicFramePr/>
                  <a:graphic xmlns:a="http://schemas.openxmlformats.org/drawingml/2006/main">
                    <a:graphicData uri="http://schemas.openxmlformats.org/drawingml/2006/picture">
                      <pic:pic xmlns:pic="http://schemas.openxmlformats.org/drawingml/2006/picture">
                        <pic:nvPicPr>
                          <pic:cNvPr id="44" name="图片_6"/>
                          <pic:cNvPicPr/>
                        </pic:nvPicPr>
                        <pic:blipFill>
                          <a:blip r:embed="rId10"/>
                          <a:stretch>
                            <a:fillRect/>
                          </a:stretch>
                        </pic:blipFill>
                        <pic:spPr>
                          <a:xfrm>
                            <a:off x="0" y="0"/>
                            <a:ext cx="1901190" cy="191262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知识评测系统×1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MR灭火猛士一款主要针对灭火操作测评的MR灭火移动智能设备，VR一体机头显及智能定位灭火器设备一起使用，在虚拟世界、现实世界和用户之间搭起一个交互反馈的信息回路， 以增强用户体验的真实感。体验内容场景≥二十种。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1、VR设备:高通骁龙835 八核2.45GHz，64位，Kryo280  CPU，10nm制程工艺，Adreno 540 GPU，Hexagon 682 DSP  屏幕：3840x2160 5.5寸显示屏  75Hz刷新率，Fast-Switch快速响应技术  镜片：菲涅尔镜片  视场角：101°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可佩戴眼镜设计，无需视力调节，自适应瞳距  内置“护眼模式”，可在系统设置中开启；内存： 4GB LPDDR4X 1866MHz；闪存： 32GB UFS2.1；最高支持256GB Micro-SD卡扩展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2、定制2公斤灭火器罐体，灭火器安装陀螺仪，与VR眼镜交互使用，以达到模拟灭火的效果。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MR模拟灭火体验设备是消防安全教育类型的应用产品，内含MR灭火模拟系统与灭火器知识答题以及MR模拟灭火装置（适配一体机头显的仿真灭火器硬件），结合沉浸式交互体验，真实使用灭火器体验发现火情到扑灭火灾，通过虚拟现实技术提示大众加强安全消防意识。VR模拟灭火体验设备是一款沉浸式消防灭火器体验装置，包括真实灭火器的使用和灭火操作、灭火答题、灭火测评，利用VR的场景选择灭火器到火情扑灭的交互全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体验过程中无需创建实景场景，启动系统程序后可在20个场景中（电影院、生产车间、森林、医院、加气站、图书馆、客厅、楼道、地下停车场、工厂高低压配电房、卧室、办公室、工厂、学校、厨房、宿舍、船舱、电梯、公交车、客机）进行任一场景选择体验，模拟起火、浓烟效果，不燃烧可燃物体，不喷射真实灭火剂，循环使用。并且操作者通过模拟灭火器和头显设备即可独立操作，任何年龄层的体验者都能快速上手。用游戏的方式轻松学习消防知识。消防知识知识问答考核：体验者可以通点击触控屏进行答题交互。该模块中包含关于常见自然灾害知识的答题考核，试题由选择题组成，体验者通过灭火器手柄选择正确答案已完成答题互动。每次系统会从题库中随机抽取10道试题分配给体验者，每道题10分，总分100分。在答题结束后，系统会根据体验者的作答结果，自动给出评分。本次答题考核题库中提供不低于50道考核题。供应商需提供实用新型专利证书：一种基于VR模拟的灭火体验装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7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5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4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3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9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372745</wp:posOffset>
                  </wp:positionH>
                  <wp:positionV relativeFrom="paragraph">
                    <wp:posOffset>-203835</wp:posOffset>
                  </wp:positionV>
                  <wp:extent cx="1722755" cy="1737360"/>
                  <wp:effectExtent l="0" t="0" r="0" b="0"/>
                  <wp:wrapNone/>
                  <wp:docPr id="46" name="图片_8"/>
                  <wp:cNvGraphicFramePr/>
                  <a:graphic xmlns:a="http://schemas.openxmlformats.org/drawingml/2006/main">
                    <a:graphicData uri="http://schemas.openxmlformats.org/drawingml/2006/picture">
                      <pic:pic xmlns:pic="http://schemas.openxmlformats.org/drawingml/2006/picture">
                        <pic:nvPicPr>
                          <pic:cNvPr id="46" name="图片_8"/>
                          <pic:cNvPicPr/>
                        </pic:nvPicPr>
                        <pic:blipFill>
                          <a:blip r:embed="rId11"/>
                          <a:stretch>
                            <a:fillRect/>
                          </a:stretch>
                        </pic:blipFill>
                        <pic:spPr>
                          <a:xfrm>
                            <a:off x="0" y="0"/>
                            <a:ext cx="1722755" cy="17373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VR消防安全科普体验平台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B311">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4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W*D*H:≥1200*1700*2300(mm)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VR消防安全目视交互内容×50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32寸液晶显示器×1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VR眼镜×1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企业级无线智投装置×1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LED灯光装置×1  </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消防安全科普体验平台，整体设计理念，底部为圆盘型，两侧为圆筒及抽象火焰轮廓，顶部圆盘。为进一步改善传统被动式说教方式的安全教育瓶颈，VR体验平台采用全沉浸式模拟体验方式，进一步强化消防安全知识学习；VR体验平台可对消防安全类不同场景进行模拟，丰富细腻的交互模拟方式，实现主动式教学。为了方便用户操作，降低学习成本，提高体验效率，响应国家政策，提倡节能环保，故本产品去除蓝牙手柄（需定期更换电池），同时无需蓝牙匹配，无需手柄操作说明，可直接使用目视交互，解放双手，简单易学，可让体验者全身心投入到VR虚拟世界身临其境体验。具体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1、消防器材学习之安全疏散示意图体验模块；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防器材学习之手动报警器体验模块：本模块主要介绍手动报警器，地点位于家庭门口过道处。第一步通过观看3D实物以及语音文本介绍手动报警器的专业用处以及使用方法。第二步在介绍完之后会通过3D的场景还原形象生动的介绍手动报警器的工作状态，一个虚拟的手会触发启动手动报警器，此时报警器的报警灯会闪烁红光并发出报警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防器材学习之烟感器体验模块：本模块需主要介绍烟感报警器，地点位于家庭卧室。第一步通过观看3D实物以及语音文本介绍烟感报警器的专业用处以及触发环境，在正常状态下报警器的红色灯光间断式闪烁。第二步在介绍完之后会通过3D的场景还原形象生动的介绍烟感报警器的工作状态，在卧室的里面会有一波烟雾逐渐生成，烟雾有一种自下往上漂浮的动作，当烟雾升到天花板的时候，触发烟感报警器，警报器的红色灯光一直存在，伴随着发出警报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4、消防器材学习之消防喷淋体验模块；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5、消防器材学习之安全指示灯体验模块；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6、逃生知识学习之切勿留恋财物场景体验模块；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7、逃生知识学习之不入险地贪图财物场景体验模块；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逃生知识学习之湿棉织物捂鼻体验模块：本模块需主要介绍烟感报警器，地点位于家庭卧室。第一步通过观看3D实物以及语音文本介绍烟感报警器的专业用处以及触发环境，在正常状态下报警器的红色灯光间断式闪烁。第二步在介绍完之后会通过3D的场景还原形象生动的介绍烟感报警器的工作状态，在卧室的里面会有一波烟雾逐渐生成，烟雾有一种自下往上漂浮的动作，当烟雾升到天花板的时候，触发烟感报警器，警报器的红色灯光一直存在，伴随着发出警报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逃生知识学习之低姿，匍匐撤离体验模块：本模块需主要展示在火场逃生中通过烟雾地带低姿、匍匐的重要性。初始位置位于楼道电梯处，一个开场介绍“欢迎来到消防体验课堂，本节课主要体验低姿、匍匐撤离在火场逃生中的重要性，让我们开始体验吧”，此时楼道烟雾开始慢慢变浓增加到天花板上方，总共分为三个时间段天花板烟雾浓度对应三个不同的阶段，越来越弄，而且烟雾越来越低，对人有种自上而下的压迫感，最后一层烟雾比较低，低过站立的人眼（相机），看不清前面的路，此时一个提示“请保持低姿、匍匐撤离”，然后开始模拟低姿状态（相机缓慢向下移动），随着相机向下移动的幅度越来越大，烟雾的浓度越来越淡，可以稍微看的清前方的路。此时伴随着语音介绍学习低姿、匍匐前进的重要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10、逃生知识学习之善用通道及切勿乘坐电梯体验模块；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A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D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9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13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40" w:type="dxa"/>
            <w:tcBorders>
              <w:top w:val="single" w:color="000000" w:sz="4" w:space="0"/>
              <w:left w:val="single" w:color="000000" w:sz="4" w:space="0"/>
              <w:bottom w:val="nil"/>
              <w:right w:val="nil"/>
            </w:tcBorders>
            <w:shd w:val="clear" w:color="auto" w:fill="auto"/>
            <w:noWrap/>
            <w:vAlign w:val="center"/>
          </w:tcPr>
          <w:p w14:paraId="6433F14E">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nil"/>
              <w:right w:val="nil"/>
            </w:tcBorders>
            <w:shd w:val="clear" w:color="auto" w:fill="auto"/>
            <w:vAlign w:val="center"/>
          </w:tcPr>
          <w:p w14:paraId="230FBA7F">
            <w:pPr>
              <w:jc w:val="cente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nil"/>
              <w:right w:val="nil"/>
            </w:tcBorders>
            <w:shd w:val="clear" w:color="auto" w:fill="auto"/>
            <w:noWrap/>
            <w:vAlign w:val="center"/>
          </w:tcPr>
          <w:p w14:paraId="63B2C9E0">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nil"/>
              <w:right w:val="nil"/>
            </w:tcBorders>
            <w:shd w:val="clear" w:color="auto" w:fill="auto"/>
            <w:vAlign w:val="center"/>
          </w:tcPr>
          <w:p w14:paraId="36581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815" w:type="dxa"/>
            <w:tcBorders>
              <w:top w:val="single" w:color="000000" w:sz="4" w:space="0"/>
              <w:left w:val="single" w:color="000000" w:sz="4" w:space="0"/>
              <w:bottom w:val="nil"/>
              <w:right w:val="nil"/>
            </w:tcBorders>
            <w:shd w:val="clear" w:color="auto" w:fill="auto"/>
            <w:vAlign w:val="center"/>
          </w:tcPr>
          <w:p w14:paraId="69E060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11、逃生知识学习之正确判断室外火势大小体验模块；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12、逃生方法之高空缓降器知识学习模块；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13、逃生方法之床单打结法知识学习模块；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14、逃生方法之救生软梯知识学习模块；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15、火场自救方法之正确创建临时室内火灾避难所体验模块；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16、火场自救方法之白天窗台呼救体验模块；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17、火场自救方法之夜晚窗台呼救体验模块；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18、火场自救方法之体力透支后如何正确自救体验模块。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一体机VR地震十八模块：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1、震前预兆之射线云气象异常体验模块：需通过3D建模，全景的形式展示射线云和地震云的动态变化效果。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2、震前预兆之地震云气象异常体验模块；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3、震前预兆之地光异常体验模块；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4、震前预兆之电磁异常体验模块；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5、震前预兆之地下水异常体验模块：需通过3D建模，全景的形式展示地下水异常，主要异常有发浑、冒泡、翻花、升温、变色、变味、突升、突降、泉源突然枯竭或涌出等。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6、震前预兆之地气异常体验模块；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7、震前预兆之生物异常体验模块；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震中躲避之电梯地震逃生体验模块：需通过3D建模，全景的形式展示电梯逃生方法，主要体现在地震时正在乘坐电梯，迅速把所有的电梯楼层全部按亮，一旦电梯停下，就立即离开电梯找地方躲避。如果被困在电梯中出不去，那就靠在电梯角落，等到救援，不要在电梯内来回走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9、震中躲避之驾车地震逃生体验模块；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10、震中躲避之室外地震逃生体验模块；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11、震中躲避之超市地震逃生体验模块；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12、震中躲避之校园地震逃生体验模块；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13、震中躲避之室内地震逃生体验模块；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14、震后自救之如何正确改善环境体验模块；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15、震后自救之如何正确扩大空间体验模块；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16、震后自救之如何正确保存体力体验模块；</w:t>
            </w:r>
          </w:p>
        </w:tc>
        <w:tc>
          <w:tcPr>
            <w:tcW w:w="675" w:type="dxa"/>
            <w:tcBorders>
              <w:top w:val="single" w:color="000000" w:sz="4" w:space="0"/>
              <w:left w:val="single" w:color="000000" w:sz="4" w:space="0"/>
              <w:bottom w:val="nil"/>
              <w:right w:val="nil"/>
            </w:tcBorders>
            <w:shd w:val="clear" w:color="auto" w:fill="auto"/>
            <w:vAlign w:val="center"/>
          </w:tcPr>
          <w:p w14:paraId="57414160">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nil"/>
              <w:right w:val="nil"/>
            </w:tcBorders>
            <w:shd w:val="clear" w:color="auto" w:fill="auto"/>
            <w:noWrap/>
            <w:vAlign w:val="center"/>
          </w:tcPr>
          <w:p w14:paraId="41484938">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nil"/>
              <w:right w:val="nil"/>
            </w:tcBorders>
            <w:shd w:val="clear" w:color="auto" w:fill="auto"/>
            <w:noWrap/>
            <w:vAlign w:val="center"/>
          </w:tcPr>
          <w:p w14:paraId="57BE018A">
            <w:pPr>
              <w:jc w:val="center"/>
              <w:rPr>
                <w:rFonts w:hint="eastAsia" w:ascii="宋体" w:hAnsi="宋体" w:eastAsia="宋体" w:cs="宋体"/>
                <w:i w:val="0"/>
                <w:iCs w:val="0"/>
                <w:color w:val="000000"/>
                <w:sz w:val="22"/>
                <w:szCs w:val="22"/>
                <w:u w:val="none"/>
              </w:rPr>
            </w:pPr>
          </w:p>
        </w:tc>
      </w:tr>
      <w:tr w14:paraId="78AC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9" w:hRule="atLeast"/>
        </w:trPr>
        <w:tc>
          <w:tcPr>
            <w:tcW w:w="540" w:type="dxa"/>
            <w:tcBorders>
              <w:top w:val="nil"/>
              <w:left w:val="single" w:color="000000" w:sz="4" w:space="0"/>
              <w:bottom w:val="single" w:color="000000" w:sz="4" w:space="0"/>
              <w:right w:val="single" w:color="000000" w:sz="4" w:space="0"/>
            </w:tcBorders>
            <w:shd w:val="clear" w:color="auto" w:fill="auto"/>
            <w:noWrap/>
            <w:vAlign w:val="center"/>
          </w:tcPr>
          <w:p w14:paraId="3ADB806A">
            <w:pPr>
              <w:jc w:val="center"/>
              <w:rPr>
                <w:rFonts w:hint="eastAsia" w:ascii="宋体" w:hAnsi="宋体" w:eastAsia="宋体" w:cs="宋体"/>
                <w:i w:val="0"/>
                <w:iCs w:val="0"/>
                <w:color w:val="000000"/>
                <w:sz w:val="24"/>
                <w:szCs w:val="24"/>
                <w:u w:val="none"/>
              </w:rPr>
            </w:pPr>
          </w:p>
        </w:tc>
        <w:tc>
          <w:tcPr>
            <w:tcW w:w="855" w:type="dxa"/>
            <w:tcBorders>
              <w:top w:val="nil"/>
              <w:left w:val="single" w:color="000000" w:sz="4" w:space="0"/>
              <w:bottom w:val="single" w:color="000000" w:sz="4" w:space="0"/>
              <w:right w:val="single" w:color="000000" w:sz="4" w:space="0"/>
            </w:tcBorders>
            <w:shd w:val="clear" w:color="auto" w:fill="auto"/>
            <w:vAlign w:val="center"/>
          </w:tcPr>
          <w:p w14:paraId="55009D94">
            <w:pPr>
              <w:jc w:val="center"/>
              <w:rPr>
                <w:rFonts w:hint="eastAsia" w:ascii="宋体" w:hAnsi="宋体" w:eastAsia="宋体" w:cs="宋体"/>
                <w:i w:val="0"/>
                <w:iCs w:val="0"/>
                <w:color w:val="000000"/>
                <w:sz w:val="24"/>
                <w:szCs w:val="24"/>
                <w:u w:val="none"/>
              </w:rPr>
            </w:pP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6689987A">
            <w:pPr>
              <w:rPr>
                <w:rFonts w:hint="eastAsia" w:ascii="宋体" w:hAnsi="宋体" w:eastAsia="宋体" w:cs="宋体"/>
                <w:i w:val="0"/>
                <w:iCs w:val="0"/>
                <w:color w:val="000000"/>
                <w:sz w:val="24"/>
                <w:szCs w:val="24"/>
                <w:u w:val="none"/>
              </w:rPr>
            </w:pPr>
          </w:p>
        </w:tc>
        <w:tc>
          <w:tcPr>
            <w:tcW w:w="2100" w:type="dxa"/>
            <w:tcBorders>
              <w:top w:val="nil"/>
              <w:left w:val="single" w:color="000000" w:sz="4" w:space="0"/>
              <w:bottom w:val="single" w:color="000000" w:sz="4" w:space="0"/>
              <w:right w:val="single" w:color="000000" w:sz="4" w:space="0"/>
            </w:tcBorders>
            <w:shd w:val="clear" w:color="auto" w:fill="auto"/>
            <w:vAlign w:val="center"/>
          </w:tcPr>
          <w:p w14:paraId="60629F23">
            <w:pPr>
              <w:jc w:val="center"/>
              <w:rPr>
                <w:rFonts w:hint="eastAsia" w:ascii="宋体" w:hAnsi="宋体" w:eastAsia="宋体" w:cs="宋体"/>
                <w:i w:val="0"/>
                <w:iCs w:val="0"/>
                <w:color w:val="000000"/>
                <w:sz w:val="24"/>
                <w:szCs w:val="24"/>
                <w:u w:val="none"/>
              </w:rPr>
            </w:pPr>
          </w:p>
        </w:tc>
        <w:tc>
          <w:tcPr>
            <w:tcW w:w="7815" w:type="dxa"/>
            <w:tcBorders>
              <w:top w:val="nil"/>
              <w:left w:val="single" w:color="000000" w:sz="4" w:space="0"/>
              <w:bottom w:val="single" w:color="000000" w:sz="4" w:space="0"/>
              <w:right w:val="single" w:color="000000" w:sz="4" w:space="0"/>
            </w:tcBorders>
            <w:shd w:val="clear" w:color="auto" w:fill="auto"/>
            <w:vAlign w:val="center"/>
          </w:tcPr>
          <w:p w14:paraId="3FC83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17、震后自救之如何正确呼救体验模块；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震后自救之如何正确自我包扎体验模块：需通过3D建模，全景的形式展示自我包扎方法，主要体现在地震时不断会有碎石等物体掉落砸伤自己，一旦被困，要及时止血包扎，防止因失血过多导致休克甚至死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1、地铁火灾逃生VR体验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2、图书馆火灾逃生VR体验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3、高处坠落伤害VR体验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5、物体打击伤害VR体验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6、塌陷事故VR体验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7、起重伤害VR体验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8、触电事故VR体验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9、火灾事故VR体验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10、中毒窒息VR体验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11、车辆伤害VR体验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12、个人劳保用品VR体验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13、防生物武器袭击VR体验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14、电影院火灾逃生VR体验</w:t>
            </w:r>
          </w:p>
        </w:tc>
        <w:tc>
          <w:tcPr>
            <w:tcW w:w="675" w:type="dxa"/>
            <w:tcBorders>
              <w:top w:val="nil"/>
              <w:left w:val="single" w:color="000000" w:sz="4" w:space="0"/>
              <w:bottom w:val="single" w:color="000000" w:sz="4" w:space="0"/>
              <w:right w:val="single" w:color="000000" w:sz="4" w:space="0"/>
            </w:tcBorders>
            <w:shd w:val="clear" w:color="auto" w:fill="auto"/>
            <w:vAlign w:val="center"/>
          </w:tcPr>
          <w:p w14:paraId="6007090E">
            <w:pPr>
              <w:jc w:val="center"/>
              <w:rPr>
                <w:rFonts w:hint="eastAsia" w:ascii="宋体" w:hAnsi="宋体" w:eastAsia="宋体" w:cs="宋体"/>
                <w:i w:val="0"/>
                <w:iCs w:val="0"/>
                <w:color w:val="000000"/>
                <w:sz w:val="24"/>
                <w:szCs w:val="24"/>
                <w:u w:val="none"/>
              </w:rPr>
            </w:pPr>
          </w:p>
        </w:tc>
        <w:tc>
          <w:tcPr>
            <w:tcW w:w="735" w:type="dxa"/>
            <w:tcBorders>
              <w:top w:val="nil"/>
              <w:left w:val="single" w:color="000000" w:sz="4" w:space="0"/>
              <w:bottom w:val="single" w:color="000000" w:sz="4" w:space="0"/>
              <w:right w:val="single" w:color="000000" w:sz="4" w:space="0"/>
            </w:tcBorders>
            <w:shd w:val="clear" w:color="auto" w:fill="auto"/>
            <w:noWrap/>
            <w:vAlign w:val="center"/>
          </w:tcPr>
          <w:p w14:paraId="775EEF7B">
            <w:pPr>
              <w:jc w:val="center"/>
              <w:rPr>
                <w:rFonts w:hint="eastAsia" w:ascii="宋体" w:hAnsi="宋体" w:eastAsia="宋体" w:cs="宋体"/>
                <w:i w:val="0"/>
                <w:iCs w:val="0"/>
                <w:color w:val="000000"/>
                <w:sz w:val="22"/>
                <w:szCs w:val="22"/>
                <w:u w:val="none"/>
              </w:rPr>
            </w:pPr>
          </w:p>
        </w:tc>
        <w:tc>
          <w:tcPr>
            <w:tcW w:w="690" w:type="dxa"/>
            <w:tcBorders>
              <w:top w:val="nil"/>
              <w:left w:val="single" w:color="000000" w:sz="4" w:space="0"/>
              <w:bottom w:val="single" w:color="000000" w:sz="4" w:space="0"/>
              <w:right w:val="single" w:color="000000" w:sz="4" w:space="0"/>
            </w:tcBorders>
            <w:shd w:val="clear" w:color="auto" w:fill="auto"/>
            <w:noWrap/>
            <w:vAlign w:val="center"/>
          </w:tcPr>
          <w:p w14:paraId="5FEB118E">
            <w:pPr>
              <w:jc w:val="center"/>
              <w:rPr>
                <w:rFonts w:hint="eastAsia" w:ascii="宋体" w:hAnsi="宋体" w:eastAsia="宋体" w:cs="宋体"/>
                <w:i w:val="0"/>
                <w:iCs w:val="0"/>
                <w:color w:val="000000"/>
                <w:sz w:val="22"/>
                <w:szCs w:val="22"/>
                <w:u w:val="none"/>
              </w:rPr>
            </w:pPr>
          </w:p>
        </w:tc>
      </w:tr>
      <w:tr w14:paraId="408A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B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462915</wp:posOffset>
                  </wp:positionH>
                  <wp:positionV relativeFrom="paragraph">
                    <wp:posOffset>-215265</wp:posOffset>
                  </wp:positionV>
                  <wp:extent cx="1285240" cy="1206500"/>
                  <wp:effectExtent l="0" t="0" r="11430" b="0"/>
                  <wp:wrapNone/>
                  <wp:docPr id="45" name="图片_10"/>
                  <wp:cNvGraphicFramePr/>
                  <a:graphic xmlns:a="http://schemas.openxmlformats.org/drawingml/2006/main">
                    <a:graphicData uri="http://schemas.openxmlformats.org/drawingml/2006/picture">
                      <pic:pic xmlns:pic="http://schemas.openxmlformats.org/drawingml/2006/picture">
                        <pic:nvPicPr>
                          <pic:cNvPr id="45" name="图片_10"/>
                          <pic:cNvPicPr/>
                        </pic:nvPicPr>
                        <pic:blipFill>
                          <a:blip r:embed="rId12"/>
                          <a:stretch>
                            <a:fillRect/>
                          </a:stretch>
                        </pic:blipFill>
                        <pic:spPr>
                          <a:xfrm>
                            <a:off x="0" y="0"/>
                            <a:ext cx="1285240" cy="12065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AR虚拟灭火体验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CFCB">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W*D*H:≥1500*2000*2350(mm)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55寸液晶显示器×1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虚拟灭火中控主机×1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电子改装2KG灭火器×4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电子改装沙桶×1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电子改装水枪×1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采集摄像机×1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音响装置×1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虚拟灭火内容场景×40</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7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拟灭火实训体验是由软件、终端显示系统、采集摄像装置共同组建，使体验者通过手持真实的灭火器材，例如2KG灭火器、消防水枪等，对显示屏幕进行模拟灭火体验，通过对不同场景的识别选择相应灭火器，真实互动体验的同时又能学习到各种灭火器的使用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虚拟灭火实训体验是由软件、终端显示系统、采集摄像装置共同组建，使体验者通过手持真实的灭火器材，例如2KG灭火器、消防水枪等，对显示屏幕进行模拟灭火体验，通过对不同场景的识别选择相应灭火器，真实互动体验的同时又能学习到各种灭火器的使用知识。仿真灭火器主要分为灭火器教学、灭火器体验（60个灭火场景）、知识问答三个模块组成。灭火器体验通过从ABCDEF六大类火灾类型共30种不同的灭火场景中选择一个场景，根据不同场景的火灾类型从四种灭火器选择一种正确的灭火器进行灭火，主要用于教学并体验灭火器的使用方式。用户选择正确的灭火器，拔掉插销，对准“火源根部”，按下鸭嘴阀，判断系统通过传感器得到灭火器的喷射角度和喷射时间，大火在灭火器喷射渐渐熄灭，画面显示灭火成功，否则火势越来越大的情况，显示灭火失败。用户通过灭火演练，学习使用灭火器知识及发生火灾时应采取的有效措施。最后通过灭火器相关知识考核加强用户对灭火器知识的认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1、灭火器底部安装压力开关，提起灭火器自动开机，落地自动关机。提供设备操作演示视频。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2、模拟灭火器使用的仿真灭火器，需使用真实3KG空灭火器罐体上改装，内部增加按键、灯光、陀螺仪、无线模块、电池、32位单片机等部件组成。每套共有4个罐体，分别为干粉、泡沫、二氧化碳、清水；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3、灭火器可以放在任何平整的场地，提起灭火器能自动识别灭火器类型；软件的功能切换与选择确定等操作可以任意提起灭火器，将灭火器当做遥控器使用，圧把当做按键进行确认。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32位单片机通过IIC总线与陀螺仪模块通信，获取灭火器罐体姿态数据，然后通过spi接口与无线模块连接，灭火器工作在无线发送状态，接收端工作在接收状态；接收端接收到无线数据后会回复一个应答信号，灭火器发送的数据包中包含设备地址、设备类型、电池电量信息、按键信息、姿态角信息与校验码六个关键数据，发送一个数据包时会间隔一定时间重复发送一次，直到收到接收端的应答信号或者超过规定的重发次数还没有收到应答信号时结束本次数据发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5、内置电池容量3.7V 1200mAh；充电电压5V，充电电流400mA。供应商需提供实用新型专利证书：一种消防安全教育使用的模拟灭火器。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7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2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4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5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7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386715</wp:posOffset>
                  </wp:positionH>
                  <wp:positionV relativeFrom="paragraph">
                    <wp:posOffset>-339090</wp:posOffset>
                  </wp:positionV>
                  <wp:extent cx="1338580" cy="1358265"/>
                  <wp:effectExtent l="0" t="0" r="0" b="0"/>
                  <wp:wrapNone/>
                  <wp:docPr id="53" name="图片_23"/>
                  <wp:cNvGraphicFramePr/>
                  <a:graphic xmlns:a="http://schemas.openxmlformats.org/drawingml/2006/main">
                    <a:graphicData uri="http://schemas.openxmlformats.org/drawingml/2006/picture">
                      <pic:pic xmlns:pic="http://schemas.openxmlformats.org/drawingml/2006/picture">
                        <pic:nvPicPr>
                          <pic:cNvPr id="53" name="图片_23"/>
                          <pic:cNvPicPr/>
                        </pic:nvPicPr>
                        <pic:blipFill>
                          <a:blip r:embed="rId13"/>
                          <a:stretch>
                            <a:fillRect/>
                          </a:stretch>
                        </pic:blipFill>
                        <pic:spPr>
                          <a:xfrm>
                            <a:off x="0" y="0"/>
                            <a:ext cx="1338580" cy="135826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消防栓实训演练</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AF38">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B3D4">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W*D*H:≥3000*3000*2300(mm)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采集摄像机×1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无线信号控制器×1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水泵控制器×4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电子改装版消防水枪×4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中央控制主机×1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3500LM投影机×1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消防栓灭火内容×10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栓实训演练利用多媒体相关技术和虚拟现实技术来模拟火灾的场景，场景主要模拟的是各类型火灾场景，一般用水作为灭火的材料。体验者使用水枪向场景中的火灾影像真实喷水，影像屏幕上设置的传感器会根据体验者喷射的位置及持续时间来确定扑救是否有效，通过这种互动反馈来体验灭火的过程。·真实1：1水枪，内设置喷水头，同时发射激光定位，多人位同时使用时实现多点同时采集灭火无延迟；所有3D着火场景均来源于真实生活事故案例动画，在模拟灭火的同时又能了解着火隐患点及起火原因；控制器与无线信号接收器电脑主机间采用无线2.4G信号发送，抗干扰性好，方便主机单独管理；高精度采集设备，摒弃传统的飞鼠定位方式，通过采集实际画面与屏幕1：1点位移动对应，而不是凭手感去移动，操作中水喷向哪里，哪里的火就会灭掉，适用于0.5米至3米以内范围，发射功率强，点位精确，进口发射管寿命10000小时以上；安全12V电压大功率水泵，使用方便，射水距离可达3米远，吸水端自带过滤器可直接放进水槽；自带动画人物知识讲解与视频演示功能，方便初学者更快掌握；灭火十大场景包含：（客厅烟头点燃沙发起火，实验室酒精撒漏引燃起火，教室烟头引燃窗帘、课桌椅起火，储藏室废旧电瓶短路引燃杂物起火，学校化学实验室误操作起火，烟头、蜡烛引燃床被起火，工地旧锅炉引燃堆积木材起火，仓库烟花爆竹引燃木材起火，厂房车辆电路老化短路起火，宿舍酒精炉引燃纸巾起火）。供应商需提供实用新型专利证书：一种用于消防演练的模拟装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B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A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6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8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9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消防装备认知点播系统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3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-601345</wp:posOffset>
                  </wp:positionV>
                  <wp:extent cx="1151890" cy="1282065"/>
                  <wp:effectExtent l="0" t="0" r="10160" b="0"/>
                  <wp:wrapNone/>
                  <wp:docPr id="57" name="图片_44"/>
                  <wp:cNvGraphicFramePr/>
                  <a:graphic xmlns:a="http://schemas.openxmlformats.org/drawingml/2006/main">
                    <a:graphicData uri="http://schemas.openxmlformats.org/drawingml/2006/picture">
                      <pic:pic xmlns:pic="http://schemas.openxmlformats.org/drawingml/2006/picture">
                        <pic:nvPicPr>
                          <pic:cNvPr id="57" name="图片_44"/>
                          <pic:cNvPicPr/>
                        </pic:nvPicPr>
                        <pic:blipFill>
                          <a:blip r:embed="rId14"/>
                          <a:stretch>
                            <a:fillRect/>
                          </a:stretch>
                        </pic:blipFill>
                        <pic:spPr>
                          <a:xfrm>
                            <a:off x="0" y="0"/>
                            <a:ext cx="1151890" cy="1282065"/>
                          </a:xfrm>
                          <a:prstGeom prst="rect">
                            <a:avLst/>
                          </a:prstGeom>
                          <a:noFill/>
                          <a:ln>
                            <a:noFill/>
                          </a:ln>
                        </pic:spPr>
                      </pic:pic>
                    </a:graphicData>
                  </a:graphic>
                </wp:anchor>
              </w:drawing>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B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W*D*H:≥3600*500*2300(mm)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消防器材装备实物物品×20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消防装备3D动画演示×20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互动按键装置×20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40寸触控一体机×1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B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体验者点击消防装备实物学习消防装备实物的功能和介绍。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体验者点选想要了解的消防装备，上方大屏幕中会即时显示选中的消防装备的介绍和装备模型，同时配有语音讲解，其中可选择了解的消防装备包括：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软件包含消防物品介绍和结绳自救软件（融合为一个软件）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消防物品实物介绍的物品包含但不限于：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1，灭火防护服：消防防护服又称防护服，防护工作服，消防战斗服等。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防护功能分健康型防护工作服，如防辐射服、防寒服、隔热服及抗菌服等；安全型防护工作服，如阻燃服、防静电服、防弹服、防刺服、宇航服、潜水服、防酸服及防虫服等；为保持穿着者卫生的工作服，如防油服、防尘服及拒水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抢险救援服：用于建筑塌陷、狭窄空间、攀爬等救援现场的身体防护。具备阻燃、耐磨、轻松方便、抗拉能力强、颜色鲜艳和醒目的标识等特点。抢险救援服是消防队员在救援过程中穿着的专属防护服。它由外层、防水透气层和舒适层等织物组成。它可以对头部、手部、踝部和脚部之外的躯干、颈部、手腕、手臂和腿部提供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3，ABC干粉灭火器：手提式ABC干粉灭火器是一种压力容器，应挂放在通风干燥处，存放温度-10℃~+45℃之间。 各连接件必须拧紧。ABC干粉灭火器系压力容器，保管和运输中防止碰撞。 定期检查，发现压力表指针低于绿区时，应及时补充灭火剂和驱动气体（氮气）。 每五年和再次充装前，应按规定进行水压试验，合格后方可继续使用。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4，二氧化碳灭火器：二氧化碳灭火剂是一种具有一百多年历史的灭火剂，价格低廉，获取、制备容易，其主要依靠窒息作用和部分冷却作用灭火。二氧化碳具有较高的密度，约为空气的1.5倍。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常压下，液态的二氧化碳会立即汽化，一般1kg的液态二氧化碳可产生约0.5立方米的气体。因而，灭火时，二氧化碳气体可以排除空气而包围在燃烧物体的表面或分布于较密闭的空间中，降低可燃物周围或防护空间内的氧浓度，产生窒息作用而灭火。另外，二氧化碳从储存容器中喷出时，会由液体迅速汽化成气体，而从周围吸收部分热量，起到冷却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基灭火器：水基灭火器，药剂主要成分表面活性剂等物质和处理过的纯净水搅拌。以液态形式存在，因此简称水基型灭火器。水基型（水雾）灭火器在喷射后，成水雾状，瞬间蒸发火场大量的热量，迅速降低火场温度，抑制热辐射，表面活性剂在可燃物表面迅速形成一层水膜，隔离氧气，降温、隔离双重作用，同时参与灭火，从而达到快速灭火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6，洒水喷头：洒水喷头分为闭式和开式两种。闭式玻璃球洒水喷头是湿式自动喷水灭火系统最重要的部件，能起到探火和灭火的双重功能。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感烟式火灾探测器：火灾的起火过程一般都伴有烟、热、光三种燃烧产物。在火灾初期，由于温度较低，物质多处于阴燃阶段，所以产生大量烟雾。感烟式火灾探测器有离子感烟式、光电感烟式、激光感烟式等几种型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F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1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78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4" w:hRule="atLeast"/>
        </w:trPr>
        <w:tc>
          <w:tcPr>
            <w:tcW w:w="540" w:type="dxa"/>
            <w:tcBorders>
              <w:top w:val="single" w:color="000000" w:sz="4" w:space="0"/>
              <w:left w:val="single" w:color="000000" w:sz="4" w:space="0"/>
              <w:bottom w:val="nil"/>
              <w:right w:val="nil"/>
            </w:tcBorders>
            <w:shd w:val="clear" w:color="auto" w:fill="auto"/>
            <w:noWrap/>
            <w:vAlign w:val="center"/>
          </w:tcPr>
          <w:p w14:paraId="32E4E9CA">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nil"/>
              <w:right w:val="nil"/>
            </w:tcBorders>
            <w:shd w:val="clear" w:color="auto" w:fill="auto"/>
            <w:vAlign w:val="center"/>
          </w:tcPr>
          <w:p w14:paraId="703F79FE">
            <w:pPr>
              <w:jc w:val="cente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nil"/>
              <w:right w:val="nil"/>
            </w:tcBorders>
            <w:shd w:val="clear" w:color="auto" w:fill="auto"/>
            <w:noWrap/>
            <w:vAlign w:val="center"/>
          </w:tcPr>
          <w:p w14:paraId="793C54C4">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nil"/>
              <w:right w:val="nil"/>
            </w:tcBorders>
            <w:shd w:val="clear" w:color="auto" w:fill="auto"/>
            <w:vAlign w:val="center"/>
          </w:tcPr>
          <w:p w14:paraId="39D22145">
            <w:pPr>
              <w:jc w:val="center"/>
              <w:rPr>
                <w:rFonts w:hint="eastAsia" w:ascii="宋体" w:hAnsi="宋体" w:eastAsia="宋体" w:cs="宋体"/>
                <w:i w:val="0"/>
                <w:iCs w:val="0"/>
                <w:color w:val="000000"/>
                <w:sz w:val="24"/>
                <w:szCs w:val="24"/>
                <w:u w:val="none"/>
              </w:rPr>
            </w:pPr>
          </w:p>
        </w:tc>
        <w:tc>
          <w:tcPr>
            <w:tcW w:w="7815" w:type="dxa"/>
            <w:tcBorders>
              <w:top w:val="single" w:color="000000" w:sz="4" w:space="0"/>
              <w:left w:val="single" w:color="000000" w:sz="4" w:space="0"/>
              <w:bottom w:val="nil"/>
              <w:right w:val="nil"/>
            </w:tcBorders>
            <w:shd w:val="clear" w:color="auto" w:fill="auto"/>
            <w:vAlign w:val="center"/>
          </w:tcPr>
          <w:p w14:paraId="4AA47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8，过滤式自救呼吸器：过滤式消防自救呼吸器是一种通过过滤装置吸附、吸收、催化及直接过滤等作用去除一氧化碳、烟雾等有害气体，供人员在发生火灾时逃生用的呼吸器。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救生缓降器：用于高层建筑在遭受到自然灾害或人为灾害时用于作应急疏散和逃生使用的设备。主要分为：固定式群体高层应急逃生缓降器、移动式个人高层应急逃生缓降器和个人背负型缓降器。从缓降器核心缓降原理可分为：无电运行的摩擦式缓降器和无电运行的空气阻尼式缓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10，声光报警器：声光报警器又叫声光警号， 是为了满足客户对报警响度和安装位置的特殊要求而设置。同时发出声、光二种警报信号。专用领域：钢铁冶金、电信铁塔、起重机械、工程机械、港口码头、交通运输、风力发电、远洋船舶等行业； 是工业报警系统中的一个配件产品。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11，手动报警按钮：手动报警按钮是火灾报警系统中的一个设备类型，当人员发现火灾时，在火灾探测器没有探测到火灾的时候，人员手动按下手动报警按钮，报告火灾信号。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正常情况下当手动报警按钮报警时，火灾发生的几率比火灾探测器要大的多，几乎没有误报的可能。因为手动报警按钮的报警出发条件是必须人工按下按钮启动。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12，逃生软梯：救生软梯主梯用绳为直径14mm，如用2.6mm航空级钢丝包芯，可以起到防火的作用。软梯一般长15米，重量小于15千克，荷载1000千克，每节梯登荷载150干克，最多可载8人。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逃生绳：逃生绳内芯采用军用航空钢丝，外包由尼龙线编织而成，下降时中途遇到火情不易烧断，依然可以自行缓慢下降，保证了逃生安全。广泛用于家庭住宅、医院、宾馆、旅店、写字楼、公共娱乐、劳动密集型等场所等中低层建筑（高度20米以内），是可靠的火灾救生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感温式火灾探测器：感温火灾探测器（简称温感）主要是利用热敏元件来探测火灾的。在火灾初始阶段，一方面有大量烟雾产生，另一方面物质在燃烧过程中释放出大量的热量，周围环境温度急剧上升。探测器中的热敏元件发生物理变化，响应异常温度、温度速率、温差，从而将温度信号转变成电信号，并进行报警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消防栓扳手：消火栓扳手主要针对的是消防安全过程当中的使用，正常情况下在消防栓附近，我们都能够看到这种红色的大扳手。有的时候它不仅仅可以用在一些消防栓开启或者接口连接的地方，有的时候也可以用它来做紧急救治，比如说如果发生火灾的情况下这种扳手它的力度是比较大的，可以用它来去砸碎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消防水带：消防水带是用来运送高压水或泡沫等阻燃液体的软管。传统的消防水带以橡胶为内衬，外表面包裹着亚麻编织物。先进的消防水带则用聚氨酯等聚合材料制成。消防水带的两头都有金属接头，可以接上另一根水带以延长距离或是接上喷嘴以增大液体喷射压力。</w:t>
            </w:r>
          </w:p>
        </w:tc>
        <w:tc>
          <w:tcPr>
            <w:tcW w:w="675" w:type="dxa"/>
            <w:tcBorders>
              <w:top w:val="single" w:color="000000" w:sz="4" w:space="0"/>
              <w:left w:val="single" w:color="000000" w:sz="4" w:space="0"/>
              <w:bottom w:val="nil"/>
              <w:right w:val="nil"/>
            </w:tcBorders>
            <w:shd w:val="clear" w:color="auto" w:fill="auto"/>
            <w:vAlign w:val="center"/>
          </w:tcPr>
          <w:p w14:paraId="60BCF852">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nil"/>
              <w:right w:val="nil"/>
            </w:tcBorders>
            <w:shd w:val="clear" w:color="auto" w:fill="auto"/>
            <w:noWrap/>
            <w:vAlign w:val="center"/>
          </w:tcPr>
          <w:p w14:paraId="03816609">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nil"/>
              <w:right w:val="nil"/>
            </w:tcBorders>
            <w:shd w:val="clear" w:color="auto" w:fill="auto"/>
            <w:noWrap/>
            <w:vAlign w:val="center"/>
          </w:tcPr>
          <w:p w14:paraId="4C3FD319">
            <w:pPr>
              <w:jc w:val="center"/>
              <w:rPr>
                <w:rFonts w:hint="eastAsia" w:ascii="宋体" w:hAnsi="宋体" w:eastAsia="宋体" w:cs="宋体"/>
                <w:i w:val="0"/>
                <w:iCs w:val="0"/>
                <w:color w:val="000000"/>
                <w:sz w:val="22"/>
                <w:szCs w:val="22"/>
                <w:u w:val="none"/>
              </w:rPr>
            </w:pPr>
          </w:p>
        </w:tc>
      </w:tr>
      <w:tr w14:paraId="0DB9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trPr>
        <w:tc>
          <w:tcPr>
            <w:tcW w:w="540" w:type="dxa"/>
            <w:tcBorders>
              <w:top w:val="nil"/>
              <w:left w:val="single" w:color="000000" w:sz="4" w:space="0"/>
              <w:bottom w:val="single" w:color="000000" w:sz="4" w:space="0"/>
              <w:right w:val="single" w:color="000000" w:sz="4" w:space="0"/>
            </w:tcBorders>
            <w:shd w:val="clear" w:color="auto" w:fill="auto"/>
            <w:noWrap/>
            <w:vAlign w:val="center"/>
          </w:tcPr>
          <w:p w14:paraId="2F1BF652">
            <w:pPr>
              <w:jc w:val="center"/>
              <w:rPr>
                <w:rFonts w:hint="eastAsia" w:ascii="宋体" w:hAnsi="宋体" w:eastAsia="宋体" w:cs="宋体"/>
                <w:i w:val="0"/>
                <w:iCs w:val="0"/>
                <w:color w:val="000000"/>
                <w:sz w:val="24"/>
                <w:szCs w:val="24"/>
                <w:u w:val="none"/>
              </w:rPr>
            </w:pPr>
          </w:p>
        </w:tc>
        <w:tc>
          <w:tcPr>
            <w:tcW w:w="855" w:type="dxa"/>
            <w:tcBorders>
              <w:top w:val="nil"/>
              <w:left w:val="single" w:color="000000" w:sz="4" w:space="0"/>
              <w:bottom w:val="single" w:color="000000" w:sz="4" w:space="0"/>
              <w:right w:val="single" w:color="000000" w:sz="4" w:space="0"/>
            </w:tcBorders>
            <w:shd w:val="clear" w:color="auto" w:fill="auto"/>
            <w:vAlign w:val="center"/>
          </w:tcPr>
          <w:p w14:paraId="119779D5">
            <w:pPr>
              <w:jc w:val="center"/>
              <w:rPr>
                <w:rFonts w:hint="eastAsia" w:ascii="宋体" w:hAnsi="宋体" w:eastAsia="宋体" w:cs="宋体"/>
                <w:i w:val="0"/>
                <w:iCs w:val="0"/>
                <w:color w:val="000000"/>
                <w:sz w:val="24"/>
                <w:szCs w:val="24"/>
                <w:u w:val="none"/>
              </w:rPr>
            </w:pP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28D23B94">
            <w:pPr>
              <w:rPr>
                <w:rFonts w:hint="eastAsia" w:ascii="宋体" w:hAnsi="宋体" w:eastAsia="宋体" w:cs="宋体"/>
                <w:i w:val="0"/>
                <w:iCs w:val="0"/>
                <w:color w:val="000000"/>
                <w:sz w:val="24"/>
                <w:szCs w:val="24"/>
                <w:u w:val="none"/>
              </w:rPr>
            </w:pPr>
          </w:p>
        </w:tc>
        <w:tc>
          <w:tcPr>
            <w:tcW w:w="2100" w:type="dxa"/>
            <w:tcBorders>
              <w:top w:val="nil"/>
              <w:left w:val="single" w:color="000000" w:sz="4" w:space="0"/>
              <w:bottom w:val="single" w:color="000000" w:sz="4" w:space="0"/>
              <w:right w:val="single" w:color="000000" w:sz="4" w:space="0"/>
            </w:tcBorders>
            <w:shd w:val="clear" w:color="auto" w:fill="auto"/>
            <w:vAlign w:val="center"/>
          </w:tcPr>
          <w:p w14:paraId="5A337CC9">
            <w:pPr>
              <w:jc w:val="center"/>
              <w:rPr>
                <w:rFonts w:hint="eastAsia" w:ascii="宋体" w:hAnsi="宋体" w:eastAsia="宋体" w:cs="宋体"/>
                <w:i w:val="0"/>
                <w:iCs w:val="0"/>
                <w:color w:val="000000"/>
                <w:sz w:val="24"/>
                <w:szCs w:val="24"/>
                <w:u w:val="none"/>
              </w:rPr>
            </w:pPr>
          </w:p>
        </w:tc>
        <w:tc>
          <w:tcPr>
            <w:tcW w:w="7815" w:type="dxa"/>
            <w:tcBorders>
              <w:top w:val="nil"/>
              <w:left w:val="single" w:color="000000" w:sz="4" w:space="0"/>
              <w:bottom w:val="single" w:color="000000" w:sz="4" w:space="0"/>
              <w:right w:val="single" w:color="000000" w:sz="4" w:space="0"/>
            </w:tcBorders>
            <w:shd w:val="clear" w:color="auto" w:fill="auto"/>
            <w:vAlign w:val="center"/>
          </w:tcPr>
          <w:p w14:paraId="01730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楼宇内消防栓：大楼内部或工厂厂区内之室内外消防栓属大楼或工厂依照“各类场所消防安全设备设置标准”设置，与自来水事业机构设置之消防栓不同，属建筑物内部之消防设备。其产权使私人产权，由该单位管理权人负责保管维护。其目的在于火警发生初期，提供住户初步救火使用，必要时，消防人员可选择使用。室内消防栓以白色或红色箱子为主，箱外必须有明显消防栓字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消防卷盘软管：由阀门、输入管路、轮辐、支承架、摇臂、软管及喷枪等部件组成，通常以水、干粉、泡沫作灭火剂，能迅速展开软管喷射灭火剂进行灭火的灭火器具。一般安装在室内消火栓箱内，是新型的室内固定消防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软管卷盘按其所输送的灭火剂分为水 、干粉、泡沫软管卷盘，按其使用场合分为消防车用和非消防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车用软管卷盘。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火灾显示盘：火灾显示盘是一种可以安装在楼层或独立防火区内的火灾报警显示装置。可用于楼层或独立防火区内的火灾报警装置。当控制中心的主机控制器产生报警，同时把报警信号传输到失火区域的火灾显示盘上，显示盘会显示报警的探测器编号及相关信息并发出报警声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应急照明灯：应急照明灯具由光源、光源驱动器、整流器、逆变器、电池组、标志灯壳等几部分组成。平时，36V通过光源驱动器，驱动光源正常照明，同时通过整流器对电池组进行电能补充，即使在下班后关断照明的情况下，整流器仍然工作在充电状态，以便使电池组始终处于饱满的战备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21，消防锹：消防铁锹手柄刷红色消防漆，主要用于铲洒消防沙、清除障碍物、清理现场及易燃物，铲沙扑救流淌火，破拆一般的结构，拍打小火等等。消防铁锹应贮存在干燥、通风、无腐蚀性化学物品的场所。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22，灭火毯：灭火毯 或称 消防被、灭火被、防火毯、消防毯、阻燃毯、逃生毯，是由玻璃纤维等材料经过特殊处理编织而成的织物，能起到隔离热源及火焰的作用，可用于扑灭油锅火或者披覆在身上逃生。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23，消防腰斧：消防腰斧是多功能救援手工具，集锹，斧，锤，撬，锯等功能为一体的便携式手动工具。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强光手电：强光手电是以发光二极管作为光源的一种新型照明工具，它具有省电、耐用、亮度强等优点。常见强光手电多是以大功率发光二极管作为光源的一种户外照明工具,它具有省电、耐用、亮度高等优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25，夜光标牌：是采用蓄光型自发光材料,具有吸光、蓄光功能,亮处吸收日光、灯光等可见光20分钟，可持续发光12小时以上。供应商需提供计算机软件著作权登记证书：消防安全科普实训装备系统V1.0</w:t>
            </w:r>
          </w:p>
        </w:tc>
        <w:tc>
          <w:tcPr>
            <w:tcW w:w="675" w:type="dxa"/>
            <w:tcBorders>
              <w:top w:val="nil"/>
              <w:left w:val="single" w:color="000000" w:sz="4" w:space="0"/>
              <w:bottom w:val="single" w:color="000000" w:sz="4" w:space="0"/>
              <w:right w:val="single" w:color="000000" w:sz="4" w:space="0"/>
            </w:tcBorders>
            <w:shd w:val="clear" w:color="auto" w:fill="auto"/>
            <w:vAlign w:val="center"/>
          </w:tcPr>
          <w:p w14:paraId="3B912876">
            <w:pPr>
              <w:jc w:val="center"/>
              <w:rPr>
                <w:rFonts w:hint="eastAsia" w:ascii="宋体" w:hAnsi="宋体" w:eastAsia="宋体" w:cs="宋体"/>
                <w:i w:val="0"/>
                <w:iCs w:val="0"/>
                <w:color w:val="000000"/>
                <w:sz w:val="24"/>
                <w:szCs w:val="24"/>
                <w:u w:val="none"/>
              </w:rPr>
            </w:pPr>
          </w:p>
        </w:tc>
        <w:tc>
          <w:tcPr>
            <w:tcW w:w="735" w:type="dxa"/>
            <w:tcBorders>
              <w:top w:val="nil"/>
              <w:left w:val="single" w:color="000000" w:sz="4" w:space="0"/>
              <w:bottom w:val="single" w:color="000000" w:sz="4" w:space="0"/>
              <w:right w:val="single" w:color="000000" w:sz="4" w:space="0"/>
            </w:tcBorders>
            <w:shd w:val="clear" w:color="auto" w:fill="auto"/>
            <w:noWrap/>
            <w:vAlign w:val="center"/>
          </w:tcPr>
          <w:p w14:paraId="573659F3">
            <w:pPr>
              <w:jc w:val="center"/>
              <w:rPr>
                <w:rFonts w:hint="eastAsia" w:ascii="宋体" w:hAnsi="宋体" w:eastAsia="宋体" w:cs="宋体"/>
                <w:i w:val="0"/>
                <w:iCs w:val="0"/>
                <w:color w:val="000000"/>
                <w:sz w:val="22"/>
                <w:szCs w:val="22"/>
                <w:u w:val="none"/>
              </w:rPr>
            </w:pPr>
          </w:p>
        </w:tc>
        <w:tc>
          <w:tcPr>
            <w:tcW w:w="690" w:type="dxa"/>
            <w:tcBorders>
              <w:top w:val="nil"/>
              <w:left w:val="single" w:color="000000" w:sz="4" w:space="0"/>
              <w:bottom w:val="single" w:color="000000" w:sz="4" w:space="0"/>
              <w:right w:val="single" w:color="000000" w:sz="4" w:space="0"/>
            </w:tcBorders>
            <w:shd w:val="clear" w:color="auto" w:fill="auto"/>
            <w:noWrap/>
            <w:vAlign w:val="center"/>
          </w:tcPr>
          <w:p w14:paraId="068EF8FA">
            <w:pPr>
              <w:jc w:val="center"/>
              <w:rPr>
                <w:rFonts w:hint="eastAsia" w:ascii="宋体" w:hAnsi="宋体" w:eastAsia="宋体" w:cs="宋体"/>
                <w:i w:val="0"/>
                <w:iCs w:val="0"/>
                <w:color w:val="000000"/>
                <w:sz w:val="22"/>
                <w:szCs w:val="22"/>
                <w:u w:val="none"/>
              </w:rPr>
            </w:pPr>
          </w:p>
        </w:tc>
      </w:tr>
      <w:tr w14:paraId="7560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0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-203835</wp:posOffset>
                  </wp:positionV>
                  <wp:extent cx="1442720" cy="1308735"/>
                  <wp:effectExtent l="0" t="0" r="0" b="0"/>
                  <wp:wrapNone/>
                  <wp:docPr id="51" name="图片_13"/>
                  <wp:cNvGraphicFramePr/>
                  <a:graphic xmlns:a="http://schemas.openxmlformats.org/drawingml/2006/main">
                    <a:graphicData uri="http://schemas.openxmlformats.org/drawingml/2006/picture">
                      <pic:pic xmlns:pic="http://schemas.openxmlformats.org/drawingml/2006/picture">
                        <pic:nvPicPr>
                          <pic:cNvPr id="51" name="图片_13"/>
                          <pic:cNvPicPr/>
                        </pic:nvPicPr>
                        <pic:blipFill>
                          <a:blip r:embed="rId15"/>
                          <a:stretch>
                            <a:fillRect/>
                          </a:stretch>
                        </pic:blipFill>
                        <pic:spPr>
                          <a:xfrm>
                            <a:off x="0" y="0"/>
                            <a:ext cx="1442720" cy="130873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模拟油锅起火扑灭演示系统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AC6F">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W*D*H:≥1430*660*1850(mm)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55寸液晶显示器×1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中控主机×1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专用电子版双头炉灶×1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专用电子版炒菜锅及锅盖×2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灭火毯及电子改装2KG灭火器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无线信号控制器×1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模拟油锅起火扑灭系统×1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油锅起火扑灭演示系统：设备采用一体化钣金橱柜造型、配置真实炉灶，并加入红色消防元素，突出消防主题。安装应用于消防体验室或展厅内设置的模拟厨房一角，体验者通过操作专用的真实炉灶，并同步配合互动画面进行使用和体验，通过实景互动掌握学习紧急情况下油锅起火的扑灭方法，常用于社区消防安全体验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1、灭火装置：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1.1：改装燃气灶：高档钢化玻璃灶台， 炉火声光模拟仿真，材质塑料、绸布、射灯，12V1A风扇；高速率2.4G无线模块，发射功率+0dB，接收灵敏度≤-96dB，极限通信距离100米，数据通信频率50Hz，功率等级CLASS 2，115200波特率；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1.2：燃灶水壶：不锈钢材质，4L容量；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1.3：改装炒锅（含锅盖）：32cm平底炒锅，不锈钢盖。光敏感光元器件，信号驱动能力强，超过15mA，数字开关量输出，宽电压比较器LM393，3.2*1.4cm，嵌入主控；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1.4：灭火毯：1*1m国标；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1.5、选择控制按钮：物品选择（灭火器、灭火毯、锅盖）。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2、实现功能：燃气灶灭火体验分为：油锅灭火和燃气泄漏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油锅灭火：将右侧油锅灶口的旋钮打开，灶口会有模拟火焰升起，显示屏会显示相应动画，然后根据视频指示先关燃气灶，关闭后视频会有同步关闭动画显示，然后根据视频提示按下按钮选择对应的灭火方案，三个按钮分别对应锅盖、灭火毯、灭火器；选择好后根据提示进行灭火. 选择锅盖或者灭火毯时，拿起锅盖或者灭火毯盖到油锅上，视频同步显示相应动画；选择灭火器灭火时，拿起灭火器，视频中有相应动画并有一个瞄准光圈，将光圈对准火焰按压圧把进行灭火。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气泄漏：将左侧水壶灶口的旋钮打开，灶口会有模拟火焰升起，显示屏会显示相应动画，然后动画水开溢出浇灭明火，灶口的模拟火焰会熄灭，然后再视频的提示下在规定的时间内关闭燃气阀，如果没有关闭则会播放燃气泄漏的危害视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3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B7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3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409575</wp:posOffset>
                  </wp:positionH>
                  <wp:positionV relativeFrom="paragraph">
                    <wp:posOffset>-184785</wp:posOffset>
                  </wp:positionV>
                  <wp:extent cx="1222375" cy="1323975"/>
                  <wp:effectExtent l="0" t="0" r="0" b="0"/>
                  <wp:wrapNone/>
                  <wp:docPr id="56" name="图片_14"/>
                  <wp:cNvGraphicFramePr/>
                  <a:graphic xmlns:a="http://schemas.openxmlformats.org/drawingml/2006/main">
                    <a:graphicData uri="http://schemas.openxmlformats.org/drawingml/2006/picture">
                      <pic:pic xmlns:pic="http://schemas.openxmlformats.org/drawingml/2006/picture">
                        <pic:nvPicPr>
                          <pic:cNvPr id="56" name="图片_14"/>
                          <pic:cNvPicPr/>
                        </pic:nvPicPr>
                        <pic:blipFill>
                          <a:blip r:embed="rId16"/>
                          <a:stretch>
                            <a:fillRect/>
                          </a:stretch>
                        </pic:blipFill>
                        <pic:spPr>
                          <a:xfrm>
                            <a:off x="0" y="0"/>
                            <a:ext cx="1222375" cy="132397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报警电话模拟体验系统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013">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FFF4">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W*D*H:≥1100*750*2100(mm)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电子版冷轧钢版报警电话机×1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18寸触控一体机×1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报警电话模拟体验系统×1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r>
              <w:rPr>
                <w:rFonts w:hint="eastAsia" w:ascii="宋体" w:hAnsi="宋体" w:eastAsia="宋体" w:cs="宋体"/>
                <w:i w:val="0"/>
                <w:iCs w:val="0"/>
                <w:color w:val="000000"/>
                <w:kern w:val="0"/>
                <w:sz w:val="24"/>
                <w:szCs w:val="24"/>
                <w:u w:val="none"/>
                <w:lang w:val="en-US" w:eastAsia="zh-CN" w:bidi="ar"/>
              </w:rPr>
              <w:br w:type="textWrapping"/>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49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119报警系统，是通过真实电话机，触控一体机以及电子互动配套设备三部分共同组成。设备采用公用电话亭造型并融入红色消防元素，充分体现消防特色。体验者可以通过专用电话机模拟报警和演练，通过智能语音识别技术与画面中的119火警指挥中心进行互动提问和回答，在一定的时间内回答正确则报警成功，超时则重来，可以有效掌握和学习报火警的过程。1、四合一模拟报警包括119、110、120、122电话报警系统搭建了火灾救援、治安违法、医疗救护、道路救援四种三维场景，虚拟仿真还原报警体验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模拟119火警报警：开始体验，此时系统会根据算法随机生成一个火灾发生为位置和火灾大小，系统提示体验者拿起话筒，并开始拨号，只有当体验者正确的输入119按键的时候，系统会提示拨号正确，并进入与接警人员沟通的流程，只有根据显示的问题，体验者通过话筒的语音识别在系统固定的时间内正确的回答系统的所有问题，才能完成整个119火警报警体验流程，此时会播放119出警的精彩视频，出警完毕后会展示一个处理问题的过程和结果，119展示的结果就是直接把相关火灾现场的火灾都处理完毕。系统会提示体验者“报警成功”。反之有一个条件没有完成，系统会直接提示“报警失败”，最终都会返回到系统的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模拟110求助报警：开始体验，系统提示体验者拿起话筒，并开始拨号，只有当体验者正确的输入110按键的时候，系统会提示拨号正确，并进入与接警人员沟通的流程，只有根据显示的问题，体验者通过话筒的语音识别在系统固定的时间内正确的回答系统的所有问题，才能完成整个110救助报警体验流程，此时会播放110出警的精彩视频，出警完毕后会展示一个处理问题的过程和结果，110展示的结果就是直接把相关涉事人员抓捕归案，警车直接带走现场。系统会提示体验者“报警成功”。反之有一个条件没有完成，系统会直接提示“报警失败”，最终都会返回到系统的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模拟120救护报警：开始体验，系统提示体验者拿起话筒，并开始拨号，只有当体验者正确的输入120按键的时候，系统会提示拨号正确，并进入与接警人员沟通的流程，只有根据显示的问题，体验者通过话筒的语音识别在系统固定的时间内正确的回答系统的所有问题，才能完成整个120救护报警体验流程，此时会播放120救护车出警的精彩视频，出警完毕后会展示一个处理问题的过程和结果，120展示的结果就是直接把相关人员救护转移到救护车上。系统会提示体验者“报警成功”。反之有一个条件没有完成，系统会直接提示“报警失败”，最终都会返回到系统的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模拟122道路救援报警：开始体验，系统提示体验者拿起话筒，并开始拨号，只有当体验者正确的输入122按键的时候，系统会提示拨号正确，并进入与接警人员沟通的流程，只有根据显示的问题，体验者通过话筒的语音识别在系统固定的时间内正确的回答系统的所有问题，才能完成整个122道路救援报警体验流程，此时会播放122出动的精彩视频，出警完毕后会展示一个处理问题的过程和结果，122展示的结果就是直接处理相关事故。系统会提示体验者“报警成功”。反之有一个条件没有完成，系统会直接提示“报警失败”，最终都会返回到系统的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2、智能离线语音识别，识别精准，无需联网。3、互动方式，用户通过电话与画面接警员完成互动问答在一定时间内回答则报警成功，否则报警失败。4、柜体：钣金； 5、定制电话机：真实电话机触感，定制人机交互模块； 6、加密狗、数据线等辅材辅线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6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5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58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4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396240</wp:posOffset>
                  </wp:positionH>
                  <wp:positionV relativeFrom="paragraph">
                    <wp:posOffset>-340995</wp:posOffset>
                  </wp:positionV>
                  <wp:extent cx="1272540" cy="1268730"/>
                  <wp:effectExtent l="0" t="0" r="0" b="0"/>
                  <wp:wrapNone/>
                  <wp:docPr id="50" name="图片_11"/>
                  <wp:cNvGraphicFramePr/>
                  <a:graphic xmlns:a="http://schemas.openxmlformats.org/drawingml/2006/main">
                    <a:graphicData uri="http://schemas.openxmlformats.org/drawingml/2006/picture">
                      <pic:pic xmlns:pic="http://schemas.openxmlformats.org/drawingml/2006/picture">
                        <pic:nvPicPr>
                          <pic:cNvPr id="50" name="图片_11"/>
                          <pic:cNvPicPr/>
                        </pic:nvPicPr>
                        <pic:blipFill>
                          <a:blip r:embed="rId17"/>
                          <a:stretch>
                            <a:fillRect/>
                          </a:stretch>
                        </pic:blipFill>
                        <pic:spPr>
                          <a:xfrm>
                            <a:off x="0" y="0"/>
                            <a:ext cx="1272540" cy="12687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电动车火灾隐患示教</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3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FA9">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W*D*H:≥2500*950*1200(mm)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电子改装联动电动车×1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烟雾感应触发装置×1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22寸触控一体机×1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电动车火灾隐患示教系统×1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无线信号控制器×1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5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车火灾隐患示教以三维动画和实拍视频结合的形式，展现电动车充电引发火灾的惨痛后果，实景还原电动车充电场景，并由实验揭示起火原因，传播电动车充电安全的理念。电动车火灾模拟体验系统借助多媒体交互系统和仿真电动车起火装置，生动地演示常见的电动车起火原因，并模拟出电动车起火时的火焰和烟雾效果。这种仿真形式的展示不仅令人印象深刻，还能让体验者直观地认识到电动车起火所带来的巨大危险。帮助体验者更加深刻地理解电动车起火的危险性，并进一步加强他们对电动车安全的重视和防范意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13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A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8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468630</wp:posOffset>
                  </wp:positionH>
                  <wp:positionV relativeFrom="paragraph">
                    <wp:posOffset>294640</wp:posOffset>
                  </wp:positionV>
                  <wp:extent cx="1205865" cy="1376045"/>
                  <wp:effectExtent l="0" t="0" r="0" b="0"/>
                  <wp:wrapNone/>
                  <wp:docPr id="47" name="图片_43"/>
                  <wp:cNvGraphicFramePr/>
                  <a:graphic xmlns:a="http://schemas.openxmlformats.org/drawingml/2006/main">
                    <a:graphicData uri="http://schemas.openxmlformats.org/drawingml/2006/picture">
                      <pic:pic xmlns:pic="http://schemas.openxmlformats.org/drawingml/2006/picture">
                        <pic:nvPicPr>
                          <pic:cNvPr id="47" name="图片_43"/>
                          <pic:cNvPicPr/>
                        </pic:nvPicPr>
                        <pic:blipFill>
                          <a:blip r:embed="rId18"/>
                          <a:stretch>
                            <a:fillRect/>
                          </a:stretch>
                        </pic:blipFill>
                        <pic:spPr>
                          <a:xfrm>
                            <a:off x="0" y="0"/>
                            <a:ext cx="1205865" cy="137604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消防结绳演练实训</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89E9">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W*D*H:≥1430*200*1100(mm)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55寸触控一体机×1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结绳十六法讲解系统×1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8A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绳自救演示系统：设备采用一体化钣金机身，融入红色消防元素，造型直观醒目，突出消防主题，以提高体验者对消防安全的警觉性和重视程度。系统设置了逃生过程中16种自救结绳打法的视频、图片，并配有详细的结绳方法讲解，体验者通过观看视频和步骤图片，了解并学会结绳的各种打法、使用方式，掌握结绳要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结绳自救训练软件：软件内置十六种种常用结绳手法的视频音频科普，体验者进入软件和可从展示的结绳方式中选择想要学习的种类，系统会自动播放选择的结绳视频，体验者可使用外设实物现场进行结绳方法的连续，结绳教学完成后根据结绳外设检验体验者完成的结绳强度，完成一种结绳的学习后自动返回结绳手法选择页面，页面中提示体验者已经完成上一种结绳手法的学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A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1A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3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405765</wp:posOffset>
                  </wp:positionH>
                  <wp:positionV relativeFrom="paragraph">
                    <wp:posOffset>-448310</wp:posOffset>
                  </wp:positionV>
                  <wp:extent cx="1161415" cy="1360170"/>
                  <wp:effectExtent l="0" t="0" r="635" b="0"/>
                  <wp:wrapNone/>
                  <wp:docPr id="60" name="图片_41"/>
                  <wp:cNvGraphicFramePr/>
                  <a:graphic xmlns:a="http://schemas.openxmlformats.org/drawingml/2006/main">
                    <a:graphicData uri="http://schemas.openxmlformats.org/drawingml/2006/picture">
                      <pic:pic xmlns:pic="http://schemas.openxmlformats.org/drawingml/2006/picture">
                        <pic:nvPicPr>
                          <pic:cNvPr id="60" name="图片_41"/>
                          <pic:cNvPicPr/>
                        </pic:nvPicPr>
                        <pic:blipFill>
                          <a:blip r:embed="rId19"/>
                          <a:stretch>
                            <a:fillRect/>
                          </a:stretch>
                        </pic:blipFill>
                        <pic:spPr>
                          <a:xfrm>
                            <a:off x="0" y="0"/>
                            <a:ext cx="1161415" cy="13601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星星之火发生装置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071">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9949">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烟头处理不当引发火灾装置×1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电烤炉使用不当引发火灾装置×1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电气绝缘性能破坏引发火灾装置×1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电器线路过载燃烧短路引发火灾装置×1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8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器火灾成因试验台系统有四组不同实验装置，它们分别是:电气绝缘性能破坏引发火灾实验台、电烤炉使用不当引发火灾实验台、烟头处理不当火灾成因实验台、电气线路过载燃烧短路引发火灾实验台。告诉我们不可忽视一个烟头、生活中家用电器老化绝缘破损，必须及时更换新的线路；使用电器时，不可超负荷同时使用多个电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1、一台电路过载燃烧、短路实验台，尺寸：长宽高约为450*400*420mm；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2、一台材料绝缘性能破坏实验台，尺寸：长宽高约为450*400*420mm；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3、一台烟头火灾成因实验台，尺寸：长宽高约为450*400*420mm；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4、一台大功率电器使用不当实验台，尺寸：长宽高约为450*400*420mm。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2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7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FE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9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6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火灾燃烧三要素系统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E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19050</wp:posOffset>
                  </wp:positionV>
                  <wp:extent cx="556895" cy="803910"/>
                  <wp:effectExtent l="0" t="0" r="14605" b="15240"/>
                  <wp:wrapNone/>
                  <wp:docPr id="52" name="图片_2"/>
                  <wp:cNvGraphicFramePr/>
                  <a:graphic xmlns:a="http://schemas.openxmlformats.org/drawingml/2006/main">
                    <a:graphicData uri="http://schemas.openxmlformats.org/drawingml/2006/picture">
                      <pic:pic xmlns:pic="http://schemas.openxmlformats.org/drawingml/2006/picture">
                        <pic:nvPicPr>
                          <pic:cNvPr id="52" name="图片_2"/>
                          <pic:cNvPicPr/>
                        </pic:nvPicPr>
                        <pic:blipFill>
                          <a:blip r:embed="rId20"/>
                          <a:stretch>
                            <a:fillRect/>
                          </a:stretch>
                        </pic:blipFill>
                        <pic:spPr>
                          <a:xfrm>
                            <a:off x="0" y="0"/>
                            <a:ext cx="556895" cy="803910"/>
                          </a:xfrm>
                          <a:prstGeom prst="rect">
                            <a:avLst/>
                          </a:prstGeom>
                          <a:noFill/>
                          <a:ln>
                            <a:noFill/>
                          </a:ln>
                        </pic:spPr>
                      </pic:pic>
                    </a:graphicData>
                  </a:graphic>
                </wp:anchor>
              </w:drawing>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4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W*D*H:≥1100*600*1750(mm)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42寸触控一体机×1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火灾燃烧三要素系统×1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燃烧三要素系统：设备采用一体化钣金机身，融入红色消防元素，造型直观醒目，突出消防主题，以提高体验者对消防安全的警觉性和重视程度。系统主要介绍火灾燃烧的三种因素，首先可以通过主界面了解可燃物的相关知识。然后体验者可以自己选中相关可燃物，控制相关参数来观察火势的大小变化，让体验者更加深刻的了解火灾发生的条件，并且应用到现实生活中。</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A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1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13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2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8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110490</wp:posOffset>
                  </wp:positionV>
                  <wp:extent cx="1488440" cy="907415"/>
                  <wp:effectExtent l="0" t="0" r="0" b="6985"/>
                  <wp:wrapNone/>
                  <wp:docPr id="59" name="图片_15"/>
                  <wp:cNvGraphicFramePr/>
                  <a:graphic xmlns:a="http://schemas.openxmlformats.org/drawingml/2006/main">
                    <a:graphicData uri="http://schemas.openxmlformats.org/drawingml/2006/picture">
                      <pic:pic xmlns:pic="http://schemas.openxmlformats.org/drawingml/2006/picture">
                        <pic:nvPicPr>
                          <pic:cNvPr id="59" name="图片_15"/>
                          <pic:cNvPicPr/>
                        </pic:nvPicPr>
                        <pic:blipFill>
                          <a:blip r:embed="rId21"/>
                          <a:stretch>
                            <a:fillRect/>
                          </a:stretch>
                        </pic:blipFill>
                        <pic:spPr>
                          <a:xfrm>
                            <a:off x="0" y="0"/>
                            <a:ext cx="1488440" cy="9074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模拟烟雾逃生实训演练</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33B4">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59F1">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声光警报灯×1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红外感应时间控制器×1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限高红外感应探头×5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限高一字激光器×2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限高感应语音控制器×1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壁挂有源播报音箱×1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感应烟雾机×2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电梯按钮语音控制器×1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半球式红外摄像头×1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网络交换机×1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四路硬盘录像机×1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电梯按钮语音控制器×1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40寸液晶显示器×1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B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烟雾逃生系统，是由红外感应报警灯、红外感应喷烟设备、红外限高语音播报设备等共同构成。体验者可以通过专用的场地通道进行模拟烟雾状态下逃生训练，当体验者进入通道后，火灾声光报警灯会自动报警，并伴随烟雾自动喷出，此时体验者需要在1.1米安全高度标线以下伏低身体并遮掩口鼻快速通过，如果身体高于安全标准线，系统就会发出警报提示注意正确姿势。通过本模拟训练能够有效掌握发生火情时的自救方法以及正确的逃生。供应商需提供实用新型专利证书：一种便于移动的烟雾逃生模拟通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3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1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D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BB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5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453390</wp:posOffset>
                  </wp:positionH>
                  <wp:positionV relativeFrom="paragraph">
                    <wp:posOffset>-169545</wp:posOffset>
                  </wp:positionV>
                  <wp:extent cx="1343660" cy="1245870"/>
                  <wp:effectExtent l="0" t="0" r="0" b="0"/>
                  <wp:wrapNone/>
                  <wp:docPr id="48" name="图片_20"/>
                  <wp:cNvGraphicFramePr/>
                  <a:graphic xmlns:a="http://schemas.openxmlformats.org/drawingml/2006/main">
                    <a:graphicData uri="http://schemas.openxmlformats.org/drawingml/2006/picture">
                      <pic:pic xmlns:pic="http://schemas.openxmlformats.org/drawingml/2006/picture">
                        <pic:nvPicPr>
                          <pic:cNvPr id="48" name="图片_20"/>
                          <pic:cNvPicPr/>
                        </pic:nvPicPr>
                        <pic:blipFill>
                          <a:blip r:embed="rId22"/>
                          <a:stretch>
                            <a:fillRect/>
                          </a:stretch>
                        </pic:blipFill>
                        <pic:spPr>
                          <a:xfrm>
                            <a:off x="0" y="0"/>
                            <a:ext cx="1343660" cy="12458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消防图标认知识别系统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B0E0">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B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W*D*H:≥1150*1300*2100(mm)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亚克力LED发个灯箱×36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40寸触控显示屏×1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消防图标中控主机×1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讲解演示动画及配音×36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趣味答题评分系统×1 </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3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图标认知识别系统：设备采用一体化钣金机身，融入红色消防元素，造型直观醒目，传达并深化了消防主题。系统通过图文、视频把消防标识立体化处理，给用户一种视觉的享受，整理36个常见的消防标识，结合专业的人员配音和特效展示效果，在视觉和听觉上做了充分的展示，让用户在愉快中学习到消防相关知识。在触摸一体机上操作，选择标志种类进行查看，同时出发无线控制模块，在标识认知设备上，对应的标志会亮起灯光，并语音播放该标志的名称和含义，极大的增强了标识学习的互动性和趣味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0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81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1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消防安全知识抢答系统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F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-430530</wp:posOffset>
                  </wp:positionV>
                  <wp:extent cx="1026795" cy="1003935"/>
                  <wp:effectExtent l="0" t="0" r="1905" b="5080"/>
                  <wp:wrapNone/>
                  <wp:docPr id="55" name="图片_30"/>
                  <wp:cNvGraphicFramePr/>
                  <a:graphic xmlns:a="http://schemas.openxmlformats.org/drawingml/2006/main">
                    <a:graphicData uri="http://schemas.openxmlformats.org/drawingml/2006/picture">
                      <pic:pic xmlns:pic="http://schemas.openxmlformats.org/drawingml/2006/picture">
                        <pic:nvPicPr>
                          <pic:cNvPr id="55" name="图片_30"/>
                          <pic:cNvPicPr/>
                        </pic:nvPicPr>
                        <pic:blipFill>
                          <a:blip r:embed="rId23"/>
                          <a:stretch>
                            <a:fillRect/>
                          </a:stretch>
                        </pic:blipFill>
                        <pic:spPr>
                          <a:xfrm>
                            <a:off x="0" y="0"/>
                            <a:ext cx="1026795" cy="1003935"/>
                          </a:xfrm>
                          <a:prstGeom prst="rect">
                            <a:avLst/>
                          </a:prstGeom>
                          <a:noFill/>
                          <a:ln>
                            <a:noFill/>
                          </a:ln>
                        </pic:spPr>
                      </pic:pic>
                    </a:graphicData>
                  </a:graphic>
                </wp:anchor>
              </w:drawing>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W*D*H:≥1500*2000*2200(mm)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三人版无线消防知识抢答系统×1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55寸液晶显示器×1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中央控制主机×1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题目增加修改编辑系统×1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知识抢答系统利用计算机软件、终端显示等组建而成，设备融入红色消防元素，突出消防主题，醒目的颜色和独特的设计起到警示作用，有助于提高体验者对消防安全的警觉性和重视程度。系统支持1-3人同时进行知识抢答竞赛，无需裁判，当选手就位，其中任意一位选手按“开始”即可进入抢答环节，自动计分，并统计最终成绩和排名，富有乐趣，管理方便，完全自助式不需要任何人来协助。体验者通过终端屏幕进行学习认识，在学习后可进行答题测试环节，让体验者更加了解消防相关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1、三个台子共计15个按钮，三个无线发射端，一个无线接收端；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2、直流5V供电，DC5.5-2.1电源座，配送专用电源头可市电供电，无需更换电池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3、无线发射端尺寸115*90*40mm，可以安装在电气导轨上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4、可以支持外接1到10个按钮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5、无线频率2.4G，最大无线功率100mW，空旷场地可传1000米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6、按键接口使用可插拔的KF2EDGK弯针接口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7、无线接收端尺寸18*58*9mm，USB接口，可以直接插在电脑USB口上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三人知识抢答系统中包含全面丰富的知识题库，软件开始时实时监听体验者就位状态，当体验者按下抢答台上的“确定”按钮后软件默认体验者就位并给体验者分配默认的系统头像和随机的系统名字，以此类推当所有的体验者就位之后系统倒计时进入答题界面，每轮答题都会从题库中选择20道题目进行抢答，每道题开始有一个倒计时准备时间，结束后开始抢答，抢答之后界面会显示抢答结果，几号台抢答成功，如果在15秒内没有任何一位体验者抢答，为了推进游戏的进度，不卡在此处，系统会默认无人抢答，跳过此题进行下一道题目的展示，此时抢答成功的体验者，开始选择ABCD任意键进行答题，题目回答正确者加分，同时系统会播放相关的正确音效，于此同时在软件界面的右边有一个实时的分数排行榜可以显示当前所有体验者的答题分数；如果体验者回答错误，系统会提示失败的音效，同时播放失败的动画特效，如果体验者连续抢答三次并连续三次回答错误，系统会禁用一次抢答的机会，为了其他体验者更好的抢答体验。如果体验者在抢答到题目之后，在20秒时间内没有答题，则系统默认体验者答题错误。所有答题结束后，系统会根据体验者的分数，计算出总的排行榜展示出来，自此所有抢答体验结束，系统会在10秒倒计时之后返回到首页界面继续待机等待下一次体验。多人知识抢答一方面通过多人互动的方式，寓教于乐的增加了学习的兴趣，同时加深体验者对题目的了解，对知识的巩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8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0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C8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C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541020</wp:posOffset>
                  </wp:positionH>
                  <wp:positionV relativeFrom="paragraph">
                    <wp:posOffset>251460</wp:posOffset>
                  </wp:positionV>
                  <wp:extent cx="1101725" cy="1078230"/>
                  <wp:effectExtent l="0" t="0" r="0" b="0"/>
                  <wp:wrapNone/>
                  <wp:docPr id="61" name="图片_32"/>
                  <wp:cNvGraphicFramePr/>
                  <a:graphic xmlns:a="http://schemas.openxmlformats.org/drawingml/2006/main">
                    <a:graphicData uri="http://schemas.openxmlformats.org/drawingml/2006/picture">
                      <pic:pic xmlns:pic="http://schemas.openxmlformats.org/drawingml/2006/picture">
                        <pic:nvPicPr>
                          <pic:cNvPr id="61" name="图片_32"/>
                          <pic:cNvPicPr/>
                        </pic:nvPicPr>
                        <pic:blipFill>
                          <a:blip r:embed="rId24"/>
                          <a:stretch>
                            <a:fillRect/>
                          </a:stretch>
                        </pic:blipFill>
                        <pic:spPr>
                          <a:xfrm>
                            <a:off x="0" y="0"/>
                            <a:ext cx="1101725" cy="10782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消防安全科普工作站</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FF49">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F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W*D*H:≥450*900*2100(mm)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消防安全科普内容×30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55寸触控显示器×1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中控控制主机×1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9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安全科普站为进一步改善传统被动式说教方式的安全教育瓶颈，通过消防IP吉祥物形象对不同场景的识别选择场景内容，真实互动体验的同时又能学习到各类消防安全知识。安全知识第一个模块是图文学习，它提供了消防行业新闻、政策法规和消防科技信息。用户可以通过该模块了解到各种消防相关的信息，例如灭火器的使用方法、火灾事故案例分析等等。消防资讯模块的内容不仅有趣、有用，而日帮助用户保持对消防行业的关注，提高消防安全意识。系统内包含图文知识点不低于20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二个模块是视频学习模块，它为用户提供了大量的消防教育视频，包括灭火器的使用、火灾逃生、火灾扑救等等。这些视频生动形象、简洁明了，可以帮助用户深入了解消防知识。消防教育视频模块不仅舌合个人学习，也适合学校、企事业单位组织集中培训使用。系统内包含视频不低于10个，总时长不低于20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三模块是消防知识答题，它为用户提供了丰富多彩的消防知识测试题目，用户可以通过该模块对自己的消防知识水平进行测试。进行答题时，系统会从题库中随机抽取10道试题分配给体验者，每道题10分，总分100分。在答题结束后，系统会根据体验者的作答结果，自动给出评分。答题考核题库中提供不低于100道考核题。供应商需提供消防IP吉祥物国字号：作品登记证书和外观专利证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D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9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2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火灾初见查找系统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4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167640</wp:posOffset>
                  </wp:positionV>
                  <wp:extent cx="811530" cy="981710"/>
                  <wp:effectExtent l="0" t="0" r="0" b="8255"/>
                  <wp:wrapNone/>
                  <wp:docPr id="54" name="图片_31"/>
                  <wp:cNvGraphicFramePr/>
                  <a:graphic xmlns:a="http://schemas.openxmlformats.org/drawingml/2006/main">
                    <a:graphicData uri="http://schemas.openxmlformats.org/drawingml/2006/picture">
                      <pic:pic xmlns:pic="http://schemas.openxmlformats.org/drawingml/2006/picture">
                        <pic:nvPicPr>
                          <pic:cNvPr id="54" name="图片_31"/>
                          <pic:cNvPicPr/>
                        </pic:nvPicPr>
                        <pic:blipFill>
                          <a:blip r:embed="rId25"/>
                          <a:stretch>
                            <a:fillRect/>
                          </a:stretch>
                        </pic:blipFill>
                        <pic:spPr>
                          <a:xfrm>
                            <a:off x="0" y="0"/>
                            <a:ext cx="811530" cy="981710"/>
                          </a:xfrm>
                          <a:prstGeom prst="rect">
                            <a:avLst/>
                          </a:prstGeom>
                          <a:noFill/>
                          <a:ln>
                            <a:noFill/>
                          </a:ln>
                        </pic:spPr>
                      </pic:pic>
                    </a:graphicData>
                  </a:graphic>
                </wp:anchor>
              </w:drawing>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W*D*H:≥1100*600*1750(mm)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42寸触控一体机×1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火灾初见查找系统×1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初见查找系统：设备采用一体化钣金机身，融入红色消防元素，造型直观醒目，以提高体验者对消防安全的警觉性和重视程度。体验者通过触摸屏的方式来查找和体验平时我们在工作中环境中注意不到或不经意留下的火灾隐患点，能够有效树立工作人员的消防安全意识，时刻保持良好的用电、用火安全习惯。本软件适合各单位、厂房、仓库等，简单有趣，广泛应用于各种安全知识科普场所。其中囊括了电影院、生产车间、森林、医院、加气站、图书馆、客厅、楼道、地下停车场、工厂高低压配电房、卧室、办公室等不少于12个场景，不少于30个火灾隐患的学习。软件主要以触屏点击的方式进行交互操作，使用起来简单流畅。通过虚拟的3D模型再结合灯光特效渲染成2D场景为用户呈现一个还原度超高的仿真场景。软件在使用过程中，用户进入首页选择场景，进入场景后在规定时间内点击2D场景图片寻找共五个安全隐患点，点击对应隐患点弹出隐患点安全知识。如未找全可点击隐患点提示功能，会有箭头提示未发现的隐患点，最后根据时间判断是否排查成功，完成体验。借助游戏形式从而加深用户对火灾隐患物体的印象。做到虚实结合，成功的将火灾隐患知识代入生活，增强民众们的消防意识，减少可避免性质火灾的发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82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C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356235</wp:posOffset>
                  </wp:positionH>
                  <wp:positionV relativeFrom="paragraph">
                    <wp:posOffset>-102235</wp:posOffset>
                  </wp:positionV>
                  <wp:extent cx="1352550" cy="1363980"/>
                  <wp:effectExtent l="0" t="0" r="0" b="0"/>
                  <wp:wrapNone/>
                  <wp:docPr id="49" name="图片_1"/>
                  <wp:cNvGraphicFramePr/>
                  <a:graphic xmlns:a="http://schemas.openxmlformats.org/drawingml/2006/main">
                    <a:graphicData uri="http://schemas.openxmlformats.org/drawingml/2006/picture">
                      <pic:pic xmlns:pic="http://schemas.openxmlformats.org/drawingml/2006/picture">
                        <pic:nvPicPr>
                          <pic:cNvPr id="49" name="图片_1"/>
                          <pic:cNvPicPr/>
                        </pic:nvPicPr>
                        <pic:blipFill>
                          <a:blip r:embed="rId26"/>
                          <a:stretch>
                            <a:fillRect/>
                          </a:stretch>
                        </pic:blipFill>
                        <pic:spPr>
                          <a:xfrm>
                            <a:off x="0" y="0"/>
                            <a:ext cx="1352550" cy="136398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消防安全科普综合体验屋</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8F1">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B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W*D*H:≥1600*1600*2300(mm)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VR安全目视交互内容×50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40寸液晶显示器×1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VR眼镜×1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企业级无线智投装置×1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LED灯光装置×1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04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安全科普体验屋针对普通人群利用VR虚拟现实技术模拟消防安全训练体验，通过搭建虚拟训练环境，逼真模拟日常场景，让角色亲身体验参与，将消防安全常识融入到训练系统中，采用引导式教育游戏体验方式，通过演示模式、课程模式、自由模式等学习游戏相结合方式，让体验者在游戏中学习安全逃生和安全常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为了方便用户操作，降低学习成本，提高体验效率，响应国家政策，提倡节能环保，故本产品去除蓝牙手柄（需定期更换电池），同时无需蓝牙匹配，无需手柄操作说明，可直接使用目视交互，解放双手，简单易学，可让体验者全身心投入到VR虚拟世界身临其境体验。具体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1、消防器材学习之安全疏散示意图体验模块；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防器材学习之手动报警器体验模块：本模块主要介绍手动报警器，地点位于家庭门口过道处。第一步通过观看3D实物以及语音文本介绍手动报警器的专业用处以及使用方法。第二步在介绍完之后会通过3D的场景还原形象生动的介绍手动报警器的工作状态，一个虚拟的手会触发启动手动报警器，此时报警器的报警灯会闪烁红光并发出报警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防器材学习之烟感器体验模块：本模块需主要介绍烟感报警器，地点位于家庭卧室。第一步通过观看3D实物以及语音文本介绍烟感报警器的专业用处以及触发环境，在正常状态下报警器的红色灯光间断式闪烁。第二步在介绍完之后会通过3D的场景还原形象生动的介绍烟感报警器的工作状态，在卧室的里面会有一波烟雾逐渐生成，烟雾有一种自下往上漂浮的动作，当烟雾升到天花板的时候，触发烟感报警器，警报器的红色灯光一直存在，伴随着发出警报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4、消防器材学习之消防喷淋体验模块；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5、消防器材学习之安全指示灯体验模块；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6、逃生知识学习之切勿留恋财物场景体验模块；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7、逃生知识学习之不入险地贪图财物场景体验模块；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逃生知识学习之湿棉织物捂鼻体验模块：本模块需主要介绍烟感报警器，地点位于家庭卧室。第一步通过观看3D实物以及语音文本介绍烟感报警器的专业用处以及触发环境，在正常状态下报警器的红色灯光间断式闪烁。第二步在介绍完之后会通过3D的场景还原形象生动的介绍烟感报警器的工作状态，在卧室的里面会有一波烟雾逐渐生成，烟雾有一种自下往上漂浮的动作，当烟雾升到天花板的时候，触发烟感报警器，警报器的红色灯光一直存在，伴随着发出警报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逃生知识学习之低姿，匍匐撤离体验模块：本模块需主要展示在火场逃生中通过烟雾地带低姿、匍匐的重要性。初始位置位于楼道电梯处，一个开场介绍“欢迎来到消防体验课堂，本节课主要体验低姿、匍匐撤离在火场逃生中的重要性，让我们开始体验吧”，此时楼道烟雾开始慢慢变浓增加到天花板上方，总共分为三个时间段天花板烟雾浓度对应三个不同的阶段，越来越弄，而且烟雾越来越低，对人有种自上而下的压迫感，最后一层烟雾比较低，低过站立的人眼（相机），看不清前面的路，此时一个提示“请保持低姿、匍匐撤离”，然后开始模拟低姿状态（相机缓慢向下移动），随着相机向下移动的幅度越来越大，烟雾的浓度越来越淡，可以稍微看的清前方的路。此时伴随着语音介绍学习低姿、匍匐前进的重要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0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F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F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0" w:type="dxa"/>
            <w:tcBorders>
              <w:top w:val="single" w:color="000000" w:sz="4" w:space="0"/>
              <w:left w:val="single" w:color="000000" w:sz="4" w:space="0"/>
              <w:bottom w:val="nil"/>
              <w:right w:val="nil"/>
            </w:tcBorders>
            <w:shd w:val="clear" w:color="auto" w:fill="auto"/>
            <w:noWrap/>
            <w:vAlign w:val="center"/>
          </w:tcPr>
          <w:p w14:paraId="60BEE01E">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nil"/>
              <w:right w:val="nil"/>
            </w:tcBorders>
            <w:shd w:val="clear" w:color="auto" w:fill="auto"/>
            <w:vAlign w:val="center"/>
          </w:tcPr>
          <w:p w14:paraId="06CC8E80">
            <w:pPr>
              <w:jc w:val="center"/>
              <w:rPr>
                <w:rFonts w:hint="eastAsia" w:ascii="宋体" w:hAnsi="宋体" w:eastAsia="宋体" w:cs="宋体"/>
                <w:i w:val="0"/>
                <w:iCs w:val="0"/>
                <w:color w:val="000000"/>
                <w:sz w:val="24"/>
                <w:szCs w:val="24"/>
                <w:u w:val="none"/>
              </w:rPr>
            </w:pPr>
          </w:p>
        </w:tc>
        <w:tc>
          <w:tcPr>
            <w:tcW w:w="1845" w:type="dxa"/>
            <w:tcBorders>
              <w:top w:val="single" w:color="000000" w:sz="4" w:space="0"/>
              <w:left w:val="single" w:color="000000" w:sz="4" w:space="0"/>
              <w:bottom w:val="nil"/>
              <w:right w:val="nil"/>
            </w:tcBorders>
            <w:shd w:val="clear" w:color="auto" w:fill="auto"/>
            <w:noWrap/>
            <w:vAlign w:val="center"/>
          </w:tcPr>
          <w:p w14:paraId="13CCF5AD">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nil"/>
              <w:right w:val="nil"/>
            </w:tcBorders>
            <w:shd w:val="clear" w:color="auto" w:fill="auto"/>
            <w:vAlign w:val="center"/>
          </w:tcPr>
          <w:p w14:paraId="58F85BB9">
            <w:pPr>
              <w:jc w:val="center"/>
              <w:rPr>
                <w:rFonts w:hint="eastAsia" w:ascii="宋体" w:hAnsi="宋体" w:eastAsia="宋体" w:cs="宋体"/>
                <w:i w:val="0"/>
                <w:iCs w:val="0"/>
                <w:color w:val="000000"/>
                <w:sz w:val="24"/>
                <w:szCs w:val="24"/>
                <w:u w:val="none"/>
              </w:rPr>
            </w:pPr>
          </w:p>
        </w:tc>
        <w:tc>
          <w:tcPr>
            <w:tcW w:w="7815" w:type="dxa"/>
            <w:tcBorders>
              <w:top w:val="single" w:color="000000" w:sz="4" w:space="0"/>
              <w:left w:val="single" w:color="000000" w:sz="4" w:space="0"/>
              <w:bottom w:val="nil"/>
              <w:right w:val="nil"/>
            </w:tcBorders>
            <w:shd w:val="clear" w:color="auto" w:fill="auto"/>
            <w:vAlign w:val="center"/>
          </w:tcPr>
          <w:p w14:paraId="18F98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10、逃生知识学习之善用通道及切勿乘坐电梯体验模块；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11、逃生知识学习之正确判断室外火势大小体验模块；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12、逃生方法之高空缓降器知识学习模块；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13、逃生方法之床单打结法知识学习模块；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14、逃生方法之救生软梯知识学习模块；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15、火场自救方法之正确创建临时室内火灾避难所体验模块；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16、火场自救方法之白天窗台呼救体验模块；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17、火场自救方法之夜晚窗台呼救体验模块；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18、火场自救方法之体力透支后如何正确自救体验模块。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一体机VR地震十八模块：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1、震前预兆之射线云气象异常体验模块：需通过3D建模，全景的形式展示射线云和地震云的动态变化效果。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2、震前预兆之地震云气象异常体验模块；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3、震前预兆之地光异常体验模块；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4、震前预兆之电磁异常体验模块；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5、震前预兆之地下水异常体验模块：需通过3D建模，全景的形式展示地下水异常，主要异常有发浑、冒泡、翻花、升温、变色、变味、突升、突降、泉源突然枯竭或涌出等。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6、震前预兆之地气异常体验模块；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7、震前预兆之生物异常体验模块；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震中躲避之电梯地震逃生体验模块：需通过3D建模，全景的形式展示电梯逃生方法，主要体现在地震时正在乘坐电梯，迅速把所有的电梯楼层全部按亮，一旦电梯停下，就立即离开电梯找地方躲避。如果被困在电梯中出不去，那就靠在电梯角落，等到救援，不要在电梯内来回走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9、震中躲避之驾车地震逃生体验模块；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10、震中躲避之室外地震逃生体验模块；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11、震中躲避之超市地震逃生体验模块；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12、震中躲避之校园地震逃生体验模块；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13、震中躲避之室内地震逃生体验模块；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14、震后自救之如何正确改善环境体验模块；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15、震后自救之如何正确扩大空间体验模块；</w:t>
            </w:r>
          </w:p>
        </w:tc>
        <w:tc>
          <w:tcPr>
            <w:tcW w:w="675" w:type="dxa"/>
            <w:tcBorders>
              <w:top w:val="single" w:color="000000" w:sz="4" w:space="0"/>
              <w:left w:val="single" w:color="000000" w:sz="4" w:space="0"/>
              <w:bottom w:val="nil"/>
              <w:right w:val="nil"/>
            </w:tcBorders>
            <w:shd w:val="clear" w:color="auto" w:fill="auto"/>
            <w:vAlign w:val="center"/>
          </w:tcPr>
          <w:p w14:paraId="62521631">
            <w:pPr>
              <w:jc w:val="center"/>
              <w:rPr>
                <w:rFonts w:hint="eastAsia" w:ascii="宋体" w:hAnsi="宋体" w:eastAsia="宋体" w:cs="宋体"/>
                <w:i w:val="0"/>
                <w:iCs w:val="0"/>
                <w:color w:val="000000"/>
                <w:sz w:val="24"/>
                <w:szCs w:val="24"/>
                <w:u w:val="none"/>
              </w:rPr>
            </w:pPr>
          </w:p>
        </w:tc>
        <w:tc>
          <w:tcPr>
            <w:tcW w:w="735" w:type="dxa"/>
            <w:tcBorders>
              <w:top w:val="single" w:color="000000" w:sz="4" w:space="0"/>
              <w:left w:val="single" w:color="000000" w:sz="4" w:space="0"/>
              <w:bottom w:val="nil"/>
              <w:right w:val="nil"/>
            </w:tcBorders>
            <w:shd w:val="clear" w:color="auto" w:fill="auto"/>
            <w:noWrap/>
            <w:vAlign w:val="center"/>
          </w:tcPr>
          <w:p w14:paraId="096E89A5">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nil"/>
              <w:right w:val="nil"/>
            </w:tcBorders>
            <w:shd w:val="clear" w:color="auto" w:fill="auto"/>
            <w:noWrap/>
            <w:vAlign w:val="center"/>
          </w:tcPr>
          <w:p w14:paraId="71FAEA2B">
            <w:pPr>
              <w:jc w:val="center"/>
              <w:rPr>
                <w:rFonts w:hint="eastAsia" w:ascii="宋体" w:hAnsi="宋体" w:eastAsia="宋体" w:cs="宋体"/>
                <w:i w:val="0"/>
                <w:iCs w:val="0"/>
                <w:color w:val="000000"/>
                <w:sz w:val="22"/>
                <w:szCs w:val="22"/>
                <w:u w:val="none"/>
              </w:rPr>
            </w:pPr>
          </w:p>
        </w:tc>
      </w:tr>
      <w:tr w14:paraId="4F92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0" w:hRule="atLeast"/>
        </w:trPr>
        <w:tc>
          <w:tcPr>
            <w:tcW w:w="540" w:type="dxa"/>
            <w:tcBorders>
              <w:top w:val="nil"/>
              <w:left w:val="single" w:color="000000" w:sz="4" w:space="0"/>
              <w:bottom w:val="single" w:color="000000" w:sz="4" w:space="0"/>
              <w:right w:val="single" w:color="000000" w:sz="4" w:space="0"/>
            </w:tcBorders>
            <w:shd w:val="clear" w:color="auto" w:fill="auto"/>
            <w:noWrap/>
            <w:vAlign w:val="center"/>
          </w:tcPr>
          <w:p w14:paraId="1BCEC9BD">
            <w:pPr>
              <w:jc w:val="center"/>
              <w:rPr>
                <w:rFonts w:hint="eastAsia" w:ascii="宋体" w:hAnsi="宋体" w:eastAsia="宋体" w:cs="宋体"/>
                <w:i w:val="0"/>
                <w:iCs w:val="0"/>
                <w:color w:val="000000"/>
                <w:sz w:val="24"/>
                <w:szCs w:val="24"/>
                <w:u w:val="none"/>
              </w:rPr>
            </w:pPr>
          </w:p>
        </w:tc>
        <w:tc>
          <w:tcPr>
            <w:tcW w:w="855" w:type="dxa"/>
            <w:tcBorders>
              <w:top w:val="nil"/>
              <w:left w:val="single" w:color="000000" w:sz="4" w:space="0"/>
              <w:bottom w:val="single" w:color="000000" w:sz="4" w:space="0"/>
              <w:right w:val="single" w:color="000000" w:sz="4" w:space="0"/>
            </w:tcBorders>
            <w:shd w:val="clear" w:color="auto" w:fill="auto"/>
            <w:vAlign w:val="center"/>
          </w:tcPr>
          <w:p w14:paraId="458A3F18">
            <w:pPr>
              <w:jc w:val="center"/>
              <w:rPr>
                <w:rFonts w:hint="eastAsia" w:ascii="宋体" w:hAnsi="宋体" w:eastAsia="宋体" w:cs="宋体"/>
                <w:i w:val="0"/>
                <w:iCs w:val="0"/>
                <w:color w:val="000000"/>
                <w:sz w:val="24"/>
                <w:szCs w:val="24"/>
                <w:u w:val="none"/>
              </w:rPr>
            </w:pPr>
          </w:p>
        </w:tc>
        <w:tc>
          <w:tcPr>
            <w:tcW w:w="1845" w:type="dxa"/>
            <w:tcBorders>
              <w:top w:val="nil"/>
              <w:left w:val="single" w:color="000000" w:sz="4" w:space="0"/>
              <w:bottom w:val="single" w:color="000000" w:sz="4" w:space="0"/>
              <w:right w:val="single" w:color="000000" w:sz="4" w:space="0"/>
            </w:tcBorders>
            <w:shd w:val="clear" w:color="auto" w:fill="auto"/>
            <w:noWrap/>
            <w:vAlign w:val="center"/>
          </w:tcPr>
          <w:p w14:paraId="03257403">
            <w:pPr>
              <w:rPr>
                <w:rFonts w:hint="eastAsia" w:ascii="宋体" w:hAnsi="宋体" w:eastAsia="宋体" w:cs="宋体"/>
                <w:i w:val="0"/>
                <w:iCs w:val="0"/>
                <w:color w:val="000000"/>
                <w:sz w:val="24"/>
                <w:szCs w:val="24"/>
                <w:u w:val="none"/>
              </w:rPr>
            </w:pPr>
          </w:p>
        </w:tc>
        <w:tc>
          <w:tcPr>
            <w:tcW w:w="2100" w:type="dxa"/>
            <w:tcBorders>
              <w:top w:val="nil"/>
              <w:left w:val="single" w:color="000000" w:sz="4" w:space="0"/>
              <w:bottom w:val="single" w:color="000000" w:sz="4" w:space="0"/>
              <w:right w:val="single" w:color="000000" w:sz="4" w:space="0"/>
            </w:tcBorders>
            <w:shd w:val="clear" w:color="auto" w:fill="auto"/>
            <w:vAlign w:val="center"/>
          </w:tcPr>
          <w:p w14:paraId="62197255">
            <w:pPr>
              <w:jc w:val="center"/>
              <w:rPr>
                <w:rFonts w:hint="eastAsia" w:ascii="宋体" w:hAnsi="宋体" w:eastAsia="宋体" w:cs="宋体"/>
                <w:i w:val="0"/>
                <w:iCs w:val="0"/>
                <w:color w:val="000000"/>
                <w:sz w:val="24"/>
                <w:szCs w:val="24"/>
                <w:u w:val="none"/>
              </w:rPr>
            </w:pPr>
          </w:p>
        </w:tc>
        <w:tc>
          <w:tcPr>
            <w:tcW w:w="7815" w:type="dxa"/>
            <w:tcBorders>
              <w:top w:val="nil"/>
              <w:left w:val="single" w:color="000000" w:sz="4" w:space="0"/>
              <w:bottom w:val="single" w:color="000000" w:sz="4" w:space="0"/>
              <w:right w:val="single" w:color="000000" w:sz="4" w:space="0"/>
            </w:tcBorders>
            <w:shd w:val="clear" w:color="auto" w:fill="auto"/>
            <w:vAlign w:val="center"/>
          </w:tcPr>
          <w:p w14:paraId="2002E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16、震后自救之如何正确保存体力体验模块；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17、震后自救之如何正确呼救体验模块；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震后自救之如何正确自我包扎体验模块：需通过3D建模，全景的形式展示自我包扎方法，主要体现在地震时不断会有碎石等物体掉落砸伤自己，一旦被困，要及时止血包扎，防止因失血过多导致休克甚至死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1、地铁火灾逃生VR体验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2、图书馆火灾逃生VR体验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3、高处坠落伤害VR体验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5、物体打击伤害VR体验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6、塌陷事故VR体验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7、起重伤害VR体验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8、触电事故VR体验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9、火灾事故VR体验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10、中毒窒息VR体验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11、车辆伤害VR体验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12、个人劳保用品VR体验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13、防生物武器袭击VR体验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14、电影院火灾逃生VR体验</w:t>
            </w:r>
          </w:p>
        </w:tc>
        <w:tc>
          <w:tcPr>
            <w:tcW w:w="675" w:type="dxa"/>
            <w:tcBorders>
              <w:top w:val="nil"/>
              <w:left w:val="single" w:color="000000" w:sz="4" w:space="0"/>
              <w:bottom w:val="single" w:color="000000" w:sz="4" w:space="0"/>
              <w:right w:val="single" w:color="000000" w:sz="4" w:space="0"/>
            </w:tcBorders>
            <w:shd w:val="clear" w:color="auto" w:fill="auto"/>
            <w:vAlign w:val="center"/>
          </w:tcPr>
          <w:p w14:paraId="02DBB8C9">
            <w:pPr>
              <w:jc w:val="center"/>
              <w:rPr>
                <w:rFonts w:hint="eastAsia" w:ascii="宋体" w:hAnsi="宋体" w:eastAsia="宋体" w:cs="宋体"/>
                <w:i w:val="0"/>
                <w:iCs w:val="0"/>
                <w:color w:val="000000"/>
                <w:sz w:val="24"/>
                <w:szCs w:val="24"/>
                <w:u w:val="none"/>
              </w:rPr>
            </w:pPr>
          </w:p>
        </w:tc>
        <w:tc>
          <w:tcPr>
            <w:tcW w:w="735" w:type="dxa"/>
            <w:tcBorders>
              <w:top w:val="nil"/>
              <w:left w:val="single" w:color="000000" w:sz="4" w:space="0"/>
              <w:bottom w:val="single" w:color="000000" w:sz="4" w:space="0"/>
              <w:right w:val="single" w:color="000000" w:sz="4" w:space="0"/>
            </w:tcBorders>
            <w:shd w:val="clear" w:color="auto" w:fill="auto"/>
            <w:noWrap/>
            <w:vAlign w:val="center"/>
          </w:tcPr>
          <w:p w14:paraId="486D3C78">
            <w:pPr>
              <w:jc w:val="center"/>
              <w:rPr>
                <w:rFonts w:hint="eastAsia" w:ascii="宋体" w:hAnsi="宋体" w:eastAsia="宋体" w:cs="宋体"/>
                <w:i w:val="0"/>
                <w:iCs w:val="0"/>
                <w:color w:val="000000"/>
                <w:sz w:val="22"/>
                <w:szCs w:val="22"/>
                <w:u w:val="none"/>
              </w:rPr>
            </w:pPr>
          </w:p>
        </w:tc>
        <w:tc>
          <w:tcPr>
            <w:tcW w:w="690" w:type="dxa"/>
            <w:tcBorders>
              <w:top w:val="nil"/>
              <w:left w:val="single" w:color="000000" w:sz="4" w:space="0"/>
              <w:bottom w:val="single" w:color="000000" w:sz="4" w:space="0"/>
              <w:right w:val="single" w:color="000000" w:sz="4" w:space="0"/>
            </w:tcBorders>
            <w:shd w:val="clear" w:color="auto" w:fill="auto"/>
            <w:noWrap/>
            <w:vAlign w:val="center"/>
          </w:tcPr>
          <w:p w14:paraId="6AC4FE5A">
            <w:pPr>
              <w:jc w:val="center"/>
              <w:rPr>
                <w:rFonts w:hint="eastAsia" w:ascii="宋体" w:hAnsi="宋体" w:eastAsia="宋体" w:cs="宋体"/>
                <w:i w:val="0"/>
                <w:iCs w:val="0"/>
                <w:color w:val="000000"/>
                <w:sz w:val="22"/>
                <w:szCs w:val="22"/>
                <w:u w:val="none"/>
              </w:rPr>
            </w:pPr>
          </w:p>
        </w:tc>
      </w:tr>
      <w:tr w14:paraId="7C8D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F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413385</wp:posOffset>
                  </wp:positionH>
                  <wp:positionV relativeFrom="paragraph">
                    <wp:posOffset>-211455</wp:posOffset>
                  </wp:positionV>
                  <wp:extent cx="1259205" cy="1324610"/>
                  <wp:effectExtent l="0" t="0" r="0" b="0"/>
                  <wp:wrapNone/>
                  <wp:docPr id="58" name="图片_38"/>
                  <wp:cNvGraphicFramePr/>
                  <a:graphic xmlns:a="http://schemas.openxmlformats.org/drawingml/2006/main">
                    <a:graphicData uri="http://schemas.openxmlformats.org/drawingml/2006/picture">
                      <pic:pic xmlns:pic="http://schemas.openxmlformats.org/drawingml/2006/picture">
                        <pic:nvPicPr>
                          <pic:cNvPr id="58" name="图片_38"/>
                          <pic:cNvPicPr/>
                        </pic:nvPicPr>
                        <pic:blipFill>
                          <a:blip r:embed="rId27"/>
                          <a:stretch>
                            <a:fillRect/>
                          </a:stretch>
                        </pic:blipFill>
                        <pic:spPr>
                          <a:xfrm>
                            <a:off x="0" y="0"/>
                            <a:ext cx="1259205" cy="132461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消防安全9D动感影院</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8962">
            <w:pPr>
              <w:rPr>
                <w:rFonts w:hint="eastAsia" w:ascii="宋体" w:hAnsi="宋体" w:eastAsia="宋体" w:cs="宋体"/>
                <w:i w:val="0"/>
                <w:iCs w:val="0"/>
                <w:color w:val="000000"/>
                <w:sz w:val="24"/>
                <w:szCs w:val="24"/>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3D4">
            <w:pPr>
              <w:keepNext w:val="0"/>
              <w:keepLines w:val="0"/>
              <w:widowControl/>
              <w:suppressLineNumbers w:val="0"/>
              <w:spacing w:after="24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W*D*H:≥3000*2800*1500(mm)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一体化移动式钣金机箱×1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22寸操控台×1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PCVR眼镜×6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VR中控主机×6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六自由度动感装置×1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特效装置×1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IPAD控制系统×1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安全类科普内容×10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LED灯光装置×1 </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安全科普动感影院，通过创新和设计，将消防安全知识融入影院的空间设计和观影体验，以提高观众的消防安全意识和自我防护能力。通过虚拟现实技术，特效动感技术，多媒体交互等元宇宙基本技术完美结合。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仓库火灾逃生：针对仓库火灾突发模拟推出的仓库火灾逃生VR体验软件。体验者可以使用该软件了解仓库火灾发生时，需要在仓库进行逃生灭火等操作，体验者可以在软件中体验不少于4个仓库火灾逃生教学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公室火灾逃生：本产品模拟一个写字楼办公室虚拟空间，让体验者能够体验火灾逃生的整个流程，具体包括初期发生火灾如何应对、使用灭火器处理一些初期的火灾以及学会怎么在火场中更好的逃生自救，最后为体验者提供总结性火灾逃生知识以及查看逃生用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3、地铁火灾逃生：本软件通过unity3d开发，采用三维技术进行全3D场景搭建，让体验者沉浸式体验地铁火灾逃生。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软件场景模拟真实的地铁火灾场景。在场景中体验者将以第一人称视角体验按照系统提示，学习正确的地铁火灾逃生流程。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4、家庭火灾逃生：本软件通过unity3d开发，采用三维技术进行全3D场景搭建，让体验者沉浸式体验家庭火灾逃生。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软件场景模拟真实的家庭火灾场景。在场景中体验者将以第一人称视角体验按照系统提示，学习正确的家庭火灾逃生流程。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森林火灾逃生：针对森林火灾突发模拟推出的森林火灾逃生VR体验软件。体验者可以使用该软件了解森林火灾发生时，需要在森林内选择正确的方式进行逃生，需要根据火灾形势选择正确的逃生路线，体验者可以在软件中体验不少于6个森林火灾逃生教学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6、商场火灾逃生：本软件通过unity3d开发，采用三维技术进行全3D场景搭建，让体验者沉浸式体验商场火灾逃生。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软件场景模拟真实的商场火灾场景。在场景中体验者将以第一人称视角体验按照系统提示，学习正确的商场火灾逃生流程。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校车火灾逃生：针对校车火灾突发，火灾现场场景模拟推出的VR模拟体验软件。体验者可以使用该软件了解被困校车内如何自救逃生、如何使用周围道具逃生到安全位置，体验过程中会不少于5个逃生流程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校园火灾逃生：针对校园火灾突发，火灾现场场景模拟推出的VR模拟体验软件。体验者可以使用该软件了解被困校园内如何自救逃生、如何使用周围道具逃生到安全位置，体验过程中会不少于8个逃生流程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医院火灾逃生：本产品通过模拟医院场景，让体验者能够体验火灾逃生的整个流程，具体包括发现火情时拨打火警电话须知、使用灭火器处理一些初期的火灾以及怎么去学会在火场中更好的逃生自救，最后为体验者提供总结性火灾逃生知识以及查看逃生用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10、电影院火灾逃生：本软件通过unity3d开发，采用三维技术进行全3D场景搭建，让体验者沉浸式体验电影院火灾逃生。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软件场景模拟真实的电影院火灾场景。在场景中体验者将以第一人称视角体验按照系统提示，学习正确的电影院火灾逃生流程。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F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4B4A065">
      <w:pPr>
        <w:pStyle w:val="2"/>
        <w:ind w:left="0" w:leftChars="0" w:firstLine="0" w:firstLineChars="0"/>
        <w:rPr>
          <w:rFonts w:hint="default"/>
          <w:lang w:val="en-US" w:eastAsia="zh-CN"/>
        </w:rPr>
        <w:sectPr>
          <w:pgSz w:w="16838" w:h="11905" w:orient="landscape"/>
          <w:pgMar w:top="1361" w:right="1162" w:bottom="1372" w:left="1151" w:header="720" w:footer="720" w:gutter="0"/>
          <w:pgNumType w:fmt="decimal"/>
          <w:cols w:space="720" w:num="1"/>
          <w:rtlGutter w:val="0"/>
          <w:docGrid w:type="lines" w:linePitch="312" w:charSpace="0"/>
        </w:sectPr>
      </w:pPr>
    </w:p>
    <w:p w14:paraId="51E0C117">
      <w:pPr>
        <w:pStyle w:val="6"/>
        <w:bidi w:val="0"/>
        <w:jc w:val="center"/>
        <w:rPr>
          <w:rFonts w:ascii="宋体" w:hAnsi="宋体" w:cs="宋体"/>
          <w:b/>
          <w:bCs/>
          <w:sz w:val="32"/>
          <w:szCs w:val="32"/>
        </w:rPr>
      </w:pPr>
      <w:bookmarkStart w:id="156" w:name="_Toc29854"/>
      <w:bookmarkStart w:id="157" w:name="_Toc6258"/>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 xml:space="preserve">章 </w:t>
      </w:r>
      <w:bookmarkEnd w:id="156"/>
      <w:r>
        <w:rPr>
          <w:rFonts w:hint="eastAsia" w:ascii="宋体" w:hAnsi="宋体" w:cs="宋体"/>
          <w:b/>
          <w:bCs/>
          <w:sz w:val="32"/>
          <w:szCs w:val="32"/>
          <w:lang w:val="zh-CN"/>
        </w:rPr>
        <w:t>评</w:t>
      </w:r>
      <w:r>
        <w:rPr>
          <w:rFonts w:hint="eastAsia" w:ascii="宋体" w:hAnsi="宋体" w:cs="宋体"/>
          <w:b/>
          <w:bCs/>
          <w:sz w:val="32"/>
          <w:szCs w:val="32"/>
          <w:lang w:val="en-US" w:eastAsia="zh-CN"/>
        </w:rPr>
        <w:t>审</w:t>
      </w:r>
      <w:r>
        <w:rPr>
          <w:rFonts w:hint="eastAsia" w:ascii="宋体" w:hAnsi="宋体" w:cs="宋体"/>
          <w:b/>
          <w:bCs/>
          <w:sz w:val="32"/>
          <w:szCs w:val="32"/>
          <w:lang w:val="zh-CN"/>
        </w:rPr>
        <w:t>办法（综合评分法）</w:t>
      </w:r>
      <w:bookmarkEnd w:id="157"/>
    </w:p>
    <w:p w14:paraId="60A5E4CA">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bookmarkStart w:id="158" w:name="_Toc141871101"/>
      <w:bookmarkEnd w:id="158"/>
      <w:bookmarkStart w:id="159" w:name="_Toc171410859"/>
      <w:bookmarkEnd w:id="159"/>
      <w:bookmarkStart w:id="160" w:name="_Toc140161801"/>
      <w:bookmarkEnd w:id="160"/>
      <w:bookmarkStart w:id="161" w:name="_Toc174034450"/>
      <w:bookmarkEnd w:id="161"/>
      <w:bookmarkStart w:id="162" w:name="_Toc171002592"/>
      <w:bookmarkEnd w:id="162"/>
      <w:bookmarkStart w:id="163" w:name="_Toc173946417"/>
      <w:bookmarkEnd w:id="163"/>
      <w:bookmarkStart w:id="164" w:name="_Toc173946082"/>
      <w:bookmarkEnd w:id="164"/>
      <w:bookmarkStart w:id="165" w:name="_Toc119657659"/>
      <w:bookmarkEnd w:id="165"/>
      <w:bookmarkStart w:id="166" w:name="_Toc13307"/>
      <w:bookmarkStart w:id="167" w:name="_Toc28737"/>
      <w:bookmarkStart w:id="168" w:name="_Toc15097"/>
      <w:r>
        <w:rPr>
          <w:rFonts w:hint="eastAsia" w:ascii="宋体" w:hAnsi="宋体" w:eastAsia="宋体" w:cs="宋体"/>
          <w:b w:val="0"/>
          <w:bCs/>
          <w:color w:val="auto"/>
          <w:sz w:val="24"/>
          <w:szCs w:val="24"/>
          <w:highlight w:val="none"/>
        </w:rPr>
        <w:t>1. 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1.3在评审过程中，评标委员会可以以书面形式要求投标供应商就投标文件中含义不明确的内容进行书面说明并提供相关材料；</w:t>
      </w:r>
      <w:r>
        <w:rPr>
          <w:rFonts w:hint="eastAsia" w:ascii="宋体" w:hAnsi="宋体" w:eastAsia="宋体" w:cs="宋体"/>
          <w:b w:val="0"/>
          <w:bCs/>
          <w:color w:val="auto"/>
          <w:spacing w:val="-6"/>
          <w:sz w:val="24"/>
          <w:szCs w:val="24"/>
          <w:highlight w:val="none"/>
        </w:rPr>
        <w:t>凡遇到招标文件中无界定或界定不清、前后不一致使评委会成员</w:t>
      </w:r>
      <w:r>
        <w:rPr>
          <w:rFonts w:hint="eastAsia" w:ascii="宋体" w:hAnsi="宋体" w:eastAsia="宋体" w:cs="宋体"/>
          <w:b w:val="0"/>
          <w:bCs/>
          <w:color w:val="auto"/>
          <w:sz w:val="24"/>
          <w:szCs w:val="24"/>
          <w:highlight w:val="none"/>
        </w:rPr>
        <w:t>意见</w:t>
      </w:r>
      <w:r>
        <w:rPr>
          <w:rFonts w:hint="eastAsia" w:ascii="宋体" w:hAnsi="宋体" w:eastAsia="宋体" w:cs="宋体"/>
          <w:b w:val="0"/>
          <w:bCs/>
          <w:color w:val="auto"/>
          <w:spacing w:val="-6"/>
          <w:sz w:val="24"/>
          <w:szCs w:val="24"/>
          <w:highlight w:val="none"/>
        </w:rPr>
        <w:t>有分歧且又难于协商一致的问题，均由评委会予以表决，获半数以上同意的即为通过，未获半数同意的即为否决</w:t>
      </w:r>
      <w:r>
        <w:rPr>
          <w:rFonts w:hint="eastAsia" w:ascii="宋体" w:hAnsi="宋体" w:eastAsia="宋体" w:cs="宋体"/>
          <w:b w:val="0"/>
          <w:bCs/>
          <w:color w:val="auto"/>
          <w:sz w:val="24"/>
          <w:szCs w:val="24"/>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1.4评标时，投标报价是评标的重要依据，但不是唯一依据，采购人不承诺将合同授予报价最低或最高的投标供应商。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 评审程序</w:t>
      </w:r>
    </w:p>
    <w:p w14:paraId="6A6D777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公开招标采购项目开标结束后，采购人或者采购代理机构应当依法对供应商的资格进行审查，合格供应商不足3家的，不得评标。有一项不符合的，视为未通过资格审查，按废标处理，符合的进入下一评标程序。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评标具体方法和标准</w:t>
      </w:r>
    </w:p>
    <w:p w14:paraId="56CE7BE3">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价低的优先；投标报价也相等的，以技术得分高的优先；如果技术得分也相等，采购人自行确定。</w:t>
      </w:r>
    </w:p>
    <w:p w14:paraId="2994CE6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0C38BC4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5.计分办法</w:t>
      </w:r>
    </w:p>
    <w:p w14:paraId="6AC6190C">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6.定标</w:t>
      </w:r>
    </w:p>
    <w:p w14:paraId="2202734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.其他事项 </w:t>
      </w:r>
    </w:p>
    <w:p w14:paraId="201ECF9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64FA55A8">
      <w:pPr>
        <w:pStyle w:val="4"/>
        <w:rPr>
          <w:rFonts w:hint="eastAsia" w:ascii="宋体" w:hAnsi="宋体" w:eastAsia="宋体" w:cs="宋体"/>
          <w:b w:val="0"/>
          <w:bCs/>
          <w:color w:val="auto"/>
          <w:sz w:val="24"/>
          <w:szCs w:val="24"/>
          <w:highlight w:val="none"/>
        </w:rPr>
      </w:pPr>
    </w:p>
    <w:p w14:paraId="1C0C1920">
      <w:pPr>
        <w:pStyle w:val="13"/>
        <w:rPr>
          <w:rFonts w:hint="eastAsia" w:ascii="宋体" w:hAnsi="宋体" w:eastAsia="宋体" w:cs="宋体"/>
          <w:b w:val="0"/>
          <w:bCs/>
          <w:color w:val="auto"/>
          <w:sz w:val="24"/>
          <w:szCs w:val="24"/>
          <w:highlight w:val="none"/>
        </w:rPr>
      </w:pPr>
    </w:p>
    <w:p w14:paraId="50BCEE64">
      <w:pPr>
        <w:pStyle w:val="14"/>
        <w:rPr>
          <w:rFonts w:hint="eastAsia" w:ascii="宋体" w:hAnsi="宋体" w:eastAsia="宋体" w:cs="宋体"/>
          <w:b w:val="0"/>
          <w:bCs/>
          <w:color w:val="auto"/>
          <w:sz w:val="24"/>
          <w:szCs w:val="24"/>
          <w:highlight w:val="none"/>
        </w:rPr>
      </w:pPr>
    </w:p>
    <w:p w14:paraId="4DDC0C83">
      <w:pPr>
        <w:rPr>
          <w:rFonts w:hint="eastAsia" w:ascii="宋体" w:hAnsi="宋体" w:eastAsia="宋体" w:cs="宋体"/>
          <w:b w:val="0"/>
          <w:bCs/>
          <w:color w:val="auto"/>
          <w:sz w:val="24"/>
          <w:szCs w:val="24"/>
          <w:highlight w:val="none"/>
        </w:rPr>
      </w:pPr>
    </w:p>
    <w:p w14:paraId="7A76CA6D">
      <w:pPr>
        <w:pStyle w:val="5"/>
        <w:rPr>
          <w:rFonts w:hint="eastAsia" w:ascii="宋体" w:hAnsi="宋体" w:eastAsia="宋体" w:cs="宋体"/>
          <w:b w:val="0"/>
          <w:bCs/>
          <w:color w:val="auto"/>
          <w:sz w:val="24"/>
          <w:szCs w:val="24"/>
          <w:highlight w:val="none"/>
        </w:rPr>
      </w:pPr>
    </w:p>
    <w:p w14:paraId="302466E8">
      <w:pPr>
        <w:pStyle w:val="2"/>
        <w:rPr>
          <w:rFonts w:hint="eastAsia" w:ascii="宋体" w:hAnsi="宋体" w:eastAsia="宋体" w:cs="宋体"/>
          <w:b w:val="0"/>
          <w:bCs/>
          <w:color w:val="auto"/>
          <w:sz w:val="24"/>
          <w:szCs w:val="24"/>
          <w:highlight w:val="none"/>
        </w:rPr>
      </w:pPr>
    </w:p>
    <w:p w14:paraId="766DE33E">
      <w:pPr>
        <w:pStyle w:val="5"/>
        <w:rPr>
          <w:rFonts w:hint="eastAsia" w:ascii="宋体" w:hAnsi="宋体" w:eastAsia="宋体" w:cs="宋体"/>
          <w:b w:val="0"/>
          <w:bCs/>
          <w:color w:val="auto"/>
          <w:sz w:val="24"/>
          <w:szCs w:val="24"/>
          <w:highlight w:val="none"/>
        </w:rPr>
      </w:pPr>
    </w:p>
    <w:p w14:paraId="1AB5DE4B">
      <w:pPr>
        <w:pStyle w:val="2"/>
        <w:rPr>
          <w:rFonts w:hint="eastAsia" w:ascii="宋体" w:hAnsi="宋体" w:eastAsia="宋体" w:cs="宋体"/>
          <w:b w:val="0"/>
          <w:bCs/>
          <w:color w:val="auto"/>
          <w:sz w:val="24"/>
          <w:szCs w:val="24"/>
          <w:highlight w:val="none"/>
        </w:rPr>
      </w:pPr>
    </w:p>
    <w:p w14:paraId="3EDD1F7D">
      <w:pPr>
        <w:pStyle w:val="5"/>
        <w:rPr>
          <w:rFonts w:hint="eastAsia" w:ascii="宋体" w:hAnsi="宋体" w:eastAsia="宋体" w:cs="宋体"/>
          <w:b w:val="0"/>
          <w:bCs/>
          <w:color w:val="auto"/>
          <w:sz w:val="24"/>
          <w:szCs w:val="24"/>
          <w:highlight w:val="none"/>
        </w:rPr>
      </w:pPr>
    </w:p>
    <w:p w14:paraId="0CB0441E">
      <w:pPr>
        <w:pStyle w:val="2"/>
        <w:rPr>
          <w:rFonts w:hint="eastAsia" w:ascii="宋体" w:hAnsi="宋体" w:eastAsia="宋体" w:cs="宋体"/>
          <w:b w:val="0"/>
          <w:bCs/>
          <w:color w:val="auto"/>
          <w:sz w:val="24"/>
          <w:szCs w:val="24"/>
          <w:highlight w:val="none"/>
        </w:rPr>
      </w:pPr>
    </w:p>
    <w:p w14:paraId="74487D5E">
      <w:pPr>
        <w:pStyle w:val="5"/>
        <w:rPr>
          <w:rFonts w:hint="eastAsia" w:ascii="宋体" w:hAnsi="宋体" w:eastAsia="宋体" w:cs="宋体"/>
          <w:b w:val="0"/>
          <w:bCs/>
          <w:color w:val="auto"/>
          <w:sz w:val="24"/>
          <w:szCs w:val="24"/>
          <w:highlight w:val="none"/>
        </w:rPr>
      </w:pPr>
    </w:p>
    <w:p w14:paraId="7DE656A8">
      <w:pPr>
        <w:pStyle w:val="2"/>
        <w:rPr>
          <w:rFonts w:hint="eastAsia" w:ascii="宋体" w:hAnsi="宋体" w:eastAsia="宋体" w:cs="宋体"/>
          <w:b w:val="0"/>
          <w:bCs/>
          <w:color w:val="auto"/>
          <w:sz w:val="24"/>
          <w:szCs w:val="24"/>
          <w:highlight w:val="none"/>
        </w:rPr>
      </w:pPr>
    </w:p>
    <w:p w14:paraId="44F3ECB7">
      <w:pPr>
        <w:pStyle w:val="5"/>
        <w:rPr>
          <w:rFonts w:hint="eastAsia" w:ascii="宋体" w:hAnsi="宋体" w:eastAsia="宋体" w:cs="宋体"/>
          <w:b w:val="0"/>
          <w:bCs/>
          <w:color w:val="auto"/>
          <w:sz w:val="24"/>
          <w:szCs w:val="24"/>
          <w:highlight w:val="none"/>
        </w:rPr>
      </w:pPr>
    </w:p>
    <w:p w14:paraId="77CE49E0">
      <w:pPr>
        <w:pStyle w:val="3"/>
        <w:rPr>
          <w:rFonts w:hint="eastAsia" w:ascii="宋体" w:hAnsi="宋体" w:eastAsia="宋体" w:cs="宋体"/>
          <w:b w:val="0"/>
          <w:bCs/>
          <w:color w:val="auto"/>
          <w:sz w:val="24"/>
          <w:szCs w:val="24"/>
          <w:highlight w:val="none"/>
        </w:rPr>
      </w:pPr>
    </w:p>
    <w:p w14:paraId="39C96C0B">
      <w:pPr>
        <w:pStyle w:val="4"/>
        <w:rPr>
          <w:rFonts w:hint="eastAsia"/>
        </w:rPr>
      </w:pPr>
    </w:p>
    <w:p w14:paraId="6C8B72D5">
      <w:pPr>
        <w:pStyle w:val="2"/>
        <w:rPr>
          <w:rFonts w:hint="eastAsia" w:ascii="宋体" w:hAnsi="宋体" w:eastAsia="宋体" w:cs="宋体"/>
          <w:b w:val="0"/>
          <w:bCs/>
          <w:color w:val="auto"/>
          <w:sz w:val="24"/>
          <w:szCs w:val="24"/>
          <w:highlight w:val="none"/>
        </w:rPr>
      </w:pPr>
    </w:p>
    <w:p w14:paraId="564F9E41">
      <w:pPr>
        <w:pStyle w:val="5"/>
        <w:rPr>
          <w:rFonts w:hint="eastAsia" w:ascii="宋体" w:hAnsi="宋体" w:eastAsia="宋体" w:cs="宋体"/>
          <w:b w:val="0"/>
          <w:bCs/>
          <w:color w:val="auto"/>
          <w:sz w:val="24"/>
          <w:szCs w:val="24"/>
          <w:highlight w:val="none"/>
        </w:rPr>
      </w:pPr>
    </w:p>
    <w:p w14:paraId="267FF63E">
      <w:pPr>
        <w:pStyle w:val="2"/>
        <w:spacing w:beforeAutospacing="0" w:after="0" w:line="240" w:lineRule="auto"/>
        <w:ind w:left="0" w:leftChars="0" w:firstLine="0" w:firstLineChars="0"/>
        <w:jc w:val="center"/>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评审办法前附表</w:t>
      </w:r>
    </w:p>
    <w:p w14:paraId="10778920">
      <w:pPr>
        <w:pStyle w:val="5"/>
        <w:spacing w:before="0" w:beforeAutospacing="0" w:after="0" w:line="240" w:lineRule="auto"/>
        <w:ind w:left="0" w:leftChars="0" w:firstLine="0" w:firstLineChars="0"/>
        <w:jc w:val="center"/>
        <w:rPr>
          <w:rFonts w:hint="default"/>
          <w:lang w:val="en-US" w:eastAsia="zh-CN"/>
        </w:rPr>
      </w:pPr>
      <w:r>
        <w:rPr>
          <w:rFonts w:hint="eastAsia" w:ascii="宋体" w:hAnsi="宋体" w:eastAsia="宋体" w:cs="宋体"/>
          <w:b/>
          <w:bCs w:val="0"/>
          <w:color w:val="auto"/>
          <w:sz w:val="28"/>
          <w:szCs w:val="28"/>
          <w:highlight w:val="none"/>
          <w:lang w:val="en-US" w:eastAsia="zh-CN"/>
        </w:rPr>
        <w:t>（二标段）</w:t>
      </w:r>
    </w:p>
    <w:bookmarkEnd w:id="166"/>
    <w:bookmarkEnd w:id="167"/>
    <w:bookmarkEnd w:id="168"/>
    <w:tbl>
      <w:tblPr>
        <w:tblStyle w:val="21"/>
        <w:tblpPr w:leftFromText="180" w:rightFromText="180" w:vertAnchor="text" w:horzAnchor="page" w:tblpX="1186" w:tblpY="377"/>
        <w:tblOverlap w:val="never"/>
        <w:tblW w:w="9564" w:type="dxa"/>
        <w:tblInd w:w="0" w:type="dxa"/>
        <w:tblLayout w:type="fixed"/>
        <w:tblCellMar>
          <w:top w:w="0" w:type="dxa"/>
          <w:left w:w="108" w:type="dxa"/>
          <w:bottom w:w="0" w:type="dxa"/>
          <w:right w:w="108" w:type="dxa"/>
        </w:tblCellMar>
      </w:tblPr>
      <w:tblGrid>
        <w:gridCol w:w="508"/>
        <w:gridCol w:w="932"/>
        <w:gridCol w:w="2207"/>
        <w:gridCol w:w="5917"/>
      </w:tblGrid>
      <w:tr w14:paraId="28B8F6E5">
        <w:tblPrEx>
          <w:tblCellMar>
            <w:top w:w="0" w:type="dxa"/>
            <w:left w:w="108" w:type="dxa"/>
            <w:bottom w:w="0" w:type="dxa"/>
            <w:right w:w="108" w:type="dxa"/>
          </w:tblCellMar>
        </w:tblPrEx>
        <w:trPr>
          <w:trHeight w:val="50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7117AF3">
            <w:pPr>
              <w:spacing w:line="600" w:lineRule="exact"/>
              <w:jc w:val="center"/>
              <w:rPr>
                <w:rFonts w:ascii="宋体" w:hAnsi="宋体" w:cs="宋体"/>
                <w:sz w:val="22"/>
                <w:szCs w:val="22"/>
              </w:rPr>
            </w:pPr>
            <w:r>
              <w:rPr>
                <w:rFonts w:ascii="宋体" w:hAnsi="宋体" w:cs="宋体"/>
                <w:sz w:val="22"/>
                <w:szCs w:val="22"/>
              </w:rPr>
              <w:t>初步评审</w:t>
            </w:r>
          </w:p>
        </w:tc>
        <w:tc>
          <w:tcPr>
            <w:tcW w:w="2207" w:type="dxa"/>
            <w:tcBorders>
              <w:top w:val="single" w:color="auto" w:sz="4" w:space="0"/>
              <w:left w:val="nil"/>
              <w:bottom w:val="single" w:color="auto" w:sz="4" w:space="0"/>
              <w:right w:val="single" w:color="auto" w:sz="4" w:space="0"/>
            </w:tcBorders>
            <w:vAlign w:val="center"/>
          </w:tcPr>
          <w:p w14:paraId="7918FA25">
            <w:pPr>
              <w:spacing w:line="600" w:lineRule="exact"/>
              <w:jc w:val="center"/>
              <w:rPr>
                <w:rFonts w:ascii="宋体" w:hAnsi="宋体" w:cs="宋体"/>
                <w:sz w:val="22"/>
                <w:szCs w:val="22"/>
              </w:rPr>
            </w:pPr>
            <w:r>
              <w:rPr>
                <w:rFonts w:ascii="宋体" w:hAnsi="宋体" w:cs="宋体"/>
                <w:sz w:val="22"/>
                <w:szCs w:val="22"/>
              </w:rPr>
              <w:t>评审因素</w:t>
            </w:r>
          </w:p>
        </w:tc>
        <w:tc>
          <w:tcPr>
            <w:tcW w:w="5917" w:type="dxa"/>
            <w:tcBorders>
              <w:top w:val="single" w:color="auto" w:sz="4" w:space="0"/>
              <w:left w:val="nil"/>
              <w:bottom w:val="single" w:color="auto" w:sz="4" w:space="0"/>
              <w:right w:val="single" w:color="auto" w:sz="4" w:space="0"/>
            </w:tcBorders>
            <w:vAlign w:val="center"/>
          </w:tcPr>
          <w:p w14:paraId="79E08272">
            <w:pPr>
              <w:spacing w:line="600" w:lineRule="exact"/>
              <w:jc w:val="center"/>
              <w:rPr>
                <w:rFonts w:ascii="宋体" w:hAnsi="宋体" w:cs="宋体"/>
                <w:sz w:val="22"/>
                <w:szCs w:val="22"/>
              </w:rPr>
            </w:pPr>
            <w:r>
              <w:rPr>
                <w:rFonts w:ascii="宋体" w:hAnsi="宋体" w:cs="宋体"/>
                <w:sz w:val="22"/>
                <w:szCs w:val="22"/>
              </w:rPr>
              <w:t>评审标准</w:t>
            </w:r>
          </w:p>
        </w:tc>
      </w:tr>
      <w:tr w14:paraId="29A7E3B0">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2463290B">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932" w:type="dxa"/>
            <w:vMerge w:val="restart"/>
            <w:tcBorders>
              <w:top w:val="nil"/>
              <w:left w:val="nil"/>
              <w:right w:val="single" w:color="auto" w:sz="4" w:space="0"/>
            </w:tcBorders>
            <w:vAlign w:val="center"/>
          </w:tcPr>
          <w:p w14:paraId="51907B07">
            <w:pPr>
              <w:spacing w:line="600" w:lineRule="exact"/>
              <w:rPr>
                <w:rFonts w:ascii="宋体" w:hAnsi="宋体" w:cs="宋体"/>
                <w:sz w:val="22"/>
                <w:szCs w:val="22"/>
              </w:rPr>
            </w:pPr>
            <w:r>
              <w:rPr>
                <w:rFonts w:hint="eastAsia" w:ascii="宋体" w:hAnsi="宋体" w:cs="宋体"/>
                <w:sz w:val="22"/>
                <w:szCs w:val="22"/>
              </w:rPr>
              <w:t>符合性评审标准</w:t>
            </w:r>
          </w:p>
        </w:tc>
        <w:tc>
          <w:tcPr>
            <w:tcW w:w="2207"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exact"/>
              <w:jc w:val="center"/>
              <w:outlineLvl w:val="0"/>
              <w:rPr>
                <w:rFonts w:ascii="宋体" w:hAnsi="宋体" w:cs="宋体"/>
                <w:bCs/>
                <w:color w:val="000000"/>
                <w:kern w:val="44"/>
                <w:sz w:val="22"/>
                <w:szCs w:val="22"/>
              </w:rPr>
            </w:pPr>
            <w:bookmarkStart w:id="169" w:name="_Toc30852"/>
            <w:bookmarkEnd w:id="169"/>
            <w:bookmarkStart w:id="170" w:name="_Toc791"/>
            <w:bookmarkEnd w:id="170"/>
            <w:bookmarkStart w:id="171" w:name="_Toc173946418"/>
            <w:bookmarkEnd w:id="171"/>
            <w:bookmarkStart w:id="172" w:name="_Toc17718"/>
            <w:bookmarkEnd w:id="172"/>
            <w:bookmarkStart w:id="173" w:name="_Toc174034451"/>
            <w:bookmarkEnd w:id="173"/>
            <w:bookmarkStart w:id="174" w:name="_Toc144801275"/>
            <w:bookmarkEnd w:id="174"/>
            <w:bookmarkStart w:id="175" w:name="_Toc18300"/>
            <w:bookmarkEnd w:id="175"/>
            <w:bookmarkStart w:id="176" w:name="_Toc173946083"/>
            <w:bookmarkEnd w:id="176"/>
            <w:bookmarkStart w:id="177" w:name="_Toc116401571"/>
            <w:bookmarkEnd w:id="177"/>
            <w:bookmarkStart w:id="178" w:name="_Toc23926"/>
            <w:bookmarkEnd w:id="178"/>
            <w:bookmarkStart w:id="179" w:name="_Toc26959"/>
            <w:bookmarkStart w:id="180" w:name="_Toc13906"/>
            <w:bookmarkStart w:id="181" w:name="_Toc14786"/>
            <w:bookmarkStart w:id="182" w:name="_Toc1467"/>
            <w:r>
              <w:rPr>
                <w:rFonts w:hint="eastAsia" w:ascii="宋体" w:hAnsi="宋体" w:cs="宋体"/>
                <w:bCs/>
                <w:color w:val="000000"/>
                <w:kern w:val="44"/>
                <w:sz w:val="22"/>
                <w:szCs w:val="22"/>
                <w:lang w:val="en-US" w:eastAsia="zh-CN"/>
              </w:rPr>
              <w:t>供应商</w:t>
            </w:r>
            <w:r>
              <w:rPr>
                <w:rFonts w:hint="eastAsia" w:ascii="宋体" w:hAnsi="宋体" w:cs="宋体"/>
                <w:bCs/>
                <w:color w:val="000000"/>
                <w:kern w:val="44"/>
                <w:sz w:val="22"/>
                <w:szCs w:val="22"/>
              </w:rPr>
              <w:t>名称</w:t>
            </w:r>
            <w:bookmarkEnd w:id="179"/>
            <w:bookmarkEnd w:id="180"/>
            <w:bookmarkEnd w:id="181"/>
            <w:bookmarkEnd w:id="182"/>
          </w:p>
        </w:tc>
        <w:tc>
          <w:tcPr>
            <w:tcW w:w="5917" w:type="dxa"/>
            <w:tcBorders>
              <w:top w:val="single" w:color="auto" w:sz="4" w:space="0"/>
              <w:left w:val="nil"/>
              <w:bottom w:val="single" w:color="auto" w:sz="4" w:space="0"/>
              <w:right w:val="single" w:color="auto" w:sz="4" w:space="0"/>
            </w:tcBorders>
            <w:vAlign w:val="center"/>
          </w:tcPr>
          <w:p w14:paraId="24F46D2B">
            <w:pPr>
              <w:spacing w:line="300" w:lineRule="exact"/>
              <w:rPr>
                <w:rFonts w:ascii="宋体" w:hAnsi="宋体"/>
                <w:sz w:val="22"/>
                <w:szCs w:val="22"/>
              </w:rPr>
            </w:pPr>
            <w:r>
              <w:rPr>
                <w:rFonts w:hint="eastAsia" w:ascii="宋体" w:hAnsi="宋体"/>
                <w:sz w:val="22"/>
                <w:szCs w:val="22"/>
              </w:rPr>
              <w:t>与营业执照一致</w:t>
            </w:r>
          </w:p>
        </w:tc>
      </w:tr>
      <w:tr w14:paraId="2AFDC528">
        <w:tblPrEx>
          <w:tblCellMar>
            <w:top w:w="0" w:type="dxa"/>
            <w:left w:w="108" w:type="dxa"/>
            <w:bottom w:w="0" w:type="dxa"/>
            <w:right w:w="108" w:type="dxa"/>
          </w:tblCellMar>
        </w:tblPrEx>
        <w:trPr>
          <w:trHeight w:val="1058" w:hRule="atLeast"/>
        </w:trPr>
        <w:tc>
          <w:tcPr>
            <w:tcW w:w="508" w:type="dxa"/>
            <w:vMerge w:val="continue"/>
            <w:tcBorders>
              <w:left w:val="single" w:color="auto" w:sz="4" w:space="0"/>
              <w:right w:val="single" w:color="auto" w:sz="4" w:space="0"/>
            </w:tcBorders>
            <w:vAlign w:val="center"/>
          </w:tcPr>
          <w:p w14:paraId="0DE08FDF">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6B76173F">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ascii="宋体" w:hAnsi="宋体"/>
                <w:sz w:val="22"/>
                <w:szCs w:val="20"/>
              </w:rPr>
            </w:pPr>
            <w:r>
              <w:rPr>
                <w:rFonts w:hint="eastAsia" w:ascii="宋体" w:hAnsi="宋体" w:cs="宋体"/>
                <w:color w:val="000000"/>
                <w:kern w:val="0"/>
                <w:sz w:val="22"/>
                <w:szCs w:val="22"/>
                <w:lang w:val="en-US" w:eastAsia="zh-CN"/>
              </w:rPr>
              <w:t>投标</w:t>
            </w:r>
            <w:r>
              <w:rPr>
                <w:rFonts w:hint="eastAsia" w:ascii="宋体" w:hAnsi="宋体" w:cs="宋体"/>
                <w:color w:val="000000"/>
                <w:kern w:val="0"/>
                <w:sz w:val="22"/>
                <w:szCs w:val="22"/>
              </w:rPr>
              <w:t>文件签字盖章</w:t>
            </w:r>
          </w:p>
        </w:tc>
        <w:tc>
          <w:tcPr>
            <w:tcW w:w="5917" w:type="dxa"/>
            <w:tcBorders>
              <w:top w:val="single" w:color="auto" w:sz="4" w:space="0"/>
              <w:left w:val="nil"/>
              <w:bottom w:val="single" w:color="auto" w:sz="4" w:space="0"/>
              <w:right w:val="single" w:color="auto" w:sz="4" w:space="0"/>
            </w:tcBorders>
            <w:vAlign w:val="center"/>
          </w:tcPr>
          <w:p w14:paraId="2F21E596">
            <w:pPr>
              <w:spacing w:line="300" w:lineRule="exact"/>
              <w:rPr>
                <w:rFonts w:ascii="宋体" w:hAnsi="宋体"/>
                <w:sz w:val="22"/>
                <w:szCs w:val="22"/>
              </w:rPr>
            </w:pPr>
            <w:r>
              <w:rPr>
                <w:rFonts w:hint="eastAsia" w:ascii="宋体" w:hAnsi="宋体"/>
                <w:sz w:val="22"/>
                <w:szCs w:val="22"/>
              </w:rPr>
              <w:t>符合</w:t>
            </w:r>
            <w:r>
              <w:rPr>
                <w:rFonts w:hint="eastAsia" w:ascii="宋体" w:hAnsi="宋体"/>
                <w:sz w:val="22"/>
                <w:szCs w:val="22"/>
                <w:lang w:val="en-US" w:eastAsia="zh-CN"/>
              </w:rPr>
              <w:t>招标</w:t>
            </w:r>
            <w:r>
              <w:rPr>
                <w:rFonts w:hint="eastAsia" w:ascii="宋体" w:hAnsi="宋体"/>
                <w:sz w:val="22"/>
                <w:szCs w:val="22"/>
              </w:rPr>
              <w:t>文件要求的签字、盖章</w:t>
            </w:r>
          </w:p>
        </w:tc>
      </w:tr>
      <w:tr w14:paraId="4C5D6BF2">
        <w:tblPrEx>
          <w:tblCellMar>
            <w:top w:w="0" w:type="dxa"/>
            <w:left w:w="108" w:type="dxa"/>
            <w:bottom w:w="0" w:type="dxa"/>
            <w:right w:w="108" w:type="dxa"/>
          </w:tblCellMar>
        </w:tblPrEx>
        <w:trPr>
          <w:trHeight w:val="538" w:hRule="atLeast"/>
        </w:trPr>
        <w:tc>
          <w:tcPr>
            <w:tcW w:w="508" w:type="dxa"/>
            <w:vMerge w:val="continue"/>
            <w:tcBorders>
              <w:left w:val="single" w:color="auto" w:sz="4" w:space="0"/>
              <w:right w:val="single" w:color="auto" w:sz="4" w:space="0"/>
            </w:tcBorders>
            <w:vAlign w:val="center"/>
          </w:tcPr>
          <w:p w14:paraId="23E17E19">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3FA27B47">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exact"/>
              <w:jc w:val="center"/>
              <w:outlineLvl w:val="0"/>
              <w:rPr>
                <w:rFonts w:ascii="宋体" w:hAnsi="宋体" w:cs="宋体"/>
                <w:bCs/>
                <w:color w:val="000000"/>
                <w:kern w:val="44"/>
                <w:sz w:val="22"/>
                <w:szCs w:val="22"/>
              </w:rPr>
            </w:pPr>
            <w:bookmarkStart w:id="183" w:name="_Toc173946084"/>
            <w:bookmarkEnd w:id="183"/>
            <w:bookmarkStart w:id="184" w:name="_Toc173946419"/>
            <w:bookmarkEnd w:id="184"/>
            <w:bookmarkStart w:id="185" w:name="_Toc174034452"/>
            <w:bookmarkEnd w:id="185"/>
            <w:bookmarkStart w:id="186" w:name="_Toc116401574"/>
            <w:bookmarkEnd w:id="186"/>
            <w:bookmarkStart w:id="187" w:name="_Toc11444"/>
            <w:bookmarkEnd w:id="187"/>
            <w:bookmarkStart w:id="188" w:name="_Toc10195"/>
            <w:bookmarkEnd w:id="188"/>
            <w:bookmarkStart w:id="189" w:name="_Toc144801278"/>
            <w:bookmarkEnd w:id="189"/>
            <w:bookmarkStart w:id="190" w:name="_Toc13253"/>
            <w:bookmarkEnd w:id="190"/>
            <w:bookmarkStart w:id="191" w:name="_Toc7718"/>
            <w:bookmarkEnd w:id="191"/>
            <w:bookmarkStart w:id="192" w:name="_Toc27302"/>
            <w:bookmarkStart w:id="193" w:name="_Toc9826"/>
            <w:bookmarkStart w:id="194" w:name="_Toc21853"/>
            <w:bookmarkStart w:id="195" w:name="_Toc11083"/>
            <w:r>
              <w:rPr>
                <w:rFonts w:hint="eastAsia" w:ascii="宋体" w:hAnsi="宋体" w:cs="宋体"/>
                <w:bCs/>
                <w:color w:val="000000"/>
                <w:kern w:val="44"/>
                <w:sz w:val="22"/>
                <w:szCs w:val="22"/>
                <w:lang w:val="en-US" w:eastAsia="zh-CN"/>
              </w:rPr>
              <w:t>投标</w:t>
            </w:r>
            <w:r>
              <w:rPr>
                <w:rFonts w:hint="eastAsia" w:ascii="宋体" w:hAnsi="宋体" w:cs="宋体"/>
                <w:bCs/>
                <w:color w:val="000000"/>
                <w:kern w:val="44"/>
                <w:sz w:val="22"/>
                <w:szCs w:val="22"/>
              </w:rPr>
              <w:t>文件格式</w:t>
            </w:r>
            <w:bookmarkEnd w:id="192"/>
            <w:bookmarkEnd w:id="193"/>
            <w:bookmarkEnd w:id="194"/>
            <w:bookmarkEnd w:id="195"/>
          </w:p>
        </w:tc>
        <w:tc>
          <w:tcPr>
            <w:tcW w:w="5917" w:type="dxa"/>
            <w:tcBorders>
              <w:top w:val="single" w:color="auto" w:sz="4" w:space="0"/>
              <w:left w:val="nil"/>
              <w:bottom w:val="single" w:color="auto" w:sz="4" w:space="0"/>
              <w:right w:val="single" w:color="auto" w:sz="4" w:space="0"/>
            </w:tcBorders>
            <w:vAlign w:val="center"/>
          </w:tcPr>
          <w:p w14:paraId="08ED1112">
            <w:pPr>
              <w:spacing w:line="300" w:lineRule="exact"/>
              <w:rPr>
                <w:rFonts w:ascii="宋体" w:hAnsi="宋体"/>
                <w:sz w:val="22"/>
                <w:szCs w:val="22"/>
              </w:rPr>
            </w:pPr>
            <w:bookmarkStart w:id="196" w:name="_Toc31346"/>
            <w:bookmarkEnd w:id="196"/>
            <w:bookmarkStart w:id="197" w:name="_Toc144801279"/>
            <w:bookmarkEnd w:id="197"/>
            <w:bookmarkStart w:id="198" w:name="_Toc100"/>
            <w:bookmarkEnd w:id="198"/>
            <w:bookmarkStart w:id="199" w:name="_Toc116401575"/>
            <w:bookmarkEnd w:id="199"/>
            <w:bookmarkStart w:id="200" w:name="_Toc7239"/>
            <w:bookmarkEnd w:id="200"/>
            <w:bookmarkStart w:id="201" w:name="_Toc6786"/>
            <w:bookmarkEnd w:id="201"/>
            <w:bookmarkStart w:id="202" w:name="_Toc2616"/>
            <w:bookmarkEnd w:id="202"/>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招标文件</w:t>
            </w:r>
            <w:r>
              <w:rPr>
                <w:rFonts w:hint="eastAsia" w:ascii="宋体" w:hAnsi="宋体" w:cs="宋体"/>
                <w:bCs/>
                <w:color w:val="000000"/>
                <w:kern w:val="44"/>
                <w:sz w:val="22"/>
                <w:szCs w:val="22"/>
              </w:rPr>
              <w:t>“</w:t>
            </w:r>
            <w:r>
              <w:rPr>
                <w:rFonts w:hint="eastAsia" w:ascii="宋体" w:hAnsi="宋体" w:cs="宋体"/>
                <w:bCs/>
                <w:color w:val="000000"/>
                <w:kern w:val="44"/>
                <w:sz w:val="22"/>
                <w:szCs w:val="22"/>
                <w:lang w:val="en-US" w:eastAsia="zh-CN"/>
              </w:rPr>
              <w:t>电子投标</w:t>
            </w:r>
            <w:r>
              <w:rPr>
                <w:rFonts w:hint="eastAsia" w:ascii="宋体" w:hAnsi="宋体" w:cs="宋体"/>
                <w:bCs/>
                <w:color w:val="000000"/>
                <w:kern w:val="44"/>
                <w:sz w:val="22"/>
                <w:szCs w:val="22"/>
              </w:rPr>
              <w:t>文件格式”要求</w:t>
            </w:r>
          </w:p>
        </w:tc>
      </w:tr>
      <w:tr w14:paraId="1D4177A5">
        <w:tblPrEx>
          <w:tblCellMar>
            <w:top w:w="0" w:type="dxa"/>
            <w:left w:w="108" w:type="dxa"/>
            <w:bottom w:w="0" w:type="dxa"/>
            <w:right w:w="108" w:type="dxa"/>
          </w:tblCellMar>
        </w:tblPrEx>
        <w:trPr>
          <w:trHeight w:val="538" w:hRule="atLeast"/>
        </w:trPr>
        <w:tc>
          <w:tcPr>
            <w:tcW w:w="508" w:type="dxa"/>
            <w:vMerge w:val="continue"/>
            <w:tcBorders>
              <w:left w:val="single" w:color="auto" w:sz="4" w:space="0"/>
              <w:bottom w:val="single" w:color="auto" w:sz="4" w:space="0"/>
              <w:right w:val="single" w:color="auto" w:sz="4" w:space="0"/>
            </w:tcBorders>
            <w:vAlign w:val="center"/>
          </w:tcPr>
          <w:p w14:paraId="1F9915B5">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5F1D2A97">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shd w:val="clear" w:color="auto" w:fill="auto"/>
            <w:vAlign w:val="center"/>
          </w:tcPr>
          <w:p w14:paraId="66351646">
            <w:pPr>
              <w:adjustRightInd w:val="0"/>
              <w:snapToGrid w:val="0"/>
              <w:spacing w:line="360" w:lineRule="exact"/>
              <w:jc w:val="center"/>
              <w:outlineLvl w:val="0"/>
              <w:rPr>
                <w:rFonts w:hint="eastAsia" w:ascii="宋体" w:hAnsi="宋体" w:cs="宋体"/>
                <w:bCs/>
                <w:color w:val="000000"/>
                <w:kern w:val="44"/>
                <w:sz w:val="22"/>
                <w:szCs w:val="22"/>
                <w:lang w:val="en-US" w:eastAsia="zh-CN"/>
              </w:rPr>
            </w:pPr>
            <w:bookmarkStart w:id="203" w:name="_Toc30000"/>
            <w:r>
              <w:rPr>
                <w:rFonts w:hint="eastAsia" w:ascii="宋体" w:hAnsi="宋体" w:cs="宋体"/>
                <w:bCs/>
                <w:color w:val="000000"/>
                <w:kern w:val="44"/>
                <w:sz w:val="22"/>
                <w:szCs w:val="22"/>
              </w:rPr>
              <w:t>报价唯一</w:t>
            </w:r>
            <w:bookmarkEnd w:id="203"/>
          </w:p>
        </w:tc>
        <w:tc>
          <w:tcPr>
            <w:tcW w:w="5917" w:type="dxa"/>
            <w:tcBorders>
              <w:top w:val="single" w:color="auto" w:sz="4" w:space="0"/>
              <w:left w:val="nil"/>
              <w:bottom w:val="single" w:color="auto" w:sz="4" w:space="0"/>
              <w:right w:val="single" w:color="auto" w:sz="4" w:space="0"/>
            </w:tcBorders>
            <w:shd w:val="clear" w:color="auto" w:fill="auto"/>
            <w:vAlign w:val="center"/>
          </w:tcPr>
          <w:p w14:paraId="5C4D53B2">
            <w:pPr>
              <w:adjustRightInd w:val="0"/>
              <w:snapToGrid w:val="0"/>
              <w:spacing w:line="360" w:lineRule="exact"/>
              <w:jc w:val="both"/>
              <w:outlineLvl w:val="0"/>
              <w:rPr>
                <w:rFonts w:hint="eastAsia" w:ascii="宋体" w:hAnsi="宋体" w:cs="宋体"/>
                <w:bCs/>
                <w:color w:val="000000"/>
                <w:kern w:val="44"/>
                <w:sz w:val="22"/>
                <w:szCs w:val="22"/>
                <w:lang w:val="en-US" w:eastAsia="zh-CN"/>
              </w:rPr>
            </w:pPr>
            <w:bookmarkStart w:id="204" w:name="_Toc7987"/>
            <w:r>
              <w:rPr>
                <w:rFonts w:hint="eastAsia" w:ascii="宋体" w:hAnsi="宋体" w:cs="宋体"/>
                <w:bCs/>
                <w:color w:val="000000"/>
                <w:kern w:val="44"/>
                <w:sz w:val="22"/>
                <w:szCs w:val="22"/>
              </w:rPr>
              <w:t>只能有一个有效报价</w:t>
            </w:r>
            <w:bookmarkEnd w:id="204"/>
          </w:p>
        </w:tc>
      </w:tr>
      <w:tr w14:paraId="1AF5EC3C">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28320073">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932" w:type="dxa"/>
            <w:vMerge w:val="restart"/>
            <w:tcBorders>
              <w:left w:val="nil"/>
              <w:right w:val="single" w:color="auto" w:sz="4" w:space="0"/>
            </w:tcBorders>
            <w:vAlign w:val="center"/>
          </w:tcPr>
          <w:p w14:paraId="20B1AB32">
            <w:pPr>
              <w:spacing w:line="600" w:lineRule="exact"/>
              <w:rPr>
                <w:rFonts w:ascii="宋体" w:hAnsi="宋体" w:cs="宋体"/>
                <w:sz w:val="22"/>
                <w:szCs w:val="22"/>
              </w:rPr>
            </w:pPr>
            <w:r>
              <w:rPr>
                <w:rFonts w:hint="eastAsia" w:ascii="宋体" w:hAnsi="宋体" w:cs="宋体"/>
                <w:sz w:val="22"/>
                <w:szCs w:val="22"/>
              </w:rPr>
              <w:t>资格性评审标准</w:t>
            </w:r>
          </w:p>
        </w:tc>
        <w:tc>
          <w:tcPr>
            <w:tcW w:w="2207" w:type="dxa"/>
            <w:tcBorders>
              <w:top w:val="single" w:color="auto" w:sz="4" w:space="0"/>
              <w:left w:val="nil"/>
              <w:right w:val="single" w:color="auto" w:sz="4" w:space="0"/>
            </w:tcBorders>
            <w:shd w:val="clear" w:color="auto" w:fill="auto"/>
            <w:vAlign w:val="center"/>
          </w:tcPr>
          <w:p w14:paraId="1A3B9402">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营业执照</w:t>
            </w:r>
          </w:p>
        </w:tc>
        <w:tc>
          <w:tcPr>
            <w:tcW w:w="5917" w:type="dxa"/>
            <w:tcBorders>
              <w:top w:val="single" w:color="auto" w:sz="4" w:space="0"/>
              <w:left w:val="nil"/>
              <w:right w:val="single" w:color="auto" w:sz="4" w:space="0"/>
            </w:tcBorders>
            <w:shd w:val="clear" w:color="auto" w:fill="auto"/>
            <w:vAlign w:val="center"/>
          </w:tcPr>
          <w:p w14:paraId="7DCB2FF2">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供应商必须是在中华人民共和国境内注册的能够独立承担民事责任的独立法人，具有有效的营业执照</w:t>
            </w:r>
          </w:p>
        </w:tc>
      </w:tr>
      <w:tr w14:paraId="67A918C9">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07700EEE">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511C3A7D">
            <w:pPr>
              <w:spacing w:line="600" w:lineRule="exact"/>
              <w:rPr>
                <w:rFonts w:hint="eastAsia"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10C51CA4">
            <w:pPr>
              <w:spacing w:line="240" w:lineRule="atLeast"/>
              <w:jc w:val="center"/>
              <w:rPr>
                <w:rFonts w:hint="eastAsia" w:ascii="宋体" w:hAnsi="宋体" w:eastAsia="宋体" w:cs="Times New Roman"/>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落实政府采购政策满足的资格要求</w:t>
            </w:r>
          </w:p>
        </w:tc>
        <w:tc>
          <w:tcPr>
            <w:tcW w:w="5917" w:type="dxa"/>
            <w:tcBorders>
              <w:top w:val="single" w:color="auto" w:sz="4" w:space="0"/>
              <w:left w:val="nil"/>
              <w:right w:val="single" w:color="auto" w:sz="4" w:space="0"/>
            </w:tcBorders>
            <w:shd w:val="clear" w:color="auto" w:fill="auto"/>
            <w:vAlign w:val="center"/>
          </w:tcPr>
          <w:p w14:paraId="783E612C">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本项目非专门面向中小微企业采购项目，执行促进中小型企业发展政策（残疾人福利性企业、监狱企业视同小微企业）、优先采购节能环保产品等政府采购政策</w:t>
            </w:r>
          </w:p>
        </w:tc>
      </w:tr>
      <w:tr w14:paraId="7F579178">
        <w:tblPrEx>
          <w:tblCellMar>
            <w:top w:w="0" w:type="dxa"/>
            <w:left w:w="108" w:type="dxa"/>
            <w:bottom w:w="0" w:type="dxa"/>
            <w:right w:w="108" w:type="dxa"/>
          </w:tblCellMar>
        </w:tblPrEx>
        <w:trPr>
          <w:trHeight w:val="749" w:hRule="atLeast"/>
        </w:trPr>
        <w:tc>
          <w:tcPr>
            <w:tcW w:w="508" w:type="dxa"/>
            <w:vMerge w:val="continue"/>
            <w:tcBorders>
              <w:left w:val="single" w:color="auto" w:sz="4" w:space="0"/>
              <w:right w:val="single" w:color="auto" w:sz="4" w:space="0"/>
            </w:tcBorders>
            <w:vAlign w:val="center"/>
          </w:tcPr>
          <w:p w14:paraId="647166D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75B1FE0">
            <w:pPr>
              <w:spacing w:line="600" w:lineRule="exact"/>
              <w:rPr>
                <w:rFonts w:ascii="宋体" w:hAnsi="宋体" w:cs="宋体"/>
                <w:sz w:val="22"/>
                <w:szCs w:val="22"/>
              </w:rPr>
            </w:pPr>
          </w:p>
        </w:tc>
        <w:tc>
          <w:tcPr>
            <w:tcW w:w="2207" w:type="dxa"/>
            <w:tcBorders>
              <w:top w:val="single" w:color="auto" w:sz="4" w:space="0"/>
              <w:left w:val="nil"/>
              <w:right w:val="single" w:color="auto" w:sz="4" w:space="0"/>
            </w:tcBorders>
            <w:vAlign w:val="center"/>
          </w:tcPr>
          <w:p w14:paraId="27C3A841">
            <w:pPr>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设备、人员和专业技术能力</w:t>
            </w:r>
            <w:r>
              <w:rPr>
                <w:rFonts w:hint="eastAsia" w:ascii="宋体" w:hAnsi="宋体" w:eastAsia="宋体" w:cs="宋体"/>
                <w:sz w:val="22"/>
                <w:szCs w:val="22"/>
                <w:lang w:val="en-US" w:eastAsia="zh-CN"/>
              </w:rPr>
              <w:t>要求</w:t>
            </w:r>
          </w:p>
        </w:tc>
        <w:tc>
          <w:tcPr>
            <w:tcW w:w="5917" w:type="dxa"/>
            <w:tcBorders>
              <w:top w:val="single" w:color="auto" w:sz="4" w:space="0"/>
              <w:left w:val="nil"/>
              <w:right w:val="single" w:color="auto" w:sz="4" w:space="0"/>
            </w:tcBorders>
            <w:vAlign w:val="center"/>
          </w:tcPr>
          <w:p w14:paraId="305E9503">
            <w:pPr>
              <w:adjustRightInd w:val="0"/>
              <w:snapToGrid w:val="0"/>
              <w:spacing w:line="360" w:lineRule="exact"/>
              <w:outlineLvl w:val="0"/>
              <w:rPr>
                <w:rFonts w:hint="eastAsia" w:ascii="宋体" w:hAnsi="宋体" w:cs="宋体"/>
                <w:sz w:val="22"/>
                <w:szCs w:val="22"/>
              </w:rPr>
            </w:pPr>
            <w:r>
              <w:rPr>
                <w:rFonts w:hint="eastAsia" w:ascii="宋体" w:hAnsi="宋体" w:cs="宋体"/>
                <w:sz w:val="22"/>
                <w:szCs w:val="22"/>
                <w:lang w:val="en-US" w:eastAsia="zh-CN"/>
              </w:rPr>
              <w:t>供应商须具有履行合同所必须的设备、人员和专业技术能力；（提供承诺书或证明材料，承诺书格式自拟）</w:t>
            </w:r>
          </w:p>
        </w:tc>
      </w:tr>
      <w:tr w14:paraId="3770E9F0">
        <w:tblPrEx>
          <w:tblCellMar>
            <w:top w:w="0" w:type="dxa"/>
            <w:left w:w="108" w:type="dxa"/>
            <w:bottom w:w="0" w:type="dxa"/>
            <w:right w:w="108" w:type="dxa"/>
          </w:tblCellMar>
        </w:tblPrEx>
        <w:trPr>
          <w:trHeight w:val="792" w:hRule="atLeast"/>
        </w:trPr>
        <w:tc>
          <w:tcPr>
            <w:tcW w:w="508" w:type="dxa"/>
            <w:vMerge w:val="continue"/>
            <w:tcBorders>
              <w:left w:val="single" w:color="auto" w:sz="4" w:space="0"/>
              <w:right w:val="single" w:color="auto" w:sz="4" w:space="0"/>
            </w:tcBorders>
            <w:vAlign w:val="center"/>
          </w:tcPr>
          <w:p w14:paraId="0C7848D3">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F587D08">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2F8921B6">
            <w:pPr>
              <w:jc w:val="center"/>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财务状况</w:t>
            </w:r>
          </w:p>
        </w:tc>
        <w:tc>
          <w:tcPr>
            <w:tcW w:w="5917" w:type="dxa"/>
            <w:tcBorders>
              <w:top w:val="single" w:color="auto" w:sz="4" w:space="0"/>
              <w:left w:val="nil"/>
              <w:right w:val="single" w:color="auto" w:sz="4" w:space="0"/>
            </w:tcBorders>
            <w:shd w:val="clear" w:color="auto" w:fill="auto"/>
            <w:vAlign w:val="center"/>
          </w:tcPr>
          <w:p w14:paraId="10FFA4EC">
            <w:pPr>
              <w:spacing w:line="240" w:lineRule="auto"/>
              <w:jc w:val="left"/>
              <w:rPr>
                <w:rFonts w:hint="eastAsia" w:ascii="宋体" w:hAnsi="宋体" w:cs="宋体" w:eastAsiaTheme="minorEastAsia"/>
                <w:kern w:val="2"/>
                <w:sz w:val="22"/>
                <w:szCs w:val="22"/>
                <w:highlight w:val="none"/>
                <w:lang w:val="en-US" w:eastAsia="zh-CN" w:bidi="ar-SA"/>
              </w:rPr>
            </w:pPr>
            <w:r>
              <w:rPr>
                <w:rFonts w:hint="eastAsia" w:ascii="宋体" w:hAnsi="宋体" w:cs="宋体" w:eastAsiaTheme="minorEastAsia"/>
                <w:kern w:val="2"/>
                <w:sz w:val="22"/>
                <w:szCs w:val="22"/>
                <w:highlight w:val="none"/>
                <w:lang w:val="en-US" w:eastAsia="zh-CN" w:bidi="ar-SA"/>
              </w:rPr>
              <w:t>供应商具有良好的商业信誉和健全的财务会计制度（提供承诺书或证明材料，承诺书格式自拟）</w:t>
            </w:r>
          </w:p>
        </w:tc>
      </w:tr>
      <w:tr w14:paraId="225885F9">
        <w:tblPrEx>
          <w:tblCellMar>
            <w:top w:w="0" w:type="dxa"/>
            <w:left w:w="108" w:type="dxa"/>
            <w:bottom w:w="0" w:type="dxa"/>
            <w:right w:w="108" w:type="dxa"/>
          </w:tblCellMar>
        </w:tblPrEx>
        <w:trPr>
          <w:trHeight w:val="1099" w:hRule="atLeast"/>
        </w:trPr>
        <w:tc>
          <w:tcPr>
            <w:tcW w:w="508" w:type="dxa"/>
            <w:vMerge w:val="continue"/>
            <w:tcBorders>
              <w:left w:val="single" w:color="auto" w:sz="4" w:space="0"/>
              <w:right w:val="single" w:color="auto" w:sz="4" w:space="0"/>
            </w:tcBorders>
            <w:vAlign w:val="center"/>
          </w:tcPr>
          <w:p w14:paraId="57AAB54A">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7222648">
            <w:pPr>
              <w:spacing w:line="600" w:lineRule="exact"/>
              <w:rPr>
                <w:rFonts w:ascii="宋体" w:hAnsi="宋体" w:cs="宋体"/>
                <w:sz w:val="22"/>
                <w:szCs w:val="22"/>
              </w:rPr>
            </w:pPr>
          </w:p>
        </w:tc>
        <w:tc>
          <w:tcPr>
            <w:tcW w:w="2207" w:type="dxa"/>
            <w:tcBorders>
              <w:top w:val="single" w:color="auto" w:sz="4" w:space="0"/>
              <w:left w:val="nil"/>
              <w:right w:val="single" w:color="auto" w:sz="4" w:space="0"/>
            </w:tcBorders>
            <w:vAlign w:val="center"/>
          </w:tcPr>
          <w:p w14:paraId="729B21BB">
            <w:pPr>
              <w:jc w:val="center"/>
              <w:rPr>
                <w:rFonts w:hint="default" w:ascii="宋体" w:hAnsi="宋体" w:cs="宋体"/>
                <w:sz w:val="22"/>
                <w:szCs w:val="22"/>
                <w:lang w:val="en-US" w:eastAsia="zh-CN"/>
              </w:rPr>
            </w:pPr>
            <w:r>
              <w:rPr>
                <w:rFonts w:hint="default" w:ascii="宋体" w:hAnsi="宋体" w:cs="宋体"/>
                <w:sz w:val="22"/>
                <w:szCs w:val="22"/>
                <w:lang w:val="en-US" w:eastAsia="zh-CN"/>
              </w:rPr>
              <w:t>依法缴纳税收和社会保障资金</w:t>
            </w:r>
          </w:p>
        </w:tc>
        <w:tc>
          <w:tcPr>
            <w:tcW w:w="5917" w:type="dxa"/>
            <w:tcBorders>
              <w:top w:val="single" w:color="auto" w:sz="4" w:space="0"/>
              <w:left w:val="nil"/>
              <w:right w:val="single" w:color="auto" w:sz="4" w:space="0"/>
            </w:tcBorders>
            <w:vAlign w:val="center"/>
          </w:tcPr>
          <w:p w14:paraId="24FDD445">
            <w:pPr>
              <w:spacing w:line="240" w:lineRule="auto"/>
              <w:jc w:val="left"/>
              <w:rPr>
                <w:rFonts w:hint="eastAsia" w:ascii="宋体" w:hAnsi="宋体" w:cs="宋体"/>
                <w:sz w:val="22"/>
                <w:szCs w:val="22"/>
                <w:highlight w:val="none"/>
                <w:lang w:eastAsia="zh-CN"/>
              </w:rPr>
            </w:pPr>
            <w:r>
              <w:rPr>
                <w:rFonts w:hint="eastAsia" w:ascii="宋体" w:hAnsi="宋体" w:cs="宋体"/>
                <w:sz w:val="22"/>
                <w:szCs w:val="22"/>
                <w:highlight w:val="none"/>
                <w:lang w:val="en-US" w:eastAsia="zh-CN"/>
              </w:rPr>
              <w:t>供应商具有依法缴纳税收和社会保障资金的良好记录（提供承诺书或证明材料，承诺书格式自拟）；拟派项目负责人养老保险缴纳证明（提供承诺书或证明材料，承诺书格式自拟）</w:t>
            </w:r>
          </w:p>
        </w:tc>
      </w:tr>
      <w:tr w14:paraId="3EAA7B2A">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0BF67706">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9AD408C">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6C0C4017">
            <w:pPr>
              <w:jc w:val="center"/>
              <w:rPr>
                <w:rFonts w:hint="eastAsia"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无商业贿赂和不正当竞争行为</w:t>
            </w:r>
          </w:p>
        </w:tc>
        <w:tc>
          <w:tcPr>
            <w:tcW w:w="5917" w:type="dxa"/>
            <w:tcBorders>
              <w:top w:val="single" w:color="auto" w:sz="4" w:space="0"/>
              <w:left w:val="nil"/>
              <w:right w:val="single" w:color="auto" w:sz="4" w:space="0"/>
            </w:tcBorders>
            <w:shd w:val="clear" w:color="auto" w:fill="auto"/>
            <w:vAlign w:val="center"/>
          </w:tcPr>
          <w:p w14:paraId="57415945">
            <w:pPr>
              <w:pStyle w:val="15"/>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参加政府采购活动前3年内无行贿犯罪记录、商业贿赂、不正当竞争行为、骗取中标、严重违约及重大工程质量等问题（提供承诺书或证明材料，承诺书格式自拟）</w:t>
            </w:r>
          </w:p>
        </w:tc>
      </w:tr>
      <w:tr w14:paraId="395F0FDA">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7D74831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55CF512">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1DB3DB4C">
            <w:pPr>
              <w:jc w:val="center"/>
              <w:rPr>
                <w:rFonts w:hint="default"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无行贿犯罪记录查询</w:t>
            </w:r>
          </w:p>
        </w:tc>
        <w:tc>
          <w:tcPr>
            <w:tcW w:w="5917" w:type="dxa"/>
            <w:tcBorders>
              <w:top w:val="single" w:color="auto" w:sz="4" w:space="0"/>
              <w:left w:val="nil"/>
              <w:right w:val="single" w:color="auto" w:sz="4" w:space="0"/>
            </w:tcBorders>
            <w:shd w:val="clear" w:color="auto" w:fill="auto"/>
            <w:vAlign w:val="center"/>
          </w:tcPr>
          <w:p w14:paraId="4B5E8666">
            <w:pPr>
              <w:pStyle w:val="15"/>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供应商出具无行贿犯罪记录在中国裁判文书网自行查询或自行承诺（查询/承诺对象：企业、法定代表人），查询日期必须在本项目招标公告发布之日后，查询截图需显示查询时间；</w:t>
            </w:r>
          </w:p>
        </w:tc>
      </w:tr>
      <w:tr w14:paraId="17F4B07B">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57DCACB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B6847B9">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0DE1DFD8">
            <w:pPr>
              <w:jc w:val="center"/>
              <w:rPr>
                <w:rFonts w:hint="eastAsia" w:hAnsi="宋体" w:cs="Courier New" w:eastAsiaTheme="minorEastAsia"/>
                <w:sz w:val="22"/>
                <w:szCs w:val="22"/>
                <w:lang w:eastAsia="zh-CN"/>
              </w:rPr>
            </w:pPr>
            <w:bookmarkStart w:id="205" w:name="_Toc109033491"/>
            <w:bookmarkEnd w:id="205"/>
            <w:bookmarkStart w:id="206" w:name="_Toc20453"/>
            <w:bookmarkEnd w:id="206"/>
            <w:bookmarkStart w:id="207" w:name="_Toc77596807"/>
            <w:bookmarkEnd w:id="207"/>
            <w:bookmarkStart w:id="208" w:name="_Toc109464609"/>
            <w:bookmarkEnd w:id="208"/>
            <w:bookmarkStart w:id="209" w:name="_Toc9108"/>
            <w:bookmarkEnd w:id="209"/>
            <w:bookmarkStart w:id="210" w:name="_Toc50397872"/>
            <w:bookmarkEnd w:id="210"/>
            <w:bookmarkStart w:id="211" w:name="_Toc50397332"/>
            <w:bookmarkEnd w:id="211"/>
            <w:bookmarkStart w:id="212" w:name="_Toc30444"/>
            <w:bookmarkEnd w:id="212"/>
            <w:bookmarkStart w:id="213" w:name="_Toc21447"/>
            <w:bookmarkEnd w:id="213"/>
            <w:bookmarkStart w:id="214" w:name="_Toc116401594"/>
            <w:bookmarkEnd w:id="214"/>
            <w:bookmarkStart w:id="215" w:name="_Toc144801297"/>
            <w:bookmarkEnd w:id="215"/>
            <w:bookmarkStart w:id="216" w:name="_Toc23510"/>
            <w:bookmarkEnd w:id="216"/>
            <w:bookmarkStart w:id="217" w:name="_Toc109465607"/>
            <w:bookmarkEnd w:id="217"/>
            <w:r>
              <w:rPr>
                <w:rFonts w:hint="eastAsia" w:ascii="宋体" w:hAnsi="宋体" w:cs="宋体"/>
                <w:bCs/>
                <w:color w:val="000000"/>
                <w:kern w:val="44"/>
                <w:sz w:val="22"/>
                <w:szCs w:val="22"/>
                <w:lang w:val="en-US" w:eastAsia="zh-CN"/>
              </w:rPr>
              <w:t>信用查询</w:t>
            </w:r>
          </w:p>
        </w:tc>
        <w:tc>
          <w:tcPr>
            <w:tcW w:w="5917" w:type="dxa"/>
            <w:tcBorders>
              <w:top w:val="single" w:color="auto" w:sz="4" w:space="0"/>
              <w:left w:val="nil"/>
              <w:bottom w:val="single" w:color="auto" w:sz="4" w:space="0"/>
              <w:right w:val="single" w:color="auto" w:sz="4" w:space="0"/>
            </w:tcBorders>
          </w:tcPr>
          <w:p w14:paraId="6C39D9B6">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p>
        </w:tc>
      </w:tr>
      <w:tr w14:paraId="0826D62C">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1E7088B1">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2EB94F52">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7B942721">
            <w:pPr>
              <w:adjustRightInd w:val="0"/>
              <w:snapToGrid w:val="0"/>
              <w:spacing w:line="360" w:lineRule="exact"/>
              <w:jc w:val="center"/>
              <w:outlineLvl w:val="0"/>
              <w:rPr>
                <w:rFonts w:ascii="宋体" w:hAnsi="宋体" w:cs="宋体"/>
                <w:bCs/>
                <w:color w:val="000000"/>
                <w:kern w:val="44"/>
                <w:sz w:val="22"/>
                <w:szCs w:val="22"/>
              </w:rPr>
            </w:pPr>
            <w:bookmarkStart w:id="218" w:name="_Toc173946421"/>
            <w:bookmarkEnd w:id="218"/>
            <w:bookmarkStart w:id="219" w:name="_Toc174034454"/>
            <w:bookmarkEnd w:id="219"/>
            <w:bookmarkStart w:id="220" w:name="_Toc12452"/>
            <w:bookmarkEnd w:id="220"/>
            <w:bookmarkStart w:id="221" w:name="_Toc173946086"/>
            <w:bookmarkEnd w:id="221"/>
            <w:bookmarkStart w:id="222" w:name="_Toc6308"/>
            <w:bookmarkStart w:id="223" w:name="_Toc8218"/>
            <w:bookmarkStart w:id="224" w:name="_Toc10748"/>
            <w:bookmarkStart w:id="225" w:name="_Toc6978"/>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rPr>
              <w:t>负责人为同一人或者存在直接控股、管理关系的不同</w:t>
            </w:r>
            <w:r>
              <w:rPr>
                <w:rFonts w:hint="eastAsia" w:ascii="宋体" w:hAnsi="宋体" w:cs="宋体"/>
                <w:color w:val="000000"/>
                <w:kern w:val="0"/>
                <w:sz w:val="22"/>
                <w:szCs w:val="22"/>
                <w:lang w:val="en-US" w:eastAsia="zh-CN"/>
              </w:rPr>
              <w:t>供应商</w:t>
            </w:r>
            <w:r>
              <w:rPr>
                <w:rFonts w:hint="eastAsia" w:ascii="宋体" w:hAnsi="宋体" w:cs="宋体"/>
                <w:color w:val="000000"/>
                <w:kern w:val="0"/>
                <w:sz w:val="22"/>
                <w:szCs w:val="22"/>
              </w:rPr>
              <w:t>，不得参加同一合同项</w:t>
            </w:r>
            <w:r>
              <w:rPr>
                <w:rFonts w:hint="eastAsia" w:ascii="宋体" w:hAnsi="宋体" w:cs="宋体"/>
                <w:color w:val="000000"/>
                <w:kern w:val="0"/>
                <w:sz w:val="22"/>
                <w:szCs w:val="22"/>
                <w:lang w:val="en-US" w:eastAsia="zh-CN"/>
              </w:rPr>
              <w:t>目</w:t>
            </w:r>
            <w:r>
              <w:rPr>
                <w:rFonts w:hint="eastAsia" w:ascii="宋体" w:hAnsi="宋体" w:cs="宋体"/>
                <w:color w:val="000000"/>
                <w:kern w:val="0"/>
                <w:sz w:val="22"/>
                <w:szCs w:val="22"/>
              </w:rPr>
              <w:t>下的采购活动</w:t>
            </w:r>
            <w:bookmarkEnd w:id="222"/>
            <w:bookmarkEnd w:id="223"/>
            <w:bookmarkEnd w:id="224"/>
            <w:bookmarkEnd w:id="225"/>
          </w:p>
        </w:tc>
        <w:tc>
          <w:tcPr>
            <w:tcW w:w="5917" w:type="dxa"/>
            <w:tcBorders>
              <w:top w:val="single" w:color="auto" w:sz="4" w:space="0"/>
              <w:left w:val="nil"/>
              <w:bottom w:val="single" w:color="auto" w:sz="4" w:space="0"/>
              <w:right w:val="single" w:color="auto" w:sz="4" w:space="0"/>
            </w:tcBorders>
          </w:tcPr>
          <w:p w14:paraId="76C46DFF">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w:t>
            </w:r>
            <w:r>
              <w:rPr>
                <w:rFonts w:hint="eastAsia" w:ascii="宋体" w:hAnsi="宋体" w:cs="宋体"/>
                <w:color w:val="000000"/>
                <w:sz w:val="22"/>
                <w:szCs w:val="22"/>
              </w:rPr>
              <w:t>；</w:t>
            </w:r>
          </w:p>
        </w:tc>
      </w:tr>
      <w:tr w14:paraId="06A70EA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0D4A369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7794ACD">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226" w:name="_Toc173946422"/>
            <w:bookmarkEnd w:id="226"/>
            <w:bookmarkStart w:id="227" w:name="_Toc7643"/>
            <w:bookmarkEnd w:id="227"/>
            <w:bookmarkStart w:id="228" w:name="_Toc173946087"/>
            <w:bookmarkEnd w:id="228"/>
            <w:bookmarkStart w:id="229" w:name="_Toc174034455"/>
            <w:bookmarkEnd w:id="229"/>
            <w:bookmarkStart w:id="230" w:name="_Toc30963"/>
            <w:r>
              <w:rPr>
                <w:rFonts w:hint="eastAsia" w:ascii="宋体" w:hAnsi="宋体" w:cs="宋体"/>
                <w:color w:val="000000"/>
                <w:kern w:val="0"/>
                <w:sz w:val="22"/>
                <w:szCs w:val="22"/>
                <w:lang w:val="en-US" w:eastAsia="zh-CN"/>
              </w:rPr>
              <w:t>联合体</w:t>
            </w:r>
            <w:bookmarkEnd w:id="230"/>
          </w:p>
        </w:tc>
        <w:tc>
          <w:tcPr>
            <w:tcW w:w="5917" w:type="dxa"/>
            <w:tcBorders>
              <w:top w:val="single" w:color="auto" w:sz="4" w:space="0"/>
              <w:left w:val="nil"/>
              <w:bottom w:val="single" w:color="auto" w:sz="4" w:space="0"/>
              <w:right w:val="single" w:color="auto" w:sz="4" w:space="0"/>
            </w:tcBorders>
            <w:vAlign w:val="center"/>
          </w:tcPr>
          <w:p w14:paraId="3F471ECA">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本项目不接受联合体投标（提供非联合体承诺书，格式自拟）；</w:t>
            </w:r>
          </w:p>
        </w:tc>
      </w:tr>
      <w:tr w14:paraId="032FA87A">
        <w:tblPrEx>
          <w:tblCellMar>
            <w:top w:w="0" w:type="dxa"/>
            <w:left w:w="108" w:type="dxa"/>
            <w:bottom w:w="0" w:type="dxa"/>
            <w:right w:w="108" w:type="dxa"/>
          </w:tblCellMar>
        </w:tblPrEx>
        <w:trPr>
          <w:trHeight w:val="569" w:hRule="atLeast"/>
        </w:trPr>
        <w:tc>
          <w:tcPr>
            <w:tcW w:w="508" w:type="dxa"/>
            <w:vMerge w:val="continue"/>
            <w:tcBorders>
              <w:left w:val="single" w:color="auto" w:sz="4" w:space="0"/>
              <w:bottom w:val="single" w:color="auto" w:sz="4" w:space="0"/>
              <w:right w:val="single" w:color="auto" w:sz="4" w:space="0"/>
            </w:tcBorders>
            <w:vAlign w:val="center"/>
          </w:tcPr>
          <w:p w14:paraId="32AE8D2E">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170B7458">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FF3AC1F">
            <w:pPr>
              <w:adjustRightInd w:val="0"/>
              <w:snapToGrid w:val="0"/>
              <w:spacing w:line="360" w:lineRule="exact"/>
              <w:jc w:val="center"/>
              <w:outlineLvl w:val="0"/>
              <w:rPr>
                <w:rFonts w:hint="default" w:ascii="宋体" w:hAnsi="宋体" w:cs="宋体"/>
                <w:color w:val="000000"/>
                <w:kern w:val="0"/>
                <w:sz w:val="22"/>
                <w:szCs w:val="22"/>
                <w:lang w:val="en-US" w:eastAsia="zh-CN"/>
              </w:rPr>
            </w:pPr>
            <w:bookmarkStart w:id="231" w:name="_Toc22582"/>
            <w:r>
              <w:rPr>
                <w:rFonts w:hint="eastAsia" w:ascii="宋体" w:hAnsi="宋体" w:cs="宋体"/>
                <w:color w:val="000000"/>
                <w:kern w:val="0"/>
                <w:sz w:val="22"/>
                <w:szCs w:val="22"/>
                <w:lang w:val="en-US" w:eastAsia="zh-CN"/>
              </w:rPr>
              <w:t>资格后审</w:t>
            </w:r>
            <w:bookmarkEnd w:id="231"/>
          </w:p>
        </w:tc>
        <w:tc>
          <w:tcPr>
            <w:tcW w:w="5917" w:type="dxa"/>
            <w:tcBorders>
              <w:top w:val="single" w:color="auto" w:sz="4" w:space="0"/>
              <w:left w:val="nil"/>
              <w:bottom w:val="single" w:color="auto" w:sz="4" w:space="0"/>
              <w:right w:val="single" w:color="auto" w:sz="4" w:space="0"/>
            </w:tcBorders>
            <w:vAlign w:val="center"/>
          </w:tcPr>
          <w:p w14:paraId="4011FAE2">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本次招标实行资格后审，资格审查的具体要求见招标文件（提供资格后审承诺书，格式自拟）</w:t>
            </w:r>
          </w:p>
        </w:tc>
      </w:tr>
      <w:tr w14:paraId="1F5A769D">
        <w:tblPrEx>
          <w:tblCellMar>
            <w:top w:w="0" w:type="dxa"/>
            <w:left w:w="108" w:type="dxa"/>
            <w:bottom w:w="0" w:type="dxa"/>
            <w:right w:w="108" w:type="dxa"/>
          </w:tblCellMar>
        </w:tblPrEx>
        <w:trPr>
          <w:trHeight w:val="625" w:hRule="atLeast"/>
        </w:trPr>
        <w:tc>
          <w:tcPr>
            <w:tcW w:w="508" w:type="dxa"/>
            <w:vMerge w:val="restart"/>
            <w:tcBorders>
              <w:top w:val="single" w:color="auto" w:sz="4" w:space="0"/>
              <w:left w:val="single" w:color="auto" w:sz="4" w:space="0"/>
              <w:right w:val="single" w:color="auto" w:sz="4" w:space="0"/>
            </w:tcBorders>
            <w:vAlign w:val="center"/>
          </w:tcPr>
          <w:p w14:paraId="243BEC40">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932" w:type="dxa"/>
            <w:vMerge w:val="restart"/>
            <w:tcBorders>
              <w:top w:val="single" w:color="auto" w:sz="4" w:space="0"/>
              <w:left w:val="nil"/>
              <w:right w:val="single" w:color="auto" w:sz="4" w:space="0"/>
            </w:tcBorders>
            <w:vAlign w:val="center"/>
          </w:tcPr>
          <w:p w14:paraId="43DA6631">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207" w:type="dxa"/>
            <w:tcBorders>
              <w:top w:val="single" w:color="auto" w:sz="4" w:space="0"/>
              <w:left w:val="nil"/>
              <w:bottom w:val="single" w:color="auto" w:sz="4" w:space="0"/>
              <w:right w:val="single" w:color="auto" w:sz="4" w:space="0"/>
            </w:tcBorders>
            <w:vAlign w:val="center"/>
          </w:tcPr>
          <w:p w14:paraId="1E3905D1">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eastAsiaTheme="minorEastAsia"/>
                <w:sz w:val="22"/>
                <w:szCs w:val="20"/>
                <w:highlight w:val="none"/>
                <w:lang w:val="en-US" w:eastAsia="zh-CN"/>
              </w:rPr>
              <w:t>交货及安装期</w:t>
            </w:r>
          </w:p>
        </w:tc>
        <w:tc>
          <w:tcPr>
            <w:tcW w:w="5917" w:type="dxa"/>
            <w:tcBorders>
              <w:top w:val="single" w:color="auto" w:sz="4" w:space="0"/>
              <w:left w:val="nil"/>
              <w:bottom w:val="single" w:color="auto" w:sz="4" w:space="0"/>
              <w:right w:val="single" w:color="auto" w:sz="4" w:space="0"/>
            </w:tcBorders>
            <w:vAlign w:val="center"/>
          </w:tcPr>
          <w:p w14:paraId="288BF2A1">
            <w:pPr>
              <w:adjustRightInd w:val="0"/>
              <w:snapToGrid w:val="0"/>
              <w:spacing w:line="360" w:lineRule="auto"/>
              <w:jc w:val="left"/>
              <w:rPr>
                <w:rFonts w:ascii="宋体" w:hAnsi="宋体"/>
                <w:sz w:val="22"/>
                <w:szCs w:val="20"/>
                <w:highlight w:val="none"/>
              </w:rPr>
            </w:pPr>
            <w:r>
              <w:rPr>
                <w:rFonts w:hint="eastAsia" w:ascii="宋体" w:hAnsi="宋体"/>
                <w:sz w:val="22"/>
                <w:szCs w:val="20"/>
                <w:highlight w:val="none"/>
                <w:lang w:val="en-US" w:eastAsia="zh-CN"/>
              </w:rPr>
              <w:t>自合同签订后90</w:t>
            </w:r>
            <w:r>
              <w:rPr>
                <w:rFonts w:hint="eastAsia" w:ascii="宋体" w:hAnsi="宋体"/>
                <w:sz w:val="22"/>
                <w:szCs w:val="20"/>
                <w:highlight w:val="none"/>
                <w:lang w:eastAsia="zh-CN"/>
              </w:rPr>
              <w:t>日历天</w:t>
            </w:r>
          </w:p>
        </w:tc>
      </w:tr>
      <w:tr w14:paraId="6DD708E1">
        <w:tblPrEx>
          <w:tblCellMar>
            <w:top w:w="0" w:type="dxa"/>
            <w:left w:w="108" w:type="dxa"/>
            <w:bottom w:w="0" w:type="dxa"/>
            <w:right w:w="108" w:type="dxa"/>
          </w:tblCellMar>
        </w:tblPrEx>
        <w:trPr>
          <w:trHeight w:val="577" w:hRule="atLeast"/>
        </w:trPr>
        <w:tc>
          <w:tcPr>
            <w:tcW w:w="508" w:type="dxa"/>
            <w:vMerge w:val="continue"/>
            <w:tcBorders>
              <w:left w:val="single" w:color="auto" w:sz="4" w:space="0"/>
              <w:right w:val="single" w:color="auto" w:sz="4" w:space="0"/>
            </w:tcBorders>
            <w:vAlign w:val="center"/>
          </w:tcPr>
          <w:p w14:paraId="0C72D681">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29B64823">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6054C58">
            <w:pPr>
              <w:adjustRightInd w:val="0"/>
              <w:snapToGrid w:val="0"/>
              <w:spacing w:line="360" w:lineRule="auto"/>
              <w:jc w:val="center"/>
              <w:rPr>
                <w:rFonts w:hint="eastAsia" w:ascii="宋体" w:hAnsi="宋体" w:eastAsiaTheme="minorEastAsia"/>
                <w:sz w:val="22"/>
                <w:szCs w:val="20"/>
                <w:lang w:eastAsia="zh-CN"/>
              </w:rPr>
            </w:pPr>
            <w:r>
              <w:rPr>
                <w:rFonts w:hint="eastAsia" w:ascii="宋体" w:hAnsi="宋体"/>
                <w:sz w:val="22"/>
                <w:szCs w:val="20"/>
              </w:rPr>
              <w:t>质量</w:t>
            </w:r>
            <w:r>
              <w:rPr>
                <w:rFonts w:hint="eastAsia" w:ascii="宋体" w:hAnsi="宋体" w:cs="宋体"/>
                <w:color w:val="000000"/>
                <w:kern w:val="0"/>
                <w:sz w:val="22"/>
                <w:szCs w:val="22"/>
                <w:lang w:val="en-US" w:eastAsia="zh-CN"/>
              </w:rPr>
              <w:t>标准</w:t>
            </w:r>
          </w:p>
        </w:tc>
        <w:tc>
          <w:tcPr>
            <w:tcW w:w="5917" w:type="dxa"/>
            <w:tcBorders>
              <w:top w:val="single" w:color="auto" w:sz="4" w:space="0"/>
              <w:left w:val="nil"/>
              <w:bottom w:val="single" w:color="auto" w:sz="4" w:space="0"/>
              <w:right w:val="single" w:color="auto" w:sz="4" w:space="0"/>
            </w:tcBorders>
            <w:vAlign w:val="center"/>
          </w:tcPr>
          <w:p w14:paraId="7DDE1E88">
            <w:pPr>
              <w:adjustRightInd w:val="0"/>
              <w:snapToGrid w:val="0"/>
              <w:spacing w:line="360" w:lineRule="auto"/>
              <w:jc w:val="left"/>
              <w:rPr>
                <w:rFonts w:ascii="宋体" w:hAnsi="宋体"/>
                <w:sz w:val="22"/>
                <w:szCs w:val="20"/>
              </w:rPr>
            </w:pPr>
            <w:r>
              <w:rPr>
                <w:rFonts w:hint="eastAsia" w:ascii="宋体" w:hAnsi="宋体"/>
                <w:sz w:val="22"/>
                <w:szCs w:val="20"/>
                <w:lang w:val="en-US" w:eastAsia="zh-CN"/>
              </w:rPr>
              <w:t>合格，符合国家及行业标准</w:t>
            </w:r>
          </w:p>
        </w:tc>
      </w:tr>
      <w:tr w14:paraId="5E54F9FB">
        <w:tblPrEx>
          <w:tblCellMar>
            <w:top w:w="0" w:type="dxa"/>
            <w:left w:w="108" w:type="dxa"/>
            <w:bottom w:w="0" w:type="dxa"/>
            <w:right w:w="108" w:type="dxa"/>
          </w:tblCellMar>
        </w:tblPrEx>
        <w:trPr>
          <w:trHeight w:val="635" w:hRule="atLeast"/>
        </w:trPr>
        <w:tc>
          <w:tcPr>
            <w:tcW w:w="508" w:type="dxa"/>
            <w:vMerge w:val="continue"/>
            <w:tcBorders>
              <w:left w:val="single" w:color="auto" w:sz="4" w:space="0"/>
              <w:right w:val="single" w:color="auto" w:sz="4" w:space="0"/>
            </w:tcBorders>
            <w:vAlign w:val="center"/>
          </w:tcPr>
          <w:p w14:paraId="5D213904">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36AAB91">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5C947DC3">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有效期</w:t>
            </w:r>
          </w:p>
        </w:tc>
        <w:tc>
          <w:tcPr>
            <w:tcW w:w="5917" w:type="dxa"/>
            <w:tcBorders>
              <w:top w:val="single" w:color="auto" w:sz="4" w:space="0"/>
              <w:left w:val="nil"/>
              <w:bottom w:val="single" w:color="auto" w:sz="4" w:space="0"/>
              <w:right w:val="single" w:color="auto" w:sz="4" w:space="0"/>
            </w:tcBorders>
            <w:vAlign w:val="center"/>
          </w:tcPr>
          <w:p w14:paraId="32668F4E">
            <w:pPr>
              <w:adjustRightInd w:val="0"/>
              <w:snapToGrid w:val="0"/>
              <w:spacing w:line="360" w:lineRule="auto"/>
              <w:jc w:val="both"/>
              <w:rPr>
                <w:rFonts w:ascii="宋体" w:hAnsi="宋体"/>
                <w:sz w:val="22"/>
                <w:szCs w:val="20"/>
              </w:rPr>
            </w:pPr>
            <w:r>
              <w:rPr>
                <w:rFonts w:hint="eastAsia" w:ascii="宋体" w:hAnsi="宋体"/>
                <w:sz w:val="22"/>
                <w:szCs w:val="20"/>
              </w:rPr>
              <w:t>投标文件递交截止之日起</w:t>
            </w:r>
            <w:r>
              <w:rPr>
                <w:rFonts w:hint="eastAsia" w:ascii="宋体" w:hAnsi="宋体"/>
                <w:sz w:val="22"/>
                <w:szCs w:val="20"/>
                <w:lang w:val="en-US" w:eastAsia="zh-CN"/>
              </w:rPr>
              <w:t>90</w:t>
            </w:r>
            <w:r>
              <w:rPr>
                <w:rFonts w:hint="eastAsia" w:ascii="宋体" w:hAnsi="宋体"/>
                <w:sz w:val="22"/>
                <w:szCs w:val="20"/>
              </w:rPr>
              <w:t>日历天</w:t>
            </w:r>
          </w:p>
        </w:tc>
      </w:tr>
      <w:tr w14:paraId="398E7197">
        <w:tblPrEx>
          <w:tblCellMar>
            <w:top w:w="0" w:type="dxa"/>
            <w:left w:w="108" w:type="dxa"/>
            <w:bottom w:w="0" w:type="dxa"/>
            <w:right w:w="108" w:type="dxa"/>
          </w:tblCellMar>
        </w:tblPrEx>
        <w:trPr>
          <w:trHeight w:val="575" w:hRule="atLeast"/>
        </w:trPr>
        <w:tc>
          <w:tcPr>
            <w:tcW w:w="508" w:type="dxa"/>
            <w:vMerge w:val="continue"/>
            <w:tcBorders>
              <w:left w:val="single" w:color="auto" w:sz="4" w:space="0"/>
              <w:right w:val="single" w:color="auto" w:sz="4" w:space="0"/>
            </w:tcBorders>
            <w:vAlign w:val="center"/>
          </w:tcPr>
          <w:p w14:paraId="20903CD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70F86F9">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892BA8D">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报价</w:t>
            </w:r>
          </w:p>
        </w:tc>
        <w:tc>
          <w:tcPr>
            <w:tcW w:w="5917" w:type="dxa"/>
            <w:tcBorders>
              <w:top w:val="single" w:color="auto" w:sz="4" w:space="0"/>
              <w:left w:val="nil"/>
              <w:bottom w:val="single" w:color="auto" w:sz="4" w:space="0"/>
              <w:right w:val="single" w:color="auto" w:sz="4" w:space="0"/>
            </w:tcBorders>
            <w:vAlign w:val="center"/>
          </w:tcPr>
          <w:p w14:paraId="69275E71">
            <w:pPr>
              <w:adjustRightInd w:val="0"/>
              <w:snapToGrid w:val="0"/>
              <w:spacing w:line="360" w:lineRule="auto"/>
              <w:jc w:val="both"/>
              <w:rPr>
                <w:rFonts w:ascii="宋体" w:hAnsi="宋体"/>
                <w:sz w:val="22"/>
                <w:szCs w:val="20"/>
              </w:rPr>
            </w:pPr>
            <w:r>
              <w:rPr>
                <w:rFonts w:hint="eastAsia" w:ascii="宋体" w:hAnsi="宋体"/>
                <w:sz w:val="22"/>
                <w:szCs w:val="20"/>
                <w:lang w:val="en-US" w:eastAsia="zh-CN"/>
              </w:rPr>
              <w:t>只有一个有效投标报价，且单价、总价均不超过最高限价</w:t>
            </w:r>
          </w:p>
        </w:tc>
      </w:tr>
      <w:tr w14:paraId="2E3F36FC">
        <w:tblPrEx>
          <w:tblCellMar>
            <w:top w:w="0" w:type="dxa"/>
            <w:left w:w="108" w:type="dxa"/>
            <w:bottom w:w="0" w:type="dxa"/>
            <w:right w:w="108" w:type="dxa"/>
          </w:tblCellMar>
        </w:tblPrEx>
        <w:trPr>
          <w:trHeight w:val="648" w:hRule="atLeast"/>
        </w:trPr>
        <w:tc>
          <w:tcPr>
            <w:tcW w:w="508" w:type="dxa"/>
            <w:vMerge w:val="continue"/>
            <w:tcBorders>
              <w:left w:val="single" w:color="auto" w:sz="4" w:space="0"/>
              <w:right w:val="single" w:color="auto" w:sz="4" w:space="0"/>
            </w:tcBorders>
            <w:vAlign w:val="center"/>
          </w:tcPr>
          <w:p w14:paraId="414B5036">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7EE55F8">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3A1CED50">
            <w:pPr>
              <w:adjustRightInd w:val="0"/>
              <w:snapToGrid w:val="0"/>
              <w:spacing w:line="360" w:lineRule="auto"/>
              <w:jc w:val="center"/>
              <w:rPr>
                <w:rFonts w:hint="eastAsia" w:ascii="宋体" w:hAnsi="宋体"/>
                <w:sz w:val="22"/>
                <w:szCs w:val="20"/>
                <w:lang w:eastAsia="zh-CN"/>
              </w:rPr>
            </w:pPr>
            <w:r>
              <w:rPr>
                <w:rFonts w:hint="eastAsia" w:ascii="宋体" w:hAnsi="宋体"/>
                <w:sz w:val="22"/>
                <w:szCs w:val="20"/>
                <w:lang w:val="en-US" w:eastAsia="zh-CN"/>
              </w:rPr>
              <w:t>招标</w:t>
            </w:r>
            <w:r>
              <w:rPr>
                <w:rFonts w:hint="eastAsia" w:ascii="宋体" w:hAnsi="宋体"/>
                <w:sz w:val="22"/>
                <w:szCs w:val="20"/>
                <w:lang w:eastAsia="zh-CN"/>
              </w:rPr>
              <w:t>范围</w:t>
            </w:r>
          </w:p>
        </w:tc>
        <w:tc>
          <w:tcPr>
            <w:tcW w:w="5917" w:type="dxa"/>
            <w:tcBorders>
              <w:top w:val="single" w:color="auto" w:sz="4" w:space="0"/>
              <w:left w:val="nil"/>
              <w:bottom w:val="single" w:color="auto" w:sz="4" w:space="0"/>
              <w:right w:val="single" w:color="auto" w:sz="4" w:space="0"/>
            </w:tcBorders>
            <w:vAlign w:val="center"/>
          </w:tcPr>
          <w:p w14:paraId="6BF11D21">
            <w:pPr>
              <w:adjustRightInd w:val="0"/>
              <w:snapToGrid w:val="0"/>
              <w:spacing w:line="360" w:lineRule="auto"/>
              <w:jc w:val="both"/>
              <w:rPr>
                <w:rFonts w:hint="eastAsia" w:ascii="宋体" w:hAnsi="宋体"/>
                <w:sz w:val="22"/>
                <w:szCs w:val="22"/>
                <w:lang w:eastAsia="zh-CN"/>
              </w:rPr>
            </w:pPr>
            <w:r>
              <w:rPr>
                <w:rFonts w:hint="eastAsia" w:ascii="宋体" w:hAnsi="宋体"/>
                <w:sz w:val="22"/>
                <w:szCs w:val="22"/>
                <w:lang w:val="en-US" w:eastAsia="zh-CN"/>
              </w:rPr>
              <w:t>招标文件及设备安装工程的全部内容</w:t>
            </w:r>
          </w:p>
        </w:tc>
      </w:tr>
      <w:tr w14:paraId="2718B729">
        <w:tblPrEx>
          <w:tblCellMar>
            <w:top w:w="0" w:type="dxa"/>
            <w:left w:w="108" w:type="dxa"/>
            <w:bottom w:w="0" w:type="dxa"/>
            <w:right w:w="108" w:type="dxa"/>
          </w:tblCellMar>
        </w:tblPrEx>
        <w:trPr>
          <w:trHeight w:val="611" w:hRule="atLeast"/>
        </w:trPr>
        <w:tc>
          <w:tcPr>
            <w:tcW w:w="508" w:type="dxa"/>
            <w:vMerge w:val="continue"/>
            <w:tcBorders>
              <w:left w:val="single" w:color="auto" w:sz="4" w:space="0"/>
              <w:right w:val="single" w:color="auto" w:sz="4" w:space="0"/>
            </w:tcBorders>
            <w:vAlign w:val="center"/>
          </w:tcPr>
          <w:p w14:paraId="00FDF81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A5F0B3A">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2182E568">
            <w:pPr>
              <w:adjustRightInd w:val="0"/>
              <w:snapToGrid w:val="0"/>
              <w:spacing w:line="360" w:lineRule="auto"/>
              <w:jc w:val="center"/>
              <w:rPr>
                <w:rFonts w:hint="eastAsia" w:ascii="宋体" w:hAnsi="宋体"/>
                <w:sz w:val="22"/>
                <w:szCs w:val="22"/>
                <w:lang w:eastAsia="zh-CN"/>
              </w:rPr>
            </w:pPr>
            <w:r>
              <w:rPr>
                <w:rFonts w:hint="eastAsia" w:ascii="宋体" w:hAnsi="宋体" w:cs="宋体"/>
                <w:color w:val="auto"/>
                <w:sz w:val="22"/>
                <w:szCs w:val="22"/>
                <w:highlight w:val="none"/>
                <w:lang w:val="en-US" w:eastAsia="zh-CN"/>
              </w:rPr>
              <w:t>质保期</w:t>
            </w:r>
          </w:p>
        </w:tc>
        <w:tc>
          <w:tcPr>
            <w:tcW w:w="5917" w:type="dxa"/>
            <w:tcBorders>
              <w:top w:val="single" w:color="auto" w:sz="4" w:space="0"/>
              <w:left w:val="nil"/>
              <w:bottom w:val="single" w:color="auto" w:sz="4" w:space="0"/>
              <w:right w:val="single" w:color="auto" w:sz="4" w:space="0"/>
            </w:tcBorders>
            <w:vAlign w:val="center"/>
          </w:tcPr>
          <w:p w14:paraId="5D7F5829">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执行国家相关保修期限的规定</w:t>
            </w:r>
          </w:p>
        </w:tc>
      </w:tr>
      <w:tr w14:paraId="164755B2">
        <w:tblPrEx>
          <w:tblCellMar>
            <w:top w:w="0" w:type="dxa"/>
            <w:left w:w="108" w:type="dxa"/>
            <w:bottom w:w="0" w:type="dxa"/>
            <w:right w:w="108" w:type="dxa"/>
          </w:tblCellMar>
        </w:tblPrEx>
        <w:trPr>
          <w:trHeight w:val="573" w:hRule="atLeast"/>
        </w:trPr>
        <w:tc>
          <w:tcPr>
            <w:tcW w:w="508" w:type="dxa"/>
            <w:vMerge w:val="continue"/>
            <w:tcBorders>
              <w:left w:val="single" w:color="auto" w:sz="4" w:space="0"/>
              <w:right w:val="single" w:color="auto" w:sz="4" w:space="0"/>
            </w:tcBorders>
            <w:vAlign w:val="center"/>
          </w:tcPr>
          <w:p w14:paraId="4A0B855E">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EDABBCD">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74034BB3">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项目地点</w:t>
            </w:r>
          </w:p>
        </w:tc>
        <w:tc>
          <w:tcPr>
            <w:tcW w:w="5917" w:type="dxa"/>
            <w:tcBorders>
              <w:top w:val="single" w:color="auto" w:sz="4" w:space="0"/>
              <w:left w:val="nil"/>
              <w:bottom w:val="single" w:color="auto" w:sz="4" w:space="0"/>
              <w:right w:val="single" w:color="auto" w:sz="4" w:space="0"/>
            </w:tcBorders>
            <w:vAlign w:val="center"/>
          </w:tcPr>
          <w:p w14:paraId="168C57DE">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采购人指定地点</w:t>
            </w:r>
          </w:p>
        </w:tc>
      </w:tr>
      <w:tr w14:paraId="7767959D">
        <w:tblPrEx>
          <w:tblCellMar>
            <w:top w:w="0" w:type="dxa"/>
            <w:left w:w="108" w:type="dxa"/>
            <w:bottom w:w="0" w:type="dxa"/>
            <w:right w:w="108" w:type="dxa"/>
          </w:tblCellMar>
        </w:tblPrEx>
        <w:trPr>
          <w:trHeight w:val="588" w:hRule="atLeast"/>
        </w:trPr>
        <w:tc>
          <w:tcPr>
            <w:tcW w:w="508" w:type="dxa"/>
            <w:vMerge w:val="continue"/>
            <w:tcBorders>
              <w:left w:val="single" w:color="auto" w:sz="4" w:space="0"/>
              <w:bottom w:val="single" w:color="auto" w:sz="4" w:space="0"/>
              <w:right w:val="single" w:color="auto" w:sz="4" w:space="0"/>
            </w:tcBorders>
            <w:vAlign w:val="center"/>
          </w:tcPr>
          <w:p w14:paraId="674707B5">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072185A4">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18E470B2">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5917" w:type="dxa"/>
            <w:tcBorders>
              <w:top w:val="single" w:color="auto" w:sz="4" w:space="0"/>
              <w:left w:val="nil"/>
              <w:bottom w:val="single" w:color="auto" w:sz="4" w:space="0"/>
              <w:right w:val="single" w:color="auto" w:sz="4" w:space="0"/>
            </w:tcBorders>
            <w:vAlign w:val="center"/>
          </w:tcPr>
          <w:p w14:paraId="564863BE">
            <w:pPr>
              <w:adjustRightInd w:val="0"/>
              <w:snapToGrid w:val="0"/>
              <w:spacing w:line="360" w:lineRule="auto"/>
              <w:jc w:val="both"/>
              <w:rPr>
                <w:rFonts w:hint="default" w:ascii="宋体" w:hAnsi="宋体"/>
                <w:sz w:val="22"/>
                <w:szCs w:val="22"/>
                <w:lang w:val="en-US" w:eastAsia="zh-CN"/>
              </w:rPr>
            </w:pPr>
            <w:r>
              <w:rPr>
                <w:rFonts w:hint="eastAsia" w:ascii="宋体" w:hAnsi="宋体"/>
                <w:sz w:val="22"/>
                <w:szCs w:val="22"/>
                <w:lang w:val="en-US" w:eastAsia="zh-CN"/>
              </w:rPr>
              <w:t>招标文件规定的其他情形</w:t>
            </w:r>
          </w:p>
        </w:tc>
      </w:tr>
    </w:tbl>
    <w:p w14:paraId="554F37EE">
      <w:pPr>
        <w:pStyle w:val="16"/>
        <w:rPr>
          <w:rFonts w:hint="default"/>
          <w:b/>
          <w:bCs/>
          <w:sz w:val="32"/>
          <w:szCs w:val="40"/>
          <w:lang w:val="en-US" w:eastAsia="zh-CN"/>
        </w:rPr>
      </w:pPr>
    </w:p>
    <w:p w14:paraId="72FB5932">
      <w:pPr>
        <w:pStyle w:val="16"/>
        <w:rPr>
          <w:rFonts w:hint="default"/>
          <w:b/>
          <w:bCs/>
          <w:sz w:val="32"/>
          <w:szCs w:val="40"/>
          <w:lang w:val="en-US" w:eastAsia="zh-CN"/>
        </w:rPr>
      </w:pPr>
    </w:p>
    <w:p w14:paraId="18CC2E04">
      <w:pPr>
        <w:pStyle w:val="16"/>
        <w:rPr>
          <w:rFonts w:hint="default"/>
          <w:b/>
          <w:bCs/>
          <w:sz w:val="32"/>
          <w:szCs w:val="40"/>
          <w:lang w:val="en-US" w:eastAsia="zh-CN"/>
        </w:rPr>
      </w:pPr>
    </w:p>
    <w:p w14:paraId="42348FAC">
      <w:pPr>
        <w:pStyle w:val="16"/>
        <w:rPr>
          <w:rFonts w:hint="default"/>
          <w:b/>
          <w:bCs/>
          <w:sz w:val="32"/>
          <w:szCs w:val="40"/>
          <w:lang w:val="en-US" w:eastAsia="zh-CN"/>
        </w:rPr>
      </w:pPr>
    </w:p>
    <w:p w14:paraId="61746F5D">
      <w:pPr>
        <w:pStyle w:val="16"/>
        <w:rPr>
          <w:rFonts w:hint="default"/>
          <w:b/>
          <w:bCs/>
          <w:sz w:val="32"/>
          <w:szCs w:val="40"/>
          <w:lang w:val="en-US" w:eastAsia="zh-CN"/>
        </w:rPr>
      </w:pPr>
    </w:p>
    <w:p w14:paraId="44B2D479">
      <w:pPr>
        <w:pStyle w:val="16"/>
        <w:rPr>
          <w:rFonts w:hint="default"/>
          <w:b/>
          <w:bCs/>
          <w:sz w:val="32"/>
          <w:szCs w:val="40"/>
          <w:lang w:val="en-US" w:eastAsia="zh-CN"/>
        </w:rPr>
      </w:pPr>
    </w:p>
    <w:p w14:paraId="7C2BF3FE">
      <w:pPr>
        <w:pStyle w:val="16"/>
        <w:rPr>
          <w:rFonts w:hint="default"/>
          <w:b/>
          <w:bCs/>
          <w:sz w:val="32"/>
          <w:szCs w:val="40"/>
          <w:lang w:val="en-US" w:eastAsia="zh-CN"/>
        </w:rPr>
      </w:pPr>
    </w:p>
    <w:p w14:paraId="1B0FD7A1">
      <w:pPr>
        <w:pStyle w:val="16"/>
        <w:rPr>
          <w:rFonts w:hint="default"/>
          <w:b/>
          <w:bCs/>
          <w:sz w:val="32"/>
          <w:szCs w:val="40"/>
          <w:lang w:val="en-US" w:eastAsia="zh-CN"/>
        </w:rPr>
      </w:pPr>
    </w:p>
    <w:p w14:paraId="0616DA5B">
      <w:pPr>
        <w:pStyle w:val="16"/>
        <w:rPr>
          <w:rFonts w:hint="default"/>
          <w:b/>
          <w:bCs/>
          <w:sz w:val="32"/>
          <w:szCs w:val="40"/>
          <w:lang w:val="en-US" w:eastAsia="zh-CN"/>
        </w:rPr>
      </w:pPr>
    </w:p>
    <w:p w14:paraId="0B0D4D7F">
      <w:pPr>
        <w:pStyle w:val="16"/>
        <w:rPr>
          <w:rFonts w:hint="default"/>
          <w:b/>
          <w:bCs/>
          <w:sz w:val="32"/>
          <w:szCs w:val="40"/>
          <w:lang w:val="en-US" w:eastAsia="zh-CN"/>
        </w:rPr>
      </w:pPr>
    </w:p>
    <w:p w14:paraId="3D31FA52">
      <w:pPr>
        <w:pStyle w:val="16"/>
        <w:rPr>
          <w:rFonts w:hint="default"/>
          <w:b/>
          <w:bCs/>
          <w:sz w:val="32"/>
          <w:szCs w:val="40"/>
          <w:lang w:val="en-US" w:eastAsia="zh-CN"/>
        </w:rPr>
      </w:pPr>
    </w:p>
    <w:p w14:paraId="48ED2106">
      <w:pPr>
        <w:pStyle w:val="16"/>
        <w:rPr>
          <w:rFonts w:hint="default"/>
          <w:b/>
          <w:bCs/>
          <w:sz w:val="32"/>
          <w:szCs w:val="40"/>
          <w:lang w:val="en-US" w:eastAsia="zh-CN"/>
        </w:rPr>
      </w:pPr>
    </w:p>
    <w:p w14:paraId="540AECB9">
      <w:pPr>
        <w:pStyle w:val="16"/>
        <w:rPr>
          <w:rFonts w:hint="default"/>
          <w:b/>
          <w:bCs/>
          <w:sz w:val="32"/>
          <w:szCs w:val="40"/>
          <w:lang w:val="en-US" w:eastAsia="zh-CN"/>
        </w:rPr>
      </w:pPr>
    </w:p>
    <w:p w14:paraId="46737CE0">
      <w:pPr>
        <w:pStyle w:val="16"/>
        <w:rPr>
          <w:rFonts w:hint="default"/>
          <w:b/>
          <w:bCs/>
          <w:sz w:val="32"/>
          <w:szCs w:val="40"/>
          <w:lang w:val="en-US" w:eastAsia="zh-CN"/>
        </w:rPr>
      </w:pPr>
    </w:p>
    <w:p w14:paraId="573C1739">
      <w:pPr>
        <w:pStyle w:val="16"/>
        <w:rPr>
          <w:rFonts w:hint="default"/>
          <w:b/>
          <w:bCs/>
          <w:sz w:val="32"/>
          <w:szCs w:val="40"/>
          <w:lang w:val="en-US" w:eastAsia="zh-CN"/>
        </w:rPr>
      </w:pPr>
    </w:p>
    <w:p w14:paraId="2B3CA72F">
      <w:pPr>
        <w:pStyle w:val="16"/>
        <w:rPr>
          <w:rFonts w:hint="default"/>
          <w:b/>
          <w:bCs/>
          <w:sz w:val="32"/>
          <w:szCs w:val="40"/>
          <w:lang w:val="en-US" w:eastAsia="zh-CN"/>
        </w:rPr>
      </w:pPr>
    </w:p>
    <w:p w14:paraId="6F577B7C">
      <w:pPr>
        <w:pStyle w:val="16"/>
        <w:jc w:val="center"/>
        <w:rPr>
          <w:rFonts w:hint="eastAsia"/>
          <w:b/>
          <w:bCs/>
          <w:sz w:val="32"/>
          <w:szCs w:val="40"/>
          <w:lang w:val="en-US" w:eastAsia="zh-CN"/>
        </w:rPr>
      </w:pPr>
      <w:r>
        <w:rPr>
          <w:rFonts w:hint="eastAsia"/>
          <w:b/>
          <w:bCs/>
          <w:sz w:val="32"/>
          <w:szCs w:val="40"/>
          <w:lang w:val="en-US" w:eastAsia="zh-CN"/>
        </w:rPr>
        <w:t>评分标准</w:t>
      </w:r>
    </w:p>
    <w:p w14:paraId="2A8230E7">
      <w:pPr>
        <w:pStyle w:val="16"/>
        <w:jc w:val="center"/>
        <w:rPr>
          <w:rFonts w:hint="default"/>
          <w:b/>
          <w:bCs/>
          <w:sz w:val="32"/>
          <w:szCs w:val="40"/>
          <w:lang w:val="en-US" w:eastAsia="zh-CN"/>
        </w:rPr>
      </w:pPr>
      <w:r>
        <w:rPr>
          <w:rFonts w:hint="eastAsia"/>
          <w:b/>
          <w:bCs/>
          <w:sz w:val="32"/>
          <w:szCs w:val="40"/>
          <w:lang w:val="en-US" w:eastAsia="zh-CN"/>
        </w:rPr>
        <w:t>（二标段）</w:t>
      </w:r>
    </w:p>
    <w:tbl>
      <w:tblPr>
        <w:tblStyle w:val="21"/>
        <w:tblW w:w="9960"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25"/>
        <w:gridCol w:w="7417"/>
        <w:gridCol w:w="675"/>
      </w:tblGrid>
      <w:tr w14:paraId="2E7D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960" w:type="dxa"/>
            <w:gridSpan w:val="4"/>
            <w:noWrap w:val="0"/>
            <w:vAlign w:val="center"/>
          </w:tcPr>
          <w:p w14:paraId="7C1F0115">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4"/>
                <w:szCs w:val="24"/>
                <w:u w:val="none"/>
                <w:lang w:bidi="ar-SA"/>
              </w:rPr>
              <w:t>综合评分部分（满分100分）</w:t>
            </w:r>
          </w:p>
        </w:tc>
      </w:tr>
      <w:tr w14:paraId="2E6B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8" w:type="dxa"/>
            <w:gridSpan w:val="2"/>
            <w:noWrap w:val="0"/>
            <w:vAlign w:val="center"/>
          </w:tcPr>
          <w:p w14:paraId="31E99139">
            <w:pPr>
              <w:spacing w:line="360" w:lineRule="auto"/>
              <w:jc w:val="center"/>
              <w:rPr>
                <w:rFonts w:hint="eastAsia" w:ascii="宋体" w:hAnsi="宋体" w:eastAsia="宋体" w:cs="宋体"/>
                <w:b w:val="0"/>
                <w:bCs w:val="0"/>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分值构成</w:t>
            </w:r>
          </w:p>
          <w:p w14:paraId="3A66F5AF">
            <w:pPr>
              <w:spacing w:line="360" w:lineRule="auto"/>
              <w:jc w:val="center"/>
              <w:rPr>
                <w:rFonts w:hint="eastAsia" w:ascii="宋体" w:hAnsi="宋体" w:eastAsia="宋体" w:cs="宋体"/>
                <w:b/>
                <w:bCs/>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(总分100分)</w:t>
            </w:r>
          </w:p>
        </w:tc>
        <w:tc>
          <w:tcPr>
            <w:tcW w:w="8092" w:type="dxa"/>
            <w:gridSpan w:val="2"/>
            <w:noWrap w:val="0"/>
            <w:vAlign w:val="center"/>
          </w:tcPr>
          <w:p w14:paraId="611A9961">
            <w:pPr>
              <w:spacing w:line="360" w:lineRule="auto"/>
              <w:rPr>
                <w:rFonts w:cs="宋体" w:asciiTheme="majorEastAsia" w:hAnsiTheme="majorEastAsia" w:eastAsiaTheme="majorEastAsia"/>
                <w:kern w:val="1"/>
                <w:sz w:val="24"/>
                <w:szCs w:val="24"/>
                <w:highlight w:val="none"/>
              </w:rPr>
            </w:pPr>
            <w:r>
              <w:rPr>
                <w:rFonts w:hint="eastAsia" w:cs="宋体" w:asciiTheme="majorEastAsia" w:hAnsiTheme="majorEastAsia" w:eastAsiaTheme="majorEastAsia"/>
                <w:kern w:val="1"/>
                <w:sz w:val="24"/>
                <w:szCs w:val="24"/>
                <w:highlight w:val="none"/>
              </w:rPr>
              <w:t>商务标</w:t>
            </w:r>
            <w:r>
              <w:rPr>
                <w:rFonts w:cs="宋体" w:asciiTheme="majorEastAsia" w:hAnsiTheme="majorEastAsia" w:eastAsiaTheme="majorEastAsia"/>
                <w:kern w:val="1"/>
                <w:sz w:val="24"/>
                <w:szCs w:val="24"/>
                <w:highlight w:val="none"/>
              </w:rPr>
              <w:t>：</w:t>
            </w:r>
            <w:r>
              <w:rPr>
                <w:rFonts w:hint="eastAsia" w:cs="宋体" w:asciiTheme="majorEastAsia" w:hAnsiTheme="majorEastAsia" w:eastAsiaTheme="majorEastAsia"/>
                <w:kern w:val="1"/>
                <w:sz w:val="24"/>
                <w:szCs w:val="24"/>
                <w:highlight w:val="none"/>
                <w:u w:val="single"/>
              </w:rPr>
              <w:t>30</w:t>
            </w:r>
            <w:r>
              <w:rPr>
                <w:rFonts w:cs="宋体" w:asciiTheme="majorEastAsia" w:hAnsiTheme="majorEastAsia" w:eastAsiaTheme="majorEastAsia"/>
                <w:kern w:val="1"/>
                <w:sz w:val="24"/>
                <w:szCs w:val="24"/>
                <w:highlight w:val="none"/>
              </w:rPr>
              <w:t>分</w:t>
            </w:r>
          </w:p>
          <w:p w14:paraId="31913864">
            <w:pPr>
              <w:spacing w:line="360" w:lineRule="auto"/>
              <w:rPr>
                <w:rFonts w:cs="宋体" w:asciiTheme="majorEastAsia" w:hAnsiTheme="majorEastAsia" w:eastAsiaTheme="majorEastAsia"/>
                <w:kern w:val="1"/>
                <w:sz w:val="24"/>
                <w:szCs w:val="24"/>
                <w:highlight w:val="none"/>
              </w:rPr>
            </w:pPr>
            <w:r>
              <w:rPr>
                <w:rFonts w:cs="宋体" w:asciiTheme="majorEastAsia" w:hAnsiTheme="majorEastAsia" w:eastAsiaTheme="majorEastAsia"/>
                <w:kern w:val="1"/>
                <w:sz w:val="24"/>
                <w:szCs w:val="24"/>
                <w:highlight w:val="none"/>
              </w:rPr>
              <w:t>技术标：</w:t>
            </w:r>
            <w:r>
              <w:rPr>
                <w:rFonts w:hint="eastAsia" w:cs="宋体" w:asciiTheme="majorEastAsia" w:hAnsiTheme="majorEastAsia" w:eastAsiaTheme="majorEastAsia"/>
                <w:kern w:val="1"/>
                <w:sz w:val="24"/>
                <w:szCs w:val="24"/>
                <w:highlight w:val="none"/>
                <w:u w:val="single"/>
                <w:lang w:val="en-US" w:eastAsia="zh-CN"/>
              </w:rPr>
              <w:t>45</w:t>
            </w:r>
            <w:r>
              <w:rPr>
                <w:rFonts w:cs="宋体" w:asciiTheme="majorEastAsia" w:hAnsiTheme="majorEastAsia" w:eastAsiaTheme="majorEastAsia"/>
                <w:kern w:val="1"/>
                <w:sz w:val="24"/>
                <w:szCs w:val="24"/>
                <w:highlight w:val="none"/>
              </w:rPr>
              <w:t>分</w:t>
            </w:r>
          </w:p>
          <w:p w14:paraId="7EDF8108">
            <w:pPr>
              <w:spacing w:line="360" w:lineRule="auto"/>
              <w:jc w:val="both"/>
              <w:rPr>
                <w:rFonts w:hint="eastAsia" w:ascii="宋体" w:hAnsi="宋体" w:eastAsia="宋体" w:cs="宋体"/>
                <w:b/>
                <w:bCs/>
                <w:color w:val="auto"/>
                <w:sz w:val="24"/>
                <w:szCs w:val="24"/>
                <w:highlight w:val="none"/>
                <w:u w:val="none"/>
                <w:lang w:bidi="ar-SA"/>
              </w:rPr>
            </w:pPr>
            <w:r>
              <w:rPr>
                <w:rFonts w:cs="宋体" w:asciiTheme="majorEastAsia" w:hAnsiTheme="majorEastAsia" w:eastAsiaTheme="majorEastAsia"/>
                <w:kern w:val="1"/>
                <w:sz w:val="24"/>
                <w:szCs w:val="24"/>
                <w:highlight w:val="none"/>
              </w:rPr>
              <w:t>综合标：</w:t>
            </w:r>
            <w:r>
              <w:rPr>
                <w:rFonts w:hint="eastAsia" w:cs="宋体" w:asciiTheme="majorEastAsia" w:hAnsiTheme="majorEastAsia" w:eastAsiaTheme="majorEastAsia"/>
                <w:kern w:val="1"/>
                <w:sz w:val="24"/>
                <w:szCs w:val="24"/>
                <w:highlight w:val="none"/>
                <w:u w:val="single"/>
                <w:lang w:val="en-US" w:eastAsia="zh-CN"/>
              </w:rPr>
              <w:t>25</w:t>
            </w:r>
            <w:r>
              <w:rPr>
                <w:rFonts w:cs="宋体" w:asciiTheme="majorEastAsia" w:hAnsiTheme="majorEastAsia" w:eastAsiaTheme="majorEastAsia"/>
                <w:kern w:val="1"/>
                <w:sz w:val="24"/>
                <w:szCs w:val="24"/>
                <w:highlight w:val="none"/>
              </w:rPr>
              <w:t>分</w:t>
            </w:r>
          </w:p>
        </w:tc>
      </w:tr>
      <w:tr w14:paraId="562B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43" w:type="dxa"/>
            <w:noWrap w:val="0"/>
            <w:vAlign w:val="center"/>
          </w:tcPr>
          <w:p w14:paraId="5624132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25" w:type="dxa"/>
            <w:noWrap w:val="0"/>
            <w:vAlign w:val="center"/>
          </w:tcPr>
          <w:p w14:paraId="04D3B012">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7417" w:type="dxa"/>
            <w:noWrap w:val="0"/>
            <w:vAlign w:val="center"/>
          </w:tcPr>
          <w:p w14:paraId="7694F651">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675" w:type="dxa"/>
            <w:noWrap w:val="0"/>
            <w:vAlign w:val="center"/>
          </w:tcPr>
          <w:p w14:paraId="65BE66C8">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167B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743" w:type="dxa"/>
            <w:noWrap w:val="0"/>
            <w:vAlign w:val="center"/>
          </w:tcPr>
          <w:p w14:paraId="5F610DD1">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val="en-US" w:eastAsia="zh-CN"/>
              </w:rPr>
              <w:t>商务标</w:t>
            </w:r>
            <w:r>
              <w:rPr>
                <w:rFonts w:hint="eastAsia" w:ascii="宋体" w:hAnsi="宋体" w:cs="宋体"/>
                <w:b/>
                <w:bCs/>
                <w:sz w:val="22"/>
                <w:szCs w:val="22"/>
              </w:rPr>
              <w:t>（</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25" w:type="dxa"/>
            <w:noWrap w:val="0"/>
            <w:vAlign w:val="center"/>
          </w:tcPr>
          <w:p w14:paraId="2891F5ED">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val="en-US" w:eastAsia="zh-CN"/>
              </w:rPr>
              <w:t>投标</w:t>
            </w:r>
            <w:r>
              <w:rPr>
                <w:rFonts w:hint="eastAsia" w:ascii="宋体" w:hAnsi="宋体" w:cs="宋体"/>
                <w:sz w:val="22"/>
                <w:szCs w:val="22"/>
              </w:rPr>
              <w:t>报价</w:t>
            </w:r>
          </w:p>
        </w:tc>
        <w:tc>
          <w:tcPr>
            <w:tcW w:w="7417" w:type="dxa"/>
            <w:noWrap w:val="0"/>
            <w:vAlign w:val="center"/>
          </w:tcPr>
          <w:p w14:paraId="7EC28DF6">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1、价格分采用低价优先法计算，即满足招标文件通过资格性和形式性审查且投标价格最低的投标报价为评标基准价，其价格得分为满分30分。</w:t>
            </w:r>
          </w:p>
          <w:p w14:paraId="54D8D2DF">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2、其他供应商的价格分统一按照下列公式计算：</w:t>
            </w:r>
          </w:p>
          <w:p w14:paraId="4B63145F">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投标报价得分=(评标基准价／投标报价)×30</w:t>
            </w:r>
          </w:p>
          <w:p w14:paraId="18EEEFCB">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434DB1C9">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15BF81C3">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5、参加政府采购活动的残疾人福利性单位应当提供《残疾人福利性单位声明函》，未填写残疾人福利性单位声明函的在开标过程中不予认可。</w:t>
            </w:r>
          </w:p>
          <w:p w14:paraId="12BECDF0">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6、同一投标供应商，中小微企业产品和监狱企业产品价格扣除优惠只享受一次，不得重复享受。</w:t>
            </w:r>
          </w:p>
          <w:p w14:paraId="1B0F6DB4">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例：所投中小微企业产品报价=所投中小微企业产品报价合计×（1-20%）</w:t>
            </w:r>
          </w:p>
          <w:p w14:paraId="66DEC391">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注：价格分计算保留小数点后二位。在评标过程中，评标委员会发现供应商的报价明显低于成本价时或明显低于其他通过初步审查供应商的报价，有可能影响产品质量或者不能诚信履约的，评标委员会可向该供应商提出询问。</w:t>
            </w:r>
          </w:p>
          <w:p w14:paraId="4EDF17AF">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要求该供应商作出书面说明并提供相关证明材料。供应商不能合理说明及不能提供相关证明材料的，评标委员会认定该供应商以低于成本价恶意竞标，其投标作废标处理。</w:t>
            </w:r>
          </w:p>
        </w:tc>
        <w:tc>
          <w:tcPr>
            <w:tcW w:w="675" w:type="dxa"/>
            <w:noWrap w:val="0"/>
            <w:vAlign w:val="center"/>
          </w:tcPr>
          <w:p w14:paraId="3E93CDBB">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0-30</w:t>
            </w:r>
            <w:r>
              <w:rPr>
                <w:rFonts w:hint="eastAsia" w:ascii="宋体" w:hAnsi="宋体" w:eastAsia="宋体" w:cs="宋体"/>
                <w:color w:val="auto"/>
                <w:kern w:val="0"/>
                <w:sz w:val="22"/>
                <w:szCs w:val="22"/>
                <w:u w:val="none"/>
                <w:lang w:bidi="ar-SA"/>
              </w:rPr>
              <w:t>分</w:t>
            </w:r>
          </w:p>
        </w:tc>
      </w:tr>
      <w:tr w14:paraId="6122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4" w:hRule="atLeast"/>
        </w:trPr>
        <w:tc>
          <w:tcPr>
            <w:tcW w:w="743" w:type="dxa"/>
            <w:vMerge w:val="restart"/>
            <w:noWrap w:val="0"/>
            <w:vAlign w:val="center"/>
          </w:tcPr>
          <w:p w14:paraId="30B22971">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val="en-US" w:eastAsia="zh-CN" w:bidi="ar-SA"/>
              </w:rPr>
              <w:t>技术标</w:t>
            </w:r>
            <w:r>
              <w:rPr>
                <w:rFonts w:hint="eastAsia" w:ascii="宋体" w:hAnsi="宋体" w:eastAsia="宋体" w:cs="宋体"/>
                <w:b/>
                <w:bCs/>
                <w:color w:val="auto"/>
                <w:sz w:val="22"/>
                <w:szCs w:val="22"/>
                <w:u w:val="none"/>
                <w:lang w:bidi="ar-SA"/>
              </w:rPr>
              <w:t>(</w:t>
            </w:r>
            <w:r>
              <w:rPr>
                <w:rFonts w:hint="eastAsia" w:ascii="宋体" w:hAnsi="宋体" w:eastAsia="宋体" w:cs="宋体"/>
                <w:b/>
                <w:bCs/>
                <w:color w:val="auto"/>
                <w:sz w:val="22"/>
                <w:szCs w:val="22"/>
                <w:u w:val="none"/>
                <w:lang w:val="en-US" w:eastAsia="zh-CN" w:bidi="ar-SA"/>
              </w:rPr>
              <w:t>45</w:t>
            </w:r>
            <w:r>
              <w:rPr>
                <w:rFonts w:hint="eastAsia" w:ascii="宋体" w:hAnsi="宋体" w:eastAsia="宋体" w:cs="宋体"/>
                <w:b/>
                <w:bCs/>
                <w:color w:val="auto"/>
                <w:sz w:val="22"/>
                <w:szCs w:val="22"/>
                <w:u w:val="none"/>
                <w:lang w:bidi="ar-SA"/>
              </w:rPr>
              <w:t>分)</w:t>
            </w:r>
          </w:p>
        </w:tc>
        <w:tc>
          <w:tcPr>
            <w:tcW w:w="1125" w:type="dxa"/>
            <w:shd w:val="clear" w:color="auto" w:fill="auto"/>
            <w:noWrap w:val="0"/>
            <w:vAlign w:val="top"/>
          </w:tcPr>
          <w:p w14:paraId="1B4329B5">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5AEE20A8">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59B1F3DD">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40A7491A">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4F30EE48">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451C68E5">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7753AF07">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76281326">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p w14:paraId="3CDC593F">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cs="宋体"/>
                <w:kern w:val="2"/>
                <w:sz w:val="22"/>
                <w:szCs w:val="22"/>
                <w:lang w:val="en-US" w:eastAsia="zh-CN" w:bidi="ar-SA"/>
              </w:rPr>
              <w:t>供货</w:t>
            </w:r>
            <w:r>
              <w:rPr>
                <w:rFonts w:hint="eastAsia" w:ascii="宋体" w:hAnsi="宋体" w:eastAsia="宋体" w:cs="宋体"/>
                <w:kern w:val="2"/>
                <w:sz w:val="22"/>
                <w:szCs w:val="22"/>
                <w:lang w:val="en-US" w:eastAsia="en-US" w:bidi="ar-SA"/>
              </w:rPr>
              <w:t>方案</w:t>
            </w:r>
          </w:p>
          <w:p w14:paraId="05C30FBD">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p>
        </w:tc>
        <w:tc>
          <w:tcPr>
            <w:tcW w:w="7417" w:type="dxa"/>
            <w:shd w:val="clear" w:color="auto" w:fill="auto"/>
            <w:noWrap w:val="0"/>
            <w:vAlign w:val="top"/>
          </w:tcPr>
          <w:p w14:paraId="02AED28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根据采购人需求，针对项目实际情况，供应商制定详细的项目实施方案（内容至少包含项目的供货计划、供货措施，运输计划、运输安全保障方案等内容。） </w:t>
            </w:r>
          </w:p>
          <w:p w14:paraId="64F4EEC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（1）供货计划（0-5分）</w:t>
            </w:r>
          </w:p>
          <w:p w14:paraId="22CE876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供货计划详细可行，满足本采购需求，得5分；</w:t>
            </w:r>
          </w:p>
          <w:p w14:paraId="629ACDA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供货计划较为详细可行，满足采购需求，得3分；</w:t>
            </w:r>
          </w:p>
          <w:p w14:paraId="2816717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供货计划一般，基本满足采购需求，得1分；</w:t>
            </w:r>
          </w:p>
          <w:p w14:paraId="57EE266D">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p w14:paraId="3AED29C2">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供货措施（0-5分）</w:t>
            </w:r>
          </w:p>
          <w:p w14:paraId="7CA945B4">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供货措施科学、完整，满足本采购需求，得5分；</w:t>
            </w:r>
          </w:p>
          <w:p w14:paraId="54D685B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供货措施较科学、较完整，满足采购需求，得3分；</w:t>
            </w:r>
          </w:p>
          <w:p w14:paraId="44EEA90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供货措施一般，基本满足采购需求，得1分；</w:t>
            </w:r>
          </w:p>
          <w:p w14:paraId="5D56AC2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p w14:paraId="5718138D">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运输计划（0-5分）</w:t>
            </w:r>
          </w:p>
          <w:p w14:paraId="60CDDFB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运输计划详细可行，满足本采购需求，得5分；</w:t>
            </w:r>
          </w:p>
          <w:p w14:paraId="4DB206B4">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运输计划较为详细可行，满足采购需求，得3分；</w:t>
            </w:r>
          </w:p>
          <w:p w14:paraId="735913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运输计划一般，基本满足采购需求，得1分；</w:t>
            </w:r>
          </w:p>
          <w:p w14:paraId="3E80537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p w14:paraId="6AE377D1">
            <w:pPr>
              <w:numPr>
                <w:ilvl w:val="0"/>
                <w:numId w:val="0"/>
              </w:numPr>
              <w:spacing w:line="360" w:lineRule="auto"/>
              <w:ind w:lef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运输安全保障方案（0-5分）</w:t>
            </w:r>
          </w:p>
          <w:p w14:paraId="6B17DD40">
            <w:pPr>
              <w:numPr>
                <w:ilvl w:val="0"/>
                <w:numId w:val="0"/>
              </w:numPr>
              <w:spacing w:line="360" w:lineRule="auto"/>
              <w:ind w:lef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运输安全保障方案科学、完整，满足本采购需求，得5分；</w:t>
            </w:r>
          </w:p>
          <w:p w14:paraId="1EAF69F0">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运输安全保障方案较科学、较完整，满足采购需求，得3分；</w:t>
            </w:r>
          </w:p>
          <w:p w14:paraId="3C28CD5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运输安全保障方案一般，基本满足采购需求，得1分；</w:t>
            </w:r>
          </w:p>
          <w:p w14:paraId="14DCF75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tc>
        <w:tc>
          <w:tcPr>
            <w:tcW w:w="675" w:type="dxa"/>
            <w:noWrap w:val="0"/>
            <w:vAlign w:val="center"/>
          </w:tcPr>
          <w:p w14:paraId="43C2F5E8">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0-20</w:t>
            </w:r>
            <w:r>
              <w:rPr>
                <w:rFonts w:hint="eastAsia" w:ascii="宋体" w:hAnsi="宋体" w:eastAsia="宋体" w:cs="宋体"/>
                <w:color w:val="auto"/>
                <w:sz w:val="22"/>
                <w:szCs w:val="22"/>
                <w:u w:val="none"/>
                <w:lang w:bidi="ar-SA"/>
              </w:rPr>
              <w:t>分</w:t>
            </w:r>
          </w:p>
        </w:tc>
      </w:tr>
      <w:tr w14:paraId="72A2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43" w:type="dxa"/>
            <w:vMerge w:val="continue"/>
            <w:noWrap w:val="0"/>
            <w:vAlign w:val="center"/>
          </w:tcPr>
          <w:p w14:paraId="2986441E">
            <w:pPr>
              <w:spacing w:line="360" w:lineRule="auto"/>
              <w:jc w:val="both"/>
              <w:rPr>
                <w:rFonts w:hint="eastAsia" w:ascii="宋体" w:hAnsi="宋体" w:eastAsia="宋体" w:cs="宋体"/>
                <w:b/>
                <w:bCs/>
                <w:color w:val="auto"/>
                <w:sz w:val="22"/>
                <w:szCs w:val="22"/>
                <w:u w:val="none"/>
                <w:lang w:bidi="ar-SA"/>
              </w:rPr>
            </w:pPr>
          </w:p>
        </w:tc>
        <w:tc>
          <w:tcPr>
            <w:tcW w:w="1125" w:type="dxa"/>
            <w:shd w:val="clear" w:color="auto" w:fill="auto"/>
            <w:noWrap w:val="0"/>
            <w:vAlign w:val="top"/>
          </w:tcPr>
          <w:p w14:paraId="0AA0A0DE">
            <w:pPr>
              <w:pStyle w:val="38"/>
              <w:spacing w:before="91" w:line="333" w:lineRule="auto"/>
              <w:ind w:left="114" w:leftChars="0" w:right="107" w:rightChars="0" w:hanging="2" w:firstLine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需求理解</w:t>
            </w:r>
          </w:p>
        </w:tc>
        <w:tc>
          <w:tcPr>
            <w:tcW w:w="7417" w:type="dxa"/>
            <w:shd w:val="clear" w:color="auto" w:fill="auto"/>
            <w:noWrap w:val="0"/>
            <w:vAlign w:val="top"/>
          </w:tcPr>
          <w:p w14:paraId="01E57E11">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供应商对本项目采购需求的理解、重点、难点</w:t>
            </w:r>
            <w:r>
              <w:rPr>
                <w:rFonts w:hint="eastAsia" w:ascii="宋体" w:hAnsi="宋体" w:eastAsia="宋体" w:cs="宋体"/>
                <w:kern w:val="2"/>
                <w:sz w:val="22"/>
                <w:szCs w:val="22"/>
                <w:lang w:val="en-US" w:eastAsia="zh-CN" w:bidi="ar-SA"/>
              </w:rPr>
              <w:t>进行</w:t>
            </w:r>
            <w:r>
              <w:rPr>
                <w:rFonts w:hint="eastAsia" w:ascii="宋体" w:hAnsi="宋体" w:eastAsia="宋体" w:cs="宋体"/>
                <w:kern w:val="2"/>
                <w:sz w:val="22"/>
                <w:szCs w:val="22"/>
                <w:lang w:val="en-US" w:eastAsia="en-US" w:bidi="ar-SA"/>
              </w:rPr>
              <w:t>分析</w:t>
            </w:r>
            <w:r>
              <w:rPr>
                <w:rFonts w:hint="eastAsia" w:ascii="宋体" w:hAnsi="宋体" w:eastAsia="宋体" w:cs="宋体"/>
                <w:kern w:val="2"/>
                <w:sz w:val="22"/>
                <w:szCs w:val="22"/>
                <w:lang w:val="en-US" w:eastAsia="zh-CN" w:bidi="ar-SA"/>
              </w:rPr>
              <w:t>打分。</w:t>
            </w:r>
          </w:p>
          <w:p w14:paraId="14BA027A">
            <w:pPr>
              <w:numPr>
                <w:ilvl w:val="0"/>
                <w:numId w:val="5"/>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供应商对本项目采购需求的理解、重点、难点的分析、合理化建议准确到位得5分；</w:t>
            </w:r>
          </w:p>
          <w:p w14:paraId="6D031CD6">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供应商对本项目采购需求的理解、重点、难点的分析、合理化建议基本准确、基本到位得3分；</w:t>
            </w:r>
          </w:p>
          <w:p w14:paraId="11511C7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供应商对本项目采购需求的理解、重点、难点的分析、合理化建议一般得1分；</w:t>
            </w:r>
          </w:p>
          <w:p w14:paraId="0586ED9D">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tc>
        <w:tc>
          <w:tcPr>
            <w:tcW w:w="675" w:type="dxa"/>
            <w:noWrap w:val="0"/>
            <w:vAlign w:val="center"/>
          </w:tcPr>
          <w:p w14:paraId="64300876">
            <w:pPr>
              <w:spacing w:line="360" w:lineRule="auto"/>
              <w:jc w:val="center"/>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050D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43" w:type="dxa"/>
            <w:vMerge w:val="continue"/>
            <w:noWrap w:val="0"/>
            <w:vAlign w:val="center"/>
          </w:tcPr>
          <w:p w14:paraId="04197A96">
            <w:pPr>
              <w:rPr>
                <w:rFonts w:hint="eastAsia" w:ascii="宋体" w:hAnsi="宋体" w:eastAsia="宋体" w:cs="宋体"/>
                <w:color w:val="auto"/>
                <w:sz w:val="22"/>
                <w:szCs w:val="22"/>
                <w:u w:val="none"/>
              </w:rPr>
            </w:pPr>
          </w:p>
        </w:tc>
        <w:tc>
          <w:tcPr>
            <w:tcW w:w="1125" w:type="dxa"/>
            <w:shd w:val="clear" w:color="auto" w:fill="auto"/>
            <w:noWrap w:val="0"/>
            <w:vAlign w:val="top"/>
          </w:tcPr>
          <w:p w14:paraId="17B59F51">
            <w:pPr>
              <w:pStyle w:val="38"/>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cs="宋体"/>
                <w:kern w:val="2"/>
                <w:sz w:val="22"/>
                <w:szCs w:val="22"/>
                <w:lang w:val="en-US" w:eastAsia="zh-CN" w:bidi="ar-SA"/>
              </w:rPr>
              <w:t>供货周期</w:t>
            </w:r>
            <w:r>
              <w:rPr>
                <w:rFonts w:hint="eastAsia" w:ascii="宋体" w:hAnsi="宋体" w:eastAsia="宋体" w:cs="宋体"/>
                <w:kern w:val="2"/>
                <w:sz w:val="22"/>
                <w:szCs w:val="22"/>
                <w:lang w:val="en-US" w:eastAsia="en-US" w:bidi="ar-SA"/>
              </w:rPr>
              <w:t>保证措施及违约责任承诺</w:t>
            </w:r>
          </w:p>
        </w:tc>
        <w:tc>
          <w:tcPr>
            <w:tcW w:w="7417" w:type="dxa"/>
            <w:shd w:val="clear" w:color="auto" w:fill="auto"/>
            <w:noWrap w:val="0"/>
            <w:vAlign w:val="top"/>
          </w:tcPr>
          <w:p w14:paraId="6F327EE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w:t>
            </w:r>
            <w:r>
              <w:rPr>
                <w:rFonts w:hint="eastAsia" w:ascii="宋体" w:hAnsi="宋体" w:eastAsia="宋体" w:cs="宋体"/>
                <w:kern w:val="2"/>
                <w:sz w:val="22"/>
                <w:szCs w:val="22"/>
                <w:lang w:val="en-US" w:eastAsia="zh-CN" w:bidi="ar-SA"/>
              </w:rPr>
              <w:t>供货周期</w:t>
            </w:r>
            <w:r>
              <w:rPr>
                <w:rFonts w:hint="eastAsia" w:ascii="宋体" w:hAnsi="宋体" w:eastAsia="宋体" w:cs="宋体"/>
                <w:kern w:val="2"/>
                <w:sz w:val="22"/>
                <w:szCs w:val="22"/>
                <w:lang w:val="en-US" w:eastAsia="en-US" w:bidi="ar-SA"/>
              </w:rPr>
              <w:t>保证措施及违约责任承诺</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3808EB54">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1、供货周期</w:t>
            </w:r>
            <w:r>
              <w:rPr>
                <w:rFonts w:hint="eastAsia" w:ascii="宋体" w:hAnsi="宋体" w:eastAsia="宋体" w:cs="宋体"/>
                <w:kern w:val="2"/>
                <w:sz w:val="22"/>
                <w:szCs w:val="22"/>
                <w:lang w:val="en-US" w:eastAsia="en-US" w:bidi="ar-SA"/>
              </w:rPr>
              <w:t>能够满足采购人要求，保障措施内容切合实际、具有很强的针对性；有具体的违约责任承诺，承诺内容合理、针对性较强，得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5D9BD65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2、供货周期</w:t>
            </w:r>
            <w:r>
              <w:rPr>
                <w:rFonts w:hint="eastAsia" w:ascii="宋体" w:hAnsi="宋体" w:eastAsia="宋体" w:cs="宋体"/>
                <w:kern w:val="2"/>
                <w:sz w:val="22"/>
                <w:szCs w:val="22"/>
                <w:lang w:val="en-US" w:eastAsia="en-US" w:bidi="ar-SA"/>
              </w:rPr>
              <w:t>能够满足采购人要求，保障措施内容有些许瑕疵但基本切合实际、整体思路一般、可操作性一般；有违约责任承诺，承诺内容针对性一般，得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717A5FA3">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3、供货周期</w:t>
            </w:r>
            <w:r>
              <w:rPr>
                <w:rFonts w:hint="eastAsia" w:ascii="宋体" w:hAnsi="宋体" w:eastAsia="宋体" w:cs="宋体"/>
                <w:kern w:val="2"/>
                <w:sz w:val="22"/>
                <w:szCs w:val="22"/>
                <w:lang w:val="en-US" w:eastAsia="en-US" w:bidi="ar-SA"/>
              </w:rPr>
              <w:t>能够满足采购人要求，保障措施内容案简单空洞、不具备一定可操作性；有违约责任承诺，承诺内容逻辑混乱、无针对性，得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FB0BA2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tc>
        <w:tc>
          <w:tcPr>
            <w:tcW w:w="675" w:type="dxa"/>
            <w:noWrap w:val="0"/>
            <w:vAlign w:val="center"/>
          </w:tcPr>
          <w:p w14:paraId="59068B09">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3201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43" w:type="dxa"/>
            <w:vMerge w:val="continue"/>
            <w:noWrap w:val="0"/>
            <w:vAlign w:val="center"/>
          </w:tcPr>
          <w:p w14:paraId="1977B4C3">
            <w:pPr>
              <w:rPr>
                <w:rFonts w:hint="eastAsia" w:ascii="宋体" w:hAnsi="宋体" w:eastAsia="宋体" w:cs="宋体"/>
                <w:color w:val="auto"/>
                <w:sz w:val="22"/>
                <w:szCs w:val="22"/>
                <w:u w:val="none"/>
              </w:rPr>
            </w:pPr>
          </w:p>
        </w:tc>
        <w:tc>
          <w:tcPr>
            <w:tcW w:w="1125" w:type="dxa"/>
            <w:shd w:val="clear" w:color="auto" w:fill="auto"/>
            <w:noWrap w:val="0"/>
            <w:vAlign w:val="top"/>
          </w:tcPr>
          <w:p w14:paraId="17888D8B">
            <w:pPr>
              <w:pStyle w:val="38"/>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交货、验收、安装调试方案 </w:t>
            </w:r>
          </w:p>
          <w:p w14:paraId="436BA53C">
            <w:pPr>
              <w:pStyle w:val="38"/>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p>
          <w:p w14:paraId="226457E9">
            <w:pPr>
              <w:pStyle w:val="38"/>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p>
        </w:tc>
        <w:tc>
          <w:tcPr>
            <w:tcW w:w="7417" w:type="dxa"/>
            <w:shd w:val="clear" w:color="auto" w:fill="auto"/>
            <w:noWrap w:val="0"/>
            <w:vAlign w:val="top"/>
          </w:tcPr>
          <w:p w14:paraId="77106FF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根据各供应商提供的交货、验收、安装调试方案打分： </w:t>
            </w:r>
          </w:p>
          <w:p w14:paraId="25C1C87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1、交货、验收、安装调试方案内容全面、合理、详细、保障措施具体明确，得5分； </w:t>
            </w:r>
          </w:p>
          <w:p w14:paraId="46B599D4">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2、交货、验收、安装调试方案内容较全面合理、保障措施较具体明确，得3分； </w:t>
            </w:r>
          </w:p>
          <w:p w14:paraId="047639F4">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3、交货、验收、安装调试方案内容不够合理、保障措施不够具体明确，得1分； </w:t>
            </w:r>
          </w:p>
          <w:p w14:paraId="7952E66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 xml:space="preserve">未提供不得分。   </w:t>
            </w:r>
          </w:p>
        </w:tc>
        <w:tc>
          <w:tcPr>
            <w:tcW w:w="675" w:type="dxa"/>
            <w:noWrap w:val="0"/>
            <w:vAlign w:val="center"/>
          </w:tcPr>
          <w:p w14:paraId="7768844D">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40D3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43" w:type="dxa"/>
            <w:vMerge w:val="continue"/>
            <w:noWrap w:val="0"/>
            <w:vAlign w:val="center"/>
          </w:tcPr>
          <w:p w14:paraId="3C64B09E">
            <w:pPr>
              <w:rPr>
                <w:rFonts w:hint="eastAsia" w:ascii="宋体" w:hAnsi="宋体" w:eastAsia="宋体" w:cs="宋体"/>
                <w:color w:val="auto"/>
                <w:sz w:val="22"/>
                <w:szCs w:val="22"/>
                <w:u w:val="none"/>
              </w:rPr>
            </w:pPr>
          </w:p>
        </w:tc>
        <w:tc>
          <w:tcPr>
            <w:tcW w:w="1125" w:type="dxa"/>
            <w:shd w:val="clear" w:color="auto" w:fill="auto"/>
            <w:noWrap w:val="0"/>
            <w:vAlign w:val="center"/>
          </w:tcPr>
          <w:p w14:paraId="4C84D695">
            <w:pPr>
              <w:spacing w:line="300" w:lineRule="exact"/>
              <w:jc w:val="center"/>
              <w:rPr>
                <w:rFonts w:hint="eastAsia" w:ascii="宋体" w:hAnsi="宋体" w:eastAsia="宋体" w:cs="宋体"/>
                <w:color w:val="000000"/>
                <w:kern w:val="2"/>
                <w:sz w:val="22"/>
                <w:szCs w:val="22"/>
                <w:highlight w:val="none"/>
                <w:lang w:val="en-US" w:eastAsia="en-US" w:bidi="ar-SA"/>
              </w:rPr>
            </w:pPr>
            <w:r>
              <w:rPr>
                <w:rFonts w:hint="eastAsia" w:ascii="宋体" w:hAnsi="宋体" w:eastAsia="宋体" w:cs="宋体"/>
                <w:color w:val="000000"/>
                <w:sz w:val="22"/>
                <w:szCs w:val="22"/>
                <w:highlight w:val="none"/>
              </w:rPr>
              <w:t>人员配备计划</w:t>
            </w:r>
          </w:p>
        </w:tc>
        <w:tc>
          <w:tcPr>
            <w:tcW w:w="7417" w:type="dxa"/>
            <w:shd w:val="clear" w:color="auto" w:fill="auto"/>
            <w:noWrap w:val="0"/>
            <w:vAlign w:val="center"/>
          </w:tcPr>
          <w:p w14:paraId="6637FCCA">
            <w:pPr>
              <w:numPr>
                <w:ilvl w:val="0"/>
                <w:numId w:val="0"/>
              </w:numPr>
              <w:spacing w:line="380" w:lineRule="exact"/>
              <w:jc w:val="lef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根据人员配备计划的合理性与完整性</w:t>
            </w:r>
            <w:r>
              <w:rPr>
                <w:rFonts w:hint="eastAsia" w:ascii="宋体" w:hAnsi="宋体" w:eastAsia="宋体" w:cs="宋体"/>
                <w:color w:val="000000"/>
                <w:sz w:val="22"/>
                <w:szCs w:val="22"/>
                <w:highlight w:val="none"/>
                <w:lang w:val="en-US" w:eastAsia="zh-CN"/>
              </w:rPr>
              <w:t>进行打分。</w:t>
            </w:r>
          </w:p>
          <w:p w14:paraId="66D774AE">
            <w:pPr>
              <w:numPr>
                <w:ilvl w:val="0"/>
                <w:numId w:val="0"/>
              </w:numPr>
              <w:spacing w:line="38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根据人员配备计划的合理性与完整性，人员配备非常齐全、合理的得</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分；</w:t>
            </w:r>
          </w:p>
          <w:p w14:paraId="35192243">
            <w:pPr>
              <w:numPr>
                <w:ilvl w:val="0"/>
                <w:numId w:val="0"/>
              </w:numPr>
              <w:spacing w:line="38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人员配备较齐全、较合理的得</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分；</w:t>
            </w:r>
          </w:p>
          <w:p w14:paraId="3D83ED85">
            <w:pPr>
              <w:spacing w:line="380" w:lineRule="exact"/>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人员配备不齐全的得1分；</w:t>
            </w:r>
          </w:p>
          <w:p w14:paraId="5A25A041">
            <w:pPr>
              <w:spacing w:line="380" w:lineRule="exact"/>
              <w:jc w:val="left"/>
              <w:rPr>
                <w:rFonts w:hint="eastAsia" w:ascii="宋体" w:hAnsi="宋体" w:eastAsia="宋体" w:cs="宋体"/>
                <w:color w:val="000000"/>
                <w:kern w:val="2"/>
                <w:sz w:val="22"/>
                <w:szCs w:val="22"/>
                <w:highlight w:val="none"/>
                <w:lang w:val="en-US" w:eastAsia="en-US" w:bidi="ar-SA"/>
              </w:rPr>
            </w:pPr>
            <w:r>
              <w:rPr>
                <w:rFonts w:hint="eastAsia" w:ascii="宋体" w:hAnsi="宋体" w:eastAsia="宋体" w:cs="宋体"/>
                <w:kern w:val="2"/>
                <w:sz w:val="22"/>
                <w:szCs w:val="22"/>
                <w:lang w:val="en-US" w:eastAsia="en-US" w:bidi="ar-SA"/>
              </w:rPr>
              <w:t>未提供不得分。</w:t>
            </w:r>
          </w:p>
        </w:tc>
        <w:tc>
          <w:tcPr>
            <w:tcW w:w="675" w:type="dxa"/>
            <w:noWrap w:val="0"/>
            <w:vAlign w:val="center"/>
          </w:tcPr>
          <w:p w14:paraId="4E606875">
            <w:pPr>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1A0F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43" w:type="dxa"/>
            <w:vMerge w:val="continue"/>
            <w:noWrap w:val="0"/>
            <w:vAlign w:val="center"/>
          </w:tcPr>
          <w:p w14:paraId="6C7BD4CC">
            <w:pPr>
              <w:rPr>
                <w:rFonts w:hint="eastAsia" w:ascii="宋体" w:hAnsi="宋体" w:eastAsia="宋体" w:cs="宋体"/>
                <w:color w:val="auto"/>
                <w:sz w:val="22"/>
                <w:szCs w:val="22"/>
                <w:u w:val="none"/>
              </w:rPr>
            </w:pPr>
          </w:p>
        </w:tc>
        <w:tc>
          <w:tcPr>
            <w:tcW w:w="1125" w:type="dxa"/>
            <w:shd w:val="clear" w:color="auto" w:fill="auto"/>
            <w:noWrap w:val="0"/>
            <w:vAlign w:val="top"/>
          </w:tcPr>
          <w:p w14:paraId="0889BA72">
            <w:pPr>
              <w:pStyle w:val="38"/>
              <w:spacing w:before="91" w:line="333" w:lineRule="auto"/>
              <w:ind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质量保证措施</w:t>
            </w:r>
          </w:p>
          <w:p w14:paraId="0FB430AF">
            <w:pPr>
              <w:pStyle w:val="38"/>
              <w:spacing w:before="91" w:line="333" w:lineRule="auto"/>
              <w:ind w:right="107" w:rightChars="0"/>
              <w:rPr>
                <w:rFonts w:hint="eastAsia" w:ascii="宋体" w:hAnsi="宋体" w:eastAsia="宋体" w:cs="宋体"/>
                <w:kern w:val="2"/>
                <w:sz w:val="22"/>
                <w:szCs w:val="22"/>
                <w:lang w:val="en-US" w:eastAsia="en-US" w:bidi="ar-SA"/>
              </w:rPr>
            </w:pPr>
          </w:p>
        </w:tc>
        <w:tc>
          <w:tcPr>
            <w:tcW w:w="7417" w:type="dxa"/>
            <w:shd w:val="clear" w:color="auto" w:fill="auto"/>
            <w:noWrap w:val="0"/>
            <w:vAlign w:val="top"/>
          </w:tcPr>
          <w:p w14:paraId="4D9CB243">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 xml:space="preserve">在满足招标文件的基础上，能够提供质量保证措施先进性、可靠性、稳定性、整体性、安全性等全面合理可行的进行评比打分。 </w:t>
            </w:r>
          </w:p>
          <w:p w14:paraId="63599DF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1、质量保证期内、外服务内容全面完整，细节详尽，切实可行的得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 xml:space="preserve">分； </w:t>
            </w:r>
          </w:p>
          <w:p w14:paraId="14BF65F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2、质量保证期内、外服务内容比较完整，细节简要，一般可行的得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 xml:space="preserve">分； </w:t>
            </w:r>
          </w:p>
          <w:p w14:paraId="557AAC5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 xml:space="preserve">、质量保证期内、外服务内容不合理可行但有此描述的得1分； </w:t>
            </w:r>
          </w:p>
          <w:p w14:paraId="08709934">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未提供不得分。</w:t>
            </w:r>
          </w:p>
        </w:tc>
        <w:tc>
          <w:tcPr>
            <w:tcW w:w="675" w:type="dxa"/>
            <w:noWrap w:val="0"/>
            <w:vAlign w:val="center"/>
          </w:tcPr>
          <w:p w14:paraId="75969D38">
            <w:pPr>
              <w:spacing w:line="360" w:lineRule="auto"/>
              <w:jc w:val="center"/>
              <w:rPr>
                <w:rFonts w:hint="default"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4A37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vMerge w:val="restart"/>
            <w:noWrap w:val="0"/>
            <w:vAlign w:val="center"/>
          </w:tcPr>
          <w:p w14:paraId="21F5CADD">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val="en-US" w:eastAsia="zh-CN" w:bidi="ar-SA"/>
              </w:rPr>
              <w:t>综合标</w:t>
            </w:r>
            <w:r>
              <w:rPr>
                <w:rFonts w:hint="eastAsia" w:ascii="宋体" w:hAnsi="宋体" w:eastAsia="宋体" w:cs="宋体"/>
                <w:b/>
                <w:bCs/>
                <w:color w:val="auto"/>
                <w:kern w:val="0"/>
                <w:sz w:val="22"/>
                <w:szCs w:val="22"/>
                <w:u w:val="none"/>
                <w:lang w:bidi="ar-SA"/>
              </w:rPr>
              <w:t>（</w:t>
            </w:r>
            <w:r>
              <w:rPr>
                <w:rFonts w:hint="eastAsia" w:ascii="宋体" w:hAnsi="宋体" w:eastAsia="宋体" w:cs="宋体"/>
                <w:b/>
                <w:bCs/>
                <w:color w:val="auto"/>
                <w:kern w:val="0"/>
                <w:sz w:val="22"/>
                <w:szCs w:val="22"/>
                <w:u w:val="none"/>
                <w:lang w:val="en-US" w:eastAsia="zh-CN" w:bidi="ar-SA"/>
              </w:rPr>
              <w:t>25</w:t>
            </w:r>
            <w:r>
              <w:rPr>
                <w:rFonts w:hint="eastAsia" w:ascii="宋体" w:hAnsi="宋体" w:eastAsia="宋体" w:cs="宋体"/>
                <w:b/>
                <w:bCs/>
                <w:color w:val="auto"/>
                <w:kern w:val="0"/>
                <w:sz w:val="22"/>
                <w:szCs w:val="22"/>
                <w:u w:val="none"/>
                <w:lang w:bidi="ar-SA"/>
              </w:rPr>
              <w:t>分）</w:t>
            </w:r>
          </w:p>
        </w:tc>
        <w:tc>
          <w:tcPr>
            <w:tcW w:w="1125" w:type="dxa"/>
            <w:noWrap w:val="0"/>
            <w:vAlign w:val="center"/>
          </w:tcPr>
          <w:p w14:paraId="4DA68C65">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7417" w:type="dxa"/>
            <w:noWrap w:val="0"/>
            <w:vAlign w:val="top"/>
          </w:tcPr>
          <w:p w14:paraId="6B897384">
            <w:pPr>
              <w:spacing w:line="360" w:lineRule="auto"/>
              <w:rPr>
                <w:rFonts w:hint="eastAsia" w:ascii="宋体" w:hAnsi="宋体" w:eastAsia="宋体" w:cs="宋体"/>
                <w:color w:val="auto"/>
                <w:kern w:val="0"/>
                <w:sz w:val="22"/>
                <w:szCs w:val="22"/>
                <w:u w:val="none"/>
                <w:lang w:bidi="ar-SA"/>
              </w:rPr>
            </w:pPr>
            <w:r>
              <w:rPr>
                <w:rFonts w:hint="eastAsia" w:ascii="宋体" w:hAnsi="宋体" w:eastAsia="宋体" w:cs="宋体"/>
                <w:color w:val="auto"/>
                <w:kern w:val="0"/>
                <w:sz w:val="22"/>
                <w:szCs w:val="22"/>
                <w:u w:val="none"/>
                <w:lang w:bidi="ar-SA"/>
              </w:rPr>
              <w:t>自202</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年1月1日至今完成的</w:t>
            </w:r>
            <w:r>
              <w:rPr>
                <w:rFonts w:hint="eastAsia" w:ascii="宋体" w:hAnsi="宋体" w:eastAsia="宋体" w:cs="宋体"/>
                <w:color w:val="auto"/>
                <w:kern w:val="0"/>
                <w:sz w:val="22"/>
                <w:szCs w:val="22"/>
                <w:u w:val="none"/>
                <w:lang w:eastAsia="zh-CN" w:bidi="ar-SA"/>
              </w:rPr>
              <w:t>类似项目</w:t>
            </w:r>
            <w:r>
              <w:rPr>
                <w:rFonts w:hint="eastAsia" w:ascii="宋体" w:hAnsi="宋体" w:eastAsia="宋体" w:cs="宋体"/>
                <w:color w:val="auto"/>
                <w:kern w:val="0"/>
                <w:sz w:val="22"/>
                <w:szCs w:val="22"/>
                <w:u w:val="none"/>
                <w:lang w:val="en-US" w:eastAsia="zh-CN" w:bidi="ar-SA"/>
              </w:rPr>
              <w:t>业绩，提供</w:t>
            </w:r>
            <w:r>
              <w:rPr>
                <w:rFonts w:hint="eastAsia" w:ascii="宋体" w:hAnsi="宋体" w:eastAsia="宋体" w:cs="宋体"/>
                <w:color w:val="auto"/>
                <w:kern w:val="0"/>
                <w:sz w:val="22"/>
                <w:szCs w:val="22"/>
                <w:u w:val="none"/>
                <w:lang w:bidi="ar-SA"/>
              </w:rPr>
              <w:t>合同协议书</w:t>
            </w:r>
            <w:r>
              <w:rPr>
                <w:rFonts w:hint="eastAsia" w:ascii="宋体" w:hAnsi="宋体" w:eastAsia="宋体" w:cs="宋体"/>
                <w:color w:val="auto"/>
                <w:kern w:val="0"/>
                <w:sz w:val="22"/>
                <w:szCs w:val="22"/>
                <w:u w:val="none"/>
                <w:lang w:val="en-US" w:eastAsia="zh-CN" w:bidi="ar-SA"/>
              </w:rPr>
              <w:t>或中标通知书，</w:t>
            </w:r>
            <w:r>
              <w:rPr>
                <w:rFonts w:hint="eastAsia" w:ascii="宋体" w:hAnsi="宋体" w:eastAsia="宋体" w:cs="宋体"/>
                <w:color w:val="auto"/>
                <w:kern w:val="0"/>
                <w:sz w:val="22"/>
                <w:szCs w:val="22"/>
                <w:u w:val="none"/>
                <w:lang w:bidi="ar-SA"/>
              </w:rPr>
              <w:t>每提供一份得</w:t>
            </w:r>
            <w:r>
              <w:rPr>
                <w:rFonts w:hint="eastAsia" w:ascii="宋体" w:hAnsi="宋体" w:eastAsia="宋体" w:cs="宋体"/>
                <w:color w:val="auto"/>
                <w:kern w:val="0"/>
                <w:sz w:val="22"/>
                <w:szCs w:val="22"/>
                <w:u w:val="none"/>
                <w:lang w:val="en-US" w:eastAsia="zh-CN" w:bidi="ar-SA"/>
              </w:rPr>
              <w:t>3</w:t>
            </w:r>
            <w:r>
              <w:rPr>
                <w:rFonts w:hint="eastAsia" w:ascii="宋体" w:hAnsi="宋体" w:eastAsia="宋体" w:cs="宋体"/>
                <w:color w:val="auto"/>
                <w:kern w:val="0"/>
                <w:sz w:val="22"/>
                <w:szCs w:val="22"/>
                <w:u w:val="none"/>
                <w:lang w:bidi="ar-SA"/>
              </w:rPr>
              <w:t>分，最多得</w:t>
            </w:r>
            <w:r>
              <w:rPr>
                <w:rFonts w:hint="eastAsia" w:ascii="宋体" w:hAnsi="宋体" w:eastAsia="宋体" w:cs="宋体"/>
                <w:color w:val="auto"/>
                <w:kern w:val="0"/>
                <w:sz w:val="22"/>
                <w:szCs w:val="22"/>
                <w:u w:val="none"/>
                <w:lang w:val="en-US" w:eastAsia="zh-CN" w:bidi="ar-SA"/>
              </w:rPr>
              <w:t>9</w:t>
            </w:r>
            <w:r>
              <w:rPr>
                <w:rFonts w:hint="eastAsia" w:ascii="宋体" w:hAnsi="宋体" w:eastAsia="宋体" w:cs="宋体"/>
                <w:color w:val="auto"/>
                <w:kern w:val="0"/>
                <w:sz w:val="22"/>
                <w:szCs w:val="22"/>
                <w:u w:val="none"/>
                <w:lang w:bidi="ar-SA"/>
              </w:rPr>
              <w:t>分</w:t>
            </w:r>
            <w:r>
              <w:rPr>
                <w:rFonts w:hint="eastAsia" w:ascii="宋体" w:hAnsi="宋体" w:eastAsia="宋体" w:cs="宋体"/>
                <w:color w:val="auto"/>
                <w:kern w:val="0"/>
                <w:sz w:val="22"/>
                <w:szCs w:val="22"/>
                <w:u w:val="none"/>
                <w:lang w:eastAsia="zh-CN" w:bidi="ar-SA"/>
              </w:rPr>
              <w:t>，</w:t>
            </w:r>
            <w:r>
              <w:rPr>
                <w:rFonts w:hint="eastAsia" w:ascii="宋体" w:hAnsi="宋体" w:eastAsia="宋体" w:cs="宋体"/>
                <w:color w:val="auto"/>
                <w:kern w:val="0"/>
                <w:sz w:val="22"/>
                <w:szCs w:val="22"/>
                <w:u w:val="none"/>
                <w:lang w:val="en-US" w:eastAsia="zh-CN" w:bidi="ar-SA"/>
              </w:rPr>
              <w:t>未提供者不得分</w:t>
            </w:r>
            <w:r>
              <w:rPr>
                <w:rFonts w:hint="eastAsia" w:ascii="宋体" w:hAnsi="宋体" w:eastAsia="宋体" w:cs="宋体"/>
                <w:color w:val="auto"/>
                <w:kern w:val="0"/>
                <w:sz w:val="22"/>
                <w:szCs w:val="22"/>
                <w:u w:val="none"/>
                <w:lang w:bidi="ar-SA"/>
              </w:rPr>
              <w:t>。</w:t>
            </w:r>
          </w:p>
          <w:p w14:paraId="72F519A1">
            <w:pPr>
              <w:spacing w:line="360" w:lineRule="auto"/>
              <w:rPr>
                <w:rFonts w:hint="default" w:ascii="宋体" w:hAnsi="宋体" w:eastAsia="宋体" w:cs="宋体"/>
                <w:color w:val="auto"/>
                <w:sz w:val="22"/>
                <w:szCs w:val="22"/>
                <w:u w:val="none"/>
                <w:lang w:val="en-US" w:eastAsia="zh-CN" w:bidi="ar-SA"/>
              </w:rPr>
            </w:pPr>
            <w:r>
              <w:rPr>
                <w:rFonts w:hint="eastAsia" w:ascii="宋体" w:hAnsi="宋体" w:eastAsia="宋体" w:cs="宋体"/>
                <w:color w:val="auto"/>
                <w:kern w:val="0"/>
                <w:sz w:val="22"/>
                <w:szCs w:val="22"/>
                <w:u w:val="none"/>
                <w:lang w:bidi="ar-SA"/>
              </w:rPr>
              <w:t>注：以投标文件中附的合同协议书</w:t>
            </w:r>
            <w:r>
              <w:rPr>
                <w:rFonts w:hint="eastAsia" w:ascii="宋体" w:hAnsi="宋体" w:eastAsia="宋体" w:cs="宋体"/>
                <w:color w:val="auto"/>
                <w:kern w:val="0"/>
                <w:sz w:val="22"/>
                <w:szCs w:val="22"/>
                <w:u w:val="none"/>
                <w:lang w:val="en-US" w:eastAsia="zh-CN" w:bidi="ar-SA"/>
              </w:rPr>
              <w:t>或中标通知书</w:t>
            </w:r>
            <w:r>
              <w:rPr>
                <w:rFonts w:hint="eastAsia" w:ascii="宋体" w:hAnsi="宋体" w:eastAsia="宋体" w:cs="宋体"/>
                <w:color w:val="auto"/>
                <w:kern w:val="0"/>
                <w:sz w:val="22"/>
                <w:szCs w:val="22"/>
                <w:u w:val="none"/>
                <w:lang w:bidi="ar-SA"/>
              </w:rPr>
              <w:t>扫描件为准</w:t>
            </w:r>
            <w:r>
              <w:rPr>
                <w:rFonts w:hint="eastAsia" w:ascii="宋体" w:hAnsi="宋体" w:eastAsia="宋体" w:cs="宋体"/>
                <w:color w:val="auto"/>
                <w:kern w:val="0"/>
                <w:sz w:val="22"/>
                <w:szCs w:val="22"/>
                <w:u w:val="none"/>
                <w:lang w:eastAsia="zh-CN" w:bidi="ar-SA"/>
              </w:rPr>
              <w:t>（</w:t>
            </w:r>
            <w:r>
              <w:rPr>
                <w:rFonts w:hint="eastAsia" w:ascii="宋体" w:hAnsi="宋体" w:eastAsia="宋体" w:cs="宋体"/>
                <w:color w:val="auto"/>
                <w:kern w:val="0"/>
                <w:sz w:val="22"/>
                <w:szCs w:val="22"/>
                <w:u w:val="none"/>
                <w:lang w:val="en-US" w:eastAsia="zh-CN" w:bidi="ar-SA"/>
              </w:rPr>
              <w:t>合同协议书以签订日期为准</w:t>
            </w:r>
            <w:r>
              <w:rPr>
                <w:rFonts w:hint="eastAsia" w:ascii="宋体" w:hAnsi="宋体" w:eastAsia="宋体" w:cs="宋体"/>
                <w:color w:val="auto"/>
                <w:kern w:val="0"/>
                <w:sz w:val="22"/>
                <w:szCs w:val="22"/>
                <w:u w:val="none"/>
                <w:lang w:eastAsia="zh-CN" w:bidi="ar-SA"/>
              </w:rPr>
              <w:t>）</w:t>
            </w:r>
            <w:r>
              <w:rPr>
                <w:rFonts w:hint="eastAsia" w:ascii="宋体" w:hAnsi="宋体" w:eastAsia="宋体" w:cs="宋体"/>
                <w:color w:val="auto"/>
                <w:kern w:val="0"/>
                <w:sz w:val="22"/>
                <w:szCs w:val="22"/>
                <w:u w:val="none"/>
                <w:lang w:bidi="ar-SA"/>
              </w:rPr>
              <w:t>，否则不得分。</w:t>
            </w:r>
          </w:p>
        </w:tc>
        <w:tc>
          <w:tcPr>
            <w:tcW w:w="675" w:type="dxa"/>
            <w:noWrap w:val="0"/>
            <w:vAlign w:val="center"/>
          </w:tcPr>
          <w:p w14:paraId="7B112802">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0-9</w:t>
            </w:r>
            <w:r>
              <w:rPr>
                <w:rFonts w:hint="eastAsia" w:ascii="宋体" w:hAnsi="宋体" w:eastAsia="宋体" w:cs="宋体"/>
                <w:color w:val="auto"/>
                <w:sz w:val="22"/>
                <w:szCs w:val="22"/>
                <w:u w:val="none"/>
                <w:lang w:bidi="ar-SA"/>
              </w:rPr>
              <w:t>分</w:t>
            </w:r>
          </w:p>
        </w:tc>
      </w:tr>
      <w:tr w14:paraId="478E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43" w:type="dxa"/>
            <w:vMerge w:val="continue"/>
            <w:noWrap w:val="0"/>
            <w:vAlign w:val="center"/>
          </w:tcPr>
          <w:p w14:paraId="51823430">
            <w:pPr>
              <w:rPr>
                <w:rFonts w:hint="eastAsia" w:ascii="宋体" w:hAnsi="宋体" w:eastAsia="宋体" w:cs="宋体"/>
                <w:color w:val="auto"/>
                <w:sz w:val="22"/>
                <w:szCs w:val="22"/>
                <w:u w:val="none"/>
              </w:rPr>
            </w:pPr>
          </w:p>
        </w:tc>
        <w:tc>
          <w:tcPr>
            <w:tcW w:w="1125" w:type="dxa"/>
            <w:noWrap w:val="0"/>
            <w:vAlign w:val="center"/>
          </w:tcPr>
          <w:p w14:paraId="3255836C">
            <w:pPr>
              <w:spacing w:before="57"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售后服务承诺</w:t>
            </w:r>
          </w:p>
          <w:p w14:paraId="6CD89182">
            <w:pPr>
              <w:spacing w:before="57" w:line="360" w:lineRule="auto"/>
              <w:jc w:val="center"/>
              <w:rPr>
                <w:rFonts w:hint="eastAsia" w:ascii="宋体" w:hAnsi="宋体" w:eastAsia="宋体" w:cs="宋体"/>
                <w:color w:val="auto"/>
                <w:sz w:val="22"/>
                <w:szCs w:val="22"/>
                <w:u w:val="none"/>
                <w:lang w:bidi="ar-SA"/>
              </w:rPr>
            </w:pPr>
          </w:p>
        </w:tc>
        <w:tc>
          <w:tcPr>
            <w:tcW w:w="7417" w:type="dxa"/>
            <w:noWrap w:val="0"/>
            <w:vAlign w:val="center"/>
          </w:tcPr>
          <w:p w14:paraId="2BF90F70">
            <w:pPr>
              <w:spacing w:before="57" w:line="360" w:lineRule="auto"/>
              <w:jc w:val="left"/>
              <w:rPr>
                <w:rFonts w:hint="eastAsia" w:ascii="宋体" w:hAnsi="宋体" w:cs="宋体"/>
                <w:kern w:val="0"/>
                <w:sz w:val="22"/>
                <w:szCs w:val="22"/>
                <w:lang w:val="en-US" w:eastAsia="zh-CN"/>
              </w:rPr>
            </w:pPr>
            <w:r>
              <w:rPr>
                <w:rFonts w:hint="default" w:ascii="宋体" w:hAnsi="宋体" w:cs="宋体"/>
                <w:kern w:val="0"/>
                <w:sz w:val="22"/>
                <w:szCs w:val="22"/>
                <w:lang w:val="en-US" w:eastAsia="zh-CN"/>
              </w:rPr>
              <w:t>根据</w:t>
            </w:r>
            <w:r>
              <w:rPr>
                <w:rFonts w:hint="eastAsia" w:ascii="宋体" w:hAnsi="宋体" w:cs="宋体"/>
                <w:kern w:val="0"/>
                <w:sz w:val="22"/>
                <w:szCs w:val="22"/>
                <w:lang w:val="en-US" w:eastAsia="zh-CN"/>
              </w:rPr>
              <w:t>供应商</w:t>
            </w:r>
            <w:r>
              <w:rPr>
                <w:rFonts w:hint="default" w:ascii="宋体" w:hAnsi="宋体" w:cs="宋体"/>
                <w:kern w:val="0"/>
                <w:sz w:val="22"/>
                <w:szCs w:val="22"/>
                <w:lang w:val="en-US" w:eastAsia="zh-CN"/>
              </w:rPr>
              <w:t>针对本项目所提出的售后服务承诺（承诺包括但不限于：售后人员、售后体系、厂家保障、现场实施保障、日常维护、售后服务维修响应时间、维修响应方式、提供服务培训等与售后有关内容）的优越性进行综合比较</w:t>
            </w:r>
            <w:r>
              <w:rPr>
                <w:rFonts w:hint="eastAsia" w:ascii="宋体" w:hAnsi="宋体" w:cs="宋体"/>
                <w:kern w:val="0"/>
                <w:sz w:val="22"/>
                <w:szCs w:val="22"/>
                <w:lang w:val="en-US" w:eastAsia="zh-CN"/>
              </w:rPr>
              <w:t>打分。</w:t>
            </w:r>
          </w:p>
          <w:p w14:paraId="3BB3E5B2">
            <w:pPr>
              <w:numPr>
                <w:ilvl w:val="0"/>
                <w:numId w:val="6"/>
              </w:numPr>
              <w:spacing w:before="57" w:line="360" w:lineRule="auto"/>
              <w:jc w:val="left"/>
              <w:rPr>
                <w:rFonts w:hint="default" w:ascii="宋体" w:hAnsi="宋体" w:cs="宋体"/>
                <w:kern w:val="0"/>
                <w:sz w:val="22"/>
                <w:szCs w:val="22"/>
                <w:lang w:val="en-US" w:eastAsia="zh-CN"/>
              </w:rPr>
            </w:pPr>
            <w:r>
              <w:rPr>
                <w:rFonts w:hint="default" w:ascii="宋体" w:hAnsi="宋体" w:cs="宋体"/>
                <w:kern w:val="0"/>
                <w:sz w:val="22"/>
                <w:szCs w:val="22"/>
                <w:lang w:val="en-US" w:eastAsia="zh-CN"/>
              </w:rPr>
              <w:t>承诺内容具体全面、可操作性强的，得</w:t>
            </w:r>
            <w:r>
              <w:rPr>
                <w:rFonts w:hint="eastAsia" w:ascii="宋体" w:hAnsi="宋体" w:cs="宋体"/>
                <w:kern w:val="0"/>
                <w:sz w:val="22"/>
                <w:szCs w:val="22"/>
                <w:lang w:val="en-US" w:eastAsia="zh-CN"/>
              </w:rPr>
              <w:t>10</w:t>
            </w:r>
            <w:r>
              <w:rPr>
                <w:rFonts w:hint="default" w:ascii="宋体" w:hAnsi="宋体" w:cs="宋体"/>
                <w:kern w:val="0"/>
                <w:sz w:val="22"/>
                <w:szCs w:val="22"/>
                <w:lang w:val="en-US" w:eastAsia="zh-CN"/>
              </w:rPr>
              <w:t>分；</w:t>
            </w:r>
          </w:p>
          <w:p w14:paraId="020A5F99">
            <w:pPr>
              <w:numPr>
                <w:ilvl w:val="0"/>
                <w:numId w:val="6"/>
              </w:num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lang w:val="en-US" w:eastAsia="zh-CN"/>
              </w:rPr>
              <w:t>承诺</w:t>
            </w:r>
            <w:r>
              <w:rPr>
                <w:rFonts w:hint="default" w:ascii="宋体" w:hAnsi="宋体" w:cs="宋体"/>
                <w:kern w:val="0"/>
                <w:sz w:val="22"/>
                <w:szCs w:val="22"/>
                <w:lang w:val="en-US" w:eastAsia="zh-CN"/>
              </w:rPr>
              <w:t>内容全面、可操作性较强的，得</w:t>
            </w:r>
            <w:r>
              <w:rPr>
                <w:rFonts w:hint="eastAsia" w:ascii="宋体" w:hAnsi="宋体" w:cs="宋体"/>
                <w:kern w:val="0"/>
                <w:sz w:val="22"/>
                <w:szCs w:val="22"/>
                <w:lang w:val="en-US" w:eastAsia="zh-CN"/>
              </w:rPr>
              <w:t>6</w:t>
            </w:r>
            <w:r>
              <w:rPr>
                <w:rFonts w:hint="default" w:ascii="宋体" w:hAnsi="宋体" w:cs="宋体"/>
                <w:kern w:val="0"/>
                <w:sz w:val="22"/>
                <w:szCs w:val="22"/>
                <w:lang w:val="en-US" w:eastAsia="zh-CN"/>
              </w:rPr>
              <w:t>分；</w:t>
            </w:r>
          </w:p>
          <w:p w14:paraId="3974CC46">
            <w:pPr>
              <w:numPr>
                <w:ilvl w:val="0"/>
                <w:numId w:val="6"/>
              </w:numPr>
              <w:spacing w:before="57" w:line="360" w:lineRule="auto"/>
              <w:jc w:val="left"/>
              <w:rPr>
                <w:rFonts w:hint="default" w:ascii="宋体" w:hAnsi="宋体" w:cs="宋体"/>
                <w:kern w:val="0"/>
                <w:sz w:val="22"/>
                <w:szCs w:val="22"/>
                <w:lang w:val="en-US" w:eastAsia="zh-CN"/>
              </w:rPr>
            </w:pPr>
            <w:r>
              <w:rPr>
                <w:rFonts w:hint="default" w:ascii="宋体" w:hAnsi="宋体" w:cs="宋体"/>
                <w:kern w:val="0"/>
                <w:sz w:val="22"/>
                <w:szCs w:val="22"/>
                <w:lang w:val="en-US" w:eastAsia="zh-CN"/>
              </w:rPr>
              <w:t>内容基本全面、可操作性基本可行的，得3分；</w:t>
            </w:r>
          </w:p>
          <w:p w14:paraId="3ED3DD4E">
            <w:pPr>
              <w:numPr>
                <w:ilvl w:val="0"/>
                <w:numId w:val="6"/>
              </w:numPr>
              <w:spacing w:before="57" w:line="360" w:lineRule="auto"/>
              <w:jc w:val="left"/>
              <w:rPr>
                <w:rFonts w:hint="default" w:ascii="宋体" w:hAnsi="宋体" w:cs="宋体"/>
                <w:kern w:val="0"/>
                <w:sz w:val="22"/>
                <w:szCs w:val="22"/>
                <w:lang w:val="en-US" w:eastAsia="zh-CN"/>
              </w:rPr>
            </w:pPr>
            <w:r>
              <w:rPr>
                <w:rFonts w:hint="default" w:ascii="宋体" w:hAnsi="宋体" w:cs="宋体"/>
                <w:kern w:val="0"/>
                <w:sz w:val="22"/>
                <w:szCs w:val="22"/>
                <w:lang w:val="en-US" w:eastAsia="zh-CN"/>
              </w:rPr>
              <w:t>内容一般的，得1分；</w:t>
            </w:r>
          </w:p>
          <w:p w14:paraId="102ED5DC">
            <w:pPr>
              <w:spacing w:before="57" w:line="360" w:lineRule="auto"/>
              <w:jc w:val="left"/>
              <w:rPr>
                <w:rFonts w:hint="default"/>
                <w:b/>
                <w:bCs w:val="0"/>
                <w:lang w:val="en-US" w:eastAsia="zh-CN"/>
              </w:rPr>
            </w:pPr>
            <w:r>
              <w:rPr>
                <w:rFonts w:hint="eastAsia" w:ascii="宋体" w:hAnsi="宋体" w:eastAsia="宋体" w:cs="宋体"/>
                <w:bCs/>
                <w:color w:val="auto"/>
                <w:kern w:val="2"/>
                <w:sz w:val="22"/>
                <w:szCs w:val="22"/>
                <w:highlight w:val="none"/>
                <w:lang w:val="en-US" w:eastAsia="zh-CN" w:bidi="ar-SA"/>
              </w:rPr>
              <w:t>未提供不得分。</w:t>
            </w:r>
          </w:p>
        </w:tc>
        <w:tc>
          <w:tcPr>
            <w:tcW w:w="675" w:type="dxa"/>
            <w:noWrap w:val="0"/>
            <w:vAlign w:val="center"/>
          </w:tcPr>
          <w:p w14:paraId="05CCCF68">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0-10</w:t>
            </w:r>
            <w:r>
              <w:rPr>
                <w:rFonts w:hint="eastAsia" w:ascii="宋体" w:hAnsi="宋体" w:eastAsia="宋体" w:cs="宋体"/>
                <w:color w:val="auto"/>
                <w:sz w:val="22"/>
                <w:szCs w:val="22"/>
                <w:u w:val="none"/>
                <w:lang w:bidi="ar-SA"/>
              </w:rPr>
              <w:t>分</w:t>
            </w:r>
          </w:p>
        </w:tc>
      </w:tr>
      <w:tr w14:paraId="4C1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43" w:type="dxa"/>
            <w:vMerge w:val="continue"/>
            <w:noWrap w:val="0"/>
            <w:vAlign w:val="center"/>
          </w:tcPr>
          <w:p w14:paraId="1C72A687">
            <w:pPr>
              <w:rPr>
                <w:rFonts w:hint="eastAsia" w:ascii="宋体" w:hAnsi="宋体" w:eastAsia="宋体" w:cs="宋体"/>
                <w:color w:val="auto"/>
                <w:sz w:val="22"/>
                <w:szCs w:val="22"/>
                <w:u w:val="none"/>
              </w:rPr>
            </w:pPr>
          </w:p>
        </w:tc>
        <w:tc>
          <w:tcPr>
            <w:tcW w:w="1125" w:type="dxa"/>
            <w:noWrap w:val="0"/>
            <w:vAlign w:val="center"/>
          </w:tcPr>
          <w:p w14:paraId="26599CB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kern w:val="0"/>
                <w:sz w:val="21"/>
                <w:szCs w:val="21"/>
                <w:lang w:val="en-US" w:eastAsia="zh-CN"/>
              </w:rPr>
            </w:pPr>
            <w:r>
              <w:rPr>
                <w:rFonts w:hint="eastAsia" w:ascii="宋体" w:hAnsi="宋体" w:eastAsia="宋体" w:cs="宋体"/>
                <w:bCs/>
                <w:color w:val="auto"/>
                <w:kern w:val="2"/>
                <w:sz w:val="22"/>
                <w:szCs w:val="22"/>
                <w:highlight w:val="none"/>
                <w:lang w:val="en-US" w:eastAsia="zh-CN"/>
              </w:rPr>
              <w:t xml:space="preserve">应急方案                  </w:t>
            </w:r>
          </w:p>
        </w:tc>
        <w:tc>
          <w:tcPr>
            <w:tcW w:w="7417" w:type="dxa"/>
            <w:noWrap w:val="0"/>
            <w:vAlign w:val="center"/>
          </w:tcPr>
          <w:p w14:paraId="7FBC21D5">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评标委员会根据供应商提供的预防措施、应急方案的合理性、完善性及快速响应等方面综合打分。</w:t>
            </w:r>
          </w:p>
          <w:p w14:paraId="3F02C520">
            <w:pPr>
              <w:widowControl w:val="0"/>
              <w:numPr>
                <w:ilvl w:val="0"/>
                <w:numId w:val="7"/>
              </w:numPr>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内容全面切实可行、服务明晰的得6分；</w:t>
            </w:r>
          </w:p>
          <w:p w14:paraId="551C6F50">
            <w:pPr>
              <w:widowControl w:val="0"/>
              <w:numPr>
                <w:ilvl w:val="0"/>
                <w:numId w:val="0"/>
              </w:numPr>
              <w:wordWrap/>
              <w:adjustRightInd w:val="0"/>
              <w:snapToGrid w:val="0"/>
              <w:spacing w:before="0" w:beforeAutospacing="0" w:after="0" w:afterAutospacing="0" w:line="360" w:lineRule="auto"/>
              <w:ind w:right="0" w:rightChars="0"/>
              <w:jc w:val="both"/>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2、内容较全面、基本可行、针对性一般的得3分；</w:t>
            </w:r>
          </w:p>
          <w:p w14:paraId="25ABEF4E">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3、内容不完整，描述简略得1分；</w:t>
            </w:r>
          </w:p>
          <w:p w14:paraId="6877AA23">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kern w:val="0"/>
                <w:sz w:val="21"/>
                <w:szCs w:val="21"/>
                <w:lang w:val="en-US" w:eastAsia="zh-CN"/>
              </w:rPr>
            </w:pPr>
            <w:r>
              <w:rPr>
                <w:rFonts w:hint="eastAsia" w:ascii="宋体" w:hAnsi="宋体" w:cs="宋体"/>
                <w:kern w:val="0"/>
                <w:sz w:val="21"/>
                <w:szCs w:val="21"/>
                <w:highlight w:val="none"/>
                <w:lang w:val="en-US" w:eastAsia="zh-CN"/>
              </w:rPr>
              <w:t>4、未提供不得分。</w:t>
            </w:r>
          </w:p>
        </w:tc>
        <w:tc>
          <w:tcPr>
            <w:tcW w:w="675" w:type="dxa"/>
            <w:noWrap w:val="0"/>
            <w:vAlign w:val="center"/>
          </w:tcPr>
          <w:p w14:paraId="59963C57">
            <w:pPr>
              <w:snapToGrid w:val="0"/>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0-6</w:t>
            </w:r>
            <w:r>
              <w:rPr>
                <w:rFonts w:hint="eastAsia" w:ascii="宋体" w:hAnsi="宋体" w:eastAsia="宋体" w:cs="宋体"/>
                <w:color w:val="auto"/>
                <w:sz w:val="22"/>
                <w:szCs w:val="22"/>
                <w:u w:val="none"/>
                <w:lang w:bidi="ar-SA"/>
              </w:rPr>
              <w:t>分</w:t>
            </w:r>
          </w:p>
        </w:tc>
      </w:tr>
      <w:tr w14:paraId="689E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960" w:type="dxa"/>
            <w:gridSpan w:val="4"/>
            <w:noWrap w:val="0"/>
            <w:vAlign w:val="center"/>
          </w:tcPr>
          <w:p w14:paraId="3D25E128">
            <w:pPr>
              <w:snapToGrid w:val="0"/>
              <w:spacing w:line="360" w:lineRule="auto"/>
              <w:jc w:val="left"/>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24C8A719">
      <w:pPr>
        <w:pStyle w:val="16"/>
        <w:rPr>
          <w:rFonts w:hint="default"/>
          <w:b/>
          <w:bCs/>
          <w:sz w:val="32"/>
          <w:szCs w:val="40"/>
          <w:lang w:val="en-US" w:eastAsia="zh-CN"/>
        </w:rPr>
      </w:pPr>
    </w:p>
    <w:p w14:paraId="3481A090">
      <w:pPr>
        <w:pStyle w:val="16"/>
        <w:rPr>
          <w:ins w:id="0" w:author="心平气和" w:date="2025-10-28T19:26:24Z"/>
          <w:rFonts w:hint="default"/>
          <w:b/>
          <w:bCs/>
          <w:sz w:val="32"/>
          <w:szCs w:val="40"/>
          <w:lang w:val="en-US" w:eastAsia="zh-CN"/>
        </w:rPr>
      </w:pPr>
    </w:p>
    <w:p w14:paraId="123FC459">
      <w:pPr>
        <w:pStyle w:val="16"/>
        <w:rPr>
          <w:ins w:id="1" w:author="心平气和" w:date="2025-10-28T19:26:24Z"/>
          <w:rFonts w:hint="default"/>
          <w:b/>
          <w:bCs/>
          <w:sz w:val="32"/>
          <w:szCs w:val="40"/>
          <w:lang w:val="en-US" w:eastAsia="zh-CN"/>
        </w:rPr>
      </w:pPr>
    </w:p>
    <w:p w14:paraId="1A24D607">
      <w:pPr>
        <w:pStyle w:val="16"/>
        <w:rPr>
          <w:ins w:id="2" w:author="心平气和" w:date="2025-10-28T19:26:24Z"/>
          <w:rFonts w:hint="default"/>
          <w:b/>
          <w:bCs/>
          <w:sz w:val="32"/>
          <w:szCs w:val="40"/>
          <w:lang w:val="en-US" w:eastAsia="zh-CN"/>
        </w:rPr>
      </w:pPr>
    </w:p>
    <w:p w14:paraId="7695A302">
      <w:pPr>
        <w:pStyle w:val="16"/>
        <w:rPr>
          <w:ins w:id="3" w:author="心平气和" w:date="2025-10-28T19:26:27Z"/>
          <w:rFonts w:hint="default"/>
          <w:b/>
          <w:bCs/>
          <w:sz w:val="32"/>
          <w:szCs w:val="40"/>
          <w:lang w:val="en-US" w:eastAsia="zh-CN"/>
        </w:rPr>
      </w:pPr>
    </w:p>
    <w:p w14:paraId="4473C67D">
      <w:pPr>
        <w:pStyle w:val="16"/>
        <w:rPr>
          <w:rFonts w:hint="default"/>
          <w:b/>
          <w:bCs/>
          <w:sz w:val="32"/>
          <w:szCs w:val="40"/>
          <w:lang w:val="en-US" w:eastAsia="zh-CN"/>
        </w:rPr>
      </w:pPr>
    </w:p>
    <w:p w14:paraId="19867FB4">
      <w:pPr>
        <w:pStyle w:val="16"/>
        <w:rPr>
          <w:rFonts w:hint="default"/>
          <w:b/>
          <w:bCs/>
          <w:sz w:val="32"/>
          <w:szCs w:val="40"/>
          <w:lang w:val="en-US" w:eastAsia="zh-CN"/>
        </w:rPr>
      </w:pPr>
    </w:p>
    <w:p w14:paraId="531C0E9C">
      <w:pPr>
        <w:pStyle w:val="16"/>
        <w:rPr>
          <w:rFonts w:hint="default"/>
          <w:b/>
          <w:bCs/>
          <w:sz w:val="32"/>
          <w:szCs w:val="40"/>
          <w:lang w:val="en-US" w:eastAsia="zh-CN"/>
        </w:rPr>
      </w:pPr>
    </w:p>
    <w:p w14:paraId="3996149F">
      <w:pPr>
        <w:pStyle w:val="6"/>
        <w:bidi w:val="0"/>
        <w:jc w:val="center"/>
        <w:rPr>
          <w:rFonts w:hint="eastAsia"/>
        </w:rPr>
      </w:pPr>
      <w:bookmarkStart w:id="232" w:name="_Toc27351"/>
      <w:r>
        <w:rPr>
          <w:rFonts w:hint="eastAsia"/>
          <w:lang w:val="en-US" w:eastAsia="zh-CN"/>
        </w:rPr>
        <w:t xml:space="preserve">第五章 </w:t>
      </w:r>
      <w:r>
        <w:rPr>
          <w:rFonts w:hint="eastAsia"/>
        </w:rPr>
        <w:t>合同条款及格式</w:t>
      </w:r>
      <w:bookmarkEnd w:id="232"/>
    </w:p>
    <w:p w14:paraId="4449EFA7">
      <w:pPr>
        <w:widowControl/>
        <w:snapToGrid w:val="0"/>
        <w:spacing w:line="480" w:lineRule="exact"/>
        <w:ind w:firstLine="482" w:firstLineChars="200"/>
        <w:jc w:val="center"/>
        <w:rPr>
          <w:rFonts w:hint="eastAsia" w:ascii="宋体" w:hAnsi="宋体" w:cs="宋体"/>
          <w:b/>
          <w:color w:val="000000"/>
          <w:sz w:val="24"/>
          <w:szCs w:val="24"/>
          <w:highlight w:val="none"/>
          <w:lang w:bidi="ar"/>
        </w:rPr>
      </w:pPr>
      <w:bookmarkStart w:id="233" w:name="_Toc24785"/>
      <w:bookmarkStart w:id="234" w:name="_Toc5790"/>
      <w:r>
        <w:rPr>
          <w:rFonts w:hint="eastAsia" w:ascii="宋体" w:hAnsi="宋体" w:cs="宋体"/>
          <w:b/>
          <w:color w:val="000000"/>
          <w:sz w:val="24"/>
          <w:szCs w:val="24"/>
          <w:highlight w:val="none"/>
          <w:lang w:bidi="ar"/>
        </w:rPr>
        <w:t>（</w:t>
      </w:r>
      <w:r>
        <w:rPr>
          <w:rFonts w:hint="eastAsia" w:ascii="宋体" w:hAnsi="宋体" w:cs="宋体"/>
          <w:color w:val="000000"/>
          <w:sz w:val="24"/>
          <w:szCs w:val="24"/>
          <w:highlight w:val="none"/>
          <w:lang w:bidi="ar"/>
        </w:rPr>
        <w:t>合同格式仅供参考</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采购人可根据采购项目的实际情况增减条款和内容</w:t>
      </w:r>
      <w:r>
        <w:rPr>
          <w:rFonts w:hint="eastAsia" w:ascii="宋体" w:hAnsi="宋体" w:cs="宋体"/>
          <w:b/>
          <w:color w:val="000000"/>
          <w:sz w:val="24"/>
          <w:szCs w:val="24"/>
          <w:highlight w:val="none"/>
          <w:lang w:bidi="ar"/>
        </w:rPr>
        <w:t>）</w:t>
      </w:r>
    </w:p>
    <w:p w14:paraId="0CD201E6">
      <w:pPr>
        <w:pStyle w:val="3"/>
        <w:jc w:val="center"/>
        <w:rPr>
          <w:rFonts w:hint="eastAsia" w:eastAsiaTheme="minorEastAsia"/>
          <w:lang w:eastAsia="zh-CN"/>
        </w:rPr>
      </w:pPr>
      <w:r>
        <w:rPr>
          <w:rFonts w:hint="eastAsia" w:ascii="宋体" w:hAnsi="宋体" w:cs="宋体"/>
          <w:b/>
          <w:color w:val="000000"/>
          <w:sz w:val="24"/>
          <w:szCs w:val="24"/>
          <w:highlight w:val="none"/>
          <w:lang w:eastAsia="zh-CN" w:bidi="ar"/>
        </w:rPr>
        <w:t>（</w:t>
      </w:r>
      <w:r>
        <w:rPr>
          <w:rFonts w:hint="eastAsia" w:ascii="宋体" w:hAnsi="宋体" w:cs="宋体"/>
          <w:b/>
          <w:color w:val="000000"/>
          <w:sz w:val="24"/>
          <w:szCs w:val="24"/>
          <w:highlight w:val="none"/>
          <w:lang w:val="en-US" w:eastAsia="zh-CN" w:bidi="ar"/>
        </w:rPr>
        <w:t>二标段</w:t>
      </w:r>
      <w:r>
        <w:rPr>
          <w:rFonts w:hint="eastAsia" w:ascii="宋体" w:hAnsi="宋体" w:cs="宋体"/>
          <w:b/>
          <w:color w:val="000000"/>
          <w:sz w:val="24"/>
          <w:szCs w:val="24"/>
          <w:highlight w:val="none"/>
          <w:lang w:eastAsia="zh-CN" w:bidi="ar"/>
        </w:rPr>
        <w:t>）</w:t>
      </w:r>
    </w:p>
    <w:bookmarkEnd w:id="233"/>
    <w:bookmarkEnd w:id="234"/>
    <w:p w14:paraId="65E843D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（采购人）</w:t>
      </w:r>
    </w:p>
    <w:p w14:paraId="7809A35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（中标供应商）</w:t>
      </w:r>
    </w:p>
    <w:p w14:paraId="51A58C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项目名称）的中标结果签订本合同。</w:t>
      </w:r>
    </w:p>
    <w:p w14:paraId="0507DDE4">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1.合同内容</w:t>
      </w:r>
    </w:p>
    <w:p w14:paraId="15E5F06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 项目名称：</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p>
    <w:p w14:paraId="683C04D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 型号规格：</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p>
    <w:p w14:paraId="175B03D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 技术参数：</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p>
    <w:p w14:paraId="310CB7C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1.4 数量（单位）：</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p>
    <w:p w14:paraId="6BF1C552">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2.合同金额</w:t>
      </w:r>
    </w:p>
    <w:p w14:paraId="5487A4C9">
      <w:pPr>
        <w:widowControl/>
        <w:spacing w:line="520" w:lineRule="atLeast"/>
        <w:ind w:firstLine="480"/>
        <w:jc w:val="left"/>
        <w:rPr>
          <w:rFonts w:hint="eastAsia" w:cs="Times New Roman" w:asciiTheme="minorEastAsia" w:hAnsiTheme="minorEastAsia" w:eastAsiaTheme="minorEastAsia"/>
          <w:color w:val="auto"/>
          <w:kern w:val="0"/>
          <w:sz w:val="24"/>
          <w:szCs w:val="24"/>
          <w:highlight w:val="none"/>
          <w:lang w:eastAsia="zh-CN"/>
        </w:rPr>
      </w:pPr>
      <w:r>
        <w:rPr>
          <w:rFonts w:hint="eastAsia" w:cs="Times New Roman" w:asciiTheme="minorEastAsia" w:hAnsiTheme="minorEastAsia" w:eastAsiaTheme="minorEastAsia"/>
          <w:color w:val="auto"/>
          <w:kern w:val="0"/>
          <w:sz w:val="24"/>
          <w:szCs w:val="24"/>
          <w:highlight w:val="none"/>
        </w:rPr>
        <w:t>本合同金额为人民币（大写）：</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元）</w:t>
      </w:r>
      <w:r>
        <w:rPr>
          <w:rFonts w:hint="eastAsia" w:cs="Times New Roman" w:asciiTheme="minorEastAsia" w:hAnsiTheme="minorEastAsia" w:eastAsiaTheme="minorEastAsia"/>
          <w:color w:val="auto"/>
          <w:kern w:val="0"/>
          <w:sz w:val="24"/>
          <w:szCs w:val="24"/>
          <w:highlight w:val="none"/>
          <w:lang w:eastAsia="zh-CN"/>
        </w:rPr>
        <w:t>。</w:t>
      </w:r>
    </w:p>
    <w:p w14:paraId="2CACBB65">
      <w:pPr>
        <w:widowControl/>
        <w:spacing w:line="520" w:lineRule="atLeast"/>
        <w:ind w:firstLine="482" w:firstLineChars="200"/>
        <w:jc w:val="left"/>
        <w:rPr>
          <w:rFonts w:hint="eastAsia" w:cs="Times New Roman" w:asciiTheme="minorEastAsia" w:hAnsiTheme="minorEastAsia" w:eastAsiaTheme="minorEastAsia"/>
          <w:b/>
          <w:bCs/>
          <w:color w:val="auto"/>
          <w:kern w:val="0"/>
          <w:sz w:val="24"/>
          <w:szCs w:val="24"/>
          <w:highlight w:val="none"/>
        </w:rPr>
      </w:pPr>
      <w:r>
        <w:rPr>
          <w:rFonts w:hint="eastAsia" w:cs="Times New Roman" w:asciiTheme="minorEastAsia" w:hAnsiTheme="minorEastAsia" w:eastAsiaTheme="minorEastAsia"/>
          <w:b/>
          <w:bCs/>
          <w:color w:val="auto"/>
          <w:kern w:val="0"/>
          <w:sz w:val="24"/>
          <w:szCs w:val="24"/>
          <w:highlight w:val="none"/>
        </w:rPr>
        <w:t>3.技术资料</w:t>
      </w:r>
    </w:p>
    <w:p w14:paraId="692250E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3.1乙方按招标文件规定的时间向甲方提供使用货物的有关技术资料。</w:t>
      </w:r>
    </w:p>
    <w:p w14:paraId="47A00F9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3.2 没有甲方事先书面同意，乙方不得将由甲方提供的有关合同或任何合同条文、规格、计划、样品或资料提供给与履行本合同无关的任何其他人。</w:t>
      </w:r>
    </w:p>
    <w:p w14:paraId="442E90A7">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4.知识产权</w:t>
      </w:r>
    </w:p>
    <w:p w14:paraId="7D1BFFAE">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乙方保证所提供的货物或其任何一部分均不会侵犯任何第三方的知识产权。</w:t>
      </w:r>
    </w:p>
    <w:p w14:paraId="529D847C">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5.产权担保</w:t>
      </w:r>
    </w:p>
    <w:p w14:paraId="160ED01F">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乙方保证所交付的货物的所有权完全属于乙方且无任何抵押、查封等产权瑕疵。</w:t>
      </w:r>
    </w:p>
    <w:p w14:paraId="22AD9E5E">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6.保证金</w:t>
      </w:r>
    </w:p>
    <w:p w14:paraId="3A06C64F">
      <w:pPr>
        <w:widowControl/>
        <w:spacing w:line="520" w:lineRule="atLeast"/>
        <w:ind w:firstLine="480" w:firstLineChars="200"/>
        <w:jc w:val="left"/>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u w:val="none"/>
          <w:lang w:val="en-US" w:eastAsia="zh-CN"/>
        </w:rPr>
        <w:t>6.1.质量保证金：</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lang w:val="en-US" w:eastAsia="zh-CN"/>
        </w:rPr>
        <w:t>。</w:t>
      </w:r>
    </w:p>
    <w:p w14:paraId="2999BFB4">
      <w:pPr>
        <w:pStyle w:val="5"/>
        <w:ind w:left="0" w:leftChars="0" w:firstLine="480" w:firstLineChars="200"/>
        <w:rPr>
          <w:rFonts w:hint="default"/>
          <w:lang w:val="en-US" w:eastAsia="zh-CN"/>
        </w:rPr>
      </w:pPr>
      <w:r>
        <w:rPr>
          <w:rFonts w:hint="eastAsia" w:asciiTheme="minorEastAsia" w:hAnsiTheme="minorEastAsia" w:eastAsiaTheme="minorEastAsia"/>
          <w:color w:val="auto"/>
          <w:kern w:val="0"/>
          <w:sz w:val="24"/>
          <w:szCs w:val="24"/>
          <w:highlight w:val="none"/>
          <w:lang w:val="en-US" w:eastAsia="zh-CN"/>
        </w:rPr>
        <w:t>6.2.履约保证金：</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lang w:val="en-US" w:eastAsia="zh-CN"/>
        </w:rPr>
        <w:t>。</w:t>
      </w:r>
    </w:p>
    <w:p w14:paraId="3CD3EAC9">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7.转包或分包</w:t>
      </w:r>
    </w:p>
    <w:p w14:paraId="0045E076">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7.1本合同范围的货物，由乙方直接供应，不得转让他人供应。</w:t>
      </w:r>
    </w:p>
    <w:p w14:paraId="35346DAD">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7.2 除非得到甲方的书面同意，乙方不得部分分包给他人供应。</w:t>
      </w:r>
    </w:p>
    <w:p w14:paraId="75CE96B9">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7.3如有转让和未经甲方同意的分包行为，甲方有权给予终止合同。</w:t>
      </w:r>
    </w:p>
    <w:p w14:paraId="7A852712">
      <w:pPr>
        <w:widowControl/>
        <w:spacing w:line="520" w:lineRule="atLeast"/>
        <w:ind w:firstLine="482" w:firstLineChars="200"/>
        <w:jc w:val="left"/>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bCs/>
          <w:color w:val="auto"/>
          <w:kern w:val="0"/>
          <w:sz w:val="24"/>
          <w:szCs w:val="24"/>
          <w:highlight w:val="none"/>
        </w:rPr>
        <w:t>8.交货期、交货方式及</w:t>
      </w:r>
      <w:r>
        <w:rPr>
          <w:rFonts w:hint="eastAsia" w:asciiTheme="minorEastAsia" w:hAnsiTheme="minorEastAsia" w:eastAsiaTheme="minorEastAsia"/>
          <w:b/>
          <w:bCs/>
          <w:color w:val="auto"/>
          <w:kern w:val="0"/>
          <w:sz w:val="24"/>
          <w:szCs w:val="24"/>
          <w:highlight w:val="none"/>
          <w:lang w:eastAsia="zh-CN"/>
        </w:rPr>
        <w:t>交货地点</w:t>
      </w:r>
    </w:p>
    <w:p w14:paraId="1028151C">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8.1 交货期：</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271B115B">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8.2 交货方式：</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167E1104">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8.3 </w:t>
      </w:r>
      <w:r>
        <w:rPr>
          <w:rFonts w:hint="eastAsia" w:asciiTheme="minorEastAsia" w:hAnsiTheme="minorEastAsia" w:eastAsiaTheme="minorEastAsia"/>
          <w:color w:val="auto"/>
          <w:kern w:val="0"/>
          <w:sz w:val="24"/>
          <w:szCs w:val="24"/>
          <w:highlight w:val="none"/>
          <w:lang w:eastAsia="zh-CN"/>
        </w:rPr>
        <w:t>交货地点</w:t>
      </w:r>
      <w:r>
        <w:rPr>
          <w:rFonts w:hint="eastAsia"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 xml:space="preserve"> </w:t>
      </w:r>
    </w:p>
    <w:p w14:paraId="1192D3CC">
      <w:pPr>
        <w:widowControl/>
        <w:spacing w:line="520" w:lineRule="atLeast"/>
        <w:ind w:firstLine="482" w:firstLineChars="200"/>
        <w:jc w:val="left"/>
        <w:rPr>
          <w:rFonts w:hint="eastAsia" w:asciiTheme="minorEastAsia" w:hAnsiTheme="minorEastAsia" w:eastAsiaTheme="minorEastAsia"/>
          <w:color w:val="auto"/>
          <w:kern w:val="0"/>
          <w:sz w:val="24"/>
          <w:szCs w:val="24"/>
          <w:highlight w:val="none"/>
          <w:u w:val="single"/>
          <w:lang w:eastAsia="zh-CN"/>
        </w:rPr>
      </w:pPr>
      <w:r>
        <w:rPr>
          <w:rFonts w:hint="eastAsia" w:asciiTheme="minorEastAsia" w:hAnsiTheme="minorEastAsia" w:eastAsiaTheme="minorEastAsia"/>
          <w:b/>
          <w:bCs/>
          <w:color w:val="auto"/>
          <w:kern w:val="0"/>
          <w:sz w:val="24"/>
          <w:szCs w:val="24"/>
          <w:highlight w:val="none"/>
        </w:rPr>
        <w:t>9.货款支付：</w:t>
      </w:r>
      <w:r>
        <w:rPr>
          <w:rFonts w:hint="eastAsia" w:asciiTheme="minorEastAsia" w:hAnsiTheme="minorEastAsia" w:eastAsiaTheme="minorEastAsia"/>
          <w:color w:val="auto"/>
          <w:kern w:val="0"/>
          <w:sz w:val="24"/>
          <w:szCs w:val="24"/>
          <w:highlight w:val="none"/>
          <w:u w:val="single"/>
          <w:lang w:val="en-US" w:eastAsia="zh-CN"/>
        </w:rPr>
        <w:t xml:space="preserve"> 项目完工验收合格付合同总金额的80%，项目完成审计后付合同总金额的20%。</w:t>
      </w:r>
    </w:p>
    <w:p w14:paraId="5F192BC1">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10.税费</w:t>
      </w:r>
    </w:p>
    <w:p w14:paraId="702EE19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本合同执行中相关的一切税费均由乙方负担。</w:t>
      </w:r>
    </w:p>
    <w:p w14:paraId="34A530B8">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11.货物包装、发运及运输</w:t>
      </w:r>
    </w:p>
    <w:p w14:paraId="497B2FE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11.1 乙方在货物发运前对其进行满足运输距离、防潮、防震、防锈和防破损装卸等要求包装，以保证货物安全运达甲方指定地点。</w:t>
      </w:r>
    </w:p>
    <w:p w14:paraId="096C9587">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11.2 使用说明书、质量检验证明书、随配附件和工具以及清单一并附于货物内。</w:t>
      </w:r>
    </w:p>
    <w:p w14:paraId="5755178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11.3 乙方在货物发运手续办理完毕后24小时内或货到甲方48小时前通知甲方，以准备接货。</w:t>
      </w:r>
    </w:p>
    <w:p w14:paraId="1BEB8E1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11.4 货物在交付甲方前发生的风险均由乙方负责。</w:t>
      </w:r>
    </w:p>
    <w:p w14:paraId="34CC81C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11.5 货物在规定的交付期限内由乙方送达甲方指定的地点视为交付，乙方同时需通知甲方货物已送达。</w:t>
      </w:r>
    </w:p>
    <w:p w14:paraId="1CA7243B">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12.质量保证及售后服务</w:t>
      </w:r>
    </w:p>
    <w:p w14:paraId="5CF6C1A7">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12.1 乙方提供的货物是全新、未使用过的，并完全符合强制性的国家技术质量规范和招标文件规定的质量、规格、性能和技术规范等的要求。</w:t>
      </w:r>
    </w:p>
    <w:p w14:paraId="6EB5540D">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279F799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日内应免费维修或更换有缺陷的货物或部件。如果乙方在收到通知后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日内没有弥补缺陷，甲方可采取必要的补救措施，但由此引发的风险和费用将由乙方承担。</w:t>
      </w:r>
    </w:p>
    <w:p w14:paraId="262554D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12.4合同项下货物的质量保证期为自货物通过最终验收起</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个月，在保修期内，因人为因素出现故障外，乙方对货物出现的质量及安全问题负责处理解决并承担一切费用。</w:t>
      </w:r>
    </w:p>
    <w:p w14:paraId="62740F3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12.5合同项下货物免费保修期为质量保证期满后个月，因人为因素出现的故障不在免费保修范围内。对超过保修期的货物终生维修，维修时只收部件成本费。</w:t>
      </w:r>
    </w:p>
    <w:p w14:paraId="1F4A868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12.6在使用过程中发生故障，乙方在接到甲方通知后在小时内到达甲方现场，小时内解除故障。</w:t>
      </w:r>
    </w:p>
    <w:p w14:paraId="7CD3F2A5">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13.调试和验收</w:t>
      </w:r>
    </w:p>
    <w:p w14:paraId="18B4CF6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13.1乙方交货前对产品作出全面检查和对验收文件进行整理，并列出清单，作为甲方收货验收和使用的技术条件依据，检验的结果应随货物交甲方。</w:t>
      </w:r>
    </w:p>
    <w:p w14:paraId="203AB42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13.2货物运抵现场后，甲方依据招标文件上的技术规格要求和国家有关质量标准在3个工作日内组织初步验收，并制作验收备忘录，签署验收意见。初步验收不合格的不予签收。</w:t>
      </w:r>
    </w:p>
    <w:p w14:paraId="74C4AA7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13.3 甲方对乙方提供的货物在使用前进行调试时，乙方负责安装并培训甲方的使用操作人员，并协助甲方一起调试，直到符合技术要求，甲方才做最终验收并签署验收意见。</w:t>
      </w:r>
    </w:p>
    <w:p w14:paraId="370D432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13.4 对大型或技术复杂的货物，甲方应邀请国家认可的专业检测机构参与初步验收及最终验收，并由其出具质量检测报告。</w:t>
      </w:r>
    </w:p>
    <w:p w14:paraId="3A30507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13.5 验收时乙方必须在现场，验收完毕后作出验收结果报告。验收费用由乙方负责。</w:t>
      </w:r>
    </w:p>
    <w:p w14:paraId="6893D4D0">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14.索赔</w:t>
      </w:r>
    </w:p>
    <w:p w14:paraId="02925067">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0344905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 在根据合同第12条和第13条规定的检验期和质量保证期内，如果乙方对甲方提出的索赔负有责任，乙方应按照甲方同意的下列一种或多种方式解决索赔事宜：</w:t>
      </w:r>
    </w:p>
    <w:p w14:paraId="29559BE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6930B7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14.2.2 根据货物低劣程度、损坏程度以及甲方所遭受损失的数额，经双方商定降低货物的价格，或由有权的部门评估，以降低后的价格或评估价格为准。</w:t>
      </w:r>
    </w:p>
    <w:p w14:paraId="66D662C9">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086B3CD9">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3F664EE">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15.违约责任</w:t>
      </w:r>
    </w:p>
    <w:p w14:paraId="4385AD7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15.1 甲方无正当理由拒收货物的，甲方向乙方偿付拒收货款总值的百分之五违约金。</w:t>
      </w:r>
    </w:p>
    <w:p w14:paraId="554A11D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15.2 甲方无故逾期验收和办理货款支付手续的,甲方按逾期付款总额每日万分之五向乙方支付违约金。</w:t>
      </w:r>
    </w:p>
    <w:p w14:paraId="0D23AEA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hint="eastAsia" w:asciiTheme="minorEastAsia" w:hAnsi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%的违约金，如造成甲方损失超过违约金的，超出部分由乙方继续承担赔偿责任。</w:t>
      </w:r>
    </w:p>
    <w:p w14:paraId="09663BB7">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16.不可抗力事件处理</w:t>
      </w:r>
    </w:p>
    <w:p w14:paraId="05E0ED5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4163E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75E11BFE">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17.合同纠纷处理</w:t>
      </w:r>
    </w:p>
    <w:p w14:paraId="4890CB3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因本合同或与本合同有关的一切事项发生争议，由双方友好协商解决。协商不成的，任何一方均可选择以下方式解决：</w:t>
      </w:r>
    </w:p>
    <w:p w14:paraId="7F060B6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17.1 向合同签订地人民法院提起诉讼。</w:t>
      </w:r>
    </w:p>
    <w:p w14:paraId="09F1ACAC">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18.违约解除合同</w:t>
      </w:r>
    </w:p>
    <w:p w14:paraId="16E12B08">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18.1在乙方违约的情况下，甲方可向乙方发出书面通知，部分或全部终止合同，同时保留向对方追诉的权利。</w:t>
      </w:r>
    </w:p>
    <w:p w14:paraId="57C341B3">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18.1.1 乙方未能在合同规定的限期或甲方同意延长的限期内提供全部或部分货物，按合同第15.3的规定可以解除合同的。</w:t>
      </w:r>
    </w:p>
    <w:p w14:paraId="2ACDAFE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18.1.2 乙方有转让和未经甲方同意的分包行为，按合同第7.3的规定可以解除合同的。</w:t>
      </w:r>
    </w:p>
    <w:p w14:paraId="2F9699C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18.1.3 乙方未能履行合同规定的其它主要义务的。</w:t>
      </w:r>
    </w:p>
    <w:p w14:paraId="29DD9A9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18.1.4 在本合同履行过程中有腐败和欺诈行为的。</w:t>
      </w:r>
    </w:p>
    <w:p w14:paraId="72E262A1">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410ACF62">
      <w:pPr>
        <w:widowControl/>
        <w:spacing w:line="520" w:lineRule="atLeast"/>
        <w:ind w:firstLine="482"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19.其他约定</w:t>
      </w:r>
    </w:p>
    <w:p w14:paraId="11DA74F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19.1 本采购项目的招标文件、中标供应商的投标文件以及相关的澄清确认函（如果有的话）均为本合同不可分割的一部分，与本合同具有同等法律效力。</w:t>
      </w:r>
    </w:p>
    <w:p w14:paraId="314A5E0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19.2 本合同未尽事宜，双方另行补充。</w:t>
      </w:r>
    </w:p>
    <w:p w14:paraId="0CBF7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19.3本合同正本一式份，具有同等法律效力，甲、乙双方各执两份。</w:t>
      </w:r>
    </w:p>
    <w:p w14:paraId="15623E6E">
      <w:pPr>
        <w:widowControl/>
        <w:spacing w:line="520" w:lineRule="atLeast"/>
        <w:ind w:firstLine="48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19.4 签定地点：</w:t>
      </w:r>
      <w:r>
        <w:rPr>
          <w:rFonts w:hint="eastAsia" w:asciiTheme="minorEastAsia" w:hAnsiTheme="minorEastAsia" w:eastAsiaTheme="minorEastAsia"/>
          <w:color w:val="auto"/>
          <w:kern w:val="0"/>
          <w:sz w:val="24"/>
          <w:szCs w:val="24"/>
          <w:highlight w:val="none"/>
          <w:u w:val="single"/>
          <w:lang w:val="en-US" w:eastAsia="zh-CN"/>
        </w:rPr>
        <w:t xml:space="preserve">         。</w:t>
      </w:r>
    </w:p>
    <w:p w14:paraId="49C81E5F">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39E9D48A">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0A2F008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 方：                          乙 方：</w:t>
      </w:r>
    </w:p>
    <w:p w14:paraId="5F3AE27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单位地址：                       单位地址：</w:t>
      </w:r>
    </w:p>
    <w:p w14:paraId="265972A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法定代表人：                     法定代表人：</w:t>
      </w:r>
    </w:p>
    <w:p w14:paraId="58336EF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委托代理人：                     委托代理人：</w:t>
      </w:r>
    </w:p>
    <w:p w14:paraId="2BD9B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电 话：                          电 话：</w:t>
      </w:r>
    </w:p>
    <w:p w14:paraId="62957F3B">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（监督管理部门）</w:t>
      </w:r>
    </w:p>
    <w:p w14:paraId="547E413D">
      <w:pPr>
        <w:widowControl/>
        <w:spacing w:line="520" w:lineRule="atLeast"/>
        <w:ind w:firstLine="4200" w:firstLineChars="175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签订日期：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年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月</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 日</w:t>
      </w:r>
    </w:p>
    <w:p w14:paraId="1EBDEDC1">
      <w:pPr>
        <w:widowControl/>
        <w:rPr>
          <w:rFonts w:asciiTheme="minorEastAsia" w:hAnsiTheme="minorEastAsia" w:eastAsiaTheme="minorEastAsia"/>
          <w:b/>
          <w:bCs/>
          <w:color w:val="auto"/>
          <w:kern w:val="0"/>
          <w:sz w:val="24"/>
          <w:szCs w:val="24"/>
          <w:highlight w:val="none"/>
        </w:rPr>
      </w:pPr>
    </w:p>
    <w:p w14:paraId="04706CF3">
      <w:pPr>
        <w:pStyle w:val="16"/>
        <w:numPr>
          <w:ilvl w:val="0"/>
          <w:numId w:val="0"/>
        </w:numPr>
        <w:ind w:firstLine="480" w:firstLineChars="200"/>
        <w:jc w:val="both"/>
        <w:rPr>
          <w:rFonts w:hint="default" w:ascii="宋体" w:hAnsi="宋体" w:eastAsia="宋体" w:cs="宋体"/>
          <w:b w:val="0"/>
          <w:bCs w:val="0"/>
          <w:color w:val="auto"/>
          <w:sz w:val="36"/>
          <w:szCs w:val="36"/>
          <w:highlight w:val="none"/>
          <w:lang w:val="en-US" w:eastAsia="zh-CN"/>
        </w:rPr>
      </w:pPr>
      <w:r>
        <w:rPr>
          <w:rFonts w:hint="eastAsia" w:ascii="宋体" w:hAnsi="宋体"/>
          <w:color w:val="000000"/>
          <w:sz w:val="24"/>
          <w:szCs w:val="24"/>
          <w:highlight w:val="none"/>
        </w:rPr>
        <w:t xml:space="preserve"> </w:t>
      </w:r>
      <w:r>
        <w:rPr>
          <w:rFonts w:ascii="宋体" w:hAnsi="宋体"/>
          <w:color w:val="000000"/>
          <w:sz w:val="24"/>
          <w:szCs w:val="24"/>
          <w:highlight w:val="none"/>
        </w:rPr>
        <w:br w:type="page"/>
      </w:r>
    </w:p>
    <w:p w14:paraId="1DFAB211">
      <w:pPr>
        <w:pStyle w:val="6"/>
        <w:bidi w:val="0"/>
        <w:jc w:val="center"/>
        <w:rPr>
          <w:ins w:id="4" w:author="心平气和" w:date="2025-10-28T19:26:34Z"/>
          <w:rFonts w:hint="eastAsia"/>
          <w:lang w:val="en-US" w:eastAsia="zh-CN"/>
        </w:rPr>
      </w:pPr>
      <w:bookmarkStart w:id="235" w:name="_Toc5481"/>
    </w:p>
    <w:p w14:paraId="647A6C8D">
      <w:pPr>
        <w:pStyle w:val="6"/>
        <w:bidi w:val="0"/>
        <w:jc w:val="center"/>
        <w:rPr>
          <w:rFonts w:hint="default"/>
          <w:lang w:val="en-US" w:eastAsia="zh-CN"/>
        </w:rPr>
      </w:pPr>
      <w:r>
        <w:rPr>
          <w:rFonts w:hint="eastAsia"/>
          <w:lang w:val="en-US" w:eastAsia="zh-CN"/>
        </w:rPr>
        <w:t>第六章 电子投标文件格式</w:t>
      </w:r>
      <w:bookmarkEnd w:id="235"/>
      <w:r>
        <w:rPr>
          <w:rFonts w:hint="eastAsia"/>
          <w:lang w:val="en-US" w:eastAsia="zh-CN"/>
        </w:rPr>
        <w:t>（二标段）</w:t>
      </w:r>
    </w:p>
    <w:p w14:paraId="46BA51CC">
      <w:pPr>
        <w:pStyle w:val="16"/>
        <w:numPr>
          <w:ilvl w:val="0"/>
          <w:numId w:val="0"/>
        </w:numPr>
        <w:jc w:val="both"/>
        <w:rPr>
          <w:rFonts w:hint="default" w:ascii="宋体" w:hAnsi="宋体" w:eastAsia="宋体" w:cs="宋体"/>
          <w:b w:val="0"/>
          <w:bCs w:val="0"/>
          <w:color w:val="auto"/>
          <w:sz w:val="36"/>
          <w:szCs w:val="36"/>
          <w:highlight w:val="none"/>
          <w:lang w:val="en-US" w:eastAsia="zh-CN"/>
        </w:rPr>
      </w:pPr>
    </w:p>
    <w:p w14:paraId="06B6EBC0">
      <w:pPr>
        <w:spacing w:line="360" w:lineRule="auto"/>
        <w:ind w:right="-483" w:rightChars="-230" w:firstLine="3360" w:firstLineChars="1200"/>
        <w:rPr>
          <w:rFonts w:hint="eastAsia" w:ascii="宋体" w:hAnsi="宋体" w:eastAsia="宋体"/>
          <w:color w:val="auto"/>
          <w:sz w:val="28"/>
          <w:szCs w:val="28"/>
          <w:highlight w:val="none"/>
        </w:rPr>
      </w:pPr>
    </w:p>
    <w:p w14:paraId="2CCA319D">
      <w:pPr>
        <w:spacing w:line="360" w:lineRule="auto"/>
        <w:ind w:right="-483" w:rightChars="-230" w:firstLine="3360" w:firstLineChars="1200"/>
        <w:rPr>
          <w:rFonts w:hint="eastAsia" w:ascii="宋体" w:hAnsi="宋体" w:eastAsia="宋体"/>
          <w:color w:val="auto"/>
          <w:sz w:val="28"/>
          <w:szCs w:val="28"/>
          <w:highlight w:val="none"/>
        </w:rPr>
      </w:pPr>
    </w:p>
    <w:p w14:paraId="6ED2B46E">
      <w:pPr>
        <w:spacing w:line="360" w:lineRule="auto"/>
        <w:ind w:right="-483" w:rightChars="-230" w:firstLine="3614" w:firstLineChars="1000"/>
        <w:jc w:val="both"/>
        <w:rPr>
          <w:rFonts w:hint="eastAsia"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rPr>
        <w:t>项目名称</w:t>
      </w:r>
      <w:r>
        <w:rPr>
          <w:rFonts w:hint="eastAsia" w:ascii="宋体" w:hAnsi="宋体" w:eastAsia="宋体"/>
          <w:b/>
          <w:bCs/>
          <w:color w:val="auto"/>
          <w:sz w:val="36"/>
          <w:szCs w:val="36"/>
          <w:highlight w:val="none"/>
          <w:lang w:val="en-US" w:eastAsia="zh-CN"/>
        </w:rPr>
        <w:t>及标段</w:t>
      </w:r>
      <w:r>
        <w:rPr>
          <w:rFonts w:hint="eastAsia" w:ascii="宋体" w:hAnsi="宋体" w:eastAsia="宋体"/>
          <w:b/>
          <w:bCs/>
          <w:color w:val="auto"/>
          <w:sz w:val="36"/>
          <w:szCs w:val="36"/>
          <w:highlight w:val="none"/>
          <w:lang w:eastAsia="zh-CN"/>
        </w:rPr>
        <w:t>：</w:t>
      </w:r>
    </w:p>
    <w:p w14:paraId="47A6B903">
      <w:pPr>
        <w:spacing w:line="360" w:lineRule="auto"/>
        <w:ind w:right="-483" w:rightChars="-230" w:firstLine="3614" w:firstLineChars="1000"/>
        <w:jc w:val="both"/>
        <w:rPr>
          <w:rFonts w:hint="eastAsia" w:ascii="宋体" w:hAnsi="宋体" w:eastAsia="宋体"/>
          <w:b/>
          <w:bCs/>
          <w:color w:val="auto"/>
          <w:sz w:val="36"/>
          <w:szCs w:val="36"/>
          <w:highlight w:val="none"/>
          <w:lang w:val="en-US" w:eastAsia="zh-CN"/>
        </w:rPr>
      </w:pPr>
      <w:r>
        <w:rPr>
          <w:rFonts w:hint="eastAsia" w:ascii="宋体" w:hAnsi="宋体" w:eastAsia="宋体"/>
          <w:b/>
          <w:bCs/>
          <w:color w:val="auto"/>
          <w:sz w:val="36"/>
          <w:szCs w:val="36"/>
          <w:highlight w:val="none"/>
        </w:rPr>
        <w:t>项目编号</w:t>
      </w:r>
      <w:r>
        <w:rPr>
          <w:rFonts w:hint="eastAsia" w:ascii="宋体" w:hAnsi="宋体" w:eastAsia="宋体"/>
          <w:b/>
          <w:bCs/>
          <w:color w:val="auto"/>
          <w:sz w:val="36"/>
          <w:szCs w:val="36"/>
          <w:highlight w:val="none"/>
          <w:lang w:val="en-US" w:eastAsia="zh-CN"/>
        </w:rPr>
        <w:t>：</w:t>
      </w:r>
    </w:p>
    <w:p w14:paraId="47B18DF3">
      <w:pPr>
        <w:pStyle w:val="3"/>
        <w:rPr>
          <w:rFonts w:hint="default"/>
          <w:lang w:val="en-US" w:eastAsia="zh-CN"/>
        </w:rPr>
      </w:pPr>
    </w:p>
    <w:p w14:paraId="7B47B897">
      <w:pPr>
        <w:spacing w:line="360" w:lineRule="auto"/>
        <w:ind w:right="-483" w:rightChars="-230" w:firstLine="3373" w:firstLineChars="600"/>
        <w:jc w:val="both"/>
        <w:rPr>
          <w:rFonts w:hint="eastAsia" w:ascii="宋体" w:hAnsi="宋体" w:eastAsia="宋体"/>
          <w:b/>
          <w:bCs/>
          <w:color w:val="auto"/>
          <w:sz w:val="56"/>
          <w:szCs w:val="56"/>
          <w:highlight w:val="none"/>
        </w:rPr>
      </w:pPr>
    </w:p>
    <w:p w14:paraId="32E58232">
      <w:pPr>
        <w:spacing w:line="360" w:lineRule="auto"/>
        <w:ind w:right="-483" w:rightChars="-230"/>
        <w:jc w:val="center"/>
        <w:rPr>
          <w:b/>
          <w:bCs/>
          <w:color w:val="auto"/>
          <w:sz w:val="56"/>
          <w:szCs w:val="56"/>
          <w:highlight w:val="none"/>
        </w:rPr>
      </w:pPr>
      <w:r>
        <w:rPr>
          <w:rFonts w:hint="eastAsia" w:ascii="宋体" w:hAnsi="宋体" w:eastAsia="宋体"/>
          <w:b/>
          <w:bCs/>
          <w:color w:val="auto"/>
          <w:sz w:val="56"/>
          <w:szCs w:val="56"/>
          <w:highlight w:val="none"/>
        </w:rPr>
        <w:t>投 标 文 件</w:t>
      </w:r>
    </w:p>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EEF3A8C">
      <w:pPr>
        <w:widowControl/>
        <w:wordWrap/>
        <w:adjustRightInd w:val="0"/>
        <w:snapToGrid w:val="0"/>
        <w:spacing w:after="0" w:afterLines="0" w:line="480" w:lineRule="auto"/>
        <w:ind w:firstLine="1400" w:firstLineChars="500"/>
        <w:jc w:val="both"/>
        <w:textAlignment w:val="auto"/>
        <w:outlineLvl w:val="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供应商（企业电子签章）：</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lang w:val="en-US" w:eastAsia="zh-CN"/>
        </w:rPr>
        <w:t xml:space="preserve">            </w:t>
      </w:r>
    </w:p>
    <w:p w14:paraId="25353B46">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r>
        <w:rPr>
          <w:rFonts w:hint="eastAsia" w:ascii="宋体" w:hAnsi="宋体" w:eastAsia="宋体"/>
          <w:color w:val="auto"/>
          <w:sz w:val="28"/>
          <w:szCs w:val="28"/>
          <w:highlight w:val="none"/>
          <w:u w:val="single"/>
          <w:lang w:val="en-US" w:eastAsia="zh-CN"/>
        </w:rPr>
        <w:t xml:space="preserve">                             </w:t>
      </w:r>
    </w:p>
    <w:p w14:paraId="2B341A10">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日</w:t>
      </w:r>
    </w:p>
    <w:p w14:paraId="38232668">
      <w:pPr>
        <w:ind w:firstLine="3092" w:firstLineChars="1100"/>
        <w:jc w:val="both"/>
        <w:rPr>
          <w:rFonts w:hint="eastAsia" w:ascii="宋体" w:hAnsi="宋体" w:eastAsia="宋体"/>
          <w:b/>
          <w:color w:val="auto"/>
          <w:sz w:val="28"/>
          <w:szCs w:val="28"/>
          <w:highlight w:val="none"/>
        </w:rPr>
      </w:pPr>
    </w:p>
    <w:p w14:paraId="33BB66B5">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54A8DCDA">
      <w:pPr>
        <w:tabs>
          <w:tab w:val="left" w:pos="0"/>
        </w:tabs>
        <w:spacing w:line="48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637CE7B">
      <w:pPr>
        <w:widowControl/>
        <w:tabs>
          <w:tab w:val="left" w:pos="0"/>
        </w:tabs>
        <w:wordWrap/>
        <w:adjustRightInd w:val="0"/>
        <w:snapToGrid w:val="0"/>
        <w:spacing w:before="0" w:beforeLines="0" w:after="0" w:afterLines="0" w:line="360" w:lineRule="auto"/>
        <w:ind w:left="0" w:leftChars="0" w:right="0" w:firstLine="0" w:firstLineChars="0"/>
        <w:jc w:val="center"/>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格式自拟</w:t>
      </w:r>
      <w:r>
        <w:rPr>
          <w:rFonts w:hint="eastAsia" w:ascii="宋体" w:hAnsi="宋体" w:eastAsia="宋体"/>
          <w:color w:val="auto"/>
          <w:sz w:val="28"/>
          <w:szCs w:val="28"/>
          <w:highlight w:val="none"/>
          <w:lang w:eastAsia="zh-CN"/>
        </w:rPr>
        <w:t>）</w:t>
      </w: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723B6C4">
      <w:pPr>
        <w:pStyle w:val="5"/>
        <w:rPr>
          <w:rFonts w:hint="eastAsia" w:ascii="宋体" w:hAnsi="宋体" w:eastAsia="宋体"/>
          <w:color w:val="auto"/>
          <w:sz w:val="28"/>
          <w:szCs w:val="28"/>
          <w:highlight w:val="none"/>
          <w:lang w:eastAsia="zh-CN"/>
        </w:rPr>
      </w:pPr>
    </w:p>
    <w:p w14:paraId="08C15260">
      <w:pPr>
        <w:pStyle w:val="40"/>
        <w:rPr>
          <w:rFonts w:hint="eastAsia" w:ascii="宋体" w:hAnsi="宋体" w:eastAsia="宋体"/>
          <w:color w:val="auto"/>
          <w:sz w:val="28"/>
          <w:szCs w:val="28"/>
          <w:highlight w:val="none"/>
          <w:lang w:eastAsia="zh-CN"/>
        </w:rPr>
      </w:pPr>
    </w:p>
    <w:p w14:paraId="5323AAA8">
      <w:pPr>
        <w:rPr>
          <w:rFonts w:hint="eastAsia" w:ascii="宋体" w:hAnsi="宋体" w:eastAsia="宋体"/>
          <w:color w:val="auto"/>
          <w:sz w:val="28"/>
          <w:szCs w:val="28"/>
          <w:highlight w:val="none"/>
          <w:lang w:eastAsia="zh-CN"/>
        </w:rPr>
      </w:pPr>
    </w:p>
    <w:p w14:paraId="695C500D">
      <w:pPr>
        <w:pStyle w:val="5"/>
        <w:rPr>
          <w:rFonts w:hint="eastAsia" w:ascii="宋体" w:hAnsi="宋体" w:eastAsia="宋体"/>
          <w:color w:val="auto"/>
          <w:sz w:val="28"/>
          <w:szCs w:val="28"/>
          <w:highlight w:val="none"/>
          <w:lang w:eastAsia="zh-CN"/>
        </w:rPr>
      </w:pPr>
    </w:p>
    <w:p w14:paraId="417AA67F">
      <w:pPr>
        <w:pStyle w:val="40"/>
        <w:rPr>
          <w:rFonts w:hint="eastAsia" w:ascii="宋体" w:hAnsi="宋体" w:eastAsia="宋体"/>
          <w:color w:val="auto"/>
          <w:sz w:val="28"/>
          <w:szCs w:val="28"/>
          <w:highlight w:val="none"/>
          <w:lang w:eastAsia="zh-CN"/>
        </w:rPr>
      </w:pPr>
    </w:p>
    <w:p w14:paraId="2FE550EA">
      <w:pPr>
        <w:rPr>
          <w:rFonts w:hint="eastAsia" w:ascii="宋体" w:hAnsi="宋体" w:eastAsia="宋体"/>
          <w:color w:val="auto"/>
          <w:sz w:val="28"/>
          <w:szCs w:val="28"/>
          <w:highlight w:val="none"/>
          <w:lang w:eastAsia="zh-CN"/>
        </w:rPr>
      </w:pPr>
    </w:p>
    <w:p w14:paraId="257E4BDD">
      <w:pPr>
        <w:pStyle w:val="40"/>
        <w:ind w:left="0" w:leftChars="0" w:firstLine="0" w:firstLineChars="0"/>
        <w:rPr>
          <w:rFonts w:hint="eastAsia"/>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6B14C811">
      <w:pPr>
        <w:pStyle w:val="5"/>
        <w:rPr>
          <w:rFonts w:hint="eastAsia"/>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912FC79">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C92BECB">
      <w:pPr>
        <w:widowControl/>
        <w:tabs>
          <w:tab w:val="left" w:pos="0"/>
        </w:tabs>
        <w:wordWrap/>
        <w:adjustRightInd w:val="0"/>
        <w:snapToGrid w:val="0"/>
        <w:spacing w:before="0" w:beforeLines="0" w:after="0" w:afterLines="0" w:line="360" w:lineRule="auto"/>
        <w:ind w:right="0"/>
        <w:jc w:val="center"/>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14:paraId="092D7B54">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bookmarkStart w:id="236" w:name="_Toc21317"/>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bookmarkEnd w:id="236"/>
    </w:p>
    <w:p w14:paraId="08F41B8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37" w:name="_Toc29226"/>
      <w:r>
        <w:rPr>
          <w:rFonts w:hint="eastAsia" w:ascii="宋体" w:hAnsi="宋体" w:eastAsia="宋体"/>
          <w:color w:val="auto"/>
          <w:sz w:val="24"/>
          <w:szCs w:val="24"/>
          <w:highlight w:val="none"/>
          <w:u w:val="none"/>
        </w:rPr>
        <w:t>我方已仔细研究了</w:t>
      </w:r>
      <w:r>
        <w:rPr>
          <w:rFonts w:hint="eastAsia" w:ascii="宋体" w:hAnsi="宋体" w:eastAsia="宋体"/>
          <w:color w:val="auto"/>
          <w:sz w:val="24"/>
          <w:szCs w:val="24"/>
          <w:highlight w:val="none"/>
          <w:u w:val="single"/>
        </w:rPr>
        <w:t>（项目名称</w:t>
      </w:r>
      <w:r>
        <w:rPr>
          <w:rFonts w:hint="eastAsia" w:ascii="宋体" w:hAnsi="宋体" w:eastAsia="宋体"/>
          <w:color w:val="auto"/>
          <w:sz w:val="24"/>
          <w:szCs w:val="24"/>
          <w:highlight w:val="none"/>
          <w:u w:val="single"/>
          <w:lang w:val="en-US" w:eastAsia="zh-CN"/>
        </w:rPr>
        <w:t>及标段</w:t>
      </w:r>
      <w:r>
        <w:rPr>
          <w:rFonts w:hint="eastAsia" w:ascii="宋体" w:hAnsi="宋体" w:eastAsia="宋体"/>
          <w:color w:val="auto"/>
          <w:sz w:val="24"/>
          <w:szCs w:val="24"/>
          <w:highlight w:val="none"/>
          <w:u w:val="single"/>
        </w:rPr>
        <w:t>）（项目编号）</w:t>
      </w:r>
      <w:r>
        <w:rPr>
          <w:rFonts w:hint="eastAsia" w:ascii="宋体" w:hAnsi="宋体" w:eastAsia="宋体"/>
          <w:color w:val="auto"/>
          <w:sz w:val="24"/>
          <w:szCs w:val="24"/>
          <w:highlight w:val="none"/>
        </w:rPr>
        <w:t>招标文件</w:t>
      </w:r>
      <w:r>
        <w:rPr>
          <w:rFonts w:hint="eastAsia" w:ascii="宋体" w:hAnsi="宋体" w:eastAsia="宋体"/>
          <w:color w:val="auto"/>
          <w:sz w:val="24"/>
          <w:szCs w:val="24"/>
          <w:highlight w:val="none"/>
          <w:lang w:val="en-US" w:eastAsia="zh-CN"/>
        </w:rPr>
        <w:t>的全部内容</w:t>
      </w:r>
      <w:r>
        <w:rPr>
          <w:rFonts w:hint="eastAsia" w:ascii="宋体" w:hAnsi="宋体" w:eastAsia="宋体"/>
          <w:color w:val="auto"/>
          <w:sz w:val="24"/>
          <w:szCs w:val="24"/>
          <w:highlight w:val="none"/>
        </w:rPr>
        <w:t>，我方愿以人民币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元）的投标报价承包上述项目的采购</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为该项目提供相应的</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val="en-US" w:eastAsia="zh-CN"/>
        </w:rPr>
        <w:t>交货及安装期</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 xml:space="preserve">投标有效期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bookmarkEnd w:id="237"/>
    </w:p>
    <w:p w14:paraId="52252F0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38" w:name="_Toc6273"/>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bookmarkEnd w:id="238"/>
    </w:p>
    <w:p w14:paraId="5A2D7D66">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39" w:name="_Toc14104"/>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我方承认投标函附表是我方投标函的组成部分。</w:t>
      </w:r>
      <w:bookmarkEnd w:id="239"/>
    </w:p>
    <w:p w14:paraId="01FCA2E0">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40" w:name="_Toc5746"/>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bookmarkEnd w:id="240"/>
    </w:p>
    <w:p w14:paraId="45A9E8DC">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41" w:name="_Toc14137"/>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bookmarkEnd w:id="241"/>
    </w:p>
    <w:p w14:paraId="2B2ED824">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42" w:name="_Toc2005"/>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我方在此声明，所递交的投标文件及有关资料内容完整、真实和准确。</w:t>
      </w:r>
      <w:bookmarkEnd w:id="242"/>
    </w:p>
    <w:p w14:paraId="69233BC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bookmarkStart w:id="243" w:name="_Toc28382"/>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我们愿按《中华人民共和国合同法》履行自己的全部责任。</w:t>
      </w:r>
      <w:bookmarkEnd w:id="243"/>
    </w:p>
    <w:p w14:paraId="236A039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bookmarkStart w:id="244" w:name="_Toc6681"/>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投标报价含货物、软件、标准附件、备品备件、专用工具、图纸资料、技术服务，包装、仓储、运输、装卸、保险、税金，货到就位以及安装、调试、培训、保修等一切费用。</w:t>
      </w:r>
      <w:bookmarkEnd w:id="244"/>
    </w:p>
    <w:p w14:paraId="483E5379">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245" w:name="_Toc30359"/>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我们承诺，我方愿承担后期市场风险等其他一切因素影响。</w:t>
      </w:r>
      <w:bookmarkEnd w:id="245"/>
    </w:p>
    <w:p w14:paraId="4D23C825">
      <w:pPr>
        <w:spacing w:after="0" w:afterLines="0" w:line="480" w:lineRule="exact"/>
        <w:jc w:val="both"/>
        <w:outlineLvl w:val="0"/>
        <w:rPr>
          <w:rFonts w:hint="eastAsia" w:ascii="宋体" w:hAnsi="宋体" w:eastAsia="宋体"/>
          <w:color w:val="auto"/>
          <w:sz w:val="28"/>
          <w:szCs w:val="28"/>
          <w:highlight w:val="none"/>
        </w:rPr>
      </w:pPr>
    </w:p>
    <w:p w14:paraId="3E721F4D">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2CDBC4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4FD9084">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479967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8B4AF5">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bookmarkStart w:id="246" w:name="_Toc11354"/>
      <w:r>
        <w:rPr>
          <w:rFonts w:hint="eastAsia" w:ascii="宋体" w:hAnsi="宋体" w:eastAsia="宋体"/>
          <w:b/>
          <w:bCs/>
          <w:color w:val="auto"/>
          <w:sz w:val="28"/>
          <w:szCs w:val="28"/>
          <w:highlight w:val="none"/>
        </w:rPr>
        <w:t>二、开标一览表</w:t>
      </w:r>
      <w:bookmarkEnd w:id="246"/>
    </w:p>
    <w:tbl>
      <w:tblPr>
        <w:tblStyle w:val="21"/>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374"/>
        <w:gridCol w:w="1782"/>
        <w:gridCol w:w="1956"/>
      </w:tblGrid>
      <w:tr w14:paraId="428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val="en-US" w:eastAsia="zh-CN"/>
              </w:rPr>
              <w:t>及标段</w:t>
            </w:r>
          </w:p>
        </w:tc>
        <w:tc>
          <w:tcPr>
            <w:tcW w:w="6112"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2"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2"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2"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2"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407"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2"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185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336327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2" w:type="dxa"/>
            <w:gridSpan w:val="3"/>
            <w:noWrap w:val="0"/>
            <w:vAlign w:val="center"/>
          </w:tcPr>
          <w:p w14:paraId="3DBBFE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D9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4"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2" w:type="dxa"/>
            <w:noWrap w:val="0"/>
            <w:vAlign w:val="center"/>
          </w:tcPr>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val="en-US" w:eastAsia="zh-CN"/>
              </w:rPr>
              <w:t>交货及安装期</w:t>
            </w:r>
          </w:p>
        </w:tc>
        <w:tc>
          <w:tcPr>
            <w:tcW w:w="6112"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2"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2"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lang w:eastAsia="zh-CN"/>
              </w:rPr>
              <w:t>地点</w:t>
            </w:r>
          </w:p>
        </w:tc>
        <w:tc>
          <w:tcPr>
            <w:tcW w:w="6112"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2"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07"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2"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2"/>
        <w:ind w:left="0" w:leftChars="0" w:firstLine="0" w:firstLineChars="0"/>
        <w:rPr>
          <w:color w:val="auto"/>
          <w:highlight w:val="none"/>
        </w:rPr>
      </w:pPr>
    </w:p>
    <w:p w14:paraId="7ABFB3AB">
      <w:pPr>
        <w:autoSpaceDE w:val="0"/>
        <w:autoSpaceDN w:val="0"/>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5910F39">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9AEA477">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4FD9F1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40AAFBE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5A771E">
      <w:pPr>
        <w:pStyle w:val="3"/>
        <w:rPr>
          <w:rFonts w:hint="eastAsia"/>
        </w:rPr>
      </w:pPr>
    </w:p>
    <w:p w14:paraId="7E1CB620">
      <w:pPr>
        <w:autoSpaceDE w:val="0"/>
        <w:autoSpaceDN w:val="0"/>
        <w:spacing w:line="360" w:lineRule="auto"/>
        <w:rPr>
          <w:rFonts w:ascii="宋体" w:hAnsi="宋体"/>
          <w:color w:val="auto"/>
          <w:sz w:val="28"/>
          <w:szCs w:val="28"/>
          <w:highlight w:val="none"/>
        </w:rPr>
      </w:pPr>
    </w:p>
    <w:p w14:paraId="51F932CE">
      <w:pPr>
        <w:autoSpaceDE w:val="0"/>
        <w:autoSpaceDN w:val="0"/>
        <w:jc w:val="center"/>
        <w:rPr>
          <w:rFonts w:hint="default" w:ascii="宋体" w:hAnsi="宋体" w:eastAsia="宋体" w:cs="宋体"/>
          <w:b/>
          <w:bCs/>
          <w:color w:val="auto"/>
          <w:sz w:val="28"/>
          <w:szCs w:val="28"/>
          <w:highlight w:val="none"/>
          <w:lang w:val="en-US" w:eastAsia="zh-CN"/>
        </w:rPr>
      </w:pPr>
      <w:bookmarkStart w:id="247" w:name="_Toc402538048"/>
      <w:bookmarkStart w:id="248" w:name="_Toc360999032"/>
      <w:bookmarkStart w:id="249" w:name="_Toc440880273"/>
      <w:bookmarkStart w:id="250" w:name="_Toc380136447"/>
      <w:bookmarkStart w:id="251" w:name="_Toc402538242"/>
      <w:bookmarkStart w:id="252" w:name="_Toc402538861"/>
      <w:r>
        <w:rPr>
          <w:rFonts w:hint="eastAsia" w:ascii="宋体" w:hAnsi="宋体" w:eastAsia="宋体" w:cs="宋体"/>
          <w:b/>
          <w:bCs/>
          <w:color w:val="auto"/>
          <w:sz w:val="28"/>
          <w:szCs w:val="28"/>
          <w:highlight w:val="none"/>
          <w:lang w:val="en-US" w:eastAsia="zh-CN"/>
        </w:rPr>
        <w:t>三、参数一览表</w:t>
      </w:r>
    </w:p>
    <w:p w14:paraId="77627FE1">
      <w:pPr>
        <w:autoSpaceDE w:val="0"/>
        <w:autoSpaceDN w:val="0"/>
        <w:jc w:val="center"/>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b/>
          <w:bCs/>
          <w:color w:val="auto"/>
          <w:sz w:val="28"/>
          <w:szCs w:val="28"/>
          <w:highlight w:val="none"/>
        </w:rPr>
        <w:t>投标货物分项一览表</w:t>
      </w:r>
    </w:p>
    <w:tbl>
      <w:tblPr>
        <w:tblStyle w:val="2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50"/>
        <w:gridCol w:w="1395"/>
        <w:gridCol w:w="975"/>
        <w:gridCol w:w="885"/>
        <w:gridCol w:w="885"/>
        <w:gridCol w:w="955"/>
        <w:gridCol w:w="941"/>
        <w:gridCol w:w="777"/>
      </w:tblGrid>
      <w:tr w14:paraId="77FA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14:paraId="03FD8EA1">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813" w:type="dxa"/>
            <w:gridSpan w:val="7"/>
            <w:noWrap w:val="0"/>
            <w:vAlign w:val="top"/>
          </w:tcPr>
          <w:p w14:paraId="2EDAF63B">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0707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14:paraId="559A03A0">
            <w:pPr>
              <w:widowControl/>
              <w:spacing w:before="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w:t>
            </w:r>
            <w:r>
              <w:rPr>
                <w:rFonts w:hint="eastAsia" w:ascii="宋体" w:hAnsi="宋体" w:eastAsia="宋体" w:cs="宋体"/>
                <w:color w:val="auto"/>
                <w:kern w:val="2"/>
                <w:sz w:val="24"/>
                <w:szCs w:val="24"/>
                <w:highlight w:val="none"/>
                <w:lang w:val="en-US" w:eastAsia="zh-CN"/>
              </w:rPr>
              <w:t>名称及标段</w:t>
            </w:r>
          </w:p>
        </w:tc>
        <w:tc>
          <w:tcPr>
            <w:tcW w:w="6813" w:type="dxa"/>
            <w:gridSpan w:val="7"/>
            <w:noWrap w:val="0"/>
            <w:vAlign w:val="top"/>
          </w:tcPr>
          <w:p w14:paraId="7C8938AA">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4A8B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76" w:type="dxa"/>
            <w:noWrap w:val="0"/>
            <w:vAlign w:val="center"/>
          </w:tcPr>
          <w:p w14:paraId="0E5FA162">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50" w:type="dxa"/>
            <w:noWrap w:val="0"/>
            <w:vAlign w:val="center"/>
          </w:tcPr>
          <w:p w14:paraId="0A9390CF">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物品</w:t>
            </w:r>
            <w:r>
              <w:rPr>
                <w:rFonts w:hint="eastAsia" w:ascii="宋体" w:hAnsi="宋体" w:eastAsia="宋体" w:cs="宋体"/>
                <w:color w:val="auto"/>
                <w:kern w:val="2"/>
                <w:sz w:val="24"/>
                <w:szCs w:val="24"/>
                <w:highlight w:val="none"/>
              </w:rPr>
              <w:t>名称</w:t>
            </w:r>
          </w:p>
        </w:tc>
        <w:tc>
          <w:tcPr>
            <w:tcW w:w="1395" w:type="dxa"/>
            <w:noWrap w:val="0"/>
            <w:vAlign w:val="center"/>
          </w:tcPr>
          <w:p w14:paraId="573219E2">
            <w:pPr>
              <w:widowControl/>
              <w:spacing w:before="0" w:beforeAutospacing="0" w:afterAutospacing="0"/>
              <w:ind w:left="0" w:right="0" w:firstLine="120" w:firstLineChars="5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单位</w:t>
            </w:r>
          </w:p>
        </w:tc>
        <w:tc>
          <w:tcPr>
            <w:tcW w:w="975" w:type="dxa"/>
            <w:noWrap w:val="0"/>
            <w:vAlign w:val="center"/>
          </w:tcPr>
          <w:p w14:paraId="76F5266F">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数量</w:t>
            </w:r>
          </w:p>
        </w:tc>
        <w:tc>
          <w:tcPr>
            <w:tcW w:w="885" w:type="dxa"/>
            <w:noWrap w:val="0"/>
            <w:vAlign w:val="center"/>
          </w:tcPr>
          <w:p w14:paraId="2C565A7B">
            <w:pPr>
              <w:widowControl/>
              <w:spacing w:before="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单价（元）</w:t>
            </w:r>
          </w:p>
        </w:tc>
        <w:tc>
          <w:tcPr>
            <w:tcW w:w="885" w:type="dxa"/>
            <w:noWrap w:val="0"/>
            <w:vAlign w:val="center"/>
          </w:tcPr>
          <w:p w14:paraId="75B33376">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总价（元）</w:t>
            </w:r>
          </w:p>
        </w:tc>
        <w:tc>
          <w:tcPr>
            <w:tcW w:w="955" w:type="dxa"/>
            <w:noWrap w:val="0"/>
            <w:vAlign w:val="center"/>
          </w:tcPr>
          <w:p w14:paraId="78EDF212">
            <w:pPr>
              <w:numPr>
                <w:ilvl w:val="0"/>
                <w:numId w:val="0"/>
              </w:numPr>
              <w:ind w:left="0" w:leftChars="0" w:firstLine="0" w:firstLineChars="0"/>
              <w:jc w:val="center"/>
              <w:rPr>
                <w:rFonts w:hint="eastAsia"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参数</w:t>
            </w:r>
          </w:p>
        </w:tc>
        <w:tc>
          <w:tcPr>
            <w:tcW w:w="941" w:type="dxa"/>
            <w:noWrap w:val="0"/>
            <w:vAlign w:val="center"/>
          </w:tcPr>
          <w:p w14:paraId="447132D0">
            <w:pPr>
              <w:numPr>
                <w:ilvl w:val="0"/>
                <w:numId w:val="0"/>
              </w:numPr>
              <w:ind w:left="0" w:leftChars="0" w:firstLine="0" w:firstLineChars="0"/>
              <w:jc w:val="center"/>
              <w:rPr>
                <w:rFonts w:hint="default"/>
                <w:color w:val="auto"/>
                <w:sz w:val="22"/>
                <w:szCs w:val="28"/>
                <w:highlight w:val="none"/>
                <w:vertAlign w:val="baseline"/>
                <w:lang w:val="en-US" w:eastAsia="zh-CN"/>
              </w:rPr>
            </w:pPr>
            <w:r>
              <w:rPr>
                <w:rFonts w:hint="eastAsia"/>
                <w:color w:val="auto"/>
                <w:sz w:val="22"/>
                <w:szCs w:val="28"/>
                <w:highlight w:val="none"/>
                <w:vertAlign w:val="baseline"/>
                <w:lang w:val="en-US" w:eastAsia="zh-CN"/>
              </w:rPr>
              <w:t>品牌</w:t>
            </w:r>
          </w:p>
        </w:tc>
        <w:tc>
          <w:tcPr>
            <w:tcW w:w="777" w:type="dxa"/>
            <w:noWrap w:val="0"/>
            <w:vAlign w:val="center"/>
          </w:tcPr>
          <w:p w14:paraId="01B741FB">
            <w:pPr>
              <w:widowControl/>
              <w:spacing w:before="0" w:beforeAutospacing="0" w:afterAutospacing="0"/>
              <w:ind w:right="0"/>
              <w:jc w:val="both"/>
              <w:rPr>
                <w:rFonts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备注</w:t>
            </w:r>
          </w:p>
        </w:tc>
      </w:tr>
      <w:tr w14:paraId="189F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6" w:type="dxa"/>
            <w:noWrap w:val="0"/>
            <w:vAlign w:val="top"/>
          </w:tcPr>
          <w:p w14:paraId="0E650F4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068FC8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902BCD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4A96E6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FAF65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2893AB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4A4C7E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5AAA45A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482F3E7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FB1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0E82504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74FEF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4A6ED2F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724B30EB">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C5B03D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286AA9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459EA0F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5A720DB7">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01F48C9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467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3403DF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748B57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5EB1EB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5744E4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40B540D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A6885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2E97DDC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5D5DEE0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320E54F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6574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40DF9F4">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51363A3A">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0033F94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32ECC95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A3D4BE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885" w:type="dxa"/>
            <w:noWrap w:val="0"/>
            <w:vAlign w:val="center"/>
          </w:tcPr>
          <w:p w14:paraId="4772CC7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955" w:type="dxa"/>
            <w:noWrap w:val="0"/>
            <w:vAlign w:val="center"/>
          </w:tcPr>
          <w:p w14:paraId="0C6C626B">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941" w:type="dxa"/>
            <w:noWrap w:val="0"/>
            <w:vAlign w:val="center"/>
          </w:tcPr>
          <w:p w14:paraId="05CDE501">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777" w:type="dxa"/>
            <w:noWrap w:val="0"/>
            <w:vAlign w:val="top"/>
          </w:tcPr>
          <w:p w14:paraId="483C829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7F2C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2541EC1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ABB09B7">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1CE5CB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679211A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561A40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96A27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065A180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02E4159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08E52AE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22D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10C14E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78246A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44F43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18EDE0F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E54278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626C1C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3E7AE0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1091B46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0C6DF92A">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8A6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76" w:type="dxa"/>
            <w:noWrap w:val="0"/>
            <w:vAlign w:val="top"/>
          </w:tcPr>
          <w:p w14:paraId="0E4A63A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22733726">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F0C9E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2D723F7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5652E7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1893889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55" w:type="dxa"/>
            <w:noWrap w:val="0"/>
            <w:vAlign w:val="center"/>
          </w:tcPr>
          <w:p w14:paraId="6DEF015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41" w:type="dxa"/>
            <w:noWrap w:val="0"/>
            <w:vAlign w:val="center"/>
          </w:tcPr>
          <w:p w14:paraId="6D05D60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777" w:type="dxa"/>
            <w:noWrap w:val="0"/>
            <w:vAlign w:val="top"/>
          </w:tcPr>
          <w:p w14:paraId="354F735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bl>
    <w:p w14:paraId="648B75F7">
      <w:pPr>
        <w:widowControl/>
        <w:wordWrap/>
        <w:autoSpaceDE w:val="0"/>
        <w:autoSpaceDN w:val="0"/>
        <w:adjustRightInd w:val="0"/>
        <w:snapToGrid w:val="0"/>
        <w:spacing w:after="0" w:afterLine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0047A07">
      <w:pPr>
        <w:spacing w:line="480" w:lineRule="exact"/>
        <w:ind w:firstLine="120" w:firstLineChars="50"/>
        <w:rPr>
          <w:b/>
          <w:bCs w:val="0"/>
          <w:color w:val="000000"/>
          <w:sz w:val="24"/>
          <w:szCs w:val="24"/>
          <w:highlight w:val="none"/>
        </w:rPr>
      </w:pPr>
      <w:r>
        <w:rPr>
          <w:rFonts w:hint="eastAsia"/>
          <w:b/>
          <w:bCs w:val="0"/>
          <w:color w:val="000000"/>
          <w:sz w:val="24"/>
          <w:szCs w:val="24"/>
          <w:highlight w:val="none"/>
        </w:rPr>
        <w:t>注：此表格若不够用可根据实际自行扩展表格。</w:t>
      </w:r>
    </w:p>
    <w:p w14:paraId="22EC218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0EE8AF1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4CDC45C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7CC8838">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43C76ED">
      <w:pPr>
        <w:autoSpaceDE w:val="0"/>
        <w:autoSpaceDN w:val="0"/>
        <w:jc w:val="center"/>
        <w:rPr>
          <w:rFonts w:hint="eastAsia" w:ascii="宋体" w:hAnsi="宋体" w:eastAsia="宋体" w:cs="宋体"/>
          <w:b/>
          <w:bCs/>
          <w:color w:val="auto"/>
          <w:sz w:val="28"/>
          <w:szCs w:val="28"/>
          <w:highlight w:val="none"/>
        </w:rPr>
      </w:pPr>
    </w:p>
    <w:p w14:paraId="1C0F16E5">
      <w:pPr>
        <w:autoSpaceDE w:val="0"/>
        <w:autoSpaceDN w:val="0"/>
        <w:jc w:val="center"/>
        <w:rPr>
          <w:rFonts w:hint="eastAsia" w:ascii="宋体" w:hAnsi="宋体" w:eastAsia="宋体" w:cs="宋体"/>
          <w:b/>
          <w:bCs/>
          <w:color w:val="auto"/>
          <w:sz w:val="28"/>
          <w:szCs w:val="28"/>
          <w:highlight w:val="none"/>
        </w:rPr>
      </w:pPr>
    </w:p>
    <w:p w14:paraId="6C9829D4">
      <w:pPr>
        <w:pStyle w:val="5"/>
        <w:rPr>
          <w:rFonts w:hint="eastAsia" w:ascii="宋体" w:hAnsi="宋体" w:eastAsia="宋体" w:cs="宋体"/>
          <w:b/>
          <w:bCs/>
          <w:color w:val="auto"/>
          <w:sz w:val="28"/>
          <w:szCs w:val="28"/>
          <w:highlight w:val="none"/>
        </w:rPr>
      </w:pPr>
    </w:p>
    <w:p w14:paraId="35CB4833">
      <w:pPr>
        <w:pStyle w:val="2"/>
        <w:rPr>
          <w:rFonts w:hint="eastAsia" w:ascii="宋体" w:hAnsi="宋体" w:eastAsia="宋体" w:cs="宋体"/>
          <w:b/>
          <w:bCs/>
          <w:color w:val="auto"/>
          <w:sz w:val="28"/>
          <w:szCs w:val="28"/>
          <w:highlight w:val="none"/>
        </w:rPr>
      </w:pPr>
    </w:p>
    <w:p w14:paraId="657CC4EA">
      <w:pPr>
        <w:pStyle w:val="5"/>
        <w:rPr>
          <w:rFonts w:hint="eastAsia" w:ascii="宋体" w:hAnsi="宋体" w:eastAsia="宋体" w:cs="宋体"/>
          <w:b/>
          <w:bCs/>
          <w:color w:val="auto"/>
          <w:sz w:val="28"/>
          <w:szCs w:val="28"/>
          <w:highlight w:val="none"/>
        </w:rPr>
      </w:pPr>
    </w:p>
    <w:p w14:paraId="2AD5E4FD">
      <w:pPr>
        <w:autoSpaceDE w:val="0"/>
        <w:autoSpaceDN w:val="0"/>
        <w:jc w:val="center"/>
        <w:rPr>
          <w:ins w:id="5" w:author="心平气和" w:date="2025-10-28T19:26:45Z"/>
          <w:rFonts w:hint="eastAsia" w:ascii="宋体" w:hAnsi="宋体" w:eastAsia="宋体" w:cs="宋体"/>
          <w:b/>
          <w:bCs/>
          <w:color w:val="auto"/>
          <w:sz w:val="28"/>
          <w:szCs w:val="28"/>
          <w:highlight w:val="none"/>
          <w:lang w:eastAsia="zh-CN"/>
        </w:rPr>
      </w:pPr>
    </w:p>
    <w:p w14:paraId="43C23F6D">
      <w:pPr>
        <w:autoSpaceDE w:val="0"/>
        <w:autoSpaceDN w:val="0"/>
        <w:jc w:val="center"/>
        <w:rPr>
          <w:ins w:id="6" w:author="心平气和" w:date="2025-10-28T19:26:45Z"/>
          <w:rFonts w:hint="eastAsia" w:ascii="宋体" w:hAnsi="宋体" w:eastAsia="宋体" w:cs="宋体"/>
          <w:b/>
          <w:bCs/>
          <w:color w:val="auto"/>
          <w:sz w:val="28"/>
          <w:szCs w:val="28"/>
          <w:highlight w:val="none"/>
          <w:lang w:eastAsia="zh-CN"/>
        </w:rPr>
      </w:pPr>
    </w:p>
    <w:p w14:paraId="5B3A6C4D">
      <w:pPr>
        <w:autoSpaceDE w:val="0"/>
        <w:autoSpaceDN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技术要求响应与偏差表</w:t>
      </w:r>
    </w:p>
    <w:tbl>
      <w:tblPr>
        <w:tblStyle w:val="21"/>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47"/>
        <w:gridCol w:w="1513"/>
        <w:gridCol w:w="1722"/>
        <w:gridCol w:w="1736"/>
        <w:gridCol w:w="1736"/>
      </w:tblGrid>
      <w:tr w14:paraId="441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45" w:type="dxa"/>
            <w:tcBorders>
              <w:top w:val="double" w:color="auto" w:sz="4" w:space="0"/>
              <w:left w:val="double" w:color="auto" w:sz="4" w:space="0"/>
            </w:tcBorders>
            <w:noWrap w:val="0"/>
            <w:vAlign w:val="center"/>
          </w:tcPr>
          <w:p w14:paraId="75269C09">
            <w:pPr>
              <w:spacing w:line="400" w:lineRule="exact"/>
              <w:ind w:left="-141"/>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547" w:type="dxa"/>
            <w:tcBorders>
              <w:top w:val="double" w:color="auto" w:sz="4" w:space="0"/>
            </w:tcBorders>
            <w:noWrap w:val="0"/>
            <w:vAlign w:val="center"/>
          </w:tcPr>
          <w:p w14:paraId="487E271B">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投标产品</w:t>
            </w:r>
          </w:p>
        </w:tc>
        <w:tc>
          <w:tcPr>
            <w:tcW w:w="1513" w:type="dxa"/>
            <w:tcBorders>
              <w:top w:val="double" w:color="auto" w:sz="4" w:space="0"/>
            </w:tcBorders>
            <w:noWrap w:val="0"/>
            <w:vAlign w:val="center"/>
          </w:tcPr>
          <w:p w14:paraId="3476E61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招标文件要求</w:t>
            </w:r>
          </w:p>
        </w:tc>
        <w:tc>
          <w:tcPr>
            <w:tcW w:w="1722" w:type="dxa"/>
            <w:tcBorders>
              <w:top w:val="double" w:color="auto" w:sz="4" w:space="0"/>
            </w:tcBorders>
            <w:noWrap w:val="0"/>
            <w:vAlign w:val="center"/>
          </w:tcPr>
          <w:p w14:paraId="3FC0DB54">
            <w:pPr>
              <w:widowControl/>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投标文件响应</w:t>
            </w:r>
          </w:p>
        </w:tc>
        <w:tc>
          <w:tcPr>
            <w:tcW w:w="1736" w:type="dxa"/>
            <w:tcBorders>
              <w:top w:val="double" w:color="auto" w:sz="4" w:space="0"/>
              <w:right w:val="double" w:color="auto" w:sz="4" w:space="0"/>
            </w:tcBorders>
            <w:noWrap w:val="0"/>
            <w:vAlign w:val="center"/>
          </w:tcPr>
          <w:p w14:paraId="64E1B7DE">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偏离说明</w:t>
            </w:r>
          </w:p>
        </w:tc>
        <w:tc>
          <w:tcPr>
            <w:tcW w:w="1736" w:type="dxa"/>
            <w:tcBorders>
              <w:top w:val="double" w:color="auto" w:sz="4" w:space="0"/>
              <w:right w:val="double" w:color="auto" w:sz="4" w:space="0"/>
            </w:tcBorders>
            <w:noWrap w:val="0"/>
            <w:vAlign w:val="center"/>
          </w:tcPr>
          <w:p w14:paraId="791C0E72">
            <w:pPr>
              <w:widowControl/>
              <w:spacing w:line="400" w:lineRule="exact"/>
              <w:jc w:val="center"/>
              <w:rPr>
                <w:rFonts w:hint="eastAsia" w:ascii="宋体" w:hAnsi="宋体" w:cs="宋体" w:eastAsiaTheme="minorEastAsia"/>
                <w:bCs/>
                <w:color w:val="auto"/>
                <w:szCs w:val="21"/>
                <w:highlight w:val="none"/>
                <w:lang w:val="en-US" w:eastAsia="zh-CN"/>
              </w:rPr>
            </w:pPr>
            <w:r>
              <w:rPr>
                <w:rFonts w:hint="eastAsia" w:ascii="宋体" w:hAnsi="宋体" w:cs="宋体"/>
                <w:bCs/>
                <w:color w:val="auto"/>
                <w:szCs w:val="21"/>
                <w:highlight w:val="none"/>
                <w:lang w:val="en-US" w:eastAsia="zh-CN"/>
              </w:rPr>
              <w:t>备注</w:t>
            </w:r>
          </w:p>
        </w:tc>
      </w:tr>
      <w:tr w14:paraId="2D2C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tcBorders>
              <w:left w:val="double" w:color="auto" w:sz="4" w:space="0"/>
            </w:tcBorders>
            <w:noWrap w:val="0"/>
            <w:vAlign w:val="center"/>
          </w:tcPr>
          <w:p w14:paraId="6F9B61DF">
            <w:pPr>
              <w:spacing w:line="400" w:lineRule="exact"/>
              <w:jc w:val="center"/>
              <w:rPr>
                <w:rFonts w:ascii="宋体" w:hAnsi="宋体" w:cs="宋体"/>
                <w:bCs/>
                <w:color w:val="auto"/>
                <w:szCs w:val="21"/>
                <w:highlight w:val="none"/>
              </w:rPr>
            </w:pPr>
          </w:p>
        </w:tc>
        <w:tc>
          <w:tcPr>
            <w:tcW w:w="1547" w:type="dxa"/>
            <w:noWrap w:val="0"/>
            <w:vAlign w:val="center"/>
          </w:tcPr>
          <w:p w14:paraId="3CE852DD">
            <w:pPr>
              <w:spacing w:line="400" w:lineRule="exact"/>
              <w:jc w:val="center"/>
              <w:rPr>
                <w:rFonts w:ascii="宋体" w:hAnsi="宋体" w:cs="宋体"/>
                <w:bCs/>
                <w:color w:val="auto"/>
                <w:szCs w:val="21"/>
                <w:highlight w:val="none"/>
              </w:rPr>
            </w:pPr>
          </w:p>
        </w:tc>
        <w:tc>
          <w:tcPr>
            <w:tcW w:w="1513" w:type="dxa"/>
            <w:noWrap w:val="0"/>
            <w:vAlign w:val="center"/>
          </w:tcPr>
          <w:p w14:paraId="56B9CEFF">
            <w:pPr>
              <w:spacing w:line="400" w:lineRule="exact"/>
              <w:jc w:val="center"/>
              <w:rPr>
                <w:rFonts w:ascii="宋体" w:hAnsi="宋体" w:cs="宋体"/>
                <w:bCs/>
                <w:color w:val="auto"/>
                <w:szCs w:val="21"/>
                <w:highlight w:val="none"/>
              </w:rPr>
            </w:pPr>
          </w:p>
        </w:tc>
        <w:tc>
          <w:tcPr>
            <w:tcW w:w="1722" w:type="dxa"/>
            <w:noWrap w:val="0"/>
            <w:vAlign w:val="center"/>
          </w:tcPr>
          <w:p w14:paraId="1AD09FAD">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26C718B6">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487087E8">
            <w:pPr>
              <w:spacing w:line="400" w:lineRule="exact"/>
              <w:jc w:val="center"/>
              <w:rPr>
                <w:rFonts w:ascii="宋体" w:hAnsi="宋体" w:cs="宋体"/>
                <w:bCs/>
                <w:color w:val="auto"/>
                <w:szCs w:val="21"/>
                <w:highlight w:val="none"/>
              </w:rPr>
            </w:pPr>
          </w:p>
        </w:tc>
      </w:tr>
      <w:tr w14:paraId="37FC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tcBorders>
              <w:left w:val="double" w:color="auto" w:sz="4" w:space="0"/>
            </w:tcBorders>
            <w:noWrap w:val="0"/>
            <w:vAlign w:val="center"/>
          </w:tcPr>
          <w:p w14:paraId="55F3C64C">
            <w:pPr>
              <w:spacing w:line="400" w:lineRule="exact"/>
              <w:jc w:val="center"/>
              <w:rPr>
                <w:rFonts w:ascii="宋体" w:hAnsi="宋体" w:cs="宋体"/>
                <w:bCs/>
                <w:color w:val="auto"/>
                <w:szCs w:val="21"/>
                <w:highlight w:val="none"/>
              </w:rPr>
            </w:pPr>
          </w:p>
        </w:tc>
        <w:tc>
          <w:tcPr>
            <w:tcW w:w="1547" w:type="dxa"/>
            <w:noWrap w:val="0"/>
            <w:vAlign w:val="center"/>
          </w:tcPr>
          <w:p w14:paraId="06FDF7BC">
            <w:pPr>
              <w:spacing w:line="400" w:lineRule="exact"/>
              <w:jc w:val="center"/>
              <w:rPr>
                <w:rFonts w:ascii="宋体" w:hAnsi="宋体" w:cs="宋体"/>
                <w:bCs/>
                <w:color w:val="auto"/>
                <w:szCs w:val="21"/>
                <w:highlight w:val="none"/>
              </w:rPr>
            </w:pPr>
          </w:p>
        </w:tc>
        <w:tc>
          <w:tcPr>
            <w:tcW w:w="1513" w:type="dxa"/>
            <w:noWrap w:val="0"/>
            <w:vAlign w:val="center"/>
          </w:tcPr>
          <w:p w14:paraId="5D84B456">
            <w:pPr>
              <w:spacing w:line="400" w:lineRule="exact"/>
              <w:jc w:val="center"/>
              <w:rPr>
                <w:rFonts w:ascii="宋体" w:hAnsi="宋体" w:cs="宋体"/>
                <w:bCs/>
                <w:color w:val="auto"/>
                <w:szCs w:val="21"/>
                <w:highlight w:val="none"/>
              </w:rPr>
            </w:pPr>
          </w:p>
        </w:tc>
        <w:tc>
          <w:tcPr>
            <w:tcW w:w="1722" w:type="dxa"/>
            <w:noWrap w:val="0"/>
            <w:vAlign w:val="center"/>
          </w:tcPr>
          <w:p w14:paraId="3BE85609">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7C34E83E">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4C6604CC">
            <w:pPr>
              <w:spacing w:line="400" w:lineRule="exact"/>
              <w:jc w:val="center"/>
              <w:rPr>
                <w:rFonts w:ascii="宋体" w:hAnsi="宋体" w:cs="宋体"/>
                <w:bCs/>
                <w:color w:val="auto"/>
                <w:szCs w:val="21"/>
                <w:highlight w:val="none"/>
              </w:rPr>
            </w:pPr>
          </w:p>
        </w:tc>
      </w:tr>
      <w:tr w14:paraId="527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tcBorders>
              <w:left w:val="double" w:color="auto" w:sz="4" w:space="0"/>
            </w:tcBorders>
            <w:noWrap w:val="0"/>
            <w:vAlign w:val="center"/>
          </w:tcPr>
          <w:p w14:paraId="432165D3">
            <w:pPr>
              <w:spacing w:line="400" w:lineRule="exact"/>
              <w:jc w:val="center"/>
              <w:rPr>
                <w:rFonts w:ascii="宋体" w:hAnsi="宋体" w:cs="宋体"/>
                <w:bCs/>
                <w:color w:val="auto"/>
                <w:szCs w:val="21"/>
                <w:highlight w:val="none"/>
              </w:rPr>
            </w:pPr>
          </w:p>
        </w:tc>
        <w:tc>
          <w:tcPr>
            <w:tcW w:w="1547" w:type="dxa"/>
            <w:noWrap w:val="0"/>
            <w:vAlign w:val="center"/>
          </w:tcPr>
          <w:p w14:paraId="3FB59038">
            <w:pPr>
              <w:spacing w:line="400" w:lineRule="exact"/>
              <w:jc w:val="center"/>
              <w:rPr>
                <w:rFonts w:ascii="宋体" w:hAnsi="宋体" w:cs="宋体"/>
                <w:bCs/>
                <w:color w:val="auto"/>
                <w:szCs w:val="21"/>
                <w:highlight w:val="none"/>
              </w:rPr>
            </w:pPr>
          </w:p>
        </w:tc>
        <w:tc>
          <w:tcPr>
            <w:tcW w:w="1513" w:type="dxa"/>
            <w:noWrap w:val="0"/>
            <w:vAlign w:val="center"/>
          </w:tcPr>
          <w:p w14:paraId="5A64AE53">
            <w:pPr>
              <w:spacing w:line="400" w:lineRule="exact"/>
              <w:jc w:val="center"/>
              <w:rPr>
                <w:rFonts w:ascii="宋体" w:hAnsi="宋体" w:cs="宋体"/>
                <w:bCs/>
                <w:color w:val="auto"/>
                <w:szCs w:val="21"/>
                <w:highlight w:val="none"/>
              </w:rPr>
            </w:pPr>
          </w:p>
        </w:tc>
        <w:tc>
          <w:tcPr>
            <w:tcW w:w="1722" w:type="dxa"/>
            <w:noWrap w:val="0"/>
            <w:vAlign w:val="center"/>
          </w:tcPr>
          <w:p w14:paraId="50EF5392">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07261BCD">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2490CDCF">
            <w:pPr>
              <w:spacing w:line="400" w:lineRule="exact"/>
              <w:jc w:val="center"/>
              <w:rPr>
                <w:rFonts w:ascii="宋体" w:hAnsi="宋体" w:cs="宋体"/>
                <w:bCs/>
                <w:color w:val="auto"/>
                <w:szCs w:val="21"/>
                <w:highlight w:val="none"/>
              </w:rPr>
            </w:pPr>
          </w:p>
        </w:tc>
      </w:tr>
      <w:tr w14:paraId="6E4D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tcBorders>
              <w:left w:val="double" w:color="auto" w:sz="4" w:space="0"/>
            </w:tcBorders>
            <w:noWrap w:val="0"/>
            <w:vAlign w:val="center"/>
          </w:tcPr>
          <w:p w14:paraId="426240A7">
            <w:pPr>
              <w:spacing w:line="400" w:lineRule="exact"/>
              <w:jc w:val="center"/>
              <w:rPr>
                <w:rFonts w:ascii="宋体" w:hAnsi="宋体" w:cs="宋体"/>
                <w:bCs/>
                <w:color w:val="auto"/>
                <w:szCs w:val="21"/>
                <w:highlight w:val="none"/>
              </w:rPr>
            </w:pPr>
          </w:p>
        </w:tc>
        <w:tc>
          <w:tcPr>
            <w:tcW w:w="1547" w:type="dxa"/>
            <w:noWrap w:val="0"/>
            <w:vAlign w:val="center"/>
          </w:tcPr>
          <w:p w14:paraId="79FCFC6F">
            <w:pPr>
              <w:spacing w:line="400" w:lineRule="exact"/>
              <w:jc w:val="center"/>
              <w:rPr>
                <w:rFonts w:ascii="宋体" w:hAnsi="宋体" w:cs="宋体"/>
                <w:bCs/>
                <w:color w:val="auto"/>
                <w:szCs w:val="21"/>
                <w:highlight w:val="none"/>
              </w:rPr>
            </w:pPr>
          </w:p>
        </w:tc>
        <w:tc>
          <w:tcPr>
            <w:tcW w:w="1513" w:type="dxa"/>
            <w:noWrap w:val="0"/>
            <w:vAlign w:val="center"/>
          </w:tcPr>
          <w:p w14:paraId="05676233">
            <w:pPr>
              <w:spacing w:line="400" w:lineRule="exact"/>
              <w:jc w:val="center"/>
              <w:rPr>
                <w:rFonts w:ascii="宋体" w:hAnsi="宋体" w:cs="宋体"/>
                <w:bCs/>
                <w:color w:val="auto"/>
                <w:szCs w:val="21"/>
                <w:highlight w:val="none"/>
              </w:rPr>
            </w:pPr>
          </w:p>
        </w:tc>
        <w:tc>
          <w:tcPr>
            <w:tcW w:w="1722" w:type="dxa"/>
            <w:noWrap w:val="0"/>
            <w:vAlign w:val="center"/>
          </w:tcPr>
          <w:p w14:paraId="04389C8B">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6A7909D5">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73B64AA9">
            <w:pPr>
              <w:spacing w:line="400" w:lineRule="exact"/>
              <w:jc w:val="center"/>
              <w:rPr>
                <w:rFonts w:ascii="宋体" w:hAnsi="宋体" w:cs="宋体"/>
                <w:bCs/>
                <w:color w:val="auto"/>
                <w:szCs w:val="21"/>
                <w:highlight w:val="none"/>
              </w:rPr>
            </w:pPr>
          </w:p>
        </w:tc>
      </w:tr>
      <w:tr w14:paraId="4D1A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5" w:type="dxa"/>
            <w:tcBorders>
              <w:left w:val="double" w:color="auto" w:sz="4" w:space="0"/>
            </w:tcBorders>
            <w:noWrap w:val="0"/>
            <w:vAlign w:val="center"/>
          </w:tcPr>
          <w:p w14:paraId="13268F0E">
            <w:pPr>
              <w:spacing w:line="400" w:lineRule="exact"/>
              <w:jc w:val="center"/>
              <w:rPr>
                <w:rFonts w:ascii="宋体" w:hAnsi="宋体" w:cs="宋体"/>
                <w:bCs/>
                <w:color w:val="auto"/>
                <w:szCs w:val="21"/>
                <w:highlight w:val="none"/>
              </w:rPr>
            </w:pPr>
          </w:p>
        </w:tc>
        <w:tc>
          <w:tcPr>
            <w:tcW w:w="1547" w:type="dxa"/>
            <w:noWrap w:val="0"/>
            <w:vAlign w:val="center"/>
          </w:tcPr>
          <w:p w14:paraId="6BE1681F">
            <w:pPr>
              <w:spacing w:line="400" w:lineRule="exact"/>
              <w:jc w:val="center"/>
              <w:rPr>
                <w:rFonts w:ascii="宋体" w:hAnsi="宋体" w:cs="宋体"/>
                <w:bCs/>
                <w:color w:val="auto"/>
                <w:szCs w:val="21"/>
                <w:highlight w:val="none"/>
              </w:rPr>
            </w:pPr>
          </w:p>
        </w:tc>
        <w:tc>
          <w:tcPr>
            <w:tcW w:w="1513" w:type="dxa"/>
            <w:noWrap w:val="0"/>
            <w:vAlign w:val="center"/>
          </w:tcPr>
          <w:p w14:paraId="78C4AAE3">
            <w:pPr>
              <w:spacing w:line="400" w:lineRule="exact"/>
              <w:jc w:val="center"/>
              <w:rPr>
                <w:rFonts w:ascii="宋体" w:hAnsi="宋体" w:cs="宋体"/>
                <w:bCs/>
                <w:color w:val="auto"/>
                <w:szCs w:val="21"/>
                <w:highlight w:val="none"/>
              </w:rPr>
            </w:pPr>
          </w:p>
        </w:tc>
        <w:tc>
          <w:tcPr>
            <w:tcW w:w="1722" w:type="dxa"/>
            <w:noWrap w:val="0"/>
            <w:vAlign w:val="center"/>
          </w:tcPr>
          <w:p w14:paraId="5716C159">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73A8FCBF">
            <w:pPr>
              <w:spacing w:line="400" w:lineRule="exact"/>
              <w:jc w:val="center"/>
              <w:rPr>
                <w:rFonts w:ascii="宋体" w:hAnsi="宋体" w:cs="宋体"/>
                <w:bCs/>
                <w:color w:val="auto"/>
                <w:szCs w:val="21"/>
                <w:highlight w:val="none"/>
              </w:rPr>
            </w:pPr>
          </w:p>
        </w:tc>
        <w:tc>
          <w:tcPr>
            <w:tcW w:w="1736" w:type="dxa"/>
            <w:tcBorders>
              <w:right w:val="double" w:color="auto" w:sz="4" w:space="0"/>
            </w:tcBorders>
            <w:noWrap w:val="0"/>
            <w:vAlign w:val="center"/>
          </w:tcPr>
          <w:p w14:paraId="2B036F04">
            <w:pPr>
              <w:spacing w:line="400" w:lineRule="exact"/>
              <w:jc w:val="center"/>
              <w:rPr>
                <w:rFonts w:ascii="宋体" w:hAnsi="宋体" w:cs="宋体"/>
                <w:bCs/>
                <w:color w:val="auto"/>
                <w:szCs w:val="21"/>
                <w:highlight w:val="none"/>
              </w:rPr>
            </w:pPr>
          </w:p>
        </w:tc>
      </w:tr>
      <w:tr w14:paraId="35F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5" w:type="dxa"/>
            <w:tcBorders>
              <w:left w:val="double" w:color="auto" w:sz="4" w:space="0"/>
              <w:bottom w:val="double" w:color="auto" w:sz="4" w:space="0"/>
            </w:tcBorders>
            <w:noWrap w:val="0"/>
            <w:vAlign w:val="center"/>
          </w:tcPr>
          <w:p w14:paraId="46E433E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547" w:type="dxa"/>
            <w:tcBorders>
              <w:bottom w:val="double" w:color="auto" w:sz="4" w:space="0"/>
            </w:tcBorders>
            <w:noWrap w:val="0"/>
            <w:vAlign w:val="center"/>
          </w:tcPr>
          <w:p w14:paraId="0E2E84C2">
            <w:pPr>
              <w:spacing w:line="400" w:lineRule="exact"/>
              <w:jc w:val="center"/>
              <w:rPr>
                <w:rFonts w:ascii="宋体" w:hAnsi="宋体" w:cs="宋体"/>
                <w:bCs/>
                <w:color w:val="auto"/>
                <w:szCs w:val="21"/>
                <w:highlight w:val="none"/>
              </w:rPr>
            </w:pPr>
          </w:p>
        </w:tc>
        <w:tc>
          <w:tcPr>
            <w:tcW w:w="1513" w:type="dxa"/>
            <w:tcBorders>
              <w:bottom w:val="double" w:color="auto" w:sz="4" w:space="0"/>
            </w:tcBorders>
            <w:noWrap w:val="0"/>
            <w:vAlign w:val="center"/>
          </w:tcPr>
          <w:p w14:paraId="06F1149F">
            <w:pPr>
              <w:spacing w:line="400" w:lineRule="exact"/>
              <w:jc w:val="center"/>
              <w:rPr>
                <w:rFonts w:ascii="宋体" w:hAnsi="宋体" w:cs="宋体"/>
                <w:bCs/>
                <w:color w:val="auto"/>
                <w:szCs w:val="21"/>
                <w:highlight w:val="none"/>
              </w:rPr>
            </w:pPr>
          </w:p>
        </w:tc>
        <w:tc>
          <w:tcPr>
            <w:tcW w:w="1722" w:type="dxa"/>
            <w:tcBorders>
              <w:bottom w:val="double" w:color="auto" w:sz="4" w:space="0"/>
            </w:tcBorders>
            <w:noWrap w:val="0"/>
            <w:vAlign w:val="center"/>
          </w:tcPr>
          <w:p w14:paraId="74A595ED">
            <w:pPr>
              <w:spacing w:line="400" w:lineRule="exact"/>
              <w:jc w:val="center"/>
              <w:rPr>
                <w:rFonts w:ascii="宋体" w:hAnsi="宋体" w:cs="宋体"/>
                <w:bCs/>
                <w:color w:val="auto"/>
                <w:szCs w:val="21"/>
                <w:highlight w:val="none"/>
              </w:rPr>
            </w:pPr>
          </w:p>
        </w:tc>
        <w:tc>
          <w:tcPr>
            <w:tcW w:w="1736" w:type="dxa"/>
            <w:tcBorders>
              <w:bottom w:val="double" w:color="auto" w:sz="4" w:space="0"/>
              <w:right w:val="double" w:color="auto" w:sz="4" w:space="0"/>
            </w:tcBorders>
            <w:noWrap w:val="0"/>
            <w:vAlign w:val="center"/>
          </w:tcPr>
          <w:p w14:paraId="0D308095">
            <w:pPr>
              <w:spacing w:line="400" w:lineRule="exact"/>
              <w:jc w:val="center"/>
              <w:rPr>
                <w:rFonts w:ascii="宋体" w:hAnsi="宋体" w:cs="宋体"/>
                <w:bCs/>
                <w:color w:val="auto"/>
                <w:szCs w:val="21"/>
                <w:highlight w:val="none"/>
              </w:rPr>
            </w:pPr>
          </w:p>
        </w:tc>
        <w:tc>
          <w:tcPr>
            <w:tcW w:w="1736" w:type="dxa"/>
            <w:tcBorders>
              <w:bottom w:val="double" w:color="auto" w:sz="4" w:space="0"/>
              <w:right w:val="double" w:color="auto" w:sz="4" w:space="0"/>
            </w:tcBorders>
            <w:noWrap w:val="0"/>
            <w:vAlign w:val="center"/>
          </w:tcPr>
          <w:p w14:paraId="2E8DA788">
            <w:pPr>
              <w:spacing w:line="400" w:lineRule="exact"/>
              <w:jc w:val="center"/>
              <w:rPr>
                <w:rFonts w:ascii="宋体" w:hAnsi="宋体" w:cs="宋体"/>
                <w:bCs/>
                <w:color w:val="auto"/>
                <w:szCs w:val="21"/>
                <w:highlight w:val="none"/>
              </w:rPr>
            </w:pPr>
          </w:p>
        </w:tc>
      </w:tr>
    </w:tbl>
    <w:p w14:paraId="3FAD8370">
      <w:pPr>
        <w:pStyle w:val="41"/>
        <w:rPr>
          <w:rFonts w:ascii="宋体" w:hAnsi="宋体" w:cs="宋体"/>
          <w:color w:val="auto"/>
          <w:sz w:val="28"/>
          <w:szCs w:val="28"/>
          <w:highlight w:val="none"/>
        </w:rPr>
      </w:pPr>
    </w:p>
    <w:p w14:paraId="2A806104">
      <w:pPr>
        <w:pStyle w:val="7"/>
        <w:numPr>
          <w:ilvl w:val="1"/>
          <w:numId w:val="0"/>
        </w:numPr>
        <w:tabs>
          <w:tab w:val="left" w:pos="425"/>
        </w:tabs>
        <w:spacing w:line="480" w:lineRule="exact"/>
        <w:jc w:val="both"/>
        <w:rPr>
          <w:rFonts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注：供应商应按本表“列”的内容要求逐项认真填报，可根据需要自行增减表格行数。</w:t>
      </w:r>
      <w:r>
        <w:rPr>
          <w:rFonts w:hint="eastAsia" w:ascii="宋体" w:hAnsi="宋体" w:cs="宋体"/>
          <w:b w:val="0"/>
          <w:bCs w:val="0"/>
          <w:color w:val="auto"/>
          <w:kern w:val="0"/>
          <w:sz w:val="24"/>
          <w:szCs w:val="24"/>
          <w:highlight w:val="none"/>
        </w:rPr>
        <w:t>因技术参数内容较多，此表只填有偏离的，</w:t>
      </w:r>
      <w:r>
        <w:rPr>
          <w:rFonts w:hint="eastAsia" w:ascii="宋体" w:hAnsi="宋体" w:cs="宋体"/>
          <w:b w:val="0"/>
          <w:bCs w:val="0"/>
          <w:color w:val="auto"/>
          <w:kern w:val="0"/>
          <w:sz w:val="24"/>
          <w:szCs w:val="24"/>
          <w:highlight w:val="none"/>
          <w:lang w:val="zh-CN"/>
        </w:rPr>
        <w:t>无偏离此表可不填列内容</w:t>
      </w:r>
      <w:r>
        <w:rPr>
          <w:rFonts w:hint="eastAsia" w:ascii="宋体" w:hAnsi="宋体" w:cs="宋体"/>
          <w:b w:val="0"/>
          <w:bCs w:val="0"/>
          <w:color w:val="auto"/>
          <w:kern w:val="0"/>
          <w:sz w:val="24"/>
          <w:szCs w:val="24"/>
          <w:highlight w:val="none"/>
        </w:rPr>
        <w:t>。</w:t>
      </w:r>
    </w:p>
    <w:p w14:paraId="1C520575">
      <w:pPr>
        <w:pStyle w:val="7"/>
        <w:numPr>
          <w:ilvl w:val="1"/>
          <w:numId w:val="0"/>
        </w:numPr>
        <w:tabs>
          <w:tab w:val="left" w:pos="425"/>
        </w:tabs>
        <w:spacing w:line="480" w:lineRule="exact"/>
        <w:ind w:left="1800"/>
        <w:rPr>
          <w:rFonts w:ascii="宋体" w:hAnsi="宋体"/>
          <w:bCs/>
          <w:color w:val="auto"/>
          <w:sz w:val="28"/>
          <w:szCs w:val="28"/>
          <w:highlight w:val="none"/>
        </w:rPr>
      </w:pPr>
    </w:p>
    <w:p w14:paraId="0DBC4367">
      <w:pPr>
        <w:pStyle w:val="7"/>
        <w:numPr>
          <w:ilvl w:val="1"/>
          <w:numId w:val="0"/>
        </w:numPr>
        <w:tabs>
          <w:tab w:val="left" w:pos="425"/>
        </w:tabs>
        <w:spacing w:line="480" w:lineRule="exact"/>
        <w:ind w:left="1800"/>
        <w:rPr>
          <w:rFonts w:ascii="宋体" w:hAnsi="宋体"/>
          <w:bCs/>
          <w:color w:val="auto"/>
          <w:sz w:val="28"/>
          <w:szCs w:val="28"/>
          <w:highlight w:val="none"/>
        </w:rPr>
      </w:pPr>
    </w:p>
    <w:p w14:paraId="14DB31AC">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47985649">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7A94D26A">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0E65060">
      <w:pPr>
        <w:pStyle w:val="5"/>
        <w:rPr>
          <w:rFonts w:hint="eastAsia" w:ascii="宋体" w:hAnsi="宋体" w:eastAsia="宋体"/>
          <w:color w:val="auto"/>
          <w:sz w:val="24"/>
          <w:szCs w:val="24"/>
          <w:highlight w:val="none"/>
        </w:rPr>
      </w:pPr>
    </w:p>
    <w:p w14:paraId="664650C6">
      <w:pPr>
        <w:pStyle w:val="40"/>
        <w:rPr>
          <w:rFonts w:hint="eastAsia" w:ascii="宋体" w:hAnsi="宋体" w:eastAsia="宋体"/>
          <w:color w:val="auto"/>
          <w:sz w:val="24"/>
          <w:szCs w:val="24"/>
          <w:highlight w:val="none"/>
        </w:rPr>
      </w:pPr>
    </w:p>
    <w:p w14:paraId="32B16DA7">
      <w:pPr>
        <w:rPr>
          <w:rFonts w:hint="eastAsia" w:ascii="宋体" w:hAnsi="宋体" w:eastAsia="宋体"/>
          <w:color w:val="auto"/>
          <w:sz w:val="24"/>
          <w:szCs w:val="24"/>
          <w:highlight w:val="none"/>
        </w:rPr>
      </w:pPr>
    </w:p>
    <w:p w14:paraId="72B6374F">
      <w:pPr>
        <w:pStyle w:val="5"/>
        <w:rPr>
          <w:rFonts w:hint="eastAsia" w:ascii="宋体" w:hAnsi="宋体" w:eastAsia="宋体"/>
          <w:color w:val="auto"/>
          <w:sz w:val="24"/>
          <w:szCs w:val="24"/>
          <w:highlight w:val="none"/>
        </w:rPr>
      </w:pPr>
    </w:p>
    <w:p w14:paraId="1FB6959B">
      <w:pPr>
        <w:pStyle w:val="40"/>
        <w:rPr>
          <w:ins w:id="7" w:author="心平气和" w:date="2025-10-28T19:26:47Z"/>
          <w:rFonts w:hint="eastAsia"/>
        </w:rPr>
      </w:pPr>
    </w:p>
    <w:p w14:paraId="1C133142">
      <w:pPr>
        <w:rPr>
          <w:rFonts w:hint="eastAsia"/>
        </w:rPr>
      </w:pPr>
    </w:p>
    <w:p w14:paraId="1C8369DB">
      <w:pPr>
        <w:pStyle w:val="7"/>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四、法定代表人身份证明及授权委托书</w:t>
      </w:r>
      <w:bookmarkEnd w:id="247"/>
      <w:bookmarkEnd w:id="248"/>
      <w:bookmarkEnd w:id="249"/>
      <w:bookmarkEnd w:id="250"/>
      <w:bookmarkEnd w:id="251"/>
      <w:bookmarkEnd w:id="252"/>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253" w:name="_Toc5843"/>
      <w:bookmarkStart w:id="254" w:name="_Toc5955"/>
      <w:bookmarkStart w:id="255" w:name="_Toc28381"/>
      <w:r>
        <w:rPr>
          <w:rFonts w:hint="eastAsia" w:ascii="宋体" w:hAnsi="宋体" w:eastAsia="宋体"/>
          <w:b/>
          <w:bCs/>
          <w:color w:val="auto"/>
          <w:sz w:val="28"/>
          <w:szCs w:val="28"/>
          <w:highlight w:val="none"/>
        </w:rPr>
        <w:t>（一）法定代表人身份证明</w:t>
      </w:r>
      <w:bookmarkEnd w:id="253"/>
      <w:bookmarkEnd w:id="254"/>
      <w:bookmarkEnd w:id="255"/>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供应商名称：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5F5C3EC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单位性质：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858B8E4">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 xml:space="preserve">                                   </w:t>
      </w:r>
    </w:p>
    <w:p w14:paraId="0B03FB86">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成立时间：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ED1F4A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经营期限：</w:t>
      </w:r>
      <w:r>
        <w:rPr>
          <w:rFonts w:hint="eastAsia" w:ascii="宋体" w:hAnsi="宋体" w:eastAsia="宋体"/>
          <w:color w:val="auto"/>
          <w:sz w:val="24"/>
          <w:szCs w:val="24"/>
          <w:highlight w:val="none"/>
          <w:u w:val="single"/>
        </w:rPr>
        <w:t xml:space="preserve">                               </w:t>
      </w:r>
    </w:p>
    <w:p w14:paraId="659F9C15">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姓名：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性别：</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职务：</w:t>
      </w:r>
      <w:r>
        <w:rPr>
          <w:rFonts w:hint="eastAsia" w:ascii="宋体" w:hAnsi="宋体" w:eastAsia="宋体"/>
          <w:color w:val="auto"/>
          <w:sz w:val="24"/>
          <w:szCs w:val="24"/>
          <w:highlight w:val="none"/>
          <w:u w:val="single"/>
        </w:rPr>
        <w:t xml:space="preserve">        </w:t>
      </w:r>
    </w:p>
    <w:p w14:paraId="2A12191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w:t>
      </w:r>
    </w:p>
    <w:p w14:paraId="0368EF8A">
      <w:pPr>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特此证明。</w:t>
      </w:r>
    </w:p>
    <w:p w14:paraId="61E3BFBA">
      <w:pPr>
        <w:widowControl/>
        <w:wordWrap/>
        <w:adjustRightInd w:val="0"/>
        <w:snapToGrid w:val="0"/>
        <w:spacing w:after="0" w:afterLines="0" w:line="480" w:lineRule="exact"/>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w:t>
      </w:r>
      <w:r>
        <w:rPr>
          <w:rFonts w:hint="eastAsia" w:ascii="宋体" w:hAnsi="宋体" w:eastAsia="宋体"/>
          <w:color w:val="auto"/>
          <w:sz w:val="24"/>
          <w:szCs w:val="24"/>
          <w:highlight w:val="none"/>
          <w:lang w:val="en-US" w:eastAsia="zh-CN"/>
        </w:rPr>
        <w:t>法定代表人</w:t>
      </w:r>
      <w:r>
        <w:rPr>
          <w:rFonts w:hint="eastAsia" w:ascii="宋体" w:hAnsi="宋体" w:eastAsia="宋体"/>
          <w:color w:val="auto"/>
          <w:sz w:val="24"/>
          <w:szCs w:val="24"/>
          <w:highlight w:val="none"/>
        </w:rPr>
        <w:t>身份证复印件</w:t>
      </w:r>
    </w:p>
    <w:p w14:paraId="13358B9A">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11A43DC8">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88D75D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9608AAE">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8CBE47">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3BD74D1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15970B3C">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256" w:name="_Toc22161"/>
      <w:bookmarkStart w:id="257" w:name="_Toc12633"/>
      <w:bookmarkStart w:id="258" w:name="_Toc29611"/>
    </w:p>
    <w:bookmarkEnd w:id="256"/>
    <w:bookmarkEnd w:id="257"/>
    <w:bookmarkEnd w:id="258"/>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2D3F487F">
      <w:pPr>
        <w:spacing w:line="360" w:lineRule="auto"/>
        <w:jc w:val="center"/>
        <w:outlineLvl w:val="1"/>
        <w:rPr>
          <w:ins w:id="8" w:author="心平气和" w:date="2025-10-28T19:26:49Z"/>
          <w:rFonts w:hint="eastAsia" w:ascii="宋体" w:hAnsi="宋体" w:eastAsia="宋体"/>
          <w:b/>
          <w:bCs/>
          <w:color w:val="auto"/>
          <w:sz w:val="28"/>
          <w:szCs w:val="28"/>
          <w:highlight w:val="none"/>
        </w:rPr>
      </w:pPr>
    </w:p>
    <w:p w14:paraId="1FC8FB27">
      <w:pPr>
        <w:pStyle w:val="2"/>
        <w:rPr>
          <w:rFonts w:hint="eastAsia"/>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4"/>
          <w:szCs w:val="24"/>
          <w:highlight w:val="none"/>
        </w:rPr>
      </w:pPr>
    </w:p>
    <w:p w14:paraId="0899ED6E">
      <w:pPr>
        <w:pStyle w:val="5"/>
        <w:rPr>
          <w:rFonts w:ascii="宋体" w:hAnsi="宋体" w:eastAsia="宋体"/>
          <w:color w:val="auto"/>
          <w:sz w:val="24"/>
          <w:szCs w:val="24"/>
          <w:highlight w:val="none"/>
        </w:rPr>
      </w:pPr>
    </w:p>
    <w:p w14:paraId="00BE79E2">
      <w:pPr>
        <w:pStyle w:val="2"/>
      </w:pPr>
    </w:p>
    <w:p w14:paraId="26F85D69">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FE8EE96">
      <w:pPr>
        <w:pStyle w:val="7"/>
        <w:numPr>
          <w:ilvl w:val="1"/>
          <w:numId w:val="0"/>
        </w:numPr>
        <w:tabs>
          <w:tab w:val="left" w:pos="425"/>
        </w:tabs>
        <w:spacing w:line="480" w:lineRule="exact"/>
        <w:jc w:val="both"/>
        <w:rPr>
          <w:rFonts w:ascii="宋体" w:hAnsi="宋体"/>
          <w:bCs/>
          <w:color w:val="auto"/>
          <w:sz w:val="28"/>
          <w:szCs w:val="28"/>
          <w:highlight w:val="none"/>
        </w:rPr>
      </w:pPr>
      <w:bookmarkStart w:id="259" w:name="_Toc402538863"/>
      <w:bookmarkStart w:id="260" w:name="_Toc330365284"/>
      <w:bookmarkStart w:id="261" w:name="_Toc402538244"/>
      <w:bookmarkStart w:id="262" w:name="_Toc301970919"/>
      <w:bookmarkStart w:id="263" w:name="_Toc440880274"/>
      <w:bookmarkStart w:id="264" w:name="_Toc402538050"/>
      <w:bookmarkStart w:id="265" w:name="_Toc440880275"/>
      <w:bookmarkStart w:id="266" w:name="_Toc380136448"/>
    </w:p>
    <w:bookmarkEnd w:id="259"/>
    <w:bookmarkEnd w:id="260"/>
    <w:bookmarkEnd w:id="261"/>
    <w:bookmarkEnd w:id="262"/>
    <w:bookmarkEnd w:id="263"/>
    <w:bookmarkEnd w:id="264"/>
    <w:p w14:paraId="49E52F08">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color w:val="000000"/>
          <w:kern w:val="0"/>
          <w:sz w:val="24"/>
          <w:szCs w:val="24"/>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1400C3A9">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9A5FDA9">
      <w:pPr>
        <w:spacing w:line="360" w:lineRule="auto"/>
        <w:rPr>
          <w:ins w:id="9" w:author="心平气和" w:date="2025-10-28T19:26:52Z"/>
          <w:rFonts w:ascii="宋体" w:hAnsi="宋体" w:eastAsia="宋体"/>
          <w:color w:val="auto"/>
          <w:sz w:val="21"/>
          <w:szCs w:val="21"/>
          <w:highlight w:val="none"/>
        </w:rPr>
      </w:pPr>
    </w:p>
    <w:p w14:paraId="25297472">
      <w:pPr>
        <w:pStyle w:val="2"/>
      </w:pPr>
      <w:bookmarkStart w:id="282" w:name="_GoBack"/>
      <w:bookmarkEnd w:id="282"/>
    </w:p>
    <w:p w14:paraId="37E02C45">
      <w:pPr>
        <w:pStyle w:val="7"/>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五、投标</w:t>
      </w:r>
      <w:r>
        <w:rPr>
          <w:rFonts w:hint="eastAsia" w:ascii="宋体" w:hAnsi="宋体"/>
          <w:bCs/>
          <w:color w:val="auto"/>
          <w:sz w:val="28"/>
          <w:szCs w:val="28"/>
          <w:highlight w:val="none"/>
        </w:rPr>
        <w:t>承诺函</w:t>
      </w:r>
    </w:p>
    <w:p w14:paraId="3419599C">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5678D772">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u w:val="single"/>
          <w:lang w:val="en-US" w:eastAsia="zh-CN"/>
        </w:rPr>
        <w:t>及标段</w:t>
      </w:r>
      <w:r>
        <w:rPr>
          <w:rFonts w:hint="eastAsia" w:ascii="宋体" w:hAnsi="宋体" w:eastAsia="宋体" w:cs="宋体"/>
          <w:color w:val="000000"/>
          <w:sz w:val="24"/>
          <w:szCs w:val="24"/>
          <w:highlight w:val="none"/>
          <w:u w:val="single"/>
        </w:rPr>
        <w:t>）（项目编号）</w:t>
      </w:r>
      <w:r>
        <w:rPr>
          <w:rFonts w:hint="eastAsia" w:ascii="宋体" w:hAnsi="宋体" w:eastAsia="宋体" w:cs="宋体"/>
          <w:color w:val="000000"/>
          <w:kern w:val="2"/>
          <w:sz w:val="24"/>
          <w:szCs w:val="24"/>
          <w:highlight w:val="none"/>
        </w:rPr>
        <w:t>的</w:t>
      </w:r>
      <w:r>
        <w:rPr>
          <w:rFonts w:hint="eastAsia" w:ascii="宋体" w:hAnsi="宋体" w:eastAsia="宋体" w:cs="宋体"/>
          <w:color w:val="000000"/>
          <w:kern w:val="2"/>
          <w:sz w:val="24"/>
          <w:szCs w:val="24"/>
          <w:highlight w:val="none"/>
          <w:lang w:val="en-US" w:eastAsia="zh-CN"/>
        </w:rPr>
        <w:t>招标</w:t>
      </w:r>
      <w:r>
        <w:rPr>
          <w:rFonts w:hint="eastAsia" w:ascii="宋体" w:hAnsi="宋体" w:eastAsia="宋体" w:cs="宋体"/>
          <w:color w:val="000000"/>
          <w:kern w:val="2"/>
          <w:sz w:val="24"/>
          <w:szCs w:val="24"/>
          <w:highlight w:val="none"/>
        </w:rPr>
        <w:t>文件，愿意遵照本项目《</w:t>
      </w:r>
      <w:r>
        <w:rPr>
          <w:rFonts w:hint="eastAsia" w:ascii="宋体" w:hAnsi="宋体" w:eastAsia="宋体" w:cs="宋体"/>
          <w:color w:val="000000"/>
          <w:kern w:val="2"/>
          <w:sz w:val="24"/>
          <w:szCs w:val="24"/>
          <w:highlight w:val="none"/>
          <w:lang w:val="en-US" w:eastAsia="zh-CN"/>
        </w:rPr>
        <w:t>招标文件</w:t>
      </w:r>
      <w:r>
        <w:rPr>
          <w:rFonts w:hint="eastAsia" w:ascii="宋体" w:hAnsi="宋体" w:eastAsia="宋体" w:cs="宋体"/>
          <w:color w:val="000000"/>
          <w:kern w:val="2"/>
          <w:sz w:val="24"/>
          <w:szCs w:val="24"/>
          <w:highlight w:val="none"/>
        </w:rPr>
        <w:t>》、《中华人民共和国政府采购法》等有关规定参与</w:t>
      </w:r>
      <w:r>
        <w:rPr>
          <w:rFonts w:hint="eastAsia" w:ascii="宋体" w:hAnsi="宋体" w:eastAsia="宋体" w:cs="宋体"/>
          <w:color w:val="000000"/>
          <w:kern w:val="2"/>
          <w:sz w:val="24"/>
          <w:szCs w:val="24"/>
          <w:highlight w:val="none"/>
          <w:lang w:val="en-US" w:eastAsia="zh-CN"/>
        </w:rPr>
        <w:t>投标</w:t>
      </w:r>
      <w:r>
        <w:rPr>
          <w:rFonts w:hint="eastAsia" w:ascii="宋体" w:hAnsi="宋体" w:eastAsia="宋体" w:cs="宋体"/>
          <w:color w:val="000000"/>
          <w:kern w:val="2"/>
          <w:sz w:val="24"/>
          <w:szCs w:val="24"/>
          <w:highlight w:val="none"/>
        </w:rPr>
        <w:t>，并承诺如下：</w:t>
      </w:r>
    </w:p>
    <w:p w14:paraId="6216D53F">
      <w:pPr>
        <w:spacing w:line="56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98D628E">
      <w:pPr>
        <w:spacing w:line="560" w:lineRule="exact"/>
        <w:ind w:firstLine="480" w:firstLineChars="200"/>
        <w:rPr>
          <w:rFonts w:ascii="宋体" w:hAnsi="宋体" w:cs="宋体"/>
          <w:sz w:val="24"/>
        </w:rPr>
      </w:pPr>
      <w:r>
        <w:rPr>
          <w:rFonts w:hint="eastAsia" w:ascii="宋体" w:hAnsi="宋体" w:cs="宋体"/>
          <w:sz w:val="24"/>
        </w:rPr>
        <w:t>（一）具有独立承担民事责任的能力；</w:t>
      </w:r>
    </w:p>
    <w:p w14:paraId="20D1DC25">
      <w:pPr>
        <w:spacing w:line="56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46B1B7A9">
      <w:pPr>
        <w:spacing w:line="56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6EE69839">
      <w:pPr>
        <w:spacing w:line="56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3BB3C13E">
      <w:pPr>
        <w:spacing w:line="56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7CF293BC">
      <w:pPr>
        <w:spacing w:line="560" w:lineRule="exact"/>
        <w:ind w:firstLine="480" w:firstLineChars="200"/>
        <w:rPr>
          <w:rFonts w:ascii="宋体" w:hAnsi="宋体" w:cs="宋体"/>
          <w:sz w:val="24"/>
        </w:rPr>
      </w:pPr>
      <w:r>
        <w:rPr>
          <w:rFonts w:hint="eastAsia" w:ascii="宋体" w:hAnsi="宋体" w:cs="宋体"/>
          <w:sz w:val="24"/>
        </w:rPr>
        <w:t>（六）法律、行政法规规定的其他条件；</w:t>
      </w:r>
    </w:p>
    <w:p w14:paraId="38F002F3">
      <w:pPr>
        <w:spacing w:line="560" w:lineRule="exact"/>
        <w:ind w:firstLine="480" w:firstLineChars="200"/>
        <w:rPr>
          <w:rFonts w:ascii="宋体" w:hAnsi="宋体" w:cs="宋体"/>
          <w:sz w:val="24"/>
        </w:rPr>
      </w:pPr>
      <w:r>
        <w:rPr>
          <w:rFonts w:hint="eastAsia" w:ascii="宋体" w:hAnsi="宋体" w:cs="宋体"/>
          <w:sz w:val="24"/>
        </w:rPr>
        <w:t>（七）根据采购项目提出的特殊条件。</w:t>
      </w:r>
    </w:p>
    <w:p w14:paraId="61A13671">
      <w:pPr>
        <w:spacing w:line="560" w:lineRule="exac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E404A57">
      <w:pPr>
        <w:spacing w:line="56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208A2087">
      <w:pPr>
        <w:spacing w:line="56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4AE79FCE">
      <w:pPr>
        <w:spacing w:line="56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234EDAA5">
      <w:pPr>
        <w:spacing w:line="560" w:lineRule="exact"/>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23EBEA3D">
      <w:pPr>
        <w:spacing w:line="56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77CF52C1">
      <w:pPr>
        <w:spacing w:line="560" w:lineRule="exac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344C733B">
      <w:pPr>
        <w:spacing w:line="56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406F12FD">
      <w:pPr>
        <w:spacing w:line="560" w:lineRule="exact"/>
        <w:ind w:firstLine="480" w:firstLineChars="200"/>
        <w:rPr>
          <w:rFonts w:ascii="宋体" w:hAnsi="宋体" w:cs="宋体"/>
          <w:sz w:val="24"/>
        </w:rPr>
      </w:pPr>
      <w:r>
        <w:rPr>
          <w:rFonts w:hint="eastAsia" w:ascii="宋体" w:hAnsi="宋体" w:cs="宋体"/>
          <w:sz w:val="24"/>
        </w:rPr>
        <w:t>（一）投标有效期内撤销投标文件的；</w:t>
      </w:r>
    </w:p>
    <w:p w14:paraId="578DA3E1">
      <w:pPr>
        <w:spacing w:line="56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10C8CB98">
      <w:pPr>
        <w:spacing w:line="560" w:lineRule="exac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1EECA8EE">
      <w:pPr>
        <w:spacing w:line="560" w:lineRule="exact"/>
        <w:ind w:firstLine="480" w:firstLineChars="200"/>
        <w:rPr>
          <w:rFonts w:ascii="宋体" w:hAnsi="宋体" w:cs="宋体"/>
          <w:sz w:val="24"/>
        </w:rPr>
      </w:pPr>
      <w:r>
        <w:rPr>
          <w:rFonts w:hint="eastAsia" w:ascii="宋体" w:hAnsi="宋体" w:cs="宋体"/>
          <w:sz w:val="24"/>
        </w:rPr>
        <w:t>（四）在投标文件中提供虚假材料谋取中标；</w:t>
      </w:r>
    </w:p>
    <w:p w14:paraId="70545F85">
      <w:pPr>
        <w:spacing w:line="560" w:lineRule="exact"/>
        <w:ind w:firstLine="480" w:firstLineChars="200"/>
        <w:rPr>
          <w:rFonts w:ascii="宋体" w:hAnsi="宋体" w:cs="宋体"/>
          <w:sz w:val="24"/>
        </w:rPr>
      </w:pPr>
      <w:r>
        <w:rPr>
          <w:rFonts w:hint="eastAsia" w:ascii="宋体" w:hAnsi="宋体" w:cs="宋体"/>
          <w:sz w:val="24"/>
        </w:rPr>
        <w:t>（五）与采购人、其他供应商或者采购代理机构恶意串通的；</w:t>
      </w:r>
    </w:p>
    <w:p w14:paraId="43A399DD">
      <w:pPr>
        <w:spacing w:line="560" w:lineRule="exact"/>
        <w:ind w:firstLine="480" w:firstLineChars="200"/>
        <w:rPr>
          <w:rFonts w:ascii="宋体" w:hAnsi="宋体" w:cs="宋体"/>
          <w:sz w:val="24"/>
        </w:rPr>
      </w:pPr>
      <w:r>
        <w:rPr>
          <w:rFonts w:hint="eastAsia" w:ascii="宋体" w:hAnsi="宋体" w:cs="宋体"/>
          <w:sz w:val="24"/>
        </w:rPr>
        <w:t>（六）投标有效期内，供应商在政府采购活动中有违法、违规、违纪行为。</w:t>
      </w:r>
    </w:p>
    <w:p w14:paraId="3F48B0AC">
      <w:pPr>
        <w:spacing w:line="56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6721CDC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04AD8148">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774A55A9">
      <w:pPr>
        <w:pStyle w:val="5"/>
        <w:rPr>
          <w:rFonts w:hint="eastAsia" w:ascii="宋体" w:hAnsi="宋体" w:eastAsia="宋体" w:cs="宋体"/>
          <w:color w:val="000000"/>
          <w:sz w:val="24"/>
          <w:szCs w:val="24"/>
          <w:highlight w:val="none"/>
        </w:rPr>
      </w:pPr>
    </w:p>
    <w:p w14:paraId="5CC227FD">
      <w:pPr>
        <w:pStyle w:val="2"/>
        <w:rPr>
          <w:rFonts w:hint="eastAsia"/>
        </w:rPr>
      </w:pPr>
    </w:p>
    <w:p w14:paraId="5C5D1A62">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E2DFD0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2D4FA3C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37E9FF74">
      <w:pPr>
        <w:pStyle w:val="7"/>
        <w:numPr>
          <w:ilvl w:val="1"/>
          <w:numId w:val="0"/>
        </w:numPr>
        <w:tabs>
          <w:tab w:val="left" w:pos="425"/>
        </w:tabs>
        <w:spacing w:line="480" w:lineRule="exact"/>
        <w:rPr>
          <w:rFonts w:ascii="宋体" w:hAnsi="宋体"/>
          <w:bCs/>
          <w:color w:val="auto"/>
          <w:sz w:val="28"/>
          <w:szCs w:val="28"/>
          <w:highlight w:val="none"/>
        </w:rPr>
      </w:pPr>
    </w:p>
    <w:p w14:paraId="434E5A5E">
      <w:pPr>
        <w:pStyle w:val="8"/>
        <w:rPr>
          <w:rFonts w:ascii="宋体" w:hAnsi="宋体"/>
          <w:bCs/>
          <w:color w:val="auto"/>
          <w:sz w:val="28"/>
          <w:szCs w:val="28"/>
          <w:highlight w:val="none"/>
        </w:rPr>
      </w:pPr>
    </w:p>
    <w:p w14:paraId="0BB164FE">
      <w:pPr>
        <w:pStyle w:val="8"/>
        <w:rPr>
          <w:rFonts w:ascii="宋体" w:hAnsi="宋体"/>
          <w:bCs/>
          <w:color w:val="auto"/>
          <w:sz w:val="28"/>
          <w:szCs w:val="28"/>
          <w:highlight w:val="none"/>
        </w:rPr>
      </w:pPr>
    </w:p>
    <w:p w14:paraId="7DC7AE2C">
      <w:pPr>
        <w:pStyle w:val="8"/>
        <w:rPr>
          <w:rFonts w:ascii="宋体" w:hAnsi="宋体"/>
          <w:bCs/>
          <w:color w:val="auto"/>
          <w:sz w:val="28"/>
          <w:szCs w:val="28"/>
          <w:highlight w:val="none"/>
        </w:rPr>
      </w:pPr>
    </w:p>
    <w:p w14:paraId="1CBF9FC3">
      <w:pPr>
        <w:pStyle w:val="8"/>
        <w:rPr>
          <w:rFonts w:ascii="宋体" w:hAnsi="宋体"/>
          <w:bCs/>
          <w:color w:val="auto"/>
          <w:sz w:val="28"/>
          <w:szCs w:val="28"/>
          <w:highlight w:val="none"/>
        </w:rPr>
      </w:pPr>
    </w:p>
    <w:p w14:paraId="531FA1B7">
      <w:pPr>
        <w:pStyle w:val="8"/>
        <w:rPr>
          <w:rFonts w:ascii="宋体" w:hAnsi="宋体"/>
          <w:bCs/>
          <w:color w:val="auto"/>
          <w:sz w:val="28"/>
          <w:szCs w:val="28"/>
          <w:highlight w:val="none"/>
        </w:rPr>
      </w:pPr>
    </w:p>
    <w:p w14:paraId="07BE5D79">
      <w:pPr>
        <w:pStyle w:val="5"/>
        <w:numPr>
          <w:ilvl w:val="0"/>
          <w:numId w:val="8"/>
        </w:numPr>
        <w:ind w:left="0" w:leftChars="0" w:firstLine="0" w:firstLineChars="0"/>
        <w:jc w:val="center"/>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已标价的采购清单及参数</w:t>
      </w:r>
    </w:p>
    <w:p w14:paraId="743981ED">
      <w:pPr>
        <w:pStyle w:val="5"/>
        <w:rPr>
          <w:rFonts w:hint="eastAsia"/>
          <w:lang w:val="en-US" w:eastAsia="zh-CN"/>
        </w:rPr>
      </w:pPr>
    </w:p>
    <w:p w14:paraId="36408393">
      <w:pPr>
        <w:pStyle w:val="2"/>
        <w:rPr>
          <w:rFonts w:hint="eastAsia"/>
          <w:lang w:val="en-US" w:eastAsia="zh-CN"/>
        </w:rPr>
      </w:pPr>
    </w:p>
    <w:p w14:paraId="312BBE53">
      <w:pPr>
        <w:pStyle w:val="5"/>
        <w:rPr>
          <w:rFonts w:hint="eastAsia"/>
          <w:lang w:val="en-US" w:eastAsia="zh-CN"/>
        </w:rPr>
      </w:pPr>
    </w:p>
    <w:p w14:paraId="4DC09824">
      <w:pPr>
        <w:pStyle w:val="2"/>
        <w:rPr>
          <w:rFonts w:hint="eastAsia"/>
          <w:lang w:val="en-US" w:eastAsia="zh-CN"/>
        </w:rPr>
      </w:pPr>
    </w:p>
    <w:p w14:paraId="105801E5">
      <w:pPr>
        <w:pStyle w:val="5"/>
        <w:rPr>
          <w:rFonts w:hint="eastAsia"/>
          <w:lang w:val="en-US" w:eastAsia="zh-CN"/>
        </w:rPr>
      </w:pPr>
    </w:p>
    <w:p w14:paraId="26A4926B">
      <w:pPr>
        <w:pStyle w:val="2"/>
        <w:rPr>
          <w:rFonts w:hint="eastAsia"/>
          <w:lang w:val="en-US" w:eastAsia="zh-CN"/>
        </w:rPr>
      </w:pPr>
    </w:p>
    <w:p w14:paraId="05E434AD">
      <w:pPr>
        <w:pStyle w:val="5"/>
        <w:rPr>
          <w:rFonts w:hint="eastAsia"/>
          <w:lang w:val="en-US" w:eastAsia="zh-CN"/>
        </w:rPr>
      </w:pPr>
    </w:p>
    <w:p w14:paraId="79F93131">
      <w:pPr>
        <w:pStyle w:val="2"/>
        <w:rPr>
          <w:rFonts w:hint="eastAsia"/>
          <w:lang w:val="en-US" w:eastAsia="zh-CN"/>
        </w:rPr>
      </w:pPr>
    </w:p>
    <w:p w14:paraId="69504B1C">
      <w:pPr>
        <w:pStyle w:val="5"/>
        <w:rPr>
          <w:rFonts w:hint="eastAsia"/>
          <w:lang w:val="en-US" w:eastAsia="zh-CN"/>
        </w:rPr>
      </w:pPr>
    </w:p>
    <w:p w14:paraId="21C1CED6">
      <w:pPr>
        <w:pStyle w:val="2"/>
        <w:rPr>
          <w:rFonts w:hint="default"/>
          <w:lang w:val="en-US" w:eastAsia="zh-CN"/>
        </w:rPr>
      </w:pPr>
    </w:p>
    <w:p w14:paraId="2E9BF01B">
      <w:pPr>
        <w:pStyle w:val="5"/>
        <w:rPr>
          <w:rFonts w:hint="default"/>
          <w:lang w:val="en-US" w:eastAsia="zh-CN"/>
        </w:rPr>
      </w:pPr>
    </w:p>
    <w:p w14:paraId="6E0FBEEC">
      <w:pPr>
        <w:pStyle w:val="3"/>
        <w:rPr>
          <w:rFonts w:hint="default"/>
          <w:lang w:val="en-US" w:eastAsia="zh-CN"/>
        </w:rPr>
      </w:pPr>
    </w:p>
    <w:p w14:paraId="0B235775">
      <w:pPr>
        <w:pStyle w:val="4"/>
        <w:rPr>
          <w:rFonts w:hint="default"/>
          <w:lang w:val="en-US" w:eastAsia="zh-CN"/>
        </w:rPr>
      </w:pPr>
    </w:p>
    <w:p w14:paraId="20286D2C">
      <w:pPr>
        <w:pStyle w:val="4"/>
        <w:rPr>
          <w:rFonts w:hint="default"/>
          <w:lang w:val="en-US" w:eastAsia="zh-CN"/>
        </w:rPr>
      </w:pPr>
    </w:p>
    <w:p w14:paraId="6236083A">
      <w:pPr>
        <w:pStyle w:val="5"/>
        <w:rPr>
          <w:rFonts w:hint="default"/>
          <w:lang w:val="en-US" w:eastAsia="zh-CN"/>
        </w:rPr>
      </w:pPr>
    </w:p>
    <w:p w14:paraId="72C1F037">
      <w:pPr>
        <w:pStyle w:val="2"/>
        <w:rPr>
          <w:rFonts w:hint="default"/>
          <w:lang w:val="en-US" w:eastAsia="zh-CN"/>
        </w:rPr>
      </w:pPr>
    </w:p>
    <w:p w14:paraId="6CB7015A">
      <w:pPr>
        <w:pStyle w:val="5"/>
        <w:rPr>
          <w:rFonts w:hint="default"/>
          <w:lang w:val="en-US" w:eastAsia="zh-CN"/>
        </w:rPr>
      </w:pPr>
    </w:p>
    <w:p w14:paraId="71C718E1">
      <w:pPr>
        <w:pStyle w:val="2"/>
        <w:rPr>
          <w:rFonts w:hint="default"/>
          <w:lang w:val="en-US" w:eastAsia="zh-CN"/>
        </w:rPr>
      </w:pPr>
    </w:p>
    <w:p w14:paraId="53EA6720">
      <w:pPr>
        <w:pStyle w:val="5"/>
        <w:rPr>
          <w:rFonts w:hint="default"/>
          <w:lang w:val="en-US" w:eastAsia="zh-CN"/>
        </w:rPr>
      </w:pPr>
    </w:p>
    <w:p w14:paraId="4843057E">
      <w:pPr>
        <w:pStyle w:val="5"/>
        <w:rPr>
          <w:rFonts w:hint="default"/>
          <w:lang w:val="en-US" w:eastAsia="zh-CN"/>
        </w:rPr>
      </w:pPr>
    </w:p>
    <w:p w14:paraId="38AE92F4">
      <w:pPr>
        <w:pStyle w:val="5"/>
        <w:ind w:left="0" w:leftChars="0" w:firstLine="0" w:firstLineChars="0"/>
        <w:jc w:val="center"/>
        <w:rPr>
          <w:rFonts w:hint="default" w:eastAsia="Arial Unicode MS"/>
          <w:b/>
          <w:bCs w:val="0"/>
          <w:lang w:val="en-US" w:eastAsia="zh-CN"/>
        </w:rPr>
      </w:pPr>
      <w:r>
        <w:rPr>
          <w:rFonts w:hint="eastAsia" w:ascii="宋体" w:hAnsi="宋体"/>
          <w:b/>
          <w:bCs w:val="0"/>
          <w:color w:val="auto"/>
          <w:sz w:val="28"/>
          <w:szCs w:val="28"/>
          <w:highlight w:val="none"/>
          <w:lang w:val="en-US" w:eastAsia="zh-CN"/>
        </w:rPr>
        <w:t>七、项目实施方案</w:t>
      </w:r>
    </w:p>
    <w:bookmarkEnd w:id="265"/>
    <w:p w14:paraId="4EB64836">
      <w:pPr>
        <w:spacing w:line="360" w:lineRule="auto"/>
        <w:jc w:val="center"/>
        <w:outlineLvl w:val="0"/>
        <w:rPr>
          <w:rFonts w:hint="eastAsia" w:ascii="宋体" w:hAnsi="宋体"/>
          <w:b w:val="0"/>
          <w:bCs w:val="0"/>
          <w:color w:val="auto"/>
          <w:sz w:val="28"/>
          <w:szCs w:val="28"/>
          <w:highlight w:val="none"/>
          <w:lang w:val="en-US" w:eastAsia="zh-CN"/>
        </w:rPr>
      </w:pPr>
      <w:bookmarkStart w:id="267" w:name="_Toc19405"/>
      <w:bookmarkStart w:id="268" w:name="_Toc25619"/>
      <w:bookmarkStart w:id="269" w:name="_Toc282"/>
      <w:bookmarkStart w:id="270" w:name="_Toc10000"/>
      <w:bookmarkStart w:id="271" w:name="_Toc24704"/>
      <w:r>
        <w:rPr>
          <w:rFonts w:hint="eastAsia" w:ascii="宋体" w:hAnsi="宋体"/>
          <w:b w:val="0"/>
          <w:bCs w:val="0"/>
          <w:color w:val="auto"/>
          <w:sz w:val="28"/>
          <w:szCs w:val="28"/>
          <w:highlight w:val="none"/>
          <w:lang w:val="en-US" w:eastAsia="zh-CN"/>
        </w:rPr>
        <w:t>（格式自拟）</w:t>
      </w:r>
      <w:bookmarkEnd w:id="267"/>
    </w:p>
    <w:p w14:paraId="24F1B36C">
      <w:pPr>
        <w:pStyle w:val="5"/>
        <w:ind w:left="0" w:leftChars="0" w:firstLine="0" w:firstLineChars="0"/>
        <w:rPr>
          <w:rFonts w:hint="eastAsia" w:ascii="宋体" w:hAnsi="宋体"/>
          <w:b w:val="0"/>
          <w:bCs w:val="0"/>
          <w:color w:val="auto"/>
          <w:sz w:val="28"/>
          <w:szCs w:val="28"/>
          <w:highlight w:val="none"/>
          <w:lang w:val="en-US" w:eastAsia="zh-CN"/>
        </w:rPr>
      </w:pPr>
    </w:p>
    <w:p w14:paraId="49148D47">
      <w:pPr>
        <w:pStyle w:val="2"/>
        <w:rPr>
          <w:rFonts w:hint="eastAsia" w:ascii="宋体" w:hAnsi="宋体"/>
          <w:b w:val="0"/>
          <w:bCs w:val="0"/>
          <w:color w:val="auto"/>
          <w:sz w:val="28"/>
          <w:szCs w:val="28"/>
          <w:highlight w:val="none"/>
          <w:lang w:val="en-US" w:eastAsia="zh-CN"/>
        </w:rPr>
      </w:pPr>
    </w:p>
    <w:p w14:paraId="6F45FB38">
      <w:pPr>
        <w:pStyle w:val="5"/>
        <w:rPr>
          <w:rFonts w:hint="eastAsia" w:ascii="宋体" w:hAnsi="宋体"/>
          <w:b w:val="0"/>
          <w:bCs w:val="0"/>
          <w:color w:val="auto"/>
          <w:sz w:val="28"/>
          <w:szCs w:val="28"/>
          <w:highlight w:val="none"/>
          <w:lang w:val="en-US" w:eastAsia="zh-CN"/>
        </w:rPr>
      </w:pPr>
    </w:p>
    <w:p w14:paraId="1B19EE44">
      <w:pPr>
        <w:pStyle w:val="2"/>
        <w:rPr>
          <w:rFonts w:hint="eastAsia" w:ascii="宋体" w:hAnsi="宋体"/>
          <w:b w:val="0"/>
          <w:bCs w:val="0"/>
          <w:color w:val="auto"/>
          <w:sz w:val="28"/>
          <w:szCs w:val="28"/>
          <w:highlight w:val="none"/>
          <w:lang w:val="en-US" w:eastAsia="zh-CN"/>
        </w:rPr>
      </w:pPr>
    </w:p>
    <w:p w14:paraId="7F33670A">
      <w:pPr>
        <w:pStyle w:val="5"/>
        <w:rPr>
          <w:rFonts w:hint="eastAsia" w:ascii="宋体" w:hAnsi="宋体"/>
          <w:b w:val="0"/>
          <w:bCs w:val="0"/>
          <w:color w:val="auto"/>
          <w:sz w:val="28"/>
          <w:szCs w:val="28"/>
          <w:highlight w:val="none"/>
          <w:lang w:val="en-US" w:eastAsia="zh-CN"/>
        </w:rPr>
      </w:pPr>
    </w:p>
    <w:p w14:paraId="18B6CB25">
      <w:pPr>
        <w:pStyle w:val="2"/>
        <w:rPr>
          <w:rFonts w:hint="eastAsia" w:ascii="宋体" w:hAnsi="宋体"/>
          <w:b w:val="0"/>
          <w:bCs w:val="0"/>
          <w:color w:val="auto"/>
          <w:sz w:val="28"/>
          <w:szCs w:val="28"/>
          <w:highlight w:val="none"/>
          <w:lang w:val="en-US" w:eastAsia="zh-CN"/>
        </w:rPr>
      </w:pPr>
    </w:p>
    <w:p w14:paraId="3B2CE540">
      <w:pPr>
        <w:pStyle w:val="5"/>
        <w:rPr>
          <w:rFonts w:hint="eastAsia" w:ascii="宋体" w:hAnsi="宋体"/>
          <w:b w:val="0"/>
          <w:bCs w:val="0"/>
          <w:color w:val="auto"/>
          <w:sz w:val="28"/>
          <w:szCs w:val="28"/>
          <w:highlight w:val="none"/>
          <w:lang w:val="en-US" w:eastAsia="zh-CN"/>
        </w:rPr>
      </w:pPr>
    </w:p>
    <w:p w14:paraId="0417CBD5">
      <w:pPr>
        <w:pStyle w:val="2"/>
        <w:rPr>
          <w:rFonts w:hint="eastAsia" w:ascii="宋体" w:hAnsi="宋体"/>
          <w:b w:val="0"/>
          <w:bCs w:val="0"/>
          <w:color w:val="auto"/>
          <w:sz w:val="28"/>
          <w:szCs w:val="28"/>
          <w:highlight w:val="none"/>
          <w:lang w:val="en-US" w:eastAsia="zh-CN"/>
        </w:rPr>
      </w:pPr>
    </w:p>
    <w:p w14:paraId="185C73ED">
      <w:pPr>
        <w:pStyle w:val="5"/>
        <w:rPr>
          <w:rFonts w:hint="eastAsia" w:ascii="宋体" w:hAnsi="宋体"/>
          <w:b w:val="0"/>
          <w:bCs w:val="0"/>
          <w:color w:val="auto"/>
          <w:sz w:val="28"/>
          <w:szCs w:val="28"/>
          <w:highlight w:val="none"/>
          <w:lang w:val="en-US" w:eastAsia="zh-CN"/>
        </w:rPr>
      </w:pPr>
    </w:p>
    <w:p w14:paraId="3A83952A">
      <w:pPr>
        <w:pStyle w:val="2"/>
        <w:rPr>
          <w:rFonts w:hint="eastAsia" w:ascii="宋体" w:hAnsi="宋体"/>
          <w:b w:val="0"/>
          <w:bCs w:val="0"/>
          <w:color w:val="auto"/>
          <w:sz w:val="28"/>
          <w:szCs w:val="28"/>
          <w:highlight w:val="none"/>
          <w:lang w:val="en-US" w:eastAsia="zh-CN"/>
        </w:rPr>
      </w:pPr>
    </w:p>
    <w:p w14:paraId="38784B23">
      <w:pPr>
        <w:pStyle w:val="5"/>
        <w:rPr>
          <w:rFonts w:hint="eastAsia" w:ascii="宋体" w:hAnsi="宋体"/>
          <w:b w:val="0"/>
          <w:bCs w:val="0"/>
          <w:color w:val="auto"/>
          <w:sz w:val="28"/>
          <w:szCs w:val="28"/>
          <w:highlight w:val="none"/>
          <w:lang w:val="en-US" w:eastAsia="zh-CN"/>
        </w:rPr>
      </w:pPr>
    </w:p>
    <w:p w14:paraId="1282DECE">
      <w:pPr>
        <w:pStyle w:val="2"/>
        <w:rPr>
          <w:rFonts w:hint="eastAsia" w:ascii="宋体" w:hAnsi="宋体"/>
          <w:b w:val="0"/>
          <w:bCs w:val="0"/>
          <w:color w:val="auto"/>
          <w:sz w:val="28"/>
          <w:szCs w:val="28"/>
          <w:highlight w:val="none"/>
          <w:lang w:val="en-US" w:eastAsia="zh-CN"/>
        </w:rPr>
      </w:pPr>
    </w:p>
    <w:p w14:paraId="18A73387">
      <w:pPr>
        <w:pStyle w:val="5"/>
        <w:rPr>
          <w:rFonts w:hint="eastAsia" w:ascii="宋体" w:hAnsi="宋体"/>
          <w:b w:val="0"/>
          <w:bCs w:val="0"/>
          <w:color w:val="auto"/>
          <w:sz w:val="28"/>
          <w:szCs w:val="28"/>
          <w:highlight w:val="none"/>
          <w:lang w:val="en-US" w:eastAsia="zh-CN"/>
        </w:rPr>
      </w:pPr>
    </w:p>
    <w:p w14:paraId="23ACB1D1">
      <w:pPr>
        <w:pStyle w:val="2"/>
        <w:rPr>
          <w:rFonts w:hint="eastAsia" w:ascii="宋体" w:hAnsi="宋体"/>
          <w:b w:val="0"/>
          <w:bCs w:val="0"/>
          <w:color w:val="auto"/>
          <w:sz w:val="28"/>
          <w:szCs w:val="28"/>
          <w:highlight w:val="none"/>
          <w:lang w:val="en-US" w:eastAsia="zh-CN"/>
        </w:rPr>
      </w:pPr>
    </w:p>
    <w:p w14:paraId="436CF007">
      <w:pPr>
        <w:pStyle w:val="5"/>
        <w:rPr>
          <w:rFonts w:hint="eastAsia" w:ascii="宋体" w:hAnsi="宋体"/>
          <w:b w:val="0"/>
          <w:bCs w:val="0"/>
          <w:color w:val="auto"/>
          <w:sz w:val="28"/>
          <w:szCs w:val="28"/>
          <w:highlight w:val="none"/>
          <w:lang w:val="en-US" w:eastAsia="zh-CN"/>
        </w:rPr>
      </w:pPr>
    </w:p>
    <w:p w14:paraId="7B29AF6B">
      <w:pPr>
        <w:pStyle w:val="2"/>
      </w:pPr>
    </w:p>
    <w:p w14:paraId="428F3C23">
      <w:pPr>
        <w:pStyle w:val="7"/>
        <w:numPr>
          <w:ilvl w:val="0"/>
          <w:numId w:val="0"/>
        </w:numPr>
        <w:tabs>
          <w:tab w:val="left" w:pos="425"/>
        </w:tabs>
        <w:spacing w:line="480" w:lineRule="exact"/>
        <w:jc w:val="center"/>
        <w:rPr>
          <w:rFonts w:ascii="宋体" w:hAnsi="宋体"/>
          <w:color w:val="auto"/>
          <w:sz w:val="28"/>
          <w:szCs w:val="28"/>
          <w:highlight w:val="none"/>
        </w:rPr>
      </w:pPr>
      <w:r>
        <w:rPr>
          <w:rFonts w:hint="eastAsia" w:ascii="宋体" w:hAnsi="宋体"/>
          <w:color w:val="auto"/>
          <w:sz w:val="28"/>
          <w:szCs w:val="28"/>
          <w:highlight w:val="none"/>
          <w:lang w:val="en-US" w:eastAsia="zh-CN"/>
        </w:rPr>
        <w:t>八、</w:t>
      </w:r>
      <w:r>
        <w:rPr>
          <w:rFonts w:ascii="宋体" w:hAnsi="宋体"/>
          <w:color w:val="auto"/>
          <w:sz w:val="28"/>
          <w:szCs w:val="28"/>
          <w:highlight w:val="none"/>
        </w:rPr>
        <w:t>供应商基本情况表</w:t>
      </w:r>
    </w:p>
    <w:p w14:paraId="04C08A60">
      <w:pPr>
        <w:numPr>
          <w:ilvl w:val="0"/>
          <w:numId w:val="0"/>
        </w:numPr>
        <w:jc w:val="center"/>
        <w:rPr>
          <w:rFonts w:hint="default" w:eastAsiaTheme="minor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基本情况表</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1A5EF60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0754FB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7A0975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1CE627F">
      <w:pPr>
        <w:spacing w:line="360" w:lineRule="auto"/>
        <w:jc w:val="center"/>
        <w:outlineLvl w:val="0"/>
        <w:rPr>
          <w:rFonts w:ascii="宋体" w:hAnsi="宋体" w:eastAsia="宋体"/>
          <w:b/>
          <w:bCs/>
          <w:color w:val="auto"/>
          <w:sz w:val="21"/>
          <w:szCs w:val="21"/>
          <w:highlight w:val="none"/>
        </w:rPr>
      </w:pPr>
    </w:p>
    <w:p w14:paraId="6552465A">
      <w:pPr>
        <w:spacing w:line="360" w:lineRule="auto"/>
        <w:jc w:val="center"/>
        <w:outlineLvl w:val="0"/>
        <w:rPr>
          <w:rFonts w:ascii="宋体" w:hAnsi="宋体" w:eastAsia="宋体"/>
          <w:b/>
          <w:bCs/>
          <w:color w:val="auto"/>
          <w:sz w:val="21"/>
          <w:szCs w:val="21"/>
          <w:highlight w:val="none"/>
        </w:rPr>
      </w:pPr>
    </w:p>
    <w:bookmarkEnd w:id="268"/>
    <w:bookmarkEnd w:id="269"/>
    <w:bookmarkEnd w:id="270"/>
    <w:bookmarkEnd w:id="271"/>
    <w:p w14:paraId="53EA79E2">
      <w:pPr>
        <w:widowControl/>
        <w:numPr>
          <w:ilvl w:val="0"/>
          <w:numId w:val="9"/>
        </w:numPr>
        <w:spacing w:line="520" w:lineRule="atLeast"/>
        <w:jc w:val="center"/>
        <w:rPr>
          <w:rFonts w:hint="eastAsia" w:ascii="宋体" w:hAnsi="宋体"/>
          <w:b/>
          <w:bCs/>
          <w:color w:val="000000"/>
          <w:sz w:val="24"/>
          <w:szCs w:val="24"/>
          <w:highlight w:val="none"/>
        </w:rPr>
      </w:pPr>
      <w:bookmarkStart w:id="272" w:name="_Toc16636"/>
      <w:bookmarkStart w:id="273" w:name="_Toc4114"/>
      <w:bookmarkStart w:id="274" w:name="_Toc30810"/>
      <w:bookmarkStart w:id="275" w:name="_Toc12150"/>
      <w:r>
        <w:rPr>
          <w:rFonts w:hint="eastAsia" w:ascii="宋体" w:hAnsi="宋体"/>
          <w:b/>
          <w:bCs/>
          <w:color w:val="000000"/>
          <w:sz w:val="24"/>
          <w:szCs w:val="24"/>
          <w:highlight w:val="none"/>
        </w:rPr>
        <w:t>资格证明资料</w:t>
      </w:r>
    </w:p>
    <w:p w14:paraId="0494A402">
      <w:pPr>
        <w:pStyle w:val="5"/>
      </w:pPr>
    </w:p>
    <w:p w14:paraId="3F3C03B7">
      <w:pPr>
        <w:pStyle w:val="2"/>
      </w:pPr>
    </w:p>
    <w:p w14:paraId="25E1E171">
      <w:pPr>
        <w:pStyle w:val="5"/>
      </w:pPr>
    </w:p>
    <w:p w14:paraId="28010F33">
      <w:pPr>
        <w:pStyle w:val="2"/>
      </w:pPr>
    </w:p>
    <w:p w14:paraId="1986928D">
      <w:pPr>
        <w:pStyle w:val="5"/>
      </w:pPr>
    </w:p>
    <w:p w14:paraId="5E5E9A2C">
      <w:pPr>
        <w:pStyle w:val="2"/>
      </w:pPr>
    </w:p>
    <w:p w14:paraId="06EF34AB">
      <w:pPr>
        <w:pStyle w:val="5"/>
      </w:pPr>
    </w:p>
    <w:p w14:paraId="0CBD374D">
      <w:pPr>
        <w:pStyle w:val="2"/>
      </w:pPr>
    </w:p>
    <w:p w14:paraId="12FD9617">
      <w:pPr>
        <w:pStyle w:val="5"/>
      </w:pPr>
    </w:p>
    <w:p w14:paraId="512C1268">
      <w:pPr>
        <w:pStyle w:val="2"/>
      </w:pPr>
    </w:p>
    <w:p w14:paraId="783941D2">
      <w:pPr>
        <w:pStyle w:val="5"/>
      </w:pPr>
    </w:p>
    <w:p w14:paraId="717C02F3">
      <w:pPr>
        <w:pStyle w:val="3"/>
      </w:pPr>
    </w:p>
    <w:p w14:paraId="34DAF34C">
      <w:pPr>
        <w:pStyle w:val="4"/>
      </w:pPr>
    </w:p>
    <w:p w14:paraId="3C100DE8">
      <w:pPr>
        <w:pStyle w:val="4"/>
      </w:pPr>
    </w:p>
    <w:p w14:paraId="3B412E4F">
      <w:pPr>
        <w:pStyle w:val="4"/>
      </w:pPr>
    </w:p>
    <w:p w14:paraId="100974C7">
      <w:pPr>
        <w:pStyle w:val="2"/>
      </w:pPr>
    </w:p>
    <w:p w14:paraId="7AEDDB10">
      <w:pPr>
        <w:pStyle w:val="5"/>
      </w:pPr>
    </w:p>
    <w:p w14:paraId="3EFEBEE6">
      <w:pPr>
        <w:pStyle w:val="2"/>
      </w:pPr>
    </w:p>
    <w:p w14:paraId="1D92874B">
      <w:pPr>
        <w:pStyle w:val="5"/>
      </w:pPr>
    </w:p>
    <w:p w14:paraId="3718C293">
      <w:pPr>
        <w:pStyle w:val="2"/>
      </w:pPr>
    </w:p>
    <w:p w14:paraId="3E7BEC74">
      <w:pPr>
        <w:spacing w:line="360" w:lineRule="auto"/>
        <w:ind w:firstLine="562" w:firstLineChars="200"/>
        <w:jc w:val="center"/>
        <w:outlineLvl w:val="0"/>
        <w:rPr>
          <w:rFonts w:ascii="宋体" w:hAnsi="宋体" w:eastAsia="宋体"/>
          <w:b/>
          <w:bCs/>
          <w:color w:val="auto"/>
          <w:sz w:val="28"/>
          <w:szCs w:val="28"/>
          <w:highlight w:val="none"/>
        </w:rPr>
      </w:pPr>
      <w:bookmarkStart w:id="276" w:name="_Toc20094"/>
      <w:r>
        <w:rPr>
          <w:rFonts w:hint="eastAsia" w:ascii="宋体" w:hAnsi="宋体" w:eastAsia="宋体"/>
          <w:b/>
          <w:bCs/>
          <w:color w:val="auto"/>
          <w:sz w:val="28"/>
          <w:szCs w:val="28"/>
          <w:highlight w:val="none"/>
          <w:lang w:val="en-US" w:eastAsia="zh-CN"/>
        </w:rPr>
        <w:t>九</w:t>
      </w:r>
      <w:r>
        <w:rPr>
          <w:rFonts w:hint="eastAsia" w:ascii="宋体" w:hAnsi="宋体" w:eastAsia="宋体"/>
          <w:b/>
          <w:bCs/>
          <w:color w:val="auto"/>
          <w:sz w:val="28"/>
          <w:szCs w:val="28"/>
          <w:highlight w:val="none"/>
        </w:rPr>
        <w:t>、20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272"/>
      <w:bookmarkEnd w:id="273"/>
      <w:bookmarkEnd w:id="274"/>
      <w:bookmarkEnd w:id="275"/>
      <w:r>
        <w:rPr>
          <w:rFonts w:hint="eastAsia" w:ascii="宋体" w:hAnsi="宋体" w:eastAsia="宋体"/>
          <w:b/>
          <w:bCs/>
          <w:color w:val="auto"/>
          <w:sz w:val="28"/>
          <w:szCs w:val="28"/>
          <w:highlight w:val="none"/>
        </w:rPr>
        <w:t>（如有）</w:t>
      </w:r>
      <w:bookmarkEnd w:id="276"/>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07"/>
      </w:tblGrid>
      <w:tr w14:paraId="3D37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6E0B6A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项目名称</w:t>
            </w:r>
          </w:p>
        </w:tc>
        <w:tc>
          <w:tcPr>
            <w:tcW w:w="6007" w:type="dxa"/>
            <w:tcBorders>
              <w:top w:val="single" w:color="auto" w:sz="4" w:space="0"/>
              <w:left w:val="nil"/>
              <w:bottom w:val="single" w:color="auto" w:sz="4" w:space="0"/>
              <w:right w:val="single" w:color="auto" w:sz="4" w:space="0"/>
            </w:tcBorders>
            <w:noWrap w:val="0"/>
            <w:vAlign w:val="top"/>
          </w:tcPr>
          <w:p w14:paraId="6504A7A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253C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E00CAE6">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项目所在地</w:t>
            </w:r>
          </w:p>
        </w:tc>
        <w:tc>
          <w:tcPr>
            <w:tcW w:w="6007" w:type="dxa"/>
            <w:tcBorders>
              <w:top w:val="single" w:color="auto" w:sz="4" w:space="0"/>
              <w:left w:val="nil"/>
              <w:bottom w:val="single" w:color="auto" w:sz="4" w:space="0"/>
              <w:right w:val="single" w:color="auto" w:sz="4" w:space="0"/>
            </w:tcBorders>
            <w:noWrap w:val="0"/>
            <w:vAlign w:val="top"/>
          </w:tcPr>
          <w:p w14:paraId="4A617CBF">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B14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0F25222">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采购人名称</w:t>
            </w:r>
          </w:p>
        </w:tc>
        <w:tc>
          <w:tcPr>
            <w:tcW w:w="6007" w:type="dxa"/>
            <w:tcBorders>
              <w:top w:val="single" w:color="auto" w:sz="4" w:space="0"/>
              <w:left w:val="nil"/>
              <w:bottom w:val="single" w:color="auto" w:sz="4" w:space="0"/>
              <w:right w:val="single" w:color="auto" w:sz="4" w:space="0"/>
            </w:tcBorders>
            <w:noWrap w:val="0"/>
            <w:vAlign w:val="top"/>
          </w:tcPr>
          <w:p w14:paraId="306DD8A5">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319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CC87995">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采购人地址</w:t>
            </w:r>
          </w:p>
        </w:tc>
        <w:tc>
          <w:tcPr>
            <w:tcW w:w="6007" w:type="dxa"/>
            <w:tcBorders>
              <w:top w:val="single" w:color="auto" w:sz="4" w:space="0"/>
              <w:left w:val="nil"/>
              <w:bottom w:val="single" w:color="auto" w:sz="4" w:space="0"/>
              <w:right w:val="single" w:color="auto" w:sz="4" w:space="0"/>
            </w:tcBorders>
            <w:noWrap w:val="0"/>
            <w:vAlign w:val="top"/>
          </w:tcPr>
          <w:p w14:paraId="2EEC9E1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4BEF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3C41A647">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rPr>
              <w:t>采购人</w:t>
            </w:r>
            <w:r>
              <w:rPr>
                <w:rFonts w:hint="eastAsia" w:ascii="宋体" w:hAnsi="宋体" w:eastAsia="宋体" w:cs="Calibri"/>
                <w:color w:val="auto"/>
                <w:kern w:val="2"/>
                <w:sz w:val="24"/>
                <w:szCs w:val="24"/>
                <w:highlight w:val="none"/>
                <w:lang w:eastAsia="zh-CN"/>
              </w:rPr>
              <w:t>联系方式</w:t>
            </w:r>
          </w:p>
        </w:tc>
        <w:tc>
          <w:tcPr>
            <w:tcW w:w="6007" w:type="dxa"/>
            <w:tcBorders>
              <w:top w:val="single" w:color="auto" w:sz="4" w:space="0"/>
              <w:left w:val="nil"/>
              <w:bottom w:val="single" w:color="auto" w:sz="4" w:space="0"/>
              <w:right w:val="single" w:color="auto" w:sz="4" w:space="0"/>
            </w:tcBorders>
            <w:noWrap w:val="0"/>
            <w:vAlign w:val="top"/>
          </w:tcPr>
          <w:p w14:paraId="27F9A253">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09A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2980338">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合同价格</w:t>
            </w:r>
          </w:p>
        </w:tc>
        <w:tc>
          <w:tcPr>
            <w:tcW w:w="6007" w:type="dxa"/>
            <w:tcBorders>
              <w:top w:val="single" w:color="auto" w:sz="4" w:space="0"/>
              <w:left w:val="nil"/>
              <w:bottom w:val="single" w:color="auto" w:sz="4" w:space="0"/>
              <w:right w:val="single" w:color="auto" w:sz="4" w:space="0"/>
            </w:tcBorders>
            <w:noWrap w:val="0"/>
            <w:vAlign w:val="top"/>
          </w:tcPr>
          <w:p w14:paraId="004D8DC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61B2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7085B63">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供货期</w:t>
            </w:r>
          </w:p>
        </w:tc>
        <w:tc>
          <w:tcPr>
            <w:tcW w:w="6007" w:type="dxa"/>
            <w:tcBorders>
              <w:top w:val="single" w:color="auto" w:sz="4" w:space="0"/>
              <w:left w:val="nil"/>
              <w:bottom w:val="single" w:color="auto" w:sz="4" w:space="0"/>
              <w:right w:val="single" w:color="auto" w:sz="4" w:space="0"/>
            </w:tcBorders>
            <w:noWrap w:val="0"/>
            <w:vAlign w:val="center"/>
          </w:tcPr>
          <w:p w14:paraId="635CC809">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p>
        </w:tc>
      </w:tr>
      <w:tr w14:paraId="0CFD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68DDD10">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val="en-US" w:eastAsia="zh-CN"/>
              </w:rPr>
              <w:t>项目</w:t>
            </w:r>
            <w:r>
              <w:rPr>
                <w:rFonts w:hint="eastAsia" w:ascii="宋体" w:hAnsi="宋体" w:eastAsia="宋体" w:cs="Calibri"/>
                <w:color w:val="auto"/>
                <w:kern w:val="2"/>
                <w:sz w:val="24"/>
                <w:szCs w:val="24"/>
                <w:highlight w:val="none"/>
              </w:rPr>
              <w:t>内容</w:t>
            </w:r>
          </w:p>
        </w:tc>
        <w:tc>
          <w:tcPr>
            <w:tcW w:w="6007" w:type="dxa"/>
            <w:tcBorders>
              <w:top w:val="single" w:color="auto" w:sz="4" w:space="0"/>
              <w:left w:val="nil"/>
              <w:bottom w:val="single" w:color="auto" w:sz="4" w:space="0"/>
              <w:right w:val="single" w:color="auto" w:sz="4" w:space="0"/>
            </w:tcBorders>
            <w:noWrap w:val="0"/>
            <w:vAlign w:val="top"/>
          </w:tcPr>
          <w:p w14:paraId="3F41D382">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374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00BDD6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007" w:type="dxa"/>
            <w:tcBorders>
              <w:top w:val="single" w:color="auto" w:sz="4" w:space="0"/>
              <w:left w:val="nil"/>
              <w:bottom w:val="single" w:color="auto" w:sz="4" w:space="0"/>
              <w:right w:val="single" w:color="auto" w:sz="4" w:space="0"/>
            </w:tcBorders>
            <w:noWrap w:val="0"/>
            <w:vAlign w:val="top"/>
          </w:tcPr>
          <w:p w14:paraId="223D4B9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E99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4F2944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6007" w:type="dxa"/>
            <w:tcBorders>
              <w:top w:val="single" w:color="auto" w:sz="4" w:space="0"/>
              <w:left w:val="nil"/>
              <w:bottom w:val="single" w:color="auto" w:sz="4" w:space="0"/>
              <w:right w:val="single" w:color="auto" w:sz="4" w:space="0"/>
            </w:tcBorders>
            <w:noWrap w:val="0"/>
            <w:vAlign w:val="top"/>
          </w:tcPr>
          <w:p w14:paraId="6624445A">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bl>
    <w:p w14:paraId="3E807DC7">
      <w:pPr>
        <w:spacing w:line="360" w:lineRule="auto"/>
        <w:ind w:firstLine="105" w:firstLineChars="50"/>
        <w:rPr>
          <w:rFonts w:hint="eastAsia" w:ascii="宋体" w:hAnsi="宋体" w:eastAsia="宋体"/>
          <w:b/>
          <w:bCs/>
          <w:color w:val="auto"/>
          <w:sz w:val="21"/>
          <w:szCs w:val="21"/>
          <w:highlight w:val="none"/>
        </w:rPr>
      </w:pPr>
    </w:p>
    <w:p w14:paraId="72428EFF">
      <w:pPr>
        <w:spacing w:line="360" w:lineRule="auto"/>
        <w:ind w:firstLine="105" w:firstLineChars="5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val="en-US" w:eastAsia="zh-CN"/>
        </w:rPr>
        <w:t>或</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5360AC42">
      <w:pPr>
        <w:pStyle w:val="2"/>
        <w:ind w:left="0" w:leftChars="0" w:firstLine="0" w:firstLineChars="0"/>
        <w:rPr>
          <w:rFonts w:hint="eastAsia" w:ascii="宋体" w:hAnsi="宋体" w:eastAsia="宋体"/>
          <w:b/>
          <w:bCs/>
          <w:color w:val="auto"/>
          <w:sz w:val="21"/>
          <w:szCs w:val="21"/>
          <w:highlight w:val="none"/>
          <w:lang w:val="en-US" w:eastAsia="zh-CN"/>
        </w:rPr>
      </w:pPr>
    </w:p>
    <w:p w14:paraId="6FB8A1F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119442">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37A0D601">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6BAE5EE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57E1B8EB">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2F681884">
      <w:pPr>
        <w:spacing w:line="600" w:lineRule="exact"/>
        <w:rPr>
          <w:rFonts w:hint="eastAsia" w:ascii="宋体" w:hAnsi="宋体" w:eastAsia="宋体" w:cs="宋体"/>
          <w:color w:val="000000"/>
          <w:kern w:val="2"/>
          <w:sz w:val="24"/>
          <w:szCs w:val="24"/>
          <w:highlight w:val="none"/>
        </w:rPr>
      </w:pPr>
    </w:p>
    <w:p w14:paraId="06BCD03C">
      <w:pPr>
        <w:pStyle w:val="2"/>
        <w:rPr>
          <w:rFonts w:hint="default"/>
          <w:lang w:val="en-US" w:eastAsia="zh-CN"/>
        </w:rPr>
        <w:sectPr>
          <w:pgSz w:w="11905" w:h="16838"/>
          <w:pgMar w:top="1162" w:right="1372" w:bottom="1151" w:left="1361" w:header="720" w:footer="720" w:gutter="0"/>
          <w:pgNumType w:fmt="decimal"/>
          <w:cols w:space="720" w:num="1"/>
          <w:rtlGutter w:val="0"/>
          <w:docGrid w:type="lines" w:linePitch="312" w:charSpace="0"/>
        </w:sectPr>
      </w:pPr>
    </w:p>
    <w:p w14:paraId="3A72D511">
      <w:pPr>
        <w:spacing w:line="360" w:lineRule="auto"/>
        <w:jc w:val="center"/>
        <w:outlineLvl w:val="0"/>
        <w:rPr>
          <w:rFonts w:ascii="宋体" w:hAnsi="宋体" w:eastAsia="宋体"/>
          <w:b/>
          <w:bCs/>
          <w:color w:val="auto"/>
          <w:sz w:val="28"/>
          <w:szCs w:val="28"/>
          <w:highlight w:val="none"/>
        </w:rPr>
      </w:pPr>
      <w:bookmarkStart w:id="277" w:name="_Toc19707"/>
      <w:bookmarkStart w:id="278" w:name="_Toc7893"/>
      <w:bookmarkStart w:id="279" w:name="_Toc24449"/>
      <w:bookmarkStart w:id="280" w:name="_Toc6662"/>
      <w:bookmarkStart w:id="281" w:name="_Toc28318"/>
      <w:r>
        <w:rPr>
          <w:rFonts w:hint="eastAsia" w:ascii="宋体" w:hAnsi="宋体" w:eastAsia="宋体"/>
          <w:b/>
          <w:bCs/>
          <w:color w:val="auto"/>
          <w:sz w:val="28"/>
          <w:szCs w:val="28"/>
          <w:highlight w:val="none"/>
          <w:lang w:val="en-US" w:eastAsia="zh-CN"/>
        </w:rPr>
        <w:t>十</w:t>
      </w:r>
      <w:r>
        <w:rPr>
          <w:rFonts w:hint="eastAsia" w:ascii="宋体" w:hAnsi="宋体" w:eastAsia="宋体"/>
          <w:b/>
          <w:bCs/>
          <w:color w:val="auto"/>
          <w:sz w:val="28"/>
          <w:szCs w:val="28"/>
          <w:highlight w:val="none"/>
        </w:rPr>
        <w:t>、其他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277"/>
      <w:bookmarkEnd w:id="278"/>
      <w:bookmarkEnd w:id="279"/>
      <w:bookmarkEnd w:id="280"/>
      <w:bookmarkEnd w:id="281"/>
    </w:p>
    <w:p w14:paraId="22FD4FA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（供应商认为应附的其他资料并逐页签章）</w:t>
      </w:r>
      <w:bookmarkEnd w:id="266"/>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368473C0">
      <w:pPr>
        <w:pStyle w:val="3"/>
        <w:rPr>
          <w:rFonts w:hint="eastAsia"/>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3"/>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4E638EC6">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CE99217">
      <w:pPr>
        <w:rPr>
          <w:rFonts w:hint="eastAsia"/>
        </w:rPr>
      </w:pPr>
    </w:p>
    <w:p w14:paraId="37BC427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（单位名称）的（项目名称）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7AC4BA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A3DB6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35E848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A427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F91F5D9">
      <w:pPr>
        <w:adjustRightInd w:val="0"/>
        <w:snapToGrid w:val="0"/>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33A7D5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w:t>
      </w:r>
      <w:r>
        <w:rPr>
          <w:rFonts w:hint="eastAsia" w:ascii="宋体" w:hAnsi="宋体" w:eastAsia="宋体" w:cs="宋体"/>
          <w:b w:val="0"/>
          <w:bCs w:val="0"/>
          <w:color w:val="auto"/>
          <w:sz w:val="24"/>
          <w:szCs w:val="24"/>
          <w:highlight w:val="none"/>
        </w:rPr>
        <w:t>名称（</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5F31C8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4833E0A">
      <w:pPr>
        <w:pStyle w:val="5"/>
        <w:tabs>
          <w:tab w:val="left" w:pos="720"/>
        </w:tabs>
        <w:spacing w:line="360" w:lineRule="auto"/>
        <w:rPr>
          <w:rFonts w:hint="eastAsia" w:ascii="宋体" w:hAnsi="宋体" w:eastAsia="宋体" w:cs="宋体"/>
          <w:color w:val="auto"/>
          <w:sz w:val="24"/>
          <w:szCs w:val="24"/>
          <w:highlight w:val="none"/>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4A54BEF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adjustRightInd w:val="0"/>
        <w:snapToGrid w:val="0"/>
        <w:spacing w:line="360" w:lineRule="auto"/>
        <w:rPr>
          <w:rFonts w:hint="eastAsia" w:ascii="宋体" w:hAnsi="宋体" w:cs="宋体"/>
          <w:color w:val="auto"/>
          <w:sz w:val="28"/>
          <w:szCs w:val="28"/>
          <w:highlight w:val="none"/>
        </w:rPr>
        <w:sectPr>
          <w:footerReference r:id="rId5" w:type="default"/>
          <w:pgSz w:w="11905" w:h="16838"/>
          <w:pgMar w:top="1162" w:right="1372" w:bottom="1151" w:left="1361" w:header="0" w:footer="1595" w:gutter="0"/>
          <w:pgNumType w:fmt="decimal"/>
          <w:cols w:space="720" w:num="1"/>
          <w:rtlGutter w:val="0"/>
        </w:sectPr>
      </w:pPr>
      <w:r>
        <w:rPr>
          <w:rFonts w:hint="eastAsia" w:ascii="宋体" w:hAnsi="宋体" w:eastAsia="宋体" w:cs="宋体"/>
          <w:color w:val="auto"/>
          <w:spacing w:val="6"/>
          <w:kern w:val="0"/>
          <w:sz w:val="24"/>
          <w:szCs w:val="24"/>
          <w:highlight w:val="none"/>
        </w:rPr>
        <w:t>3、未按上述要求提供、填写的，评审时不予以考虑。</w:t>
      </w:r>
    </w:p>
    <w:p w14:paraId="65213B39">
      <w:pPr>
        <w:pageBreakBefore/>
        <w:rPr>
          <w:color w:val="auto"/>
          <w:sz w:val="28"/>
          <w:szCs w:val="28"/>
          <w:highlight w:val="none"/>
        </w:rPr>
      </w:pPr>
      <w:r>
        <w:rPr>
          <w:rFonts w:hint="eastAsia"/>
          <w:color w:val="auto"/>
          <w:sz w:val="28"/>
          <w:szCs w:val="28"/>
          <w:highlight w:val="none"/>
        </w:rPr>
        <w:t>附件2</w:t>
      </w:r>
    </w:p>
    <w:p w14:paraId="6AAFA44B">
      <w:pPr>
        <w:adjustRightInd w:val="0"/>
        <w:snapToGrid w:val="0"/>
        <w:ind w:firstLine="560" w:firstLineChars="200"/>
        <w:rPr>
          <w:color w:val="auto"/>
          <w:sz w:val="28"/>
          <w:szCs w:val="28"/>
          <w:highlight w:val="none"/>
        </w:rPr>
      </w:pPr>
    </w:p>
    <w:p w14:paraId="6FBCC8C1">
      <w:pPr>
        <w:pStyle w:val="7"/>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4F5F86DB">
      <w:pPr>
        <w:pageBreakBefore w:val="0"/>
        <w:widowControl w:val="0"/>
        <w:kinsoku/>
        <w:wordWrap/>
        <w:overflowPunct/>
        <w:topLinePunct w:val="0"/>
        <w:bidi w:val="0"/>
        <w:spacing w:beforeAutospacing="0" w:afterAutospacing="0" w:line="360" w:lineRule="auto"/>
        <w:ind w:left="480" w:hanging="480" w:hangingChars="200"/>
        <w:jc w:val="both"/>
        <w:textAlignment w:val="auto"/>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（属于监狱企业的填写，不属于的无需填写此项内容）</w:t>
      </w:r>
    </w:p>
    <w:p w14:paraId="10621269">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p>
    <w:p w14:paraId="23843FED">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4136B5EB">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12A060EE">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6A8B31C7">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3FD1C7F1">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52B8D4D4">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p>
    <w:p w14:paraId="79CA5287">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供应商</w:t>
      </w:r>
      <w:r>
        <w:rPr>
          <w:rFonts w:hint="eastAsia" w:ascii="宋体" w:hAnsi="宋体" w:eastAsia="宋体" w:cs="宋体"/>
          <w:color w:val="auto"/>
          <w:kern w:val="2"/>
          <w:sz w:val="24"/>
          <w:szCs w:val="28"/>
          <w:highlight w:val="none"/>
        </w:rPr>
        <w:t>名称：_________（企业电子签章）</w:t>
      </w:r>
    </w:p>
    <w:p w14:paraId="526C62C1">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p>
    <w:p w14:paraId="75496E56">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0273670D">
      <w:pPr>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p>
    <w:p w14:paraId="4F85E15D">
      <w:pPr>
        <w:pageBreakBefore w:val="0"/>
        <w:widowControl w:val="0"/>
        <w:kinsoku/>
        <w:wordWrap/>
        <w:overflowPunct/>
        <w:topLinePunct w:val="0"/>
        <w:bidi w:val="0"/>
        <w:snapToGrid w:val="0"/>
        <w:spacing w:beforeAutospacing="0" w:afterAutospacing="0" w:line="360" w:lineRule="auto"/>
        <w:ind w:firstLine="480" w:firstLineChars="200"/>
        <w:jc w:val="right"/>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71A9F985">
      <w:pPr>
        <w:pageBreakBefore w:val="0"/>
        <w:widowControl w:val="0"/>
        <w:kinsoku/>
        <w:wordWrap/>
        <w:overflowPunct/>
        <w:topLinePunct w:val="0"/>
        <w:bidi w:val="0"/>
        <w:spacing w:beforeAutospacing="0" w:afterAutospacing="0" w:line="360" w:lineRule="auto"/>
        <w:ind w:left="2458" w:leftChars="942" w:hanging="480" w:hangingChars="200"/>
        <w:jc w:val="right"/>
        <w:textAlignment w:val="auto"/>
        <w:rPr>
          <w:rFonts w:ascii="宋体" w:hAnsi="宋体" w:eastAsia="宋体" w:cs="楷体_GB2312"/>
          <w:color w:val="auto"/>
          <w:kern w:val="2"/>
          <w:sz w:val="24"/>
          <w:szCs w:val="28"/>
          <w:highlight w:val="none"/>
        </w:rPr>
      </w:pPr>
    </w:p>
    <w:p w14:paraId="6CB985CB">
      <w:pPr>
        <w:pageBreakBefore w:val="0"/>
        <w:widowControl w:val="0"/>
        <w:kinsoku/>
        <w:wordWrap/>
        <w:overflowPunct/>
        <w:topLinePunct w:val="0"/>
        <w:autoSpaceDE w:val="0"/>
        <w:autoSpaceDN w:val="0"/>
        <w:bidi w:val="0"/>
        <w:adjustRightInd w:val="0"/>
        <w:spacing w:beforeAutospacing="0" w:afterAutospacing="0" w:line="360" w:lineRule="auto"/>
        <w:jc w:val="left"/>
        <w:textAlignment w:val="auto"/>
        <w:rPr>
          <w:rFonts w:ascii="宋体" w:hAnsi="宋体" w:eastAsia="宋体" w:cs="宋体"/>
          <w:color w:val="auto"/>
          <w:kern w:val="0"/>
          <w:sz w:val="24"/>
          <w:szCs w:val="28"/>
          <w:highlight w:val="none"/>
        </w:rPr>
      </w:pPr>
      <w:r>
        <w:rPr>
          <w:rFonts w:hint="eastAsia" w:ascii="宋体" w:hAnsi="宋体" w:eastAsia="宋体" w:cs="黑体"/>
          <w:b/>
          <w:color w:val="auto"/>
          <w:kern w:val="0"/>
          <w:sz w:val="24"/>
          <w:szCs w:val="28"/>
          <w:highlight w:val="none"/>
        </w:rPr>
        <w:t>说明：符合要求的单位，按照上述格式进行填写；不属于监狱企业的无需填写此表。</w:t>
      </w:r>
    </w:p>
    <w:p w14:paraId="4136BD7E">
      <w:pPr>
        <w:pStyle w:val="12"/>
        <w:ind w:left="1470" w:right="1470"/>
        <w:rPr>
          <w:b/>
          <w:bCs/>
          <w:color w:val="auto"/>
          <w:kern w:val="36"/>
          <w:sz w:val="22"/>
          <w:szCs w:val="42"/>
          <w:highlight w:val="none"/>
        </w:rPr>
      </w:pPr>
    </w:p>
    <w:p w14:paraId="79F9B5AF">
      <w:pPr>
        <w:pStyle w:val="12"/>
        <w:ind w:left="1470" w:right="1470"/>
        <w:rPr>
          <w:b/>
          <w:bCs/>
          <w:color w:val="auto"/>
          <w:kern w:val="36"/>
          <w:sz w:val="22"/>
          <w:szCs w:val="42"/>
          <w:highlight w:val="none"/>
        </w:rPr>
      </w:pPr>
    </w:p>
    <w:p w14:paraId="22EA0735">
      <w:pPr>
        <w:pStyle w:val="12"/>
        <w:ind w:left="1470" w:right="1470"/>
        <w:rPr>
          <w:b/>
          <w:bCs/>
          <w:color w:val="auto"/>
          <w:kern w:val="36"/>
          <w:sz w:val="22"/>
          <w:szCs w:val="42"/>
          <w:highlight w:val="none"/>
        </w:rPr>
      </w:pPr>
    </w:p>
    <w:p w14:paraId="17B07976">
      <w:pPr>
        <w:pStyle w:val="12"/>
        <w:ind w:left="1470" w:right="1470"/>
        <w:rPr>
          <w:b/>
          <w:bCs/>
          <w:color w:val="auto"/>
          <w:kern w:val="36"/>
          <w:sz w:val="22"/>
          <w:szCs w:val="42"/>
          <w:highlight w:val="none"/>
        </w:rPr>
      </w:pPr>
    </w:p>
    <w:p w14:paraId="7248CC99">
      <w:pPr>
        <w:pStyle w:val="12"/>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2"/>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2"/>
        <w:wordWrap/>
        <w:topLinePunct w:val="0"/>
        <w:spacing w:line="480" w:lineRule="exact"/>
        <w:ind w:left="0" w:leftChars="0" w:right="0" w:rightChars="0" w:firstLine="560" w:firstLineChars="200"/>
        <w:rPr>
          <w:color w:val="auto"/>
          <w:kern w:val="36"/>
          <w:sz w:val="28"/>
          <w:szCs w:val="28"/>
          <w:highlight w:val="none"/>
        </w:rPr>
      </w:pPr>
    </w:p>
    <w:p w14:paraId="15C14BE2">
      <w:pPr>
        <w:pageBreakBefore w:val="0"/>
        <w:widowControl w:val="0"/>
        <w:kinsoku/>
        <w:wordWrap/>
        <w:overflowPunct/>
        <w:topLinePunct w:val="0"/>
        <w:bidi w:val="0"/>
        <w:spacing w:beforeAutospacing="0" w:afterAutospacing="0" w:line="360" w:lineRule="auto"/>
        <w:ind w:left="480" w:hanging="480" w:hangingChars="200"/>
        <w:jc w:val="center"/>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（属于残疾人福利性单位的填写，不属于的无需填写此项内容）</w:t>
      </w:r>
    </w:p>
    <w:p w14:paraId="5B45D0F5">
      <w:pPr>
        <w:pageBreakBefore w:val="0"/>
        <w:widowControl w:val="0"/>
        <w:kinsoku/>
        <w:wordWrap/>
        <w:overflowPunct/>
        <w:topLinePunct w:val="0"/>
        <w:bidi w:val="0"/>
        <w:spacing w:beforeAutospacing="0" w:afterAutospacing="0" w:line="360" w:lineRule="auto"/>
        <w:ind w:left="480" w:hanging="480" w:hangingChars="200"/>
        <w:jc w:val="both"/>
        <w:textAlignment w:val="auto"/>
        <w:rPr>
          <w:rFonts w:ascii="宋体" w:hAnsi="宋体" w:eastAsia="宋体" w:cs="宋体"/>
          <w:color w:val="auto"/>
          <w:kern w:val="2"/>
          <w:sz w:val="24"/>
          <w:szCs w:val="28"/>
          <w:highlight w:val="none"/>
        </w:rPr>
      </w:pPr>
    </w:p>
    <w:p w14:paraId="35EBE66A">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96DFE8">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1B3E7E42">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6B9F961C">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供应商</w:t>
      </w:r>
      <w:r>
        <w:rPr>
          <w:rFonts w:hint="eastAsia" w:ascii="宋体" w:hAnsi="宋体" w:eastAsia="宋体" w:cs="宋体"/>
          <w:color w:val="auto"/>
          <w:kern w:val="2"/>
          <w:sz w:val="24"/>
          <w:szCs w:val="28"/>
          <w:highlight w:val="none"/>
        </w:rPr>
        <w:t>（企业电子签章）：</w:t>
      </w:r>
    </w:p>
    <w:p w14:paraId="4FED2AF6">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32B55E67">
      <w:pPr>
        <w:keepNext w:val="0"/>
        <w:keepLines w:val="0"/>
        <w:pageBreakBefore w:val="0"/>
        <w:widowControl w:val="0"/>
        <w:kinsoku/>
        <w:wordWrap/>
        <w:overflowPunct/>
        <w:topLinePunct w:val="0"/>
        <w:bidi w:val="0"/>
        <w:spacing w:beforeAutospacing="0" w:afterAutospacing="0" w:line="360" w:lineRule="auto"/>
        <w:ind w:left="480" w:hanging="480" w:hangingChars="200"/>
        <w:jc w:val="right"/>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年</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14:paraId="7AB4136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2" w:hanging="482" w:hangingChars="200"/>
        <w:jc w:val="left"/>
        <w:textAlignment w:val="auto"/>
        <w:rPr>
          <w:rFonts w:ascii="宋体" w:hAnsi="宋体" w:eastAsia="宋体" w:cs="宋体"/>
          <w:b/>
          <w:color w:val="auto"/>
          <w:kern w:val="0"/>
          <w:sz w:val="24"/>
          <w:szCs w:val="28"/>
          <w:highlight w:val="none"/>
        </w:rPr>
      </w:pPr>
    </w:p>
    <w:p w14:paraId="2BB68CE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1.若</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属于监狱企业\残疾人福利性单位\小\微型企业，须提供由省级以上监狱管理局、戒毒管理局（含新疆生产建设兵团）出具的属于监狱企业的证明文件或中小企业声明函\残疾人福利性单位声明函，否则不予认可。</w:t>
      </w:r>
    </w:p>
    <w:p w14:paraId="15F6F14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2.中小企业划分标准，是指国务院有关部门根据企业从业人员、营业收入、资产总额等指标制定的中小企业划型标准进行核定。</w:t>
      </w:r>
    </w:p>
    <w:p w14:paraId="688112C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3.对于监狱企业\残疾人福利性单位和</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及投标生产商均为小型、微型企业的，评标价格扣除按财库﹝2020﹞46号文件中最低比例20%扣除。</w:t>
      </w:r>
    </w:p>
    <w:p w14:paraId="4AD700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4、小型、微型企业提供中型企业制造的货物的，视同为中型企业。</w:t>
      </w:r>
    </w:p>
    <w:p w14:paraId="30EDFD11">
      <w:pPr>
        <w:keepNext w:val="0"/>
        <w:keepLines w:val="0"/>
        <w:pageBreakBefore w:val="0"/>
        <w:widowControl w:val="0"/>
        <w:kinsoku/>
        <w:wordWrap/>
        <w:overflowPunct/>
        <w:topLinePunct w:val="0"/>
        <w:bidi w:val="0"/>
        <w:spacing w:beforeAutospacing="0" w:afterAutospacing="0" w:line="360" w:lineRule="auto"/>
        <w:ind w:left="482" w:hanging="482" w:hangingChars="200"/>
        <w:jc w:val="both"/>
        <w:textAlignment w:val="auto"/>
        <w:rPr>
          <w:rFonts w:ascii="宋体" w:hAnsi="宋体" w:eastAsia="宋体" w:cs="宋体"/>
          <w:color w:val="auto"/>
          <w:kern w:val="2"/>
          <w:sz w:val="24"/>
          <w:szCs w:val="28"/>
          <w:highlight w:val="none"/>
        </w:rPr>
      </w:pPr>
      <w:r>
        <w:rPr>
          <w:rFonts w:hint="eastAsia" w:ascii="宋体" w:hAnsi="宋体" w:eastAsia="宋体" w:cs="宋体"/>
          <w:b/>
          <w:color w:val="auto"/>
          <w:kern w:val="2"/>
          <w:sz w:val="24"/>
          <w:szCs w:val="28"/>
          <w:highlight w:val="none"/>
        </w:rPr>
        <w:t>说明：符合要求的单位，按照上述格式进行填写；不属于的无需填写此表。</w:t>
      </w:r>
    </w:p>
    <w:p w14:paraId="3E668C11">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146CAF62">
      <w:pPr>
        <w:widowControl w:val="0"/>
        <w:jc w:val="both"/>
        <w:rPr>
          <w:rFonts w:ascii="宋体" w:hAnsi="宋体"/>
          <w:color w:val="auto"/>
          <w:sz w:val="24"/>
          <w:szCs w:val="24"/>
          <w:highlight w:val="none"/>
        </w:rPr>
      </w:pPr>
    </w:p>
    <w:p w14:paraId="619C8DE0">
      <w:pPr>
        <w:spacing w:line="480" w:lineRule="auto"/>
        <w:jc w:val="left"/>
        <w:rPr>
          <w:rFonts w:hint="default"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附件4</w:t>
      </w:r>
    </w:p>
    <w:p w14:paraId="01ACC70C">
      <w:pPr>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河南省政府采购合同融资政策告知函</w:t>
      </w:r>
    </w:p>
    <w:p w14:paraId="6B309AA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52B76CC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6F9B78C5">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CAD63C8">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4C37C1E3">
      <w:pPr>
        <w:pStyle w:val="16"/>
        <w:rPr>
          <w:rFonts w:hint="default"/>
          <w:b w:val="0"/>
          <w:bCs w:val="0"/>
          <w:sz w:val="32"/>
          <w:szCs w:val="40"/>
          <w:lang w:val="en-US" w:eastAsia="zh-CN"/>
        </w:rPr>
      </w:pPr>
    </w:p>
    <w:p w14:paraId="60D9C2B9">
      <w:pPr>
        <w:pStyle w:val="16"/>
        <w:rPr>
          <w:rFonts w:hint="default"/>
          <w:b w:val="0"/>
          <w:bCs w:val="0"/>
          <w:sz w:val="32"/>
          <w:szCs w:val="40"/>
          <w:lang w:val="en-US" w:eastAsia="zh-CN"/>
        </w:rPr>
      </w:pPr>
    </w:p>
    <w:p w14:paraId="7FD1E0D7">
      <w:pPr>
        <w:pStyle w:val="16"/>
        <w:rPr>
          <w:rFonts w:hint="default"/>
          <w:b w:val="0"/>
          <w:bCs w:val="0"/>
          <w:sz w:val="32"/>
          <w:szCs w:val="40"/>
          <w:lang w:val="en-US" w:eastAsia="zh-CN"/>
        </w:rPr>
      </w:pPr>
    </w:p>
    <w:p w14:paraId="091D5729">
      <w:pPr>
        <w:pStyle w:val="16"/>
        <w:rPr>
          <w:rFonts w:hint="default"/>
          <w:b w:val="0"/>
          <w:bCs w:val="0"/>
          <w:sz w:val="32"/>
          <w:szCs w:val="40"/>
          <w:lang w:val="en-US" w:eastAsia="zh-CN"/>
        </w:rPr>
      </w:pPr>
    </w:p>
    <w:p w14:paraId="517E4A12">
      <w:pPr>
        <w:pStyle w:val="16"/>
        <w:rPr>
          <w:rFonts w:hint="default"/>
          <w:b w:val="0"/>
          <w:bCs w:val="0"/>
          <w:sz w:val="32"/>
          <w:szCs w:val="40"/>
          <w:lang w:val="en-US" w:eastAsia="zh-CN"/>
        </w:rPr>
      </w:pPr>
    </w:p>
    <w:p w14:paraId="52574BE5">
      <w:pPr>
        <w:pStyle w:val="16"/>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DCE0">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9A4E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79A4E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6"/>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6"/>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D0F051B">
                    <w:pPr>
                      <w:pStyle w:val="16"/>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6"/>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0FB26"/>
    <w:multiLevelType w:val="singleLevel"/>
    <w:tmpl w:val="8600FB26"/>
    <w:lvl w:ilvl="0" w:tentative="0">
      <w:start w:val="13"/>
      <w:numFmt w:val="decimal"/>
      <w:suff w:val="space"/>
      <w:lvlText w:val="%1."/>
      <w:lvlJc w:val="left"/>
    </w:lvl>
  </w:abstractNum>
  <w:abstractNum w:abstractNumId="1">
    <w:nsid w:val="91E06279"/>
    <w:multiLevelType w:val="singleLevel"/>
    <w:tmpl w:val="91E06279"/>
    <w:lvl w:ilvl="0" w:tentative="0">
      <w:start w:val="1"/>
      <w:numFmt w:val="decimal"/>
      <w:suff w:val="nothing"/>
      <w:lvlText w:val="%1、"/>
      <w:lvlJc w:val="left"/>
    </w:lvl>
  </w:abstractNum>
  <w:abstractNum w:abstractNumId="2">
    <w:nsid w:val="BA2CC919"/>
    <w:multiLevelType w:val="singleLevel"/>
    <w:tmpl w:val="BA2CC919"/>
    <w:lvl w:ilvl="0" w:tentative="0">
      <w:start w:val="2"/>
      <w:numFmt w:val="decimal"/>
      <w:suff w:val="nothing"/>
      <w:lvlText w:val="（%1）"/>
      <w:lvlJc w:val="left"/>
    </w:lvl>
  </w:abstractNum>
  <w:abstractNum w:abstractNumId="3">
    <w:nsid w:val="CA9FCB57"/>
    <w:multiLevelType w:val="singleLevel"/>
    <w:tmpl w:val="CA9FCB57"/>
    <w:lvl w:ilvl="0" w:tentative="0">
      <w:start w:val="6"/>
      <w:numFmt w:val="chineseCounting"/>
      <w:suff w:val="nothing"/>
      <w:lvlText w:val="%1、"/>
      <w:lvlJc w:val="left"/>
      <w:rPr>
        <w:rFonts w:hint="eastAsia"/>
      </w:rPr>
    </w:lvl>
  </w:abstractNum>
  <w:abstractNum w:abstractNumId="4">
    <w:nsid w:val="CFF33BAC"/>
    <w:multiLevelType w:val="singleLevel"/>
    <w:tmpl w:val="CFF33BAC"/>
    <w:lvl w:ilvl="0" w:tentative="0">
      <w:start w:val="1"/>
      <w:numFmt w:val="decimal"/>
      <w:suff w:val="nothing"/>
      <w:lvlText w:val="%1、"/>
      <w:lvlJc w:val="left"/>
    </w:lvl>
  </w:abstractNum>
  <w:abstractNum w:abstractNumId="5">
    <w:nsid w:val="DB3EA900"/>
    <w:multiLevelType w:val="singleLevel"/>
    <w:tmpl w:val="DB3EA900"/>
    <w:lvl w:ilvl="0" w:tentative="0">
      <w:start w:val="5"/>
      <w:numFmt w:val="decimal"/>
      <w:suff w:val="nothing"/>
      <w:lvlText w:val="%1、"/>
      <w:lvlJc w:val="left"/>
    </w:lvl>
  </w:abstractNum>
  <w:abstractNum w:abstractNumId="6">
    <w:nsid w:val="F6DB120F"/>
    <w:multiLevelType w:val="singleLevel"/>
    <w:tmpl w:val="F6DB120F"/>
    <w:lvl w:ilvl="0" w:tentative="0">
      <w:start w:val="2"/>
      <w:numFmt w:val="chineseCounting"/>
      <w:suff w:val="nothing"/>
      <w:lvlText w:val="（%1）"/>
      <w:lvlJc w:val="left"/>
      <w:rPr>
        <w:rFonts w:hint="eastAsia"/>
      </w:rPr>
    </w:lvl>
  </w:abstractNum>
  <w:abstractNum w:abstractNumId="7">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664A806"/>
    <w:multiLevelType w:val="singleLevel"/>
    <w:tmpl w:val="6664A806"/>
    <w:lvl w:ilvl="0" w:tentative="0">
      <w:start w:val="1"/>
      <w:numFmt w:val="decimal"/>
      <w:suff w:val="nothing"/>
      <w:lvlText w:val="%1、"/>
      <w:lvlJc w:val="left"/>
    </w:lvl>
  </w:abstractNum>
  <w:num w:numId="1">
    <w:abstractNumId w:val="5"/>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 w:numId="7">
    <w:abstractNumId w:val="8"/>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心平气和">
    <w15:presenceInfo w15:providerId="WPS Office" w15:userId="3046904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gqNCiG+pNj597KgtHLmitgi4Gs=" w:salt="v5ENcNP1fThjm9+mtO3F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429C"/>
    <w:rsid w:val="00270A59"/>
    <w:rsid w:val="003D6656"/>
    <w:rsid w:val="00552598"/>
    <w:rsid w:val="00A3470B"/>
    <w:rsid w:val="00EB4E53"/>
    <w:rsid w:val="00FC1E75"/>
    <w:rsid w:val="010E142D"/>
    <w:rsid w:val="01282E62"/>
    <w:rsid w:val="014C4DA3"/>
    <w:rsid w:val="01745155"/>
    <w:rsid w:val="018D0F17"/>
    <w:rsid w:val="02274EC8"/>
    <w:rsid w:val="025F4662"/>
    <w:rsid w:val="03661A20"/>
    <w:rsid w:val="03AA7B5F"/>
    <w:rsid w:val="03AD58A1"/>
    <w:rsid w:val="03CA1FAF"/>
    <w:rsid w:val="03DB41BC"/>
    <w:rsid w:val="041871BE"/>
    <w:rsid w:val="042C0EBC"/>
    <w:rsid w:val="04762439"/>
    <w:rsid w:val="04C904B8"/>
    <w:rsid w:val="05E7509A"/>
    <w:rsid w:val="05E82BC0"/>
    <w:rsid w:val="05FB1C61"/>
    <w:rsid w:val="0622699E"/>
    <w:rsid w:val="063F1112"/>
    <w:rsid w:val="067D1380"/>
    <w:rsid w:val="06A92350"/>
    <w:rsid w:val="06FC5746"/>
    <w:rsid w:val="070370FF"/>
    <w:rsid w:val="07391925"/>
    <w:rsid w:val="074B3407"/>
    <w:rsid w:val="079D563B"/>
    <w:rsid w:val="08255934"/>
    <w:rsid w:val="086E7FA8"/>
    <w:rsid w:val="08892861"/>
    <w:rsid w:val="089D4299"/>
    <w:rsid w:val="08A2174C"/>
    <w:rsid w:val="097B46F6"/>
    <w:rsid w:val="09903C9B"/>
    <w:rsid w:val="0992531D"/>
    <w:rsid w:val="0A442EC0"/>
    <w:rsid w:val="0A726EFC"/>
    <w:rsid w:val="0A8F3F52"/>
    <w:rsid w:val="0AC0410C"/>
    <w:rsid w:val="0AFB54D1"/>
    <w:rsid w:val="0B156206"/>
    <w:rsid w:val="0B941820"/>
    <w:rsid w:val="0BB60A57"/>
    <w:rsid w:val="0BF202F5"/>
    <w:rsid w:val="0C3E178C"/>
    <w:rsid w:val="0C436EE7"/>
    <w:rsid w:val="0C811679"/>
    <w:rsid w:val="0CA159EF"/>
    <w:rsid w:val="0CD45C4C"/>
    <w:rsid w:val="0D244E26"/>
    <w:rsid w:val="0D272220"/>
    <w:rsid w:val="0D5B0A08"/>
    <w:rsid w:val="0DE545B5"/>
    <w:rsid w:val="0E2A4752"/>
    <w:rsid w:val="0E2C21E4"/>
    <w:rsid w:val="0E381972"/>
    <w:rsid w:val="0E5F60C4"/>
    <w:rsid w:val="0EDB1514"/>
    <w:rsid w:val="0EE20AF5"/>
    <w:rsid w:val="0F657030"/>
    <w:rsid w:val="0FDE24B5"/>
    <w:rsid w:val="0FDE750E"/>
    <w:rsid w:val="101E15B1"/>
    <w:rsid w:val="1035356D"/>
    <w:rsid w:val="10381F32"/>
    <w:rsid w:val="10552B28"/>
    <w:rsid w:val="10613C9B"/>
    <w:rsid w:val="10923E54"/>
    <w:rsid w:val="10965A6F"/>
    <w:rsid w:val="10B03023"/>
    <w:rsid w:val="10C74B7A"/>
    <w:rsid w:val="10D206F5"/>
    <w:rsid w:val="10EA1EE2"/>
    <w:rsid w:val="114333A1"/>
    <w:rsid w:val="11586E4C"/>
    <w:rsid w:val="119105B0"/>
    <w:rsid w:val="11C72224"/>
    <w:rsid w:val="11F0177A"/>
    <w:rsid w:val="12621BBB"/>
    <w:rsid w:val="127E0301"/>
    <w:rsid w:val="1291511D"/>
    <w:rsid w:val="137912FC"/>
    <w:rsid w:val="139D0458"/>
    <w:rsid w:val="13CF716E"/>
    <w:rsid w:val="13D7451F"/>
    <w:rsid w:val="14B00246"/>
    <w:rsid w:val="14EA425F"/>
    <w:rsid w:val="15003A82"/>
    <w:rsid w:val="15415E49"/>
    <w:rsid w:val="154C0320"/>
    <w:rsid w:val="155E4C4D"/>
    <w:rsid w:val="15F2101A"/>
    <w:rsid w:val="16F413C5"/>
    <w:rsid w:val="17D034F4"/>
    <w:rsid w:val="180E4708"/>
    <w:rsid w:val="18153CE9"/>
    <w:rsid w:val="182C1032"/>
    <w:rsid w:val="187C78C4"/>
    <w:rsid w:val="18DF42F7"/>
    <w:rsid w:val="190A1374"/>
    <w:rsid w:val="190B0C48"/>
    <w:rsid w:val="191C10A7"/>
    <w:rsid w:val="19411EA9"/>
    <w:rsid w:val="195425EF"/>
    <w:rsid w:val="19E92F68"/>
    <w:rsid w:val="19F8741E"/>
    <w:rsid w:val="1A845156"/>
    <w:rsid w:val="1A9D6217"/>
    <w:rsid w:val="1AD94093"/>
    <w:rsid w:val="1B3C7F86"/>
    <w:rsid w:val="1B4346C9"/>
    <w:rsid w:val="1BDE0896"/>
    <w:rsid w:val="1BEF2AA3"/>
    <w:rsid w:val="1C8C20A0"/>
    <w:rsid w:val="1D482D53"/>
    <w:rsid w:val="1D68130C"/>
    <w:rsid w:val="1D8266D6"/>
    <w:rsid w:val="1DD35B27"/>
    <w:rsid w:val="1DDB508D"/>
    <w:rsid w:val="1E0250BA"/>
    <w:rsid w:val="1E431E06"/>
    <w:rsid w:val="1E85324A"/>
    <w:rsid w:val="1E990AA4"/>
    <w:rsid w:val="1ED31627"/>
    <w:rsid w:val="1EDA17E8"/>
    <w:rsid w:val="1EF90112"/>
    <w:rsid w:val="1F42113B"/>
    <w:rsid w:val="1FCA46C4"/>
    <w:rsid w:val="202645B9"/>
    <w:rsid w:val="202970F1"/>
    <w:rsid w:val="20511636"/>
    <w:rsid w:val="208D63E6"/>
    <w:rsid w:val="20BE47F2"/>
    <w:rsid w:val="20C242E2"/>
    <w:rsid w:val="20E9477C"/>
    <w:rsid w:val="222C3EF5"/>
    <w:rsid w:val="22605C7B"/>
    <w:rsid w:val="228F6446"/>
    <w:rsid w:val="22B04D2A"/>
    <w:rsid w:val="22E569AE"/>
    <w:rsid w:val="23411E36"/>
    <w:rsid w:val="23952182"/>
    <w:rsid w:val="23D36806"/>
    <w:rsid w:val="23F063BF"/>
    <w:rsid w:val="24532D12"/>
    <w:rsid w:val="24594F5D"/>
    <w:rsid w:val="24973CD7"/>
    <w:rsid w:val="24A501A2"/>
    <w:rsid w:val="24CF574B"/>
    <w:rsid w:val="24F36FDC"/>
    <w:rsid w:val="252E0A87"/>
    <w:rsid w:val="25513E86"/>
    <w:rsid w:val="25ED76BE"/>
    <w:rsid w:val="260F2FAF"/>
    <w:rsid w:val="26413EFB"/>
    <w:rsid w:val="264B6B28"/>
    <w:rsid w:val="26A563FF"/>
    <w:rsid w:val="26C708A4"/>
    <w:rsid w:val="26F23D25"/>
    <w:rsid w:val="26F70A5D"/>
    <w:rsid w:val="270513CC"/>
    <w:rsid w:val="274A5BE1"/>
    <w:rsid w:val="27F84A8D"/>
    <w:rsid w:val="28095952"/>
    <w:rsid w:val="28235FAE"/>
    <w:rsid w:val="284D6B87"/>
    <w:rsid w:val="286D547B"/>
    <w:rsid w:val="28ED036A"/>
    <w:rsid w:val="290B0028"/>
    <w:rsid w:val="29411D8F"/>
    <w:rsid w:val="298365D8"/>
    <w:rsid w:val="29CB6E69"/>
    <w:rsid w:val="29FD282F"/>
    <w:rsid w:val="2A622692"/>
    <w:rsid w:val="2AF00DF0"/>
    <w:rsid w:val="2B231E21"/>
    <w:rsid w:val="2B746B21"/>
    <w:rsid w:val="2BB46F1D"/>
    <w:rsid w:val="2BF731BB"/>
    <w:rsid w:val="2C4E2ECE"/>
    <w:rsid w:val="2C7C75BD"/>
    <w:rsid w:val="2C9A25B7"/>
    <w:rsid w:val="2CE51A84"/>
    <w:rsid w:val="2CEA709A"/>
    <w:rsid w:val="2D0D7BD8"/>
    <w:rsid w:val="2D2470C7"/>
    <w:rsid w:val="2D4744ED"/>
    <w:rsid w:val="2DCF407D"/>
    <w:rsid w:val="2DEA6181"/>
    <w:rsid w:val="2E1D6FFC"/>
    <w:rsid w:val="2E2B7E2F"/>
    <w:rsid w:val="2EC27BA3"/>
    <w:rsid w:val="2EC4391B"/>
    <w:rsid w:val="2EEB6220"/>
    <w:rsid w:val="2F3329AD"/>
    <w:rsid w:val="2FE14059"/>
    <w:rsid w:val="2FE66B0F"/>
    <w:rsid w:val="301A5EE8"/>
    <w:rsid w:val="302A3C52"/>
    <w:rsid w:val="30381D12"/>
    <w:rsid w:val="307D1FD3"/>
    <w:rsid w:val="30A734F4"/>
    <w:rsid w:val="30F501B0"/>
    <w:rsid w:val="31AF717C"/>
    <w:rsid w:val="31F2079F"/>
    <w:rsid w:val="3267118D"/>
    <w:rsid w:val="3292502D"/>
    <w:rsid w:val="32AB72CC"/>
    <w:rsid w:val="332E1CAB"/>
    <w:rsid w:val="34282DB7"/>
    <w:rsid w:val="345E211C"/>
    <w:rsid w:val="348D49C9"/>
    <w:rsid w:val="35004F81"/>
    <w:rsid w:val="354237EC"/>
    <w:rsid w:val="35535E56"/>
    <w:rsid w:val="357A2F85"/>
    <w:rsid w:val="35B71AE4"/>
    <w:rsid w:val="35D46E09"/>
    <w:rsid w:val="35E35248"/>
    <w:rsid w:val="360D6B71"/>
    <w:rsid w:val="36274EBB"/>
    <w:rsid w:val="366F6BE4"/>
    <w:rsid w:val="36B05D4D"/>
    <w:rsid w:val="37052D23"/>
    <w:rsid w:val="377E0E09"/>
    <w:rsid w:val="37805523"/>
    <w:rsid w:val="37B26425"/>
    <w:rsid w:val="384C4FFD"/>
    <w:rsid w:val="38614F73"/>
    <w:rsid w:val="388D51B3"/>
    <w:rsid w:val="38A26A7B"/>
    <w:rsid w:val="38CF183A"/>
    <w:rsid w:val="38F02330"/>
    <w:rsid w:val="390D5D6C"/>
    <w:rsid w:val="391060DB"/>
    <w:rsid w:val="399E5DF0"/>
    <w:rsid w:val="39E430C3"/>
    <w:rsid w:val="3A2A4F7A"/>
    <w:rsid w:val="3A63048C"/>
    <w:rsid w:val="3A72247D"/>
    <w:rsid w:val="3AA34D2C"/>
    <w:rsid w:val="3B09752E"/>
    <w:rsid w:val="3B5A188F"/>
    <w:rsid w:val="3BC32521"/>
    <w:rsid w:val="3BD3372D"/>
    <w:rsid w:val="3C046D30"/>
    <w:rsid w:val="3C863712"/>
    <w:rsid w:val="3CB21484"/>
    <w:rsid w:val="3CDE029E"/>
    <w:rsid w:val="3CFE6F8A"/>
    <w:rsid w:val="3D105B96"/>
    <w:rsid w:val="3D121C40"/>
    <w:rsid w:val="3D207CCF"/>
    <w:rsid w:val="3D621F64"/>
    <w:rsid w:val="3D74650C"/>
    <w:rsid w:val="3D753127"/>
    <w:rsid w:val="3DDD2303"/>
    <w:rsid w:val="3DE713D4"/>
    <w:rsid w:val="3E0336AC"/>
    <w:rsid w:val="3E832EAB"/>
    <w:rsid w:val="3F2A1578"/>
    <w:rsid w:val="3F4563B2"/>
    <w:rsid w:val="3F534DD9"/>
    <w:rsid w:val="3F7A243C"/>
    <w:rsid w:val="3F830DF4"/>
    <w:rsid w:val="3FA61A1C"/>
    <w:rsid w:val="3FAF7CCF"/>
    <w:rsid w:val="3FF77828"/>
    <w:rsid w:val="3FFC49C2"/>
    <w:rsid w:val="401069C0"/>
    <w:rsid w:val="407E34B4"/>
    <w:rsid w:val="408D5404"/>
    <w:rsid w:val="409C5E16"/>
    <w:rsid w:val="40C83FC4"/>
    <w:rsid w:val="415B1EBD"/>
    <w:rsid w:val="416074D3"/>
    <w:rsid w:val="41B33AA7"/>
    <w:rsid w:val="41C9151C"/>
    <w:rsid w:val="41E2438C"/>
    <w:rsid w:val="41F878EC"/>
    <w:rsid w:val="4255690C"/>
    <w:rsid w:val="42575F18"/>
    <w:rsid w:val="42667216"/>
    <w:rsid w:val="42862F6A"/>
    <w:rsid w:val="42A17DA3"/>
    <w:rsid w:val="42DC0DDB"/>
    <w:rsid w:val="4320516C"/>
    <w:rsid w:val="43801DE3"/>
    <w:rsid w:val="43FE4D82"/>
    <w:rsid w:val="4420119C"/>
    <w:rsid w:val="44472BCC"/>
    <w:rsid w:val="445D3AA1"/>
    <w:rsid w:val="447500EF"/>
    <w:rsid w:val="449F47B6"/>
    <w:rsid w:val="44D53D34"/>
    <w:rsid w:val="44EB79FC"/>
    <w:rsid w:val="451F04B7"/>
    <w:rsid w:val="45343F91"/>
    <w:rsid w:val="456F23DB"/>
    <w:rsid w:val="458F482B"/>
    <w:rsid w:val="45AB6B4A"/>
    <w:rsid w:val="460F771A"/>
    <w:rsid w:val="46100A19"/>
    <w:rsid w:val="469E6FF4"/>
    <w:rsid w:val="47174AD8"/>
    <w:rsid w:val="47240FA3"/>
    <w:rsid w:val="473B39FC"/>
    <w:rsid w:val="47613FA5"/>
    <w:rsid w:val="477D10E4"/>
    <w:rsid w:val="47A64246"/>
    <w:rsid w:val="48874977"/>
    <w:rsid w:val="48C5247C"/>
    <w:rsid w:val="490B4922"/>
    <w:rsid w:val="49117305"/>
    <w:rsid w:val="49247038"/>
    <w:rsid w:val="49861AA1"/>
    <w:rsid w:val="499248EA"/>
    <w:rsid w:val="49FB248F"/>
    <w:rsid w:val="4AE72A13"/>
    <w:rsid w:val="4B020659"/>
    <w:rsid w:val="4B182A2C"/>
    <w:rsid w:val="4B26353C"/>
    <w:rsid w:val="4B447E66"/>
    <w:rsid w:val="4B7778F3"/>
    <w:rsid w:val="4BF833E8"/>
    <w:rsid w:val="4C294185"/>
    <w:rsid w:val="4C456BE8"/>
    <w:rsid w:val="4C5E4F57"/>
    <w:rsid w:val="4C5E6D05"/>
    <w:rsid w:val="4D001B6A"/>
    <w:rsid w:val="4D1F6494"/>
    <w:rsid w:val="4D68635C"/>
    <w:rsid w:val="4D732EA2"/>
    <w:rsid w:val="4E9F01D0"/>
    <w:rsid w:val="4EA81D39"/>
    <w:rsid w:val="4EE259CC"/>
    <w:rsid w:val="4F491BDC"/>
    <w:rsid w:val="4F583EE0"/>
    <w:rsid w:val="4FB5232B"/>
    <w:rsid w:val="4FD86DCF"/>
    <w:rsid w:val="4FF05EC6"/>
    <w:rsid w:val="50805D74"/>
    <w:rsid w:val="50B11AF9"/>
    <w:rsid w:val="50B25872"/>
    <w:rsid w:val="51037E7B"/>
    <w:rsid w:val="51474D42"/>
    <w:rsid w:val="51750D79"/>
    <w:rsid w:val="519531C9"/>
    <w:rsid w:val="51A95617"/>
    <w:rsid w:val="51FF0DF9"/>
    <w:rsid w:val="525210BA"/>
    <w:rsid w:val="527032EE"/>
    <w:rsid w:val="5349279A"/>
    <w:rsid w:val="53D02297"/>
    <w:rsid w:val="53F70212"/>
    <w:rsid w:val="54254953"/>
    <w:rsid w:val="54275D9A"/>
    <w:rsid w:val="545C066C"/>
    <w:rsid w:val="54A35BFD"/>
    <w:rsid w:val="54E42CCE"/>
    <w:rsid w:val="550A5C7C"/>
    <w:rsid w:val="552B174F"/>
    <w:rsid w:val="553B4087"/>
    <w:rsid w:val="55434CEA"/>
    <w:rsid w:val="558D41B7"/>
    <w:rsid w:val="558E065B"/>
    <w:rsid w:val="55A35789"/>
    <w:rsid w:val="55BF794C"/>
    <w:rsid w:val="55D60076"/>
    <w:rsid w:val="55D87B28"/>
    <w:rsid w:val="561F1887"/>
    <w:rsid w:val="5627460C"/>
    <w:rsid w:val="56336B0D"/>
    <w:rsid w:val="56343C80"/>
    <w:rsid w:val="57D25460"/>
    <w:rsid w:val="57EC1669"/>
    <w:rsid w:val="57ED75C5"/>
    <w:rsid w:val="581806B0"/>
    <w:rsid w:val="583560C9"/>
    <w:rsid w:val="58640EBA"/>
    <w:rsid w:val="58791752"/>
    <w:rsid w:val="58B050D2"/>
    <w:rsid w:val="59732FD9"/>
    <w:rsid w:val="59851D75"/>
    <w:rsid w:val="5999137D"/>
    <w:rsid w:val="59BE5287"/>
    <w:rsid w:val="5A5B1DED"/>
    <w:rsid w:val="5A7140A7"/>
    <w:rsid w:val="5A7A7400"/>
    <w:rsid w:val="5A81253D"/>
    <w:rsid w:val="5B0A0784"/>
    <w:rsid w:val="5B4A4D4D"/>
    <w:rsid w:val="5B8C67C3"/>
    <w:rsid w:val="5BF60D08"/>
    <w:rsid w:val="5BF925A6"/>
    <w:rsid w:val="5C0276AD"/>
    <w:rsid w:val="5C294C3A"/>
    <w:rsid w:val="5C367984"/>
    <w:rsid w:val="5C5D0D87"/>
    <w:rsid w:val="5C797243"/>
    <w:rsid w:val="5CB12E81"/>
    <w:rsid w:val="5CDA5F34"/>
    <w:rsid w:val="5D3B01F2"/>
    <w:rsid w:val="5DA6050C"/>
    <w:rsid w:val="5DC10EA2"/>
    <w:rsid w:val="5E174F66"/>
    <w:rsid w:val="5E391380"/>
    <w:rsid w:val="5E61704D"/>
    <w:rsid w:val="5EA318FE"/>
    <w:rsid w:val="5EC8350B"/>
    <w:rsid w:val="5F610B8F"/>
    <w:rsid w:val="5FE5531C"/>
    <w:rsid w:val="607E751E"/>
    <w:rsid w:val="608A34B1"/>
    <w:rsid w:val="60A96349"/>
    <w:rsid w:val="60B453AD"/>
    <w:rsid w:val="60F11704"/>
    <w:rsid w:val="61FD07BF"/>
    <w:rsid w:val="62112F1B"/>
    <w:rsid w:val="632D47E0"/>
    <w:rsid w:val="6347009B"/>
    <w:rsid w:val="634B193A"/>
    <w:rsid w:val="63520F1A"/>
    <w:rsid w:val="63892BC7"/>
    <w:rsid w:val="63E15DFA"/>
    <w:rsid w:val="63E87188"/>
    <w:rsid w:val="64F16511"/>
    <w:rsid w:val="651421FF"/>
    <w:rsid w:val="65CE23AE"/>
    <w:rsid w:val="66F95F65"/>
    <w:rsid w:val="671169F6"/>
    <w:rsid w:val="67236729"/>
    <w:rsid w:val="67684070"/>
    <w:rsid w:val="67AA29A7"/>
    <w:rsid w:val="67E93174"/>
    <w:rsid w:val="67F93B59"/>
    <w:rsid w:val="6830432B"/>
    <w:rsid w:val="683A0C71"/>
    <w:rsid w:val="68A4152D"/>
    <w:rsid w:val="68C03982"/>
    <w:rsid w:val="69014CFB"/>
    <w:rsid w:val="69470DF5"/>
    <w:rsid w:val="698F3E4E"/>
    <w:rsid w:val="6A130CD7"/>
    <w:rsid w:val="6A2A24BF"/>
    <w:rsid w:val="6A372C18"/>
    <w:rsid w:val="6A3B7F25"/>
    <w:rsid w:val="6A7259FE"/>
    <w:rsid w:val="6AA302AD"/>
    <w:rsid w:val="6AEA4752"/>
    <w:rsid w:val="6B264A3A"/>
    <w:rsid w:val="6B39476E"/>
    <w:rsid w:val="6BAE6F0A"/>
    <w:rsid w:val="6BB83EF2"/>
    <w:rsid w:val="6BBB5A8A"/>
    <w:rsid w:val="6BCF3AF8"/>
    <w:rsid w:val="6BE819F7"/>
    <w:rsid w:val="6C0F54CE"/>
    <w:rsid w:val="6C1D7BEB"/>
    <w:rsid w:val="6C7B0D5C"/>
    <w:rsid w:val="6CA976D1"/>
    <w:rsid w:val="6CBB52E0"/>
    <w:rsid w:val="6D2A25C0"/>
    <w:rsid w:val="6D750E5F"/>
    <w:rsid w:val="6DA265FA"/>
    <w:rsid w:val="6DB221E2"/>
    <w:rsid w:val="6E113780"/>
    <w:rsid w:val="6E4B5505"/>
    <w:rsid w:val="6E4E6782"/>
    <w:rsid w:val="6E595752"/>
    <w:rsid w:val="6EE964AB"/>
    <w:rsid w:val="6EFD02BE"/>
    <w:rsid w:val="6F1C7881"/>
    <w:rsid w:val="6F3C65DA"/>
    <w:rsid w:val="6F83168F"/>
    <w:rsid w:val="6FAC3760"/>
    <w:rsid w:val="6FC50CC6"/>
    <w:rsid w:val="6FCC3E02"/>
    <w:rsid w:val="70057314"/>
    <w:rsid w:val="701D465E"/>
    <w:rsid w:val="70215B33"/>
    <w:rsid w:val="706758D9"/>
    <w:rsid w:val="70A857DC"/>
    <w:rsid w:val="70B825D8"/>
    <w:rsid w:val="71303482"/>
    <w:rsid w:val="71353C29"/>
    <w:rsid w:val="713752AB"/>
    <w:rsid w:val="71724535"/>
    <w:rsid w:val="71A316E6"/>
    <w:rsid w:val="71B0505E"/>
    <w:rsid w:val="7264509F"/>
    <w:rsid w:val="728031BD"/>
    <w:rsid w:val="72A70FB2"/>
    <w:rsid w:val="72CF0898"/>
    <w:rsid w:val="73A66718"/>
    <w:rsid w:val="742B42E8"/>
    <w:rsid w:val="748C6809"/>
    <w:rsid w:val="7491561A"/>
    <w:rsid w:val="74CA6436"/>
    <w:rsid w:val="74D42106"/>
    <w:rsid w:val="74E97204"/>
    <w:rsid w:val="7564688B"/>
    <w:rsid w:val="758B77BE"/>
    <w:rsid w:val="75911166"/>
    <w:rsid w:val="759E7FEF"/>
    <w:rsid w:val="75F61BD9"/>
    <w:rsid w:val="77C16217"/>
    <w:rsid w:val="781E0F73"/>
    <w:rsid w:val="786E45B6"/>
    <w:rsid w:val="7873289B"/>
    <w:rsid w:val="788259A6"/>
    <w:rsid w:val="78947487"/>
    <w:rsid w:val="79077C59"/>
    <w:rsid w:val="7919798C"/>
    <w:rsid w:val="79477D4D"/>
    <w:rsid w:val="796173D3"/>
    <w:rsid w:val="79725A1A"/>
    <w:rsid w:val="79746989"/>
    <w:rsid w:val="79D00993"/>
    <w:rsid w:val="7A396538"/>
    <w:rsid w:val="7AE56F01"/>
    <w:rsid w:val="7B7A2964"/>
    <w:rsid w:val="7D1961AD"/>
    <w:rsid w:val="7D3C214F"/>
    <w:rsid w:val="7DA54217"/>
    <w:rsid w:val="7E1110D6"/>
    <w:rsid w:val="7E290672"/>
    <w:rsid w:val="7E307C52"/>
    <w:rsid w:val="7E63597C"/>
    <w:rsid w:val="7EE84089"/>
    <w:rsid w:val="7F964A16"/>
    <w:rsid w:val="7FDB006E"/>
    <w:rsid w:val="7FF6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szCs w:val="32"/>
    </w:rPr>
  </w:style>
  <w:style w:type="paragraph" w:styleId="3">
    <w:name w:val="Body Text"/>
    <w:basedOn w:val="1"/>
    <w:next w:val="4"/>
    <w:qFormat/>
    <w:uiPriority w:val="0"/>
    <w:pPr>
      <w:widowControl w:val="0"/>
      <w:spacing w:after="120"/>
      <w:jc w:val="both"/>
    </w:pPr>
    <w:rPr>
      <w:kern w:val="2"/>
      <w:sz w:val="21"/>
      <w:szCs w:val="24"/>
    </w:rPr>
  </w:style>
  <w:style w:type="paragraph" w:styleId="4">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5">
    <w:name w:val="Body Text First Indent 2"/>
    <w:basedOn w:val="1"/>
    <w:next w:val="3"/>
    <w:qFormat/>
    <w:uiPriority w:val="99"/>
    <w:pPr>
      <w:spacing w:before="100" w:beforeAutospacing="1" w:line="360" w:lineRule="auto"/>
      <w:ind w:firstLine="420"/>
    </w:pPr>
    <w:rPr>
      <w:rFonts w:eastAsia="Arial Unicode MS" w:cs="Arial Unicode MS"/>
      <w:color w:val="000000"/>
    </w:rPr>
  </w:style>
  <w:style w:type="paragraph" w:styleId="8">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9">
    <w:name w:val="Body Text Indent"/>
    <w:basedOn w:val="1"/>
    <w:next w:val="10"/>
    <w:qFormat/>
    <w:uiPriority w:val="99"/>
    <w:pPr>
      <w:spacing w:after="120"/>
      <w:ind w:left="420" w:leftChars="200"/>
    </w:pPr>
    <w:rPr>
      <w:rFonts w:ascii="Calibri" w:hAnsi="Calibri"/>
      <w:sz w:val="30"/>
      <w:szCs w:val="22"/>
    </w:rPr>
  </w:style>
  <w:style w:type="paragraph" w:styleId="10">
    <w:name w:val="envelope return"/>
    <w:basedOn w:val="1"/>
    <w:unhideWhenUsed/>
    <w:qFormat/>
    <w:uiPriority w:val="99"/>
    <w:pPr>
      <w:snapToGrid w:val="0"/>
    </w:pPr>
    <w:rPr>
      <w:rFonts w:ascii="等线 Light" w:hAnsi="等线 Light" w:eastAsia="等线 Light"/>
    </w:rPr>
  </w:style>
  <w:style w:type="paragraph" w:styleId="11">
    <w:name w:val="List 2"/>
    <w:basedOn w:val="1"/>
    <w:qFormat/>
    <w:uiPriority w:val="0"/>
    <w:pPr>
      <w:ind w:left="100" w:leftChars="200" w:hanging="200" w:hangingChars="200"/>
    </w:pPr>
  </w:style>
  <w:style w:type="paragraph" w:styleId="12">
    <w:name w:val="Block Text"/>
    <w:basedOn w:val="1"/>
    <w:qFormat/>
    <w:uiPriority w:val="99"/>
    <w:pPr>
      <w:spacing w:after="120"/>
      <w:ind w:left="1440" w:leftChars="700" w:right="1440" w:rightChars="700"/>
    </w:pPr>
  </w:style>
  <w:style w:type="paragraph" w:styleId="13">
    <w:name w:val="Plain Text"/>
    <w:basedOn w:val="1"/>
    <w:next w:val="14"/>
    <w:qFormat/>
    <w:uiPriority w:val="0"/>
    <w:rPr>
      <w:rFonts w:ascii="Courier New" w:hAnsi="Courier New" w:eastAsia="宋体" w:cs="Times New Roman"/>
      <w:szCs w:val="22"/>
    </w:rPr>
  </w:style>
  <w:style w:type="paragraph" w:styleId="14">
    <w:name w:val="index 7"/>
    <w:basedOn w:val="1"/>
    <w:next w:val="1"/>
    <w:unhideWhenUsed/>
    <w:qFormat/>
    <w:uiPriority w:val="99"/>
    <w:pPr>
      <w:ind w:left="1200" w:leftChars="1200"/>
    </w:pPr>
  </w:style>
  <w:style w:type="paragraph" w:styleId="15">
    <w:name w:val="Body Text Indent 2"/>
    <w:basedOn w:val="1"/>
    <w:qFormat/>
    <w:uiPriority w:val="0"/>
    <w:pPr>
      <w:ind w:firstLine="630"/>
    </w:pPr>
    <w:rPr>
      <w:rFonts w:ascii="宋体" w:hAnsi="宋体"/>
      <w:kern w:val="0"/>
      <w:sz w:val="32"/>
      <w:szCs w:val="32"/>
    </w:rPr>
  </w:style>
  <w:style w:type="paragraph" w:styleId="16">
    <w:name w:val="footer"/>
    <w:basedOn w:val="1"/>
    <w:unhideWhenUsed/>
    <w:qFormat/>
    <w:uiPriority w:val="99"/>
    <w:pPr>
      <w:tabs>
        <w:tab w:val="center" w:pos="4153"/>
        <w:tab w:val="right" w:pos="8306"/>
      </w:tabs>
      <w:snapToGrid w:val="0"/>
    </w:pPr>
    <w:rPr>
      <w:kern w:val="2"/>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before="120" w:after="120" w:line="276" w:lineRule="auto"/>
    </w:pPr>
    <w:rPr>
      <w:rFonts w:ascii="Calibri" w:hAnsi="Calibri" w:eastAsia="宋体" w:cs="Times New Roman"/>
      <w:b/>
      <w:bCs/>
      <w:caps/>
      <w:kern w:val="0"/>
      <w:sz w:val="22"/>
      <w:szCs w:val="20"/>
      <w:lang w:eastAsia="en-US" w:bidi="en-US"/>
    </w:rPr>
  </w:style>
  <w:style w:type="paragraph" w:styleId="1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none"/>
    </w:rPr>
  </w:style>
  <w:style w:type="character" w:styleId="25">
    <w:name w:val="Emphasis"/>
    <w:basedOn w:val="23"/>
    <w:qFormat/>
    <w:uiPriority w:val="0"/>
    <w:rPr>
      <w:i/>
    </w:rPr>
  </w:style>
  <w:style w:type="character" w:styleId="26">
    <w:name w:val="HTML Definition"/>
    <w:basedOn w:val="23"/>
    <w:qFormat/>
    <w:uiPriority w:val="0"/>
  </w:style>
  <w:style w:type="character" w:styleId="27">
    <w:name w:val="HTML Typewriter"/>
    <w:basedOn w:val="23"/>
    <w:qFormat/>
    <w:uiPriority w:val="0"/>
    <w:rPr>
      <w:rFonts w:ascii="monospace" w:hAnsi="monospace" w:eastAsia="monospace" w:cs="monospace"/>
      <w:sz w:val="20"/>
    </w:rPr>
  </w:style>
  <w:style w:type="character" w:styleId="28">
    <w:name w:val="HTML Acronym"/>
    <w:basedOn w:val="23"/>
    <w:qFormat/>
    <w:uiPriority w:val="0"/>
  </w:style>
  <w:style w:type="character" w:styleId="29">
    <w:name w:val="HTML Variable"/>
    <w:basedOn w:val="23"/>
    <w:qFormat/>
    <w:uiPriority w:val="0"/>
  </w:style>
  <w:style w:type="character" w:styleId="30">
    <w:name w:val="Hyperlink"/>
    <w:basedOn w:val="23"/>
    <w:qFormat/>
    <w:uiPriority w:val="0"/>
    <w:rPr>
      <w:color w:val="0000FF"/>
      <w:u w:val="none"/>
    </w:rPr>
  </w:style>
  <w:style w:type="character" w:styleId="31">
    <w:name w:val="HTML Code"/>
    <w:basedOn w:val="23"/>
    <w:qFormat/>
    <w:uiPriority w:val="0"/>
    <w:rPr>
      <w:rFonts w:hint="default" w:ascii="monospace" w:hAnsi="monospace" w:eastAsia="monospace" w:cs="monospace"/>
      <w:sz w:val="20"/>
    </w:rPr>
  </w:style>
  <w:style w:type="character" w:styleId="32">
    <w:name w:val="HTML Cite"/>
    <w:basedOn w:val="23"/>
    <w:qFormat/>
    <w:uiPriority w:val="0"/>
  </w:style>
  <w:style w:type="character" w:styleId="33">
    <w:name w:val="HTML Keyboard"/>
    <w:basedOn w:val="23"/>
    <w:qFormat/>
    <w:uiPriority w:val="0"/>
    <w:rPr>
      <w:rFonts w:hint="default" w:ascii="monospace" w:hAnsi="monospace" w:eastAsia="monospace" w:cs="monospace"/>
      <w:sz w:val="20"/>
    </w:rPr>
  </w:style>
  <w:style w:type="character" w:styleId="34">
    <w:name w:val="HTML Sample"/>
    <w:basedOn w:val="23"/>
    <w:qFormat/>
    <w:uiPriority w:val="0"/>
    <w:rPr>
      <w:rFonts w:hint="default" w:ascii="monospace" w:hAnsi="monospace" w:eastAsia="monospace" w:cs="monospace"/>
    </w:rPr>
  </w:style>
  <w:style w:type="paragraph" w:customStyle="1" w:styleId="35">
    <w:name w:val="Body text|2"/>
    <w:basedOn w:val="1"/>
    <w:autoRedefine/>
    <w:qFormat/>
    <w:uiPriority w:val="0"/>
    <w:pPr>
      <w:widowControl w:val="0"/>
      <w:shd w:val="clear" w:color="auto" w:fill="auto"/>
      <w:spacing w:line="413" w:lineRule="auto"/>
      <w:ind w:firstLine="400"/>
    </w:pPr>
    <w:rPr>
      <w:rFonts w:ascii="宋体" w:hAnsi="宋体" w:eastAsia="宋体" w:cs="宋体"/>
      <w:sz w:val="26"/>
      <w:szCs w:val="26"/>
      <w:u w:val="none"/>
      <w:shd w:val="clear" w:color="auto" w:fill="auto"/>
      <w:lang w:val="zh-TW" w:eastAsia="zh-TW" w:bidi="zh-TW"/>
    </w:rPr>
  </w:style>
  <w:style w:type="paragraph" w:customStyle="1" w:styleId="36">
    <w:name w:val="style4"/>
    <w:basedOn w:val="1"/>
    <w:next w:val="37"/>
    <w:qFormat/>
    <w:uiPriority w:val="0"/>
    <w:pPr>
      <w:widowControl/>
      <w:spacing w:before="280" w:after="280"/>
    </w:pPr>
    <w:rPr>
      <w:rFonts w:ascii="宋体"/>
      <w:sz w:val="18"/>
    </w:rPr>
  </w:style>
  <w:style w:type="paragraph" w:customStyle="1" w:styleId="3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8">
    <w:name w:val="Table Text"/>
    <w:basedOn w:val="1"/>
    <w:semiHidden/>
    <w:qFormat/>
    <w:uiPriority w:val="0"/>
    <w:rPr>
      <w:rFonts w:ascii="宋体" w:hAnsi="宋体" w:eastAsia="宋体" w:cs="宋体"/>
      <w:sz w:val="28"/>
      <w:szCs w:val="28"/>
      <w:lang w:val="en-US" w:eastAsia="en-US" w:bidi="ar-SA"/>
    </w:rPr>
  </w:style>
  <w:style w:type="paragraph" w:customStyle="1" w:styleId="39">
    <w:name w:val="Default"/>
    <w:basedOn w:val="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41">
    <w:name w:val="文档正文5"/>
    <w:basedOn w:val="8"/>
    <w:qFormat/>
    <w:uiPriority w:val="0"/>
    <w:pPr>
      <w:autoSpaceDE w:val="0"/>
      <w:autoSpaceDN w:val="0"/>
      <w:snapToGrid w:val="0"/>
      <w:spacing w:line="440" w:lineRule="exact"/>
      <w:ind w:firstLine="505"/>
    </w:pPr>
    <w:rPr>
      <w:spacing w:val="4"/>
    </w:rPr>
  </w:style>
  <w:style w:type="character" w:customStyle="1" w:styleId="42">
    <w:name w:val="layui-layer-tabnow"/>
    <w:basedOn w:val="23"/>
    <w:qFormat/>
    <w:uiPriority w:val="0"/>
    <w:rPr>
      <w:bdr w:val="single" w:color="CCCCCC" w:sz="6" w:space="0"/>
      <w:shd w:val="clear" w:fill="FFFFFF"/>
    </w:rPr>
  </w:style>
  <w:style w:type="character" w:customStyle="1" w:styleId="43">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41379</Words>
  <Characters>44356</Characters>
  <Lines>0</Lines>
  <Paragraphs>0</Paragraphs>
  <TotalTime>0</TotalTime>
  <ScaleCrop>false</ScaleCrop>
  <LinksUpToDate>false</LinksUpToDate>
  <CharactersWithSpaces>44760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2025-09-26T00:33:00Z</dcterms:created>
  <dc:creator>ASUS</dc:creator>
  <cp:lastModifiedBy>心平气和</cp:lastModifiedBy>
  <cp:lastPrinted>2025-10-28T09:16:00Z</cp:lastPrinted>
  <dcterms:modified xsi:type="dcterms:W3CDTF">2025-10-28T11:27:01Z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eyJoZGlkIjoiN2M5NmM1MTNjMWZjMzMyNTNjYjMxOWZjOTBlZmI2ZmEiLCJ1c2VySWQiOiIxNzI4MzY4MDQwIn0=</vt:lpwstr>
  </property>
  <property fmtid="{D5CDD505-2E9C-101B-9397-08002B2CF9AE}" pid="4" name="ICV">
    <vt:lpwstr>A7C395C797E1449D8969B4C55AD605DC_13</vt:lpwstr>
  </property>
</Properties>
</file>