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25" w:firstLineChars="2000"/>
        <w:rPr>
          <w:b/>
          <w:bCs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>质量追溯系统</w:t>
      </w:r>
    </w:p>
    <w:tbl>
      <w:tblPr>
        <w:tblStyle w:val="7"/>
        <w:tblpPr w:leftFromText="180" w:rightFromText="180" w:vertAnchor="text" w:horzAnchor="page" w:tblpX="1847" w:tblpY="138"/>
        <w:tblOverlap w:val="never"/>
        <w:tblW w:w="135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17"/>
        <w:gridCol w:w="738"/>
        <w:gridCol w:w="1525"/>
        <w:gridCol w:w="8138"/>
        <w:gridCol w:w="923"/>
        <w:gridCol w:w="958"/>
        <w:gridCol w:w="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4" w:hRule="atLeast"/>
        </w:trPr>
        <w:tc>
          <w:tcPr>
            <w:tcW w:w="1155" w:type="dxa"/>
            <w:gridSpan w:val="2"/>
            <w:noWrap w:val="0"/>
            <w:vAlign w:val="center"/>
          </w:tcPr>
          <w:p>
            <w:pPr>
              <w:pStyle w:val="10"/>
              <w:snapToGrid w:val="0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  <w:t>建设内容</w:t>
            </w:r>
          </w:p>
        </w:tc>
        <w:tc>
          <w:tcPr>
            <w:tcW w:w="1525" w:type="dxa"/>
            <w:noWrap w:val="0"/>
            <w:vAlign w:val="center"/>
          </w:tcPr>
          <w:p>
            <w:pPr>
              <w:pStyle w:val="10"/>
              <w:snapToGrid w:val="0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  <w:t>备注</w:t>
            </w:r>
          </w:p>
        </w:tc>
        <w:tc>
          <w:tcPr>
            <w:tcW w:w="8138" w:type="dxa"/>
            <w:noWrap w:val="0"/>
            <w:vAlign w:val="center"/>
          </w:tcPr>
          <w:p>
            <w:pPr>
              <w:pStyle w:val="10"/>
              <w:snapToGrid w:val="0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  <w:lang w:val="en-US" w:eastAsia="zh-CN"/>
              </w:rPr>
              <w:t>参数</w:t>
            </w:r>
          </w:p>
        </w:tc>
        <w:tc>
          <w:tcPr>
            <w:tcW w:w="923" w:type="dxa"/>
            <w:noWrap w:val="0"/>
            <w:vAlign w:val="center"/>
          </w:tcPr>
          <w:p>
            <w:pPr>
              <w:pStyle w:val="10"/>
              <w:snapToGrid w:val="0"/>
              <w:rPr>
                <w:rFonts w:hint="default" w:ascii="宋体" w:hAnsi="宋体" w:eastAsia="宋体" w:cs="宋体"/>
                <w:b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  <w:lang w:val="en-US" w:eastAsia="zh-CN"/>
              </w:rPr>
              <w:t>单价</w:t>
            </w:r>
          </w:p>
        </w:tc>
        <w:tc>
          <w:tcPr>
            <w:tcW w:w="958" w:type="dxa"/>
            <w:noWrap w:val="0"/>
            <w:vAlign w:val="center"/>
          </w:tcPr>
          <w:p>
            <w:pPr>
              <w:pStyle w:val="10"/>
              <w:snapToGrid w:val="0"/>
              <w:rPr>
                <w:rFonts w:hint="default" w:ascii="宋体" w:hAnsi="宋体" w:eastAsia="宋体" w:cs="宋体"/>
                <w:b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842" w:type="dxa"/>
            <w:noWrap w:val="0"/>
            <w:vAlign w:val="center"/>
          </w:tcPr>
          <w:p>
            <w:pPr>
              <w:pStyle w:val="10"/>
              <w:snapToGrid w:val="0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</w:trPr>
        <w:tc>
          <w:tcPr>
            <w:tcW w:w="417" w:type="dxa"/>
            <w:vMerge w:val="restart"/>
            <w:noWrap/>
            <w:vAlign w:val="center"/>
          </w:tcPr>
          <w:p>
            <w:pPr>
              <w:pStyle w:val="10"/>
              <w:snapToGrid w:val="0"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质量追溯系统</w:t>
            </w:r>
          </w:p>
        </w:tc>
        <w:tc>
          <w:tcPr>
            <w:tcW w:w="738" w:type="dxa"/>
            <w:noWrap/>
            <w:vAlign w:val="center"/>
          </w:tcPr>
          <w:p>
            <w:pPr>
              <w:pStyle w:val="10"/>
              <w:snapToGrid w:val="0"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农药速测仪</w:t>
            </w:r>
          </w:p>
        </w:tc>
        <w:tc>
          <w:tcPr>
            <w:tcW w:w="1525" w:type="dxa"/>
            <w:vMerge w:val="restart"/>
            <w:noWrap w:val="0"/>
            <w:vAlign w:val="center"/>
          </w:tcPr>
          <w:p>
            <w:pPr>
              <w:pStyle w:val="10"/>
              <w:snapToGrid w:val="0"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农残速测仪、溯源打印系统、信息收集、二维码制作</w:t>
            </w:r>
          </w:p>
        </w:tc>
        <w:tc>
          <w:tcPr>
            <w:tcW w:w="81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ind w:left="0" w:leftChars="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1.安卓智能操作系统，采用更加高效和人性化操作，仪器可连接网线或wifi、快速上传数据，可以插入手机流量卡，具有GPRS远传功能。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ind w:left="0" w:leftChars="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2.仪器带有监管平台。可将检测数据上传到监管平台，利用平台进行数据监测与数据统计。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ind w:left="0" w:leftChars="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3.一体化主机,包含食品安全检测模块、多通道农药残留检测模块、胶体金免疫层析检测模块。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ind w:left="0" w:leftChars="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4.一体化便携式快检设备，满足现场及流动检测使用需求，能够在同一软件下实现所有检测项目的检测，并可通过同一窗口直观显示检测结果。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ind w:left="0" w:leftChars="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5.胶体金模块检测方式：轨道式自动传输扫描，检测完成后自动退出试纸。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ind w:left="0" w:leftChars="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6.CT线自动识别，无需手动调整。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ind w:left="0" w:leftChars="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7.仪器具有品类多种类样品菜单库，可灵活选择检测样品，不同的检测通道可同时检测不同的样品项目。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ind w:left="0" w:leftChars="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8.样品处理简单省力，整体操作快速、安全、便捷。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ind w:left="0" w:leftChars="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9.具有语音播报功能，更加高用户操作体验。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ind w:left="0" w:leftChars="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10.仪器具有自身保护功能，可设置用户名及密码，防止非工作人员操作等。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ind w:left="0" w:leftChars="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11.高灵敏度，高检测精度，高重复性精度，扫描式高精度光学传感器。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ind w:left="0" w:leftChars="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12.内置强大的数据库，可在仪器上直接选择样品名称、检测指标、送检单位等信息，也可在仪器上直接编辑录入样品名称、检测指标、送检单位等信息并保存进样品数据库。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ind w:left="0" w:leftChars="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FFFFFF"/>
                <w:lang w:val="en-US" w:eastAsia="zh-CN"/>
              </w:rPr>
              <w:t>13.</w:t>
            </w: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FFFFFF"/>
              </w:rPr>
              <w:t>仪器具有重新校准、锁定、恢复出厂设置功能。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ind w:left="0" w:leftChars="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14.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支持U盘存储。 结果判定线可修改，对照值标定值可保存，断电不丢失数据。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ind w:left="0" w:leftChars="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兼容市场上所有的胶体金卡，使用耗材不受限制，极大增强用户使用体验。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ind w:left="0" w:leftChars="0" w:righ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15、主控芯片采用≥32位处理器，运转速度更快，稳定性强。 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ind w:left="0" w:leftChars="0" w:righ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16、显示方式：≥7英寸液晶触摸屏显示，人性化中文操作界面，读数直观、简单。 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ind w:left="0" w:leftChars="0" w:righ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17、直流供电，可连接车载电源。 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ind w:left="0" w:leftChars="0" w:righ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18、≥6个检测通道；单波长冷光源，每个通道均配置410、520、590、630nm波长光源，标配先进的光路切换装置，专利光路切换功能可实现最多64波长，并且所有检测项目可实现所有通道同时检测。 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ind w:leftChars="0" w:right="0" w:right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19、光源亮度自动调节与校准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20、脉冲式恒流驱动，避免连续发光引起光衰和温漂。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21、内置国家限量标准，可继续更新。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22、可设置密码登录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23、不间断进样，连续检测，样本编号自动累加。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24、检测项目可扩充。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25、检测结果可批量打印，批量上传。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26、检测结果为Excel表格，连接电脑即可拷贝。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27、检测结果存储容量≥20万条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28、支持Wifi网络，数据可局域网和互联网数据上传，检测结果直接传至食品安全监管平台。进行区域食品安全监管及大数据分析处理，检测区域食品安全长短期动态，达到食品安全问题预估、预警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29、高速热敏打印机，检测完成可自动打印检测报告。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30、标准USB接口，免驱动安装；固件可升级 </w:t>
            </w:r>
          </w:p>
        </w:tc>
        <w:tc>
          <w:tcPr>
            <w:tcW w:w="9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ind w:leftChars="0" w:right="0" w:rightChars="0"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3万</w:t>
            </w:r>
          </w:p>
        </w:tc>
        <w:tc>
          <w:tcPr>
            <w:tcW w:w="95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ind w:leftChars="0" w:right="0" w:rightChars="0"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3套</w:t>
            </w:r>
          </w:p>
        </w:tc>
        <w:tc>
          <w:tcPr>
            <w:tcW w:w="8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ind w:leftChars="0" w:right="0" w:rightChars="0"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22" w:hRule="atLeast"/>
        </w:trPr>
        <w:tc>
          <w:tcPr>
            <w:tcW w:w="417" w:type="dxa"/>
            <w:vMerge w:val="continue"/>
            <w:noWrap/>
            <w:vAlign w:val="center"/>
          </w:tcPr>
          <w:p>
            <w:pPr>
              <w:pStyle w:val="10"/>
              <w:snapToGrid w:val="0"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38" w:type="dxa"/>
            <w:noWrap/>
            <w:vAlign w:val="center"/>
          </w:tcPr>
          <w:p>
            <w:pPr>
              <w:pStyle w:val="10"/>
              <w:snapToGrid w:val="0"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电脑打印</w:t>
            </w:r>
          </w:p>
        </w:tc>
        <w:tc>
          <w:tcPr>
            <w:tcW w:w="1525" w:type="dxa"/>
            <w:vMerge w:val="continue"/>
            <w:noWrap w:val="0"/>
            <w:vAlign w:val="center"/>
          </w:tcPr>
          <w:p>
            <w:pPr>
              <w:pStyle w:val="10"/>
              <w:snapToGrid w:val="0"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138" w:type="dxa"/>
            <w:noWrap w:val="0"/>
            <w:vAlign w:val="center"/>
          </w:tcPr>
          <w:p>
            <w:pPr>
              <w:pStyle w:val="10"/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产品类型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台式工作站</w:t>
            </w:r>
          </w:p>
          <w:p>
            <w:pPr>
              <w:pStyle w:val="10"/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CPU：Intel Core I9-12900处理器</w:t>
            </w:r>
          </w:p>
          <w:p>
            <w:pPr>
              <w:pStyle w:val="10"/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主板：Intel Q670及以上芯片组</w:t>
            </w:r>
          </w:p>
          <w:p>
            <w:pPr>
              <w:pStyle w:val="10"/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内存：16GB DDR4 3200MHz 内存，提供4个内存槽位</w:t>
            </w:r>
          </w:p>
          <w:p>
            <w:pPr>
              <w:pStyle w:val="10"/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显卡：配置NVIDIA GTX3060 12GB 独立显卡</w:t>
            </w:r>
          </w:p>
          <w:p>
            <w:pPr>
              <w:pStyle w:val="10"/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声卡：集成声卡，支持5.1声道(提供前2后3共5个音频接口)</w:t>
            </w:r>
          </w:p>
          <w:p>
            <w:pPr>
              <w:pStyle w:val="10"/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硬盘：512G M.2 NVME 固态硬盘+2TB SATA3 7200rpm 硬盘；</w:t>
            </w:r>
          </w:p>
          <w:p>
            <w:pPr>
              <w:pStyle w:val="10"/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网卡:主板集成2.5G有线网卡</w:t>
            </w:r>
          </w:p>
          <w:p>
            <w:pPr>
              <w:pStyle w:val="10"/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显示器：23.8寸液晶显示器</w:t>
            </w:r>
          </w:p>
          <w:p>
            <w:pPr>
              <w:pStyle w:val="10"/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扩展槽：1个PCI-E*16、2个PCI-E*4槽位</w:t>
            </w:r>
          </w:p>
          <w:p>
            <w:pPr>
              <w:pStyle w:val="10"/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键盘、鼠标：原厂防水键盘、抗菌鼠标；</w:t>
            </w:r>
          </w:p>
          <w:p>
            <w:pPr>
              <w:pStyle w:val="10"/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接口：9个USB接口(其中前置5个USB 3.2 )、VGA+1*HDMI+DP接口（VGA非转接）； </w:t>
            </w:r>
          </w:p>
          <w:p>
            <w:pPr>
              <w:pStyle w:val="10"/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电源：110/220V 500W 80Plus白金电源</w:t>
            </w:r>
          </w:p>
          <w:p>
            <w:pPr>
              <w:pStyle w:val="10"/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操作系统：预装Windows 正版操作系统 </w:t>
            </w:r>
          </w:p>
          <w:p>
            <w:pPr>
              <w:pStyle w:val="10"/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安全特性：USB屏蔽技术，仅识别USB键盘、鼠标，无法识别USB读取设备，有效防止数据泄露； </w:t>
            </w:r>
          </w:p>
          <w:p>
            <w:pPr>
              <w:pStyle w:val="10"/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机箱：标准MATX立式机箱，采用蜂窝结构，散热更为有效；</w:t>
            </w:r>
          </w:p>
          <w:p>
            <w:pPr>
              <w:pStyle w:val="10"/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机箱17L，免工具拆卸，顶置提手，方便搬运，顶置电源开关键，方便使用；                   </w:t>
            </w:r>
          </w:p>
          <w:p>
            <w:pPr>
              <w:pStyle w:val="10"/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为了保证检测数据的完整性、安全性和连续性需要硬件设备厂商具备以下条件：</w:t>
            </w:r>
          </w:p>
          <w:p>
            <w:pPr>
              <w:pStyle w:val="10"/>
              <w:numPr>
                <w:ilvl w:val="0"/>
                <w:numId w:val="1"/>
              </w:numPr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售后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</w:rPr>
              <w:t>服务：三年有限保修免费上门，24小时电话相应，第二自然日上门，365天全年无休，计算机生产厂商能够通过微信服务平台提供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。</w:t>
            </w:r>
          </w:p>
          <w:p>
            <w:pPr>
              <w:pStyle w:val="10"/>
              <w:numPr>
                <w:ilvl w:val="0"/>
                <w:numId w:val="1"/>
              </w:numPr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</w:rPr>
              <w:t>预约报修、通过扫码添加设备并进行设备管理等功能（提供功能截图）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。</w:t>
            </w:r>
          </w:p>
          <w:p>
            <w:pPr>
              <w:pStyle w:val="10"/>
              <w:numPr>
                <w:ilvl w:val="0"/>
                <w:numId w:val="0"/>
              </w:numPr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>
            <w:pPr>
              <w:pStyle w:val="10"/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商用打印机</w:t>
            </w:r>
          </w:p>
          <w:p>
            <w:pPr>
              <w:pStyle w:val="10"/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打印方式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热敏或热转印</w:t>
            </w:r>
            <w:bookmarkStart w:id="0" w:name="_GoBack"/>
            <w:bookmarkEnd w:id="0"/>
          </w:p>
          <w:p>
            <w:pPr>
              <w:pStyle w:val="10"/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打印分辨率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12点/mm</w:t>
            </w:r>
          </w:p>
          <w:p>
            <w:pPr>
              <w:pStyle w:val="10"/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打印速度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每秒6英寸/152mm</w:t>
            </w:r>
          </w:p>
          <w:p>
            <w:pPr>
              <w:pStyle w:val="10"/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打印长度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73英寸/1854mm</w:t>
            </w:r>
          </w:p>
          <w:p>
            <w:pPr>
              <w:pStyle w:val="10"/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用途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标签打印，条码打印</w:t>
            </w:r>
          </w:p>
          <w:p>
            <w:pPr>
              <w:pStyle w:val="10"/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打印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性能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：</w:t>
            </w:r>
          </w:p>
          <w:p>
            <w:pPr>
              <w:pStyle w:val="10"/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条形码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条码：Code 11、Code 39、Code 93、带有 A/B/C 子集的 Code 128 和 UCC Case Codes、ISBT-128、UPC-A、UPC-E、EAN-8、EAN-13、UPC 和 EAN 2 位或 5 位扩展、Plessey、Postnet、Standard 2-of-5、Industrial 2-of-5、Interleaved 2-of-5、Logmars、MSI、Codabar、Planet Code二维条码：Aztec、Codablock、PDF417、Code 49、Data Matrix、MaxiCode、QR Code、MicroPDF417、TLC 39、RSS-14（和附加码）</w:t>
            </w:r>
          </w:p>
          <w:p>
            <w:pPr>
              <w:pStyle w:val="10"/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字体/字符集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七种点阵字体，一种平滑向量字体（CG TriumvirateTM 粗体压缩字） 包括 Agfa Monotype Corporation 的 UFST 为 EMEA 字符集预装符合 Unicode 的可伸缩字体支持下列代码页的国际字符集 IBM Code Page 850支持用户定义的字体与图形 — 包括定制徽标ZPL II 绘图命令 — 包括方框与线条</w:t>
            </w:r>
          </w:p>
          <w:p>
            <w:pPr>
              <w:pStyle w:val="10"/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通讯接口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USB2.0接口，RS-232串行端口</w:t>
            </w:r>
          </w:p>
          <w:p>
            <w:pPr>
              <w:pStyle w:val="10"/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存储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128MB（4MB用户可用）</w:t>
            </w:r>
          </w:p>
          <w:p>
            <w:pPr>
              <w:pStyle w:val="10"/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介质传感器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传输式和反射式</w:t>
            </w:r>
          </w:p>
          <w:p>
            <w:pPr>
              <w:pStyle w:val="10"/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介质类型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连续纸，模切纸，标签纸，黑标纸</w:t>
            </w:r>
          </w:p>
          <w:p>
            <w:pPr>
              <w:pStyle w:val="10"/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介质长度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39英寸（991mm）</w:t>
            </w:r>
          </w:p>
          <w:p>
            <w:pPr>
              <w:pStyle w:val="10"/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介质宽度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0.75-4.5英寸（19.4-114mm）</w:t>
            </w:r>
          </w:p>
          <w:p>
            <w:pPr>
              <w:pStyle w:val="10"/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介质厚度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0.003-0.010英寸（0.076-0.25mm）</w:t>
            </w:r>
          </w:p>
          <w:p>
            <w:pPr>
              <w:pStyle w:val="10"/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卷芯直径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外径：6英寸（152mm），内径：1.0英寸（25mm）</w:t>
            </w:r>
          </w:p>
          <w:p>
            <w:pPr>
              <w:pStyle w:val="10"/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碳带设置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仅限热转印选项：碳带墨面向外卷绕，卷芯对卷芯</w:t>
            </w:r>
          </w:p>
          <w:p>
            <w:pPr>
              <w:pStyle w:val="10"/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碳带长度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1476英尺/450m</w:t>
            </w:r>
          </w:p>
          <w:p>
            <w:pPr>
              <w:pStyle w:val="10"/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碳带宽度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1.57-4.33英寸/40-110mm</w:t>
            </w:r>
          </w:p>
          <w:p>
            <w:pPr>
              <w:pStyle w:val="10"/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碳带比率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3:1</w:t>
            </w:r>
          </w:p>
        </w:tc>
        <w:tc>
          <w:tcPr>
            <w:tcW w:w="923" w:type="dxa"/>
            <w:noWrap w:val="0"/>
            <w:vAlign w:val="center"/>
          </w:tcPr>
          <w:p>
            <w:pPr>
              <w:pStyle w:val="10"/>
              <w:snapToGrid w:val="0"/>
              <w:spacing w:line="30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4万</w:t>
            </w:r>
          </w:p>
        </w:tc>
        <w:tc>
          <w:tcPr>
            <w:tcW w:w="958" w:type="dxa"/>
            <w:noWrap w:val="0"/>
            <w:vAlign w:val="center"/>
          </w:tcPr>
          <w:p>
            <w:pPr>
              <w:pStyle w:val="10"/>
              <w:snapToGrid w:val="0"/>
              <w:spacing w:line="30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1套</w:t>
            </w:r>
          </w:p>
        </w:tc>
        <w:tc>
          <w:tcPr>
            <w:tcW w:w="842" w:type="dxa"/>
            <w:noWrap w:val="0"/>
            <w:vAlign w:val="center"/>
          </w:tcPr>
          <w:p>
            <w:pPr>
              <w:pStyle w:val="10"/>
              <w:snapToGrid w:val="0"/>
              <w:spacing w:line="30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4万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0" w:hRule="atLeast"/>
        </w:trPr>
        <w:tc>
          <w:tcPr>
            <w:tcW w:w="417" w:type="dxa"/>
            <w:vMerge w:val="continue"/>
            <w:noWrap/>
            <w:vAlign w:val="center"/>
          </w:tcPr>
          <w:p>
            <w:pPr>
              <w:pStyle w:val="10"/>
              <w:snapToGrid w:val="0"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38" w:type="dxa"/>
            <w:noWrap/>
            <w:vAlign w:val="center"/>
          </w:tcPr>
          <w:p>
            <w:pPr>
              <w:pStyle w:val="10"/>
              <w:snapToGrid w:val="0"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政府监管子系统</w:t>
            </w:r>
          </w:p>
        </w:tc>
        <w:tc>
          <w:tcPr>
            <w:tcW w:w="1525" w:type="dxa"/>
            <w:noWrap w:val="0"/>
            <w:vAlign w:val="center"/>
          </w:tcPr>
          <w:p>
            <w:pPr>
              <w:pStyle w:val="10"/>
              <w:snapToGrid w:val="0"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对溯源企业登记上报信息进行审核；企业产品监管；溯源码管理</w:t>
            </w:r>
          </w:p>
        </w:tc>
        <w:tc>
          <w:tcPr>
            <w:tcW w:w="8138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ind w:left="0" w:left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企业信息和基本资料管理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;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数据码包的管理和下载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;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生产关联数据的接收和存储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;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追溯系统平台无缝对接现有的ERP/WMS等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ind w:left="0" w:left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1、企业信息审核：政府主管部门对溯源企业登记上报信息进行审核，以政府监管的方式为溯源企业提供信用背书；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ind w:left="0" w:left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2、企业产品监管：对企业上报的溯源产品信息进行监管，包括基本信息、生长信息、投入品信息、采收信息、病虫报告、加工信息、品质认证信息等；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ind w:left="0" w:left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3、溯源码管理：建立统一的溯源码发放机制，企业进行申请溯源码用量、溯源产品说明。政府审核企业溯源申请，符合发放要求，进行溯源码发放。</w:t>
            </w:r>
          </w:p>
        </w:tc>
        <w:tc>
          <w:tcPr>
            <w:tcW w:w="923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ind w:left="0" w:leftChars="0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9万</w:t>
            </w:r>
          </w:p>
        </w:tc>
        <w:tc>
          <w:tcPr>
            <w:tcW w:w="958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ind w:left="0" w:leftChars="0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1套</w:t>
            </w:r>
          </w:p>
        </w:tc>
        <w:tc>
          <w:tcPr>
            <w:tcW w:w="842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ind w:left="0" w:leftChars="0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0" w:hRule="atLeast"/>
        </w:trPr>
        <w:tc>
          <w:tcPr>
            <w:tcW w:w="417" w:type="dxa"/>
            <w:vMerge w:val="continue"/>
            <w:noWrap/>
            <w:vAlign w:val="center"/>
          </w:tcPr>
          <w:p>
            <w:pPr>
              <w:pStyle w:val="10"/>
              <w:snapToGrid w:val="0"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38" w:type="dxa"/>
            <w:noWrap/>
            <w:vAlign w:val="center"/>
          </w:tcPr>
          <w:p>
            <w:pPr>
              <w:pStyle w:val="10"/>
              <w:snapToGrid w:val="0"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经营主体子系统</w:t>
            </w:r>
          </w:p>
        </w:tc>
        <w:tc>
          <w:tcPr>
            <w:tcW w:w="1525" w:type="dxa"/>
            <w:noWrap w:val="0"/>
            <w:vAlign w:val="center"/>
          </w:tcPr>
          <w:p>
            <w:pPr>
              <w:pStyle w:val="10"/>
              <w:snapToGrid w:val="0"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企业产品生产、加工、认证等环节信息上报及溯源码申请</w:t>
            </w:r>
          </w:p>
        </w:tc>
        <w:tc>
          <w:tcPr>
            <w:tcW w:w="8138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企业信息和基本资料管理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;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数据码包的下载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;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生产关联数据的接收和存储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;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追溯系统平台无缝对接现有的ERP/WMS等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1、企业信息上报：溯源企业在平台上报、维护本企业的相关信息；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2、产品信息上报：溯源企业在平台上维护、上报本企业生产的农产品基础信息，包括产品名称，生产时间，生产地点等；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3、产品生长信息：企业根据生产产品性质，建立产品的生长信息。包含生长地块名称、地点、生长周期、生长批次、生长过程农事记录（图片、视频、文字介绍）、投入品使用情况等；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4、产品病虫害报告：企业建立产品生长过程中的遇到的病害、虫害情况，形成报告，及时上报。报告内容包含病、虫害名称、发生时间、影响范围、是否影响产量、发生地点、图文结合的详细描述等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5、投入品信息：各企业建立企业投入品信息，对投入品进行统一管理。包含投入品入库、出库、库存管理，实现投入品规范使用；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6、采收信息：记录生产产品的采收信息，采收信息同一通过平台进行上报。采收信息包含产品名称、采收时间、采收量、采收方式、采收说明等；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7、加工信息：建立各产品的加工信息，包含产品名称、加工方式、加工结果、加工时间、加工地点、企业自加工还是第三方加工等信息；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8、品质认证：企业按照系统要求对自己的产品进行品质认证报告，认证报告包含认证机构名称、地址、联系电话、认证结果、认证报告图片等内容；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9、溯源码申请：企业根据要求进行溯源码申请要求通过系统进行申请。申请的溯源码需要通过政府审核，审核通过后方可进行使用。</w:t>
            </w:r>
          </w:p>
        </w:tc>
        <w:tc>
          <w:tcPr>
            <w:tcW w:w="923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9万</w:t>
            </w:r>
          </w:p>
        </w:tc>
        <w:tc>
          <w:tcPr>
            <w:tcW w:w="958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1套</w:t>
            </w:r>
          </w:p>
        </w:tc>
        <w:tc>
          <w:tcPr>
            <w:tcW w:w="842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left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0" w:hRule="atLeast"/>
        </w:trPr>
        <w:tc>
          <w:tcPr>
            <w:tcW w:w="417" w:type="dxa"/>
            <w:vMerge w:val="continue"/>
            <w:noWrap/>
            <w:vAlign w:val="center"/>
          </w:tcPr>
          <w:p>
            <w:pPr>
              <w:pStyle w:val="10"/>
              <w:snapToGrid w:val="0"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38" w:type="dxa"/>
            <w:noWrap/>
            <w:vAlign w:val="center"/>
          </w:tcPr>
          <w:p>
            <w:pPr>
              <w:pStyle w:val="10"/>
              <w:snapToGrid w:val="0"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ERP追溯系统</w:t>
            </w:r>
          </w:p>
        </w:tc>
        <w:tc>
          <w:tcPr>
            <w:tcW w:w="1525" w:type="dxa"/>
            <w:noWrap w:val="0"/>
            <w:vAlign w:val="center"/>
          </w:tcPr>
          <w:p>
            <w:pPr>
              <w:pStyle w:val="10"/>
              <w:snapToGrid w:val="0"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全供应链管理、云追溯，软硬件</w:t>
            </w:r>
          </w:p>
        </w:tc>
        <w:tc>
          <w:tcPr>
            <w:tcW w:w="8138" w:type="dxa"/>
            <w:noWrap w:val="0"/>
            <w:vAlign w:val="center"/>
          </w:tcPr>
          <w:p>
            <w:pPr>
              <w:pStyle w:val="10"/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.质量追踪：输入追溯的批次，查询产品追溯信息包括产品销售信息、产品入库信息、产品完工信息、生产领料信息以及主要原料信息；追溯的销售信息包括订单编号、订单日期、客户名称、销售出库单号、出库日期、产品名称、出库批次等信息；</w:t>
            </w:r>
          </w:p>
          <w:p>
            <w:pPr>
              <w:pStyle w:val="10"/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2.产品销售：输入追溯号，可追溯的成品入库信息包括成品入库单号、入库日期、入库仓库、入库批次号、入库数量、生产任务号等信息；</w:t>
            </w:r>
          </w:p>
          <w:p>
            <w:pPr>
              <w:pStyle w:val="10"/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3.成品入库：输入追溯号，可追溯的产品加工工艺信息包括产品加工工艺名称、生产设备类型、设备名称、产品加工开始时间、结束时间、产品加工数量、料废、工废数、加工批次号等信息；</w:t>
            </w:r>
          </w:p>
          <w:p>
            <w:pPr>
              <w:pStyle w:val="10"/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4.工艺加工：输入追溯号，可追溯的产品领料信息包括物料供应来源、物料名称、物料型号、来源仓库、来源库位、领用数量、物料领用批号等信息；</w:t>
            </w:r>
          </w:p>
          <w:p>
            <w:pPr>
              <w:pStyle w:val="10"/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5.生产领料：对于存在质量问题的产品，在双击计划单号后，可以查看计划单号对应的原料基本信息，如入库批次、供应商、供应时间、业务员等；</w:t>
            </w:r>
          </w:p>
          <w:p>
            <w:pPr>
              <w:pStyle w:val="10"/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6.扩展功能：软件支持拓展其他业务管理内容，例如：销售管理、客户关系管理、采购管理、条码管理、设备管理、项目管理、OA等。</w:t>
            </w:r>
          </w:p>
        </w:tc>
        <w:tc>
          <w:tcPr>
            <w:tcW w:w="923" w:type="dxa"/>
            <w:noWrap w:val="0"/>
            <w:vAlign w:val="center"/>
          </w:tcPr>
          <w:p>
            <w:pPr>
              <w:pStyle w:val="10"/>
              <w:snapToGrid w:val="0"/>
              <w:spacing w:line="300" w:lineRule="exact"/>
              <w:jc w:val="left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11万</w:t>
            </w:r>
          </w:p>
        </w:tc>
        <w:tc>
          <w:tcPr>
            <w:tcW w:w="958" w:type="dxa"/>
            <w:noWrap w:val="0"/>
            <w:vAlign w:val="center"/>
          </w:tcPr>
          <w:p>
            <w:pPr>
              <w:pStyle w:val="10"/>
              <w:snapToGrid w:val="0"/>
              <w:spacing w:line="300" w:lineRule="exact"/>
              <w:jc w:val="left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1套</w:t>
            </w:r>
          </w:p>
        </w:tc>
        <w:tc>
          <w:tcPr>
            <w:tcW w:w="842" w:type="dxa"/>
            <w:noWrap w:val="0"/>
            <w:vAlign w:val="center"/>
          </w:tcPr>
          <w:p>
            <w:pPr>
              <w:pStyle w:val="10"/>
              <w:snapToGrid w:val="0"/>
              <w:spacing w:line="300" w:lineRule="exact"/>
              <w:jc w:val="left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11万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0" w:hRule="atLeast"/>
        </w:trPr>
        <w:tc>
          <w:tcPr>
            <w:tcW w:w="417" w:type="dxa"/>
            <w:vMerge w:val="continue"/>
            <w:noWrap/>
            <w:vAlign w:val="center"/>
          </w:tcPr>
          <w:p>
            <w:pPr>
              <w:pStyle w:val="10"/>
              <w:snapToGrid w:val="0"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38" w:type="dxa"/>
            <w:noWrap/>
            <w:vAlign w:val="center"/>
          </w:tcPr>
          <w:p>
            <w:pPr>
              <w:pStyle w:val="10"/>
              <w:snapToGrid w:val="0"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质量追溯系统云服务器</w:t>
            </w:r>
          </w:p>
        </w:tc>
        <w:tc>
          <w:tcPr>
            <w:tcW w:w="1525" w:type="dxa"/>
            <w:noWrap w:val="0"/>
            <w:vAlign w:val="center"/>
          </w:tcPr>
          <w:p>
            <w:pPr>
              <w:pStyle w:val="10"/>
              <w:snapToGrid w:val="0"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服务器硬件</w:t>
            </w:r>
          </w:p>
        </w:tc>
        <w:tc>
          <w:tcPr>
            <w:tcW w:w="81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采用web服务器和数据库服务器分离部署的方式，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2台web服务器负载均衡，数据库服务器主从读写分离。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Web服务器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8核cpu，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32G内存，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 xml:space="preserve">1T存储；数据库服务器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8核cpu，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32G内存，存储空间10亿个码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2T。</w:t>
            </w:r>
          </w:p>
        </w:tc>
        <w:tc>
          <w:tcPr>
            <w:tcW w:w="9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8万</w:t>
            </w:r>
          </w:p>
        </w:tc>
        <w:tc>
          <w:tcPr>
            <w:tcW w:w="95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1套</w:t>
            </w:r>
          </w:p>
        </w:tc>
        <w:tc>
          <w:tcPr>
            <w:tcW w:w="8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8万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0" w:hRule="atLeast"/>
        </w:trPr>
        <w:tc>
          <w:tcPr>
            <w:tcW w:w="417" w:type="dxa"/>
            <w:vMerge w:val="continue"/>
            <w:noWrap/>
            <w:vAlign w:val="center"/>
          </w:tcPr>
          <w:p>
            <w:pPr>
              <w:pStyle w:val="10"/>
              <w:snapToGrid w:val="0"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38" w:type="dxa"/>
            <w:noWrap/>
            <w:vAlign w:val="center"/>
          </w:tcPr>
          <w:p>
            <w:pPr>
              <w:pStyle w:val="10"/>
              <w:snapToGrid w:val="0"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系统安全防护</w:t>
            </w:r>
          </w:p>
        </w:tc>
        <w:tc>
          <w:tcPr>
            <w:tcW w:w="1525" w:type="dxa"/>
            <w:noWrap w:val="0"/>
            <w:vAlign w:val="center"/>
          </w:tcPr>
          <w:p>
            <w:pPr>
              <w:pStyle w:val="10"/>
              <w:snapToGrid w:val="0"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APP云安全检测</w:t>
            </w:r>
          </w:p>
        </w:tc>
        <w:tc>
          <w:tcPr>
            <w:tcW w:w="8138" w:type="dxa"/>
            <w:noWrap w:val="0"/>
            <w:vAlign w:val="center"/>
          </w:tcPr>
          <w:p>
            <w:pPr>
              <w:pStyle w:val="10"/>
              <w:numPr>
                <w:ilvl w:val="0"/>
                <w:numId w:val="3"/>
              </w:numPr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Web全线防护，WAF高防集群实时检测防护，保障用户网站业务安全稳定。</w:t>
            </w:r>
          </w:p>
          <w:p>
            <w:pPr>
              <w:pStyle w:val="10"/>
              <w:numPr>
                <w:ilvl w:val="0"/>
                <w:numId w:val="3"/>
              </w:numPr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云漏扫支持对云内外主机系统、网站进行主机脆弱性扫描、WEB 脆弱性扫描、弱口令检测，</w:t>
            </w:r>
          </w:p>
          <w:p>
            <w:pPr>
              <w:pStyle w:val="10"/>
              <w:numPr>
                <w:ilvl w:val="0"/>
                <w:numId w:val="3"/>
              </w:numPr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APP 检测服务以 SAAS 化服务模式针对 Android和 iOS 两大平台，呈现详细的安全问题详情并提供修复示例。</w:t>
            </w:r>
          </w:p>
          <w:p>
            <w:pPr>
              <w:pStyle w:val="10"/>
              <w:numPr>
                <w:ilvl w:val="0"/>
                <w:numId w:val="3"/>
              </w:numPr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云 WAF 解析技术，保障网站业务的安全可持续运营，有效提高组织的 WEB 防护的强壮性，减小品牌信誉及经济损失。</w:t>
            </w:r>
          </w:p>
          <w:p>
            <w:pPr>
              <w:pStyle w:val="10"/>
              <w:numPr>
                <w:ilvl w:val="0"/>
                <w:numId w:val="3"/>
              </w:numPr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云抗 D 域名解析技术，确保到达业务源站的访问流量是安全可信。保障客户业务的安全可持续运营。</w:t>
            </w:r>
          </w:p>
        </w:tc>
        <w:tc>
          <w:tcPr>
            <w:tcW w:w="923" w:type="dxa"/>
            <w:noWrap w:val="0"/>
            <w:vAlign w:val="center"/>
          </w:tcPr>
          <w:p>
            <w:pPr>
              <w:pStyle w:val="10"/>
              <w:numPr>
                <w:ilvl w:val="0"/>
                <w:numId w:val="0"/>
              </w:numPr>
              <w:snapToGrid w:val="0"/>
              <w:spacing w:line="30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6万</w:t>
            </w:r>
          </w:p>
        </w:tc>
        <w:tc>
          <w:tcPr>
            <w:tcW w:w="958" w:type="dxa"/>
            <w:noWrap w:val="0"/>
            <w:vAlign w:val="center"/>
          </w:tcPr>
          <w:p>
            <w:pPr>
              <w:pStyle w:val="10"/>
              <w:numPr>
                <w:ilvl w:val="0"/>
                <w:numId w:val="0"/>
              </w:numPr>
              <w:snapToGrid w:val="0"/>
              <w:spacing w:line="30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1套</w:t>
            </w:r>
          </w:p>
        </w:tc>
        <w:tc>
          <w:tcPr>
            <w:tcW w:w="842" w:type="dxa"/>
            <w:noWrap w:val="0"/>
            <w:vAlign w:val="center"/>
          </w:tcPr>
          <w:p>
            <w:pPr>
              <w:pStyle w:val="10"/>
              <w:numPr>
                <w:ilvl w:val="0"/>
                <w:numId w:val="0"/>
              </w:numPr>
              <w:snapToGrid w:val="0"/>
              <w:spacing w:line="30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6万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0" w:hRule="atLeast"/>
        </w:trPr>
        <w:tc>
          <w:tcPr>
            <w:tcW w:w="417" w:type="dxa"/>
            <w:noWrap/>
            <w:vAlign w:val="center"/>
          </w:tcPr>
          <w:p>
            <w:pPr>
              <w:pStyle w:val="10"/>
              <w:snapToGrid w:val="0"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38" w:type="dxa"/>
            <w:noWrap/>
            <w:vAlign w:val="center"/>
          </w:tcPr>
          <w:p>
            <w:pPr>
              <w:pStyle w:val="10"/>
              <w:snapToGrid w:val="0"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合计</w:t>
            </w:r>
          </w:p>
        </w:tc>
        <w:tc>
          <w:tcPr>
            <w:tcW w:w="1525" w:type="dxa"/>
            <w:noWrap w:val="0"/>
            <w:vAlign w:val="center"/>
          </w:tcPr>
          <w:p>
            <w:pPr>
              <w:pStyle w:val="10"/>
              <w:snapToGrid w:val="0"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138" w:type="dxa"/>
            <w:noWrap w:val="0"/>
            <w:vAlign w:val="center"/>
          </w:tcPr>
          <w:p>
            <w:pPr>
              <w:pStyle w:val="10"/>
              <w:numPr>
                <w:ilvl w:val="0"/>
                <w:numId w:val="0"/>
              </w:numPr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923" w:type="dxa"/>
            <w:noWrap w:val="0"/>
            <w:vAlign w:val="center"/>
          </w:tcPr>
          <w:p>
            <w:pPr>
              <w:pStyle w:val="10"/>
              <w:numPr>
                <w:ilvl w:val="0"/>
                <w:numId w:val="0"/>
              </w:numPr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958" w:type="dxa"/>
            <w:noWrap w:val="0"/>
            <w:vAlign w:val="center"/>
          </w:tcPr>
          <w:p>
            <w:pPr>
              <w:pStyle w:val="10"/>
              <w:numPr>
                <w:ilvl w:val="0"/>
                <w:numId w:val="0"/>
              </w:numPr>
              <w:snapToGrid w:val="0"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42" w:type="dxa"/>
            <w:noWrap w:val="0"/>
            <w:vAlign w:val="center"/>
          </w:tcPr>
          <w:p>
            <w:pPr>
              <w:pStyle w:val="10"/>
              <w:numPr>
                <w:ilvl w:val="0"/>
                <w:numId w:val="0"/>
              </w:numPr>
              <w:snapToGrid w:val="0"/>
              <w:spacing w:line="30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56万</w:t>
            </w:r>
          </w:p>
        </w:tc>
      </w:tr>
    </w:tbl>
    <w:p>
      <w:pPr>
        <w:ind w:left="0" w:leftChars="0" w:firstLine="0" w:firstLineChars="0"/>
      </w:pP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9FDD1C"/>
    <w:multiLevelType w:val="singleLevel"/>
    <w:tmpl w:val="159FDD1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0DB1574"/>
    <w:multiLevelType w:val="singleLevel"/>
    <w:tmpl w:val="40DB157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6E72567"/>
    <w:multiLevelType w:val="singleLevel"/>
    <w:tmpl w:val="46E7256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AxMDYyOTExZWMxZjEwODQwZTdjMmMwMjgzNTFmM2YifQ=="/>
  </w:docVars>
  <w:rsids>
    <w:rsidRoot w:val="00000000"/>
    <w:rsid w:val="0BF82035"/>
    <w:rsid w:val="0C2A22D9"/>
    <w:rsid w:val="0C6D2439"/>
    <w:rsid w:val="0CF41557"/>
    <w:rsid w:val="23820676"/>
    <w:rsid w:val="2D3C242D"/>
    <w:rsid w:val="308633B2"/>
    <w:rsid w:val="3C7B706B"/>
    <w:rsid w:val="41C736BD"/>
    <w:rsid w:val="4CC94BF4"/>
    <w:rsid w:val="527266C7"/>
    <w:rsid w:val="5F850807"/>
    <w:rsid w:val="68FF2D98"/>
    <w:rsid w:val="6FE16D91"/>
    <w:rsid w:val="72654C90"/>
    <w:rsid w:val="7ED056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</w:pPr>
    <w:rPr>
      <w:rFonts w:ascii="仿宋" w:hAnsi="仿宋" w:eastAsia="仿宋" w:cs="Times New Roman"/>
      <w:kern w:val="2"/>
      <w:sz w:val="32"/>
      <w:szCs w:val="32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3">
    <w:name w:val="Body Text Indent"/>
    <w:basedOn w:val="1"/>
    <w:unhideWhenUsed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0"/>
    <w:rPr>
      <w:sz w:val="24"/>
    </w:rPr>
  </w:style>
  <w:style w:type="paragraph" w:styleId="5">
    <w:name w:val="Body Text First Indent 2"/>
    <w:basedOn w:val="3"/>
    <w:unhideWhenUsed/>
    <w:qFormat/>
    <w:uiPriority w:val="0"/>
    <w:pPr>
      <w:ind w:firstLine="420" w:firstLineChars="200"/>
    </w:p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</w:rPr>
  </w:style>
  <w:style w:type="paragraph" w:customStyle="1" w:styleId="10">
    <w:name w:val="表格内容"/>
    <w:basedOn w:val="1"/>
    <w:qFormat/>
    <w:uiPriority w:val="0"/>
    <w:pPr>
      <w:spacing w:line="240" w:lineRule="auto"/>
      <w:ind w:firstLine="0" w:firstLineChars="0"/>
      <w:jc w:val="center"/>
    </w:pPr>
    <w:rPr>
      <w:sz w:val="21"/>
    </w:rPr>
  </w:style>
  <w:style w:type="paragraph" w:styleId="11">
    <w:name w:val="List Paragraph"/>
    <w:basedOn w:val="1"/>
    <w:qFormat/>
    <w:uiPriority w:val="34"/>
    <w:pPr>
      <w:ind w:firstLine="420" w:firstLineChars="200"/>
    </w:pPr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3663</Words>
  <Characters>4296</Characters>
  <Lines>0</Lines>
  <Paragraphs>0</Paragraphs>
  <TotalTime>4</TotalTime>
  <ScaleCrop>false</ScaleCrop>
  <LinksUpToDate>false</LinksUpToDate>
  <CharactersWithSpaces>4430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2022-05-26T08:05:00Z</dcterms:created>
  <dc:creator>Administrator</dc:creator>
  <cp:lastModifiedBy>Cinderella</cp:lastModifiedBy>
  <cp:lastPrinted>2022-08-07T10:10:25Z</cp:lastPrinted>
  <dcterms:modified xsi:type="dcterms:W3CDTF">2022-08-07T10:12:00Z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251CB113491249639A5F0A830BBE122C</vt:lpwstr>
  </property>
</Properties>
</file>