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color w:val="auto"/>
          <w:sz w:val="52"/>
          <w:szCs w:val="52"/>
          <w:highlight w:val="none"/>
        </w:rPr>
      </w:pPr>
      <w:bookmarkStart w:id="0" w:name="_Toc22804073"/>
      <w:bookmarkEnd w:id="0"/>
    </w:p>
    <w:p>
      <w:pPr>
        <w:spacing w:line="360" w:lineRule="auto"/>
        <w:jc w:val="center"/>
        <w:rPr>
          <w:rFonts w:hint="eastAsia" w:ascii="宋体" w:hAnsi="宋体" w:eastAsia="宋体" w:cs="宋体"/>
          <w:b/>
          <w:color w:val="auto"/>
          <w:sz w:val="30"/>
          <w:szCs w:val="30"/>
          <w:highlight w:val="none"/>
        </w:rPr>
      </w:pPr>
      <w:r>
        <w:rPr>
          <w:rFonts w:hint="eastAsia" w:ascii="宋体" w:cs="宋体"/>
          <w:b/>
          <w:color w:val="auto"/>
          <w:sz w:val="44"/>
          <w:szCs w:val="44"/>
          <w:highlight w:val="none"/>
          <w:lang w:eastAsia="zh-CN"/>
        </w:rPr>
        <w:t>平顶山市消防救援支队河南省消防救援总队“自然灾害应急能力提升工程”平顶山支队装备建设项目（二次）</w:t>
      </w:r>
    </w:p>
    <w:p>
      <w:pPr>
        <w:spacing w:line="360" w:lineRule="auto"/>
        <w:jc w:val="center"/>
        <w:rPr>
          <w:rFonts w:hint="eastAsia" w:ascii="宋体" w:hAnsi="宋体" w:eastAsia="宋体" w:cs="宋体"/>
          <w:b/>
          <w:color w:val="auto"/>
          <w:sz w:val="30"/>
          <w:szCs w:val="30"/>
          <w:highlight w:val="none"/>
          <w:lang w:eastAsia="zh-CN"/>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（包</w:t>
      </w:r>
      <w:r>
        <w:rPr>
          <w:rFonts w:hint="eastAsia" w:ascii="宋体" w:hAnsi="宋体" w:cs="宋体"/>
          <w:b/>
          <w:color w:val="auto"/>
          <w:sz w:val="44"/>
          <w:szCs w:val="44"/>
          <w:highlight w:val="none"/>
          <w:lang w:val="en-US" w:eastAsia="zh-CN"/>
        </w:rPr>
        <w:t>5、包6、包9</w:t>
      </w:r>
      <w:r>
        <w:rPr>
          <w:rFonts w:hint="eastAsia" w:ascii="宋体" w:hAnsi="宋体" w:cs="宋体"/>
          <w:b/>
          <w:color w:val="auto"/>
          <w:sz w:val="44"/>
          <w:szCs w:val="44"/>
          <w:highlight w:val="none"/>
          <w:lang w:eastAsia="zh-CN"/>
        </w:rPr>
        <w:t>）</w:t>
      </w:r>
    </w:p>
    <w:p>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平采招标-2024-35</w:t>
      </w:r>
    </w:p>
    <w:p>
      <w:pPr>
        <w:pStyle w:val="10"/>
        <w:spacing w:line="360" w:lineRule="auto"/>
        <w:ind w:left="0" w:leftChars="0" w:right="31680"/>
        <w:rPr>
          <w:rFonts w:ascii="宋体" w:cs="宋体"/>
          <w:b/>
          <w:color w:val="auto"/>
          <w:sz w:val="30"/>
          <w:szCs w:val="30"/>
          <w:highlight w:val="none"/>
        </w:rPr>
      </w:pPr>
    </w:p>
    <w:p>
      <w:pPr>
        <w:pStyle w:val="10"/>
        <w:spacing w:line="360" w:lineRule="auto"/>
        <w:ind w:left="0" w:leftChars="0" w:right="31680"/>
        <w:rPr>
          <w:rFonts w:ascii="宋体" w:cs="宋体"/>
          <w:b/>
          <w:color w:val="auto"/>
          <w:sz w:val="30"/>
          <w:szCs w:val="30"/>
          <w:highlight w:val="none"/>
        </w:rPr>
      </w:pPr>
    </w:p>
    <w:p>
      <w:pPr>
        <w:pStyle w:val="10"/>
        <w:spacing w:line="360" w:lineRule="auto"/>
        <w:ind w:left="0" w:leftChars="0" w:right="31680"/>
        <w:rPr>
          <w:rFonts w:ascii="宋体" w:cs="宋体"/>
          <w:b/>
          <w:color w:val="auto"/>
          <w:sz w:val="30"/>
          <w:szCs w:val="30"/>
          <w:highlight w:val="none"/>
        </w:rPr>
      </w:pPr>
    </w:p>
    <w:p>
      <w:pPr>
        <w:pStyle w:val="10"/>
        <w:spacing w:line="360" w:lineRule="auto"/>
        <w:ind w:left="0" w:leftChars="0" w:right="31680"/>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ind w:firstLine="900"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pPr>
        <w:spacing w:line="360" w:lineRule="auto"/>
        <w:ind w:firstLine="900"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七</w:t>
      </w:r>
      <w:r>
        <w:rPr>
          <w:rFonts w:hint="eastAsia" w:ascii="宋体" w:hAnsi="宋体" w:cs="宋体"/>
          <w:b/>
          <w:bCs/>
          <w:color w:val="auto"/>
          <w:sz w:val="30"/>
          <w:szCs w:val="30"/>
          <w:highlight w:val="none"/>
        </w:rPr>
        <w:t>月</w:t>
      </w:r>
    </w:p>
    <w:p>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0" w:h="16840"/>
          <w:pgMar w:top="1440" w:right="1800" w:bottom="1440" w:left="1800" w:header="0" w:footer="992" w:gutter="0"/>
          <w:pgBorders>
            <w:top w:val="none" w:sz="0" w:space="0"/>
            <w:left w:val="none" w:sz="0" w:space="0"/>
            <w:bottom w:val="none" w:sz="0" w:space="0"/>
            <w:right w:val="none" w:sz="0" w:space="0"/>
          </w:pgBorders>
          <w:cols w:space="720" w:num="1"/>
          <w:titlePg/>
          <w:docGrid w:type="linesAndChars" w:linePitch="312" w:charSpace="0"/>
        </w:sectPr>
      </w:pPr>
    </w:p>
    <w:p>
      <w:pPr>
        <w:pStyle w:val="17"/>
        <w:tabs>
          <w:tab w:val="right" w:leader="dot" w:pos="8306"/>
        </w:tabs>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录</w:t>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"1-2"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_Toc20527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_Toc20527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 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 投标文件的编写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_Toc12525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 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 开标、资格审查与评标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 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_Toc31652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 信用记录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_Toc31652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 需要补充的其他内容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_Toc9844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评标办法（综合评分法）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招标项目需求及技术要求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一、项目需求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一、投标函及投标函附录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二、法定代表人身份证明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_Toc13887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_Toc8474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四、投标承诺书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五、技术部分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六、</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_Toc26288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七、实施方案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（格式自拟）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八、履约能力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九、售后服务及培训方案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spacing w:line="360" w:lineRule="auto"/>
        <w:rPr>
          <w:rFonts w:ascii="宋体" w:cs="宋体"/>
          <w:color w:val="auto"/>
          <w:szCs w:val="32"/>
          <w:highlight w:val="none"/>
        </w:rPr>
        <w:sectPr>
          <w:headerReference r:id="rId5" w:type="default"/>
          <w:footerReference r:id="rId6" w:type="default"/>
          <w:pgSz w:w="11906" w:h="16838"/>
          <w:pgMar w:top="1440" w:right="1800" w:bottom="1440" w:left="1800" w:header="850" w:footer="964" w:gutter="0"/>
          <w:pgBorders>
            <w:top w:val="none" w:sz="0" w:space="0"/>
            <w:left w:val="none" w:sz="0" w:space="0"/>
            <w:bottom w:val="none" w:sz="0" w:space="0"/>
            <w:right w:val="none" w:sz="0" w:space="0"/>
          </w:pgBorders>
          <w:pgNumType w:fmt="numberInDash" w:start="1"/>
          <w:cols w:space="720" w:num="1"/>
          <w:docGrid w:type="lines" w:linePitch="315" w:charSpace="0"/>
        </w:sectPr>
      </w:pPr>
      <w:r>
        <w:rPr>
          <w:rFonts w:hint="eastAsia" w:ascii="宋体" w:hAnsi="宋体" w:eastAsia="宋体" w:cs="宋体"/>
          <w:color w:val="auto"/>
          <w:sz w:val="24"/>
          <w:szCs w:val="24"/>
          <w:highlight w:val="none"/>
        </w:rPr>
        <w:fldChar w:fldCharType="end"/>
      </w:r>
      <w:bookmarkStart w:id="1" w:name="_Toc40112127"/>
    </w:p>
    <w:p>
      <w:pPr>
        <w:pStyle w:val="2"/>
        <w:outlineLvl w:val="0"/>
        <w:rPr>
          <w:rStyle w:val="26"/>
          <w:rFonts w:ascii="宋体" w:cs="宋体"/>
          <w:b/>
          <w:color w:val="auto"/>
          <w:highlight w:val="none"/>
        </w:rPr>
      </w:pPr>
      <w:bookmarkStart w:id="2" w:name="_Toc16715"/>
      <w:r>
        <w:rPr>
          <w:rStyle w:val="26"/>
          <w:rFonts w:hint="eastAsia" w:ascii="宋体" w:hAnsi="宋体" w:cs="宋体"/>
          <w:b/>
          <w:color w:val="auto"/>
          <w:highlight w:val="none"/>
        </w:rPr>
        <w:t>第一章</w:t>
      </w:r>
      <w:r>
        <w:rPr>
          <w:rStyle w:val="26"/>
          <w:rFonts w:ascii="宋体" w:hAnsi="宋体" w:cs="宋体"/>
          <w:b/>
          <w:color w:val="auto"/>
          <w:highlight w:val="none"/>
        </w:rPr>
        <w:t xml:space="preserve"> </w:t>
      </w:r>
      <w:r>
        <w:rPr>
          <w:rStyle w:val="26"/>
          <w:rFonts w:hint="eastAsia" w:ascii="宋体" w:hAnsi="宋体" w:cs="宋体"/>
          <w:b/>
          <w:color w:val="auto"/>
          <w:highlight w:val="none"/>
        </w:rPr>
        <w:t>招标公告</w:t>
      </w:r>
      <w:bookmarkEnd w:id="1"/>
      <w:bookmarkEnd w:id="2"/>
    </w:p>
    <w:p>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【平公资采2024573号】平顶山市消防救援支队河南省消防救援总队“自然灾害应急能力提升工程”平顶山支队装备建设项目（包5、包6、包9）二次-</w:t>
      </w:r>
      <w:r>
        <w:rPr>
          <w:rFonts w:hint="eastAsia" w:ascii="Calibri" w:hAnsi="Calibri"/>
          <w:b/>
          <w:bCs/>
          <w:color w:val="auto"/>
          <w:sz w:val="28"/>
          <w:szCs w:val="36"/>
          <w:highlight w:val="none"/>
        </w:rPr>
        <w:t>公开招标公告</w:t>
      </w:r>
    </w:p>
    <w:p>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《全国公共资源交易平台（河南省·平顶山市）》（网址：http://ggzy.pds.gov.cn/)</w:t>
      </w:r>
      <w:r>
        <w:rPr>
          <w:rFonts w:hint="eastAsia" w:ascii="宋体" w:hAnsi="宋体" w:cs="宋体"/>
          <w:b w:val="0"/>
          <w:bCs w:val="0"/>
          <w:color w:val="auto"/>
          <w:sz w:val="24"/>
          <w:highlight w:val="none"/>
        </w:rPr>
        <w:t>获取招标文件，并于202</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08</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06</w:t>
      </w:r>
      <w:r>
        <w:rPr>
          <w:rFonts w:hint="eastAsia" w:ascii="宋体" w:hAnsi="宋体" w:cs="宋体"/>
          <w:b w:val="0"/>
          <w:bCs w:val="0"/>
          <w:color w:val="auto"/>
          <w:sz w:val="24"/>
          <w:highlight w:val="none"/>
        </w:rPr>
        <w:t>日</w:t>
      </w:r>
      <w:r>
        <w:rPr>
          <w:rFonts w:hint="eastAsia" w:ascii="宋体" w:hAnsi="宋体" w:cs="宋体"/>
          <w:b w:val="0"/>
          <w:bCs w:val="0"/>
          <w:color w:val="auto"/>
          <w:sz w:val="24"/>
          <w:highlight w:val="none"/>
          <w:lang w:val="en-US" w:eastAsia="zh-CN"/>
        </w:rPr>
        <w:t>09</w:t>
      </w:r>
      <w:r>
        <w:rPr>
          <w:rFonts w:hint="eastAsia" w:ascii="宋体" w:hAnsi="宋体" w:cs="宋体"/>
          <w:b w:val="0"/>
          <w:bCs w:val="0"/>
          <w:color w:val="auto"/>
          <w:sz w:val="24"/>
          <w:highlight w:val="none"/>
        </w:rPr>
        <w:t>时</w:t>
      </w:r>
      <w:r>
        <w:rPr>
          <w:rFonts w:hint="eastAsia" w:ascii="宋体" w:hAnsi="宋体" w:cs="宋体"/>
          <w:b w:val="0"/>
          <w:bCs w:val="0"/>
          <w:color w:val="auto"/>
          <w:sz w:val="24"/>
          <w:highlight w:val="none"/>
          <w:lang w:val="en-US" w:eastAsia="zh-CN"/>
        </w:rPr>
        <w:t>20</w:t>
      </w:r>
      <w:r>
        <w:rPr>
          <w:rFonts w:hint="eastAsia" w:ascii="宋体" w:hAnsi="宋体" w:cs="宋体"/>
          <w:b w:val="0"/>
          <w:bCs w:val="0"/>
          <w:color w:val="auto"/>
          <w:sz w:val="24"/>
          <w:highlight w:val="none"/>
        </w:rPr>
        <w:t>分（北京时间）前递交投标文件。</w:t>
      </w:r>
    </w:p>
    <w:p>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pPr>
        <w:widowControl/>
        <w:adjustRightInd w:val="0"/>
        <w:snapToGrid w:val="0"/>
        <w:spacing w:line="360" w:lineRule="auto"/>
        <w:ind w:firstLine="480" w:firstLineChars="200"/>
        <w:jc w:val="left"/>
        <w:rPr>
          <w:rFonts w:hint="eastAsia" w:ascii="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、项目编号：平采招标-2024-35</w:t>
      </w:r>
    </w:p>
    <w:p>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p>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cs="宋体"/>
          <w:b w:val="0"/>
          <w:bCs w:val="0"/>
          <w:color w:val="auto"/>
          <w:sz w:val="24"/>
          <w:highlight w:val="none"/>
        </w:rPr>
        <w:t>元</w:t>
      </w:r>
    </w:p>
    <w:p>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5262820.00</w:t>
      </w:r>
      <w:r>
        <w:rPr>
          <w:rFonts w:hint="eastAsia" w:ascii="宋体" w:hAnsi="宋体" w:cs="宋体"/>
          <w:b w:val="0"/>
          <w:bCs w:val="0"/>
          <w:color w:val="auto"/>
          <w:sz w:val="24"/>
          <w:highlight w:val="none"/>
        </w:rPr>
        <w:t>元</w:t>
      </w:r>
    </w:p>
    <w:tbl>
      <w:tblPr>
        <w:tblStyle w:val="2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34"/>
        <w:gridCol w:w="986"/>
        <w:gridCol w:w="1215"/>
        <w:gridCol w:w="1216"/>
        <w:gridCol w:w="101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934"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98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215"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34"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2</w:t>
            </w:r>
          </w:p>
        </w:tc>
        <w:tc>
          <w:tcPr>
            <w:tcW w:w="986"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包5</w:t>
            </w:r>
          </w:p>
        </w:tc>
        <w:tc>
          <w:tcPr>
            <w:tcW w:w="121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34"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3</w:t>
            </w:r>
          </w:p>
        </w:tc>
        <w:tc>
          <w:tcPr>
            <w:tcW w:w="986"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包6</w:t>
            </w:r>
          </w:p>
        </w:tc>
        <w:tc>
          <w:tcPr>
            <w:tcW w:w="121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1084160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34"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4</w:t>
            </w:r>
          </w:p>
        </w:tc>
        <w:tc>
          <w:tcPr>
            <w:tcW w:w="986" w:type="dxa"/>
            <w:vAlign w:val="center"/>
          </w:tcPr>
          <w:p>
            <w:pPr>
              <w:adjustRightInd w:val="0"/>
              <w:snapToGrid w:val="0"/>
              <w:spacing w:line="240" w:lineRule="auto"/>
              <w:jc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包9</w:t>
            </w:r>
          </w:p>
        </w:tc>
        <w:tc>
          <w:tcPr>
            <w:tcW w:w="121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1556320</w:t>
            </w:r>
          </w:p>
        </w:tc>
      </w:tr>
    </w:tbl>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5G单兵图传5、北斗有源终端2、单人洗消帐篷1、堵漏工具组11、防水定位对讲机30、红外生命探测仪2、激光测距仪1、简易洗消喷淋器1、救生照明线10、可燃气体探测仪2、气柱灯2、水深探测仪1、卫星电话5、狭小空间排烟机5、小型移动照明灯组10、移动照明灯10、移动照明灯组2、音视频布控球5、有毒气体探测仪2；</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AED除颤仪5、便携式推车10、充气帐篷（40m2）5、充气帐篷（60m2）5、大功率发电机1、单兵携行包（箱）30、浮艇泵3、航空运输箱30、静音发电机5、空气呼吸器瓶30、千斤顶5、手抬机动泵3、婴儿呼吸袋5；</w:t>
      </w:r>
    </w:p>
    <w:p>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冰面救援滑板4、充气救援艇（橡皮艇）1、船型担架5、多功能担架15、多功能省力系统50、多功能水枪44、救生抛投器5、救援三角架6、卷扬机5、可漂浮救生担架5、气动起重气垫2、躯体固定气囊5、水面漂浮救生绳（200米）1、通用安全绳（200米）30、舷外机（含油箱防护罩）2、橡皮艇1、移动供气源6、移动式消防炮5、肢体固定气囊5、重型支撑套具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rPr>
      </w:pPr>
      <w:r>
        <w:rPr>
          <w:rFonts w:ascii="宋体" w:hAnsi="宋体" w:cs="宋体"/>
          <w:b w:val="0"/>
          <w:bCs w:val="0"/>
          <w:color w:val="auto"/>
          <w:sz w:val="24"/>
          <w:highlight w:val="none"/>
        </w:rPr>
        <w:t>5.4</w:t>
      </w:r>
      <w:r>
        <w:rPr>
          <w:rFonts w:hint="eastAsia" w:ascii="宋体" w:hAnsi="宋体" w:cs="宋体"/>
          <w:b w:val="0"/>
          <w:bCs w:val="0"/>
          <w:color w:val="auto"/>
          <w:sz w:val="24"/>
          <w:highlight w:val="none"/>
        </w:rPr>
        <w:t>交货期</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包5、包6、包9</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自样品验收合格之日起30日历天，合格样品须于合同签订之日起10日内提供，交货的货物必须是发布中标公告后生产日期（验收时，提供证明或原材料进货证明）</w:t>
      </w:r>
      <w:r>
        <w:rPr>
          <w:rFonts w:hint="eastAsia" w:ascii="宋体" w:hAnsi="宋体" w:cs="宋体"/>
          <w:b w:val="0"/>
          <w:bCs w:val="0"/>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color w:val="auto"/>
          <w:sz w:val="24"/>
          <w:highlight w:val="none"/>
        </w:rPr>
        <w:t>详见招标文件</w:t>
      </w:r>
      <w:r>
        <w:rPr>
          <w:rFonts w:hint="eastAsia" w:ascii="宋体" w:hAnsi="宋体" w:cs="宋体"/>
          <w:b w:val="0"/>
          <w:bCs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2、落实政府采购政策满足的资格要求：本项目</w:t>
      </w:r>
      <w:r>
        <w:rPr>
          <w:rFonts w:hint="eastAsia" w:ascii="宋体" w:hAnsi="宋体" w:cs="宋体"/>
          <w:b w:val="0"/>
          <w:bCs w:val="0"/>
          <w:color w:val="auto"/>
          <w:sz w:val="24"/>
          <w:szCs w:val="24"/>
          <w:highlight w:val="none"/>
          <w:lang w:val="en-US" w:eastAsia="zh-CN"/>
        </w:rPr>
        <w:t>包5</w:t>
      </w:r>
      <w:r>
        <w:rPr>
          <w:rFonts w:hint="eastAsia" w:ascii="宋体" w:hAnsi="宋体" w:eastAsia="宋体" w:cs="宋体"/>
          <w:b w:val="0"/>
          <w:bCs w:val="0"/>
          <w:color w:val="auto"/>
          <w:sz w:val="24"/>
          <w:szCs w:val="24"/>
          <w:highlight w:val="none"/>
        </w:rPr>
        <w:t>专门面向中小企业采购</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包6、包9</w:t>
      </w:r>
      <w:r>
        <w:rPr>
          <w:rFonts w:hint="eastAsia" w:ascii="宋体" w:hAnsi="宋体" w:eastAsia="宋体" w:cs="宋体"/>
          <w:b w:val="0"/>
          <w:bCs w:val="0"/>
          <w:color w:val="auto"/>
          <w:sz w:val="24"/>
          <w:szCs w:val="24"/>
          <w:highlight w:val="none"/>
        </w:rPr>
        <w:t>专门面向</w:t>
      </w:r>
      <w:r>
        <w:rPr>
          <w:rFonts w:hint="eastAsia" w:ascii="宋体" w:hAnsi="宋体" w:cs="宋体"/>
          <w:b w:val="0"/>
          <w:bCs w:val="0"/>
          <w:color w:val="auto"/>
          <w:sz w:val="24"/>
          <w:szCs w:val="24"/>
          <w:highlight w:val="none"/>
          <w:lang w:val="en-US" w:eastAsia="zh-CN"/>
        </w:rPr>
        <w:t>小微</w:t>
      </w:r>
      <w:r>
        <w:rPr>
          <w:rFonts w:hint="eastAsia" w:ascii="宋体" w:hAnsi="宋体" w:eastAsia="宋体" w:cs="宋体"/>
          <w:b w:val="0"/>
          <w:bCs w:val="0"/>
          <w:color w:val="auto"/>
          <w:sz w:val="24"/>
          <w:szCs w:val="24"/>
          <w:highlight w:val="none"/>
        </w:rPr>
        <w:t>企业采购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需提供《中小企业声明函》或《残疾人福利性单位声明函》或《监狱企业的证明文件》。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具有良好的商业信誉和健全的财务会计制度（须提供2022年度</w:t>
      </w:r>
      <w:r>
        <w:rPr>
          <w:rFonts w:hint="eastAsia" w:ascii="宋体" w:hAnsi="宋体" w:cs="宋体"/>
          <w:b w:val="0"/>
          <w:bCs w:val="0"/>
          <w:color w:val="auto"/>
          <w:sz w:val="24"/>
          <w:szCs w:val="24"/>
          <w:highlight w:val="none"/>
          <w:lang w:val="en-US" w:eastAsia="zh-CN"/>
        </w:rPr>
        <w:t>或2023年度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有依法缴纳税收和社会保障资金的良好记录(提供2024年1月1日以来任意1个月依法缴纳税收和社会保障金的相关证明,依法免税或不需要缴纳社会保障资金的，应提供相应证明文件)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 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7</w:t>
      </w:r>
      <w:r>
        <w:rPr>
          <w:rFonts w:hint="eastAsia" w:ascii="宋体" w:hAnsi="宋体" w:cs="宋体"/>
          <w:b w:val="0"/>
          <w:bCs w:val="0"/>
          <w:color w:val="auto"/>
          <w:kern w:val="0"/>
          <w:sz w:val="24"/>
          <w:szCs w:val="21"/>
          <w:highlight w:val="none"/>
        </w:rPr>
        <w:t>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w:t>
      </w:r>
      <w:r>
        <w:rPr>
          <w:rFonts w:hint="eastAsia" w:ascii="宋体" w:hAnsi="宋体" w:cs="宋体"/>
          <w:b w:val="0"/>
          <w:bCs w:val="0"/>
          <w:color w:val="auto"/>
          <w:sz w:val="24"/>
          <w:szCs w:val="24"/>
          <w:highlight w:val="none"/>
          <w:lang w:eastAsia="zh-CN"/>
        </w:rPr>
        <w:t>交易主体登录</w:t>
      </w:r>
      <w:r>
        <w:rPr>
          <w:rFonts w:hint="eastAsia" w:ascii="宋体" w:hAnsi="宋体" w:eastAsia="宋体" w:cs="宋体"/>
          <w:b w:val="0"/>
          <w:bCs w:val="0"/>
          <w:color w:val="auto"/>
          <w:sz w:val="24"/>
          <w:szCs w:val="24"/>
          <w:highlight w:val="none"/>
        </w:rPr>
        <w:t>”入口进入交易系统进行下载文件。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color w:val="auto"/>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color w:val="auto"/>
          <w:sz w:val="24"/>
          <w:highlight w:val="none"/>
        </w:rPr>
        <w:t>《中国招标投标公共服务平台》、《河南省电子招标投标公共服务平台》</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3、供应商可通过平顶山市公共资源交易平台向采购人（代理机构）、行政监督部门提出在线质疑（异议）、投诉。</w:t>
      </w:r>
      <w:bookmarkEnd w:id="5"/>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6" w:name="_Toc22227"/>
      <w:r>
        <w:rPr>
          <w:rFonts w:hint="eastAsia" w:ascii="宋体" w:hAnsi="宋体" w:cs="宋体"/>
          <w:b w:val="0"/>
          <w:bCs w:val="0"/>
          <w:color w:val="auto"/>
          <w:sz w:val="24"/>
          <w:highlight w:val="none"/>
          <w:lang w:val="en-US" w:eastAsia="zh-CN"/>
        </w:rPr>
        <w:t>4、该公告已同步至“平顶山市公共资源交易中心微信公众号”，可通过公众号中的服务栏目进行查阅”。</w:t>
      </w:r>
      <w:bookmarkEnd w:id="6"/>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可同时参与多个标包投标，可同时中标不同产品多个标包。同一产品划分多个标包的，</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可同时参与多个标包投标，但只允许中取一个标包（若同一投标人在多个包中综合得分排名第一时，确定其为包号顺序靠前</w:t>
      </w:r>
      <w:r>
        <w:rPr>
          <w:rFonts w:hint="eastAsia" w:ascii="宋体" w:hAnsi="宋体" w:cs="宋体"/>
          <w:b w:val="0"/>
          <w:bCs w:val="0"/>
          <w:color w:val="auto"/>
          <w:sz w:val="24"/>
          <w:highlight w:val="none"/>
          <w:lang w:val="en-US" w:eastAsia="zh-CN"/>
        </w:rPr>
        <w:t>标</w:t>
      </w:r>
      <w:r>
        <w:rPr>
          <w:rFonts w:hint="eastAsia" w:ascii="宋体" w:hAnsi="宋体" w:cs="宋体"/>
          <w:b w:val="0"/>
          <w:bCs w:val="0"/>
          <w:color w:val="auto"/>
          <w:sz w:val="24"/>
          <w:highlight w:val="none"/>
        </w:rPr>
        <w:t>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bookmarkEnd w:id="7"/>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8" w:name="_Toc18792"/>
      <w:r>
        <w:rPr>
          <w:rFonts w:hint="eastAsia" w:ascii="宋体" w:hAnsi="宋体" w:cs="宋体"/>
          <w:b w:val="0"/>
          <w:bCs w:val="0"/>
          <w:color w:val="auto"/>
          <w:sz w:val="24"/>
          <w:highlight w:val="none"/>
          <w:lang w:val="en-US" w:eastAsia="zh-CN"/>
        </w:rPr>
        <w:t>6、监督单位：平顶山市政府采购服务中心</w:t>
      </w:r>
      <w:bookmarkEnd w:id="8"/>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9" w:name="_Toc27846"/>
      <w:r>
        <w:rPr>
          <w:rFonts w:hint="eastAsia" w:ascii="宋体" w:hAnsi="宋体" w:cs="宋体"/>
          <w:b w:val="0"/>
          <w:bCs w:val="0"/>
          <w:color w:val="auto"/>
          <w:sz w:val="24"/>
          <w:highlight w:val="none"/>
          <w:lang w:val="en-US" w:eastAsia="zh-CN"/>
        </w:rPr>
        <w:t>联系方式：0375-262759</w:t>
      </w:r>
      <w:bookmarkEnd w:id="9"/>
      <w:r>
        <w:rPr>
          <w:rFonts w:hint="eastAsia" w:ascii="宋体" w:hAnsi="宋体" w:cs="宋体"/>
          <w:b w:val="0"/>
          <w:bCs w:val="0"/>
          <w:color w:val="auto"/>
          <w:sz w:val="24"/>
          <w:highlight w:val="none"/>
          <w:lang w:val="en-US" w:eastAsia="zh-CN"/>
        </w:rPr>
        <w:t>3</w:t>
      </w:r>
    </w:p>
    <w:p>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统一社会信用代码：12410400MB1N33980Q</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0" w:name="_Toc30939"/>
      <w:r>
        <w:rPr>
          <w:rFonts w:hint="eastAsia" w:ascii="宋体" w:hAnsi="宋体" w:cs="宋体"/>
          <w:b w:val="0"/>
          <w:bCs w:val="0"/>
          <w:color w:val="auto"/>
          <w:sz w:val="24"/>
          <w:highlight w:val="none"/>
        </w:rPr>
        <w:t>2.采购代理机构信息（如有）</w:t>
      </w:r>
      <w:bookmarkEnd w:id="10"/>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1" w:name="_Toc15407"/>
      <w:r>
        <w:rPr>
          <w:rFonts w:hint="eastAsia" w:ascii="宋体" w:hAnsi="宋体" w:cs="宋体"/>
          <w:b w:val="0"/>
          <w:bCs w:val="0"/>
          <w:color w:val="auto"/>
          <w:sz w:val="24"/>
          <w:highlight w:val="none"/>
        </w:rPr>
        <w:t>3.项目联系方式</w:t>
      </w:r>
      <w:bookmarkEnd w:id="11"/>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pPr>
        <w:numPr>
          <w:ilvl w:val="0"/>
          <w:numId w:val="1"/>
        </w:numPr>
        <w:spacing w:line="360" w:lineRule="auto"/>
        <w:jc w:val="center"/>
        <w:outlineLvl w:val="0"/>
        <w:rPr>
          <w:rStyle w:val="26"/>
          <w:rFonts w:ascii="宋体" w:cs="宋体"/>
          <w:color w:val="auto"/>
          <w:highlight w:val="none"/>
        </w:rPr>
      </w:pPr>
      <w:bookmarkStart w:id="12" w:name="_Toc25086"/>
      <w:bookmarkStart w:id="13" w:name="_Toc40112128"/>
      <w:r>
        <w:rPr>
          <w:rStyle w:val="26"/>
          <w:rFonts w:ascii="宋体" w:cs="宋体"/>
          <w:color w:val="auto"/>
          <w:highlight w:val="none"/>
        </w:rPr>
        <w:br w:type="page"/>
      </w:r>
      <w:bookmarkStart w:id="14" w:name="_Toc25487"/>
      <w:bookmarkStart w:id="15" w:name="_Toc22667"/>
      <w:bookmarkStart w:id="16" w:name="_Toc4342"/>
      <w:r>
        <w:rPr>
          <w:rStyle w:val="26"/>
          <w:rFonts w:hint="eastAsia" w:ascii="宋体" w:hAnsi="宋体" w:cs="宋体"/>
          <w:color w:val="auto"/>
          <w:highlight w:val="none"/>
          <w:lang w:eastAsia="zh-CN"/>
        </w:rPr>
        <w:t>投标人</w:t>
      </w:r>
      <w:r>
        <w:rPr>
          <w:rStyle w:val="26"/>
          <w:rFonts w:hint="eastAsia" w:ascii="宋体" w:hAnsi="宋体" w:cs="宋体"/>
          <w:color w:val="auto"/>
          <w:highlight w:val="none"/>
        </w:rPr>
        <w:t>须知</w:t>
      </w:r>
      <w:bookmarkEnd w:id="12"/>
      <w:bookmarkEnd w:id="13"/>
      <w:bookmarkEnd w:id="14"/>
      <w:bookmarkEnd w:id="15"/>
      <w:bookmarkEnd w:id="16"/>
    </w:p>
    <w:p>
      <w:pPr>
        <w:pStyle w:val="3"/>
        <w:ind w:left="420"/>
        <w:jc w:val="center"/>
        <w:rPr>
          <w:rStyle w:val="26"/>
          <w:rFonts w:ascii="宋体" w:hAnsi="Arial" w:cs="宋体"/>
          <w:b/>
          <w:bCs/>
          <w:color w:val="auto"/>
          <w:szCs w:val="32"/>
          <w:highlight w:val="none"/>
        </w:rPr>
      </w:pPr>
      <w:bookmarkStart w:id="17" w:name="_Toc9954"/>
      <w:bookmarkStart w:id="18" w:name="_Toc14706"/>
      <w:bookmarkStart w:id="19" w:name="_Toc40112129"/>
      <w:bookmarkStart w:id="20" w:name="_Toc2805"/>
      <w:bookmarkStart w:id="21" w:name="_Toc29940"/>
      <w:r>
        <w:rPr>
          <w:rStyle w:val="26"/>
          <w:rFonts w:hint="eastAsia" w:ascii="宋体" w:hAnsi="宋体" w:cs="宋体"/>
          <w:b/>
          <w:bCs/>
          <w:color w:val="auto"/>
          <w:szCs w:val="32"/>
          <w:highlight w:val="none"/>
          <w:lang w:eastAsia="zh-CN"/>
        </w:rPr>
        <w:t>投标人</w:t>
      </w:r>
      <w:r>
        <w:rPr>
          <w:rStyle w:val="26"/>
          <w:rFonts w:hint="eastAsia" w:ascii="宋体" w:hAnsi="宋体" w:cs="宋体"/>
          <w:b/>
          <w:bCs/>
          <w:color w:val="auto"/>
          <w:szCs w:val="32"/>
          <w:highlight w:val="none"/>
        </w:rPr>
        <w:t>须知前附表</w:t>
      </w:r>
      <w:bookmarkEnd w:id="17"/>
      <w:bookmarkEnd w:id="18"/>
      <w:bookmarkEnd w:id="19"/>
      <w:bookmarkEnd w:id="20"/>
      <w:bookmarkEnd w:id="21"/>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70"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70"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0375-2235025</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29" w:type="pct"/>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70"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pPr>
              <w:widowControl/>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70" w:type="pct"/>
            <w:vAlign w:val="center"/>
          </w:tcPr>
          <w:p>
            <w:pPr>
              <w:widowControl/>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b w:val="0"/>
                <w:bCs w:val="0"/>
                <w:color w:val="auto"/>
                <w:sz w:val="24"/>
                <w:highlight w:val="none"/>
              </w:rPr>
              <w:t>平采招标-2024-35</w:t>
            </w:r>
          </w:p>
          <w:p>
            <w:pPr>
              <w:widowControl/>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平顶山市消防救援支队河南省消防救援总队“自然灾害应急能力提升工程”平顶山支队装备建设项目（二次）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70"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11782830.00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5262820.00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color w:val="auto"/>
                <w:sz w:val="24"/>
                <w:highlight w:val="none"/>
              </w:rPr>
              <w:t>合格（符合现行国家、行业、地方相关规范要求）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70" w:type="pct"/>
            <w:vAlign w:val="center"/>
          </w:tcPr>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70" w:type="pct"/>
            <w:vAlign w:val="center"/>
          </w:tcPr>
          <w:p>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70"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70"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70"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70"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70" w:type="pct"/>
            <w:vAlign w:val="center"/>
          </w:tcPr>
          <w:p>
            <w:pPr>
              <w:adjustRightInd w:val="0"/>
              <w:snapToGrid w:val="0"/>
              <w:spacing w:line="360" w:lineRule="auto"/>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70" w:type="pct"/>
            <w:vAlign w:val="center"/>
          </w:tcPr>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1、投标人需在投标文件中提供投标产品3张以上图片或有关设计图纸。</w:t>
            </w:r>
          </w:p>
          <w:p>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2、中标后，批量生产前，需提供样品，由验收小组根据招标文件要求和投标文件承诺进行初验，样品验收合格后中标人方可批量生产。</w:t>
            </w:r>
            <w:r>
              <w:rPr>
                <w:rFonts w:hint="eastAsia" w:ascii="宋体" w:hAnsi="宋体" w:eastAsia="宋体" w:cs="宋体"/>
                <w:color w:val="auto"/>
                <w:sz w:val="24"/>
                <w:szCs w:val="24"/>
                <w:highlight w:val="none"/>
                <w:lang w:val="en-US" w:eastAsia="zh-CN"/>
              </w:rPr>
              <w:t>中标人提供样品进行验收的次数不得超过2次</w:t>
            </w:r>
            <w:r>
              <w:rPr>
                <w:rFonts w:hint="eastAsia" w:ascii="宋体" w:hAnsi="宋体" w:cs="宋体"/>
                <w:color w:val="auto"/>
                <w:sz w:val="24"/>
                <w:szCs w:val="24"/>
                <w:highlight w:val="none"/>
                <w:lang w:val="en-US" w:eastAsia="zh-CN"/>
              </w:rPr>
              <w:t>；若第1次样品验收不通过，中标人须在第1次样品验收之日起10日内提交第2次样品验收；</w:t>
            </w:r>
            <w:r>
              <w:rPr>
                <w:rFonts w:hint="eastAsia" w:ascii="宋体" w:hAnsi="宋体" w:eastAsia="宋体" w:cs="宋体"/>
                <w:color w:val="auto"/>
                <w:sz w:val="24"/>
                <w:szCs w:val="24"/>
                <w:highlight w:val="none"/>
                <w:lang w:val="en-US" w:eastAsia="zh-CN"/>
              </w:rPr>
              <w:t>若2次样品验收均不通过的，可视为中标人违约，采购人有权终止合同。</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3、样品需要抽样送检的相关费用由中标人承担。</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应到产品使用单位，开展技术巡检和售后服务。</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5、投标人所投产品需附</w:t>
            </w:r>
            <w:r>
              <w:rPr>
                <w:rFonts w:hint="eastAsia" w:ascii="宋体" w:hAnsi="宋体" w:eastAsia="宋体" w:cs="宋体"/>
                <w:color w:val="auto"/>
                <w:sz w:val="24"/>
                <w:szCs w:val="24"/>
                <w:highlight w:val="none"/>
                <w:lang w:val="en-US" w:eastAsia="zh-CN"/>
              </w:rPr>
              <w:t>具有合法资质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检测机构出具的检测报告</w:t>
            </w:r>
            <w:r>
              <w:rPr>
                <w:rFonts w:hint="eastAsia" w:ascii="宋体" w:hAnsi="宋体" w:cs="宋体"/>
                <w:color w:val="auto"/>
                <w:sz w:val="24"/>
                <w:szCs w:val="24"/>
                <w:highlight w:val="none"/>
                <w:lang w:val="en-US" w:eastAsia="zh-CN"/>
              </w:rPr>
              <w:t>或检验报告</w:t>
            </w:r>
            <w:r>
              <w:rPr>
                <w:rFonts w:hint="eastAsia" w:ascii="宋体" w:hAnsi="宋体" w:eastAsia="宋体" w:cs="宋体"/>
                <w:color w:val="auto"/>
                <w:sz w:val="24"/>
                <w:szCs w:val="24"/>
                <w:highlight w:val="none"/>
              </w:rPr>
              <w:t>或产品合格证书，具体要求详见“第六章招标项目需求及技术要求”。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Merge w:val="restar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Merge w:val="continue"/>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70"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cs="宋体"/>
                <w:color w:val="auto"/>
                <w:sz w:val="24"/>
                <w:szCs w:val="24"/>
                <w:highlight w:val="none"/>
                <w:shd w:val="clear" w:color="auto" w:fill="FFFFFF"/>
                <w:lang w:eastAsia="zh-CN"/>
              </w:rPr>
              <w:t>《全国公共资源交易平台（河南省·平顶山市）》</w:t>
            </w:r>
            <w:r>
              <w:rPr>
                <w:rFonts w:hint="eastAsia" w:ascii="宋体" w:hAnsi="宋体" w:eastAsia="宋体" w:cs="宋体"/>
                <w:color w:val="auto"/>
                <w:sz w:val="24"/>
                <w:szCs w:val="24"/>
                <w:highlight w:val="none"/>
              </w:rPr>
              <w:t>发布，发出即为收到。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70"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70"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70"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70"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70" w:type="pct"/>
            <w:vAlign w:val="center"/>
          </w:tcPr>
          <w:p>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70" w:type="pct"/>
            <w:vAlign w:val="center"/>
          </w:tcPr>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评标委员会组成：评标委员会由采购人代表和评标专家组成，成员人数为7人。其中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采购人（评委）代表2人，评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专家5人。评标专家从政府采购专家库中随机抽取。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70" w:type="pct"/>
            <w:vAlign w:val="center"/>
          </w:tcPr>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履约保证金的金额：中标金额的5%</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缴纳时间及其他要求：</w:t>
            </w:r>
            <w:r>
              <w:rPr>
                <w:rFonts w:hint="eastAsia" w:ascii="宋体" w:hAnsi="宋体" w:cs="宋体"/>
                <w:color w:val="auto"/>
                <w:spacing w:val="-3"/>
                <w:sz w:val="24"/>
                <w:highlight w:val="none"/>
                <w:lang w:eastAsia="zh-CN"/>
              </w:rPr>
              <w:t>中标人应在</w:t>
            </w:r>
            <w:r>
              <w:rPr>
                <w:rFonts w:hint="eastAsia" w:ascii="宋体" w:hAnsi="宋体" w:eastAsia="宋体" w:cs="宋体"/>
                <w:color w:val="auto"/>
                <w:sz w:val="24"/>
                <w:szCs w:val="24"/>
                <w:highlight w:val="none"/>
              </w:rPr>
              <w:t>合同签订之日起 14 个工作日内</w:t>
            </w:r>
            <w:r>
              <w:rPr>
                <w:rFonts w:hint="eastAsia" w:ascii="宋体" w:hAnsi="宋体" w:cs="宋体"/>
                <w:color w:val="auto"/>
                <w:spacing w:val="-3"/>
                <w:sz w:val="24"/>
                <w:highlight w:val="none"/>
              </w:rPr>
              <w:t>向采购人提交履约保证金。</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提交形式：转账及法律法规规定的能切实发挥履约保证作用的其他形式。但如中标人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3）有效期为保函开具之日起至全部货物到货验收合格之日起的第366天为止；（4）担保金额为中标金额的 5%（如中标人提供的保函未载明前述内容的，采购人直接拒收该保函，中标人应以银行转账或其他能切实发挥履约担保作用的方式提供履约保证金）。 </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履约保证金期限：提交之日起至全部货物到货验收合格之日起的第366天止。 </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pacing w:val="-3"/>
                <w:sz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有上述第 1 至 5 项情形之一的，中标无效。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8.2</w:t>
            </w:r>
          </w:p>
        </w:tc>
        <w:tc>
          <w:tcPr>
            <w:tcW w:w="4470" w:type="pct"/>
            <w:vAlign w:val="center"/>
          </w:tcPr>
          <w:p>
            <w:pPr>
              <w:pStyle w:val="27"/>
              <w:numPr>
                <w:ilvl w:val="0"/>
                <w:numId w:val="2"/>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pPr>
              <w:pStyle w:val="2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pPr>
              <w:pStyle w:val="27"/>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27"/>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小型或微型企业评标报价=投标报价*（1-10%）</w:t>
            </w:r>
          </w:p>
          <w:p>
            <w:pPr>
              <w:pStyle w:val="27"/>
              <w:spacing w:line="360" w:lineRule="auto"/>
              <w:ind w:left="28" w:right="-72"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包5</w:t>
            </w:r>
            <w:r>
              <w:rPr>
                <w:rFonts w:hint="eastAsia" w:ascii="宋体" w:hAnsi="宋体" w:eastAsia="宋体" w:cs="宋体"/>
                <w:b/>
                <w:bCs/>
                <w:color w:val="auto"/>
                <w:sz w:val="24"/>
                <w:szCs w:val="24"/>
                <w:highlight w:val="none"/>
              </w:rPr>
              <w:t>为专门面向</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rPr>
              <w:t>企业采购，需提供《中小企业声明函》或《残疾人福利性单位声明函》或《监狱企业的证明文件》</w:t>
            </w:r>
          </w:p>
          <w:p>
            <w:pPr>
              <w:pStyle w:val="27"/>
              <w:spacing w:line="360" w:lineRule="auto"/>
              <w:ind w:left="28" w:right="-72" w:firstLine="482" w:firstLineChars="20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rPr>
              <w:t>企业采购，不再对</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rPr>
              <w:t>企业的价格给予扣除。</w:t>
            </w:r>
          </w:p>
          <w:p>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包6、包9</w:t>
            </w:r>
            <w:r>
              <w:rPr>
                <w:rFonts w:hint="eastAsia" w:ascii="宋体" w:hAnsi="宋体" w:eastAsia="宋体" w:cs="宋体"/>
                <w:b/>
                <w:bCs/>
                <w:color w:val="auto"/>
                <w:sz w:val="24"/>
                <w:szCs w:val="24"/>
                <w:highlight w:val="none"/>
              </w:rPr>
              <w:t>为专门面向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企业采购，需提供《中小企业声明函》或《残疾人福利性单位声明函》或《监狱企业的证明文件》</w:t>
            </w:r>
          </w:p>
          <w:p>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企业采购，不再对小微企业的价格给予扣除。</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8.3</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w:t>
            </w:r>
          </w:p>
        </w:tc>
        <w:tc>
          <w:tcPr>
            <w:tcW w:w="4470"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pPr>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8.6</w:t>
            </w:r>
          </w:p>
        </w:tc>
        <w:tc>
          <w:tcPr>
            <w:tcW w:w="4470"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8.7</w:t>
            </w:r>
          </w:p>
        </w:tc>
        <w:tc>
          <w:tcPr>
            <w:tcW w:w="4470" w:type="pct"/>
            <w:vAlign w:val="center"/>
          </w:tcPr>
          <w:p>
            <w:pPr>
              <w:adjustRightInd w:val="0"/>
              <w:snapToGrid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8.8</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投标文件制作机器码一致时投标文件视为无效投标。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8.9</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val="0"/>
                <w:bCs w:val="0"/>
                <w:color w:val="auto"/>
                <w:sz w:val="24"/>
                <w:szCs w:val="24"/>
                <w:highlight w:val="none"/>
              </w:rPr>
              <w:t>，可同时中标不同产品多个标包。同一产品划分多个标包的，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可同时参与多个标包投标，但只允许中取一个标包（若同一投标人在多个包中综合得分</w:t>
            </w:r>
            <w:r>
              <w:rPr>
                <w:rFonts w:hint="eastAsia" w:ascii="宋体" w:hAnsi="宋体" w:eastAsia="宋体" w:cs="宋体"/>
                <w:color w:val="auto"/>
                <w:sz w:val="24"/>
                <w:szCs w:val="24"/>
                <w:highlight w:val="none"/>
              </w:rPr>
              <w:t>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8.10</w:t>
            </w:r>
          </w:p>
        </w:tc>
        <w:tc>
          <w:tcPr>
            <w:tcW w:w="4470"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开户行：中国农业银行股份有限公司郑州商都支行</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账号：16003101040007372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8.11</w:t>
            </w:r>
          </w:p>
        </w:tc>
        <w:tc>
          <w:tcPr>
            <w:tcW w:w="4470"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w:t>
            </w:r>
            <w:r>
              <w:rPr>
                <w:rFonts w:hint="eastAsia" w:ascii="宋体" w:hAnsi="宋体" w:cs="宋体"/>
                <w:b/>
                <w:bCs/>
                <w:color w:val="auto"/>
                <w:sz w:val="24"/>
                <w:szCs w:val="24"/>
                <w:highlight w:val="none"/>
                <w:lang w:val="en-US" w:eastAsia="zh-CN"/>
              </w:rPr>
              <w:t>各标包</w:t>
            </w:r>
            <w:r>
              <w:rPr>
                <w:rFonts w:hint="eastAsia" w:ascii="宋体" w:hAnsi="宋体" w:eastAsia="宋体" w:cs="宋体"/>
                <w:b/>
                <w:bCs/>
                <w:color w:val="auto"/>
                <w:sz w:val="24"/>
                <w:szCs w:val="24"/>
                <w:highlight w:val="none"/>
              </w:rPr>
              <w:t>核心产品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详见第六章招标项目需求及技术要求。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8.12</w:t>
            </w:r>
          </w:p>
        </w:tc>
        <w:tc>
          <w:tcPr>
            <w:tcW w:w="4470" w:type="pct"/>
            <w:vAlign w:val="center"/>
          </w:tcPr>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8.13</w:t>
            </w:r>
          </w:p>
        </w:tc>
        <w:tc>
          <w:tcPr>
            <w:tcW w:w="4470" w:type="pct"/>
            <w:vAlign w:val="center"/>
          </w:tcPr>
          <w:p>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8.14</w:t>
            </w:r>
          </w:p>
        </w:tc>
        <w:tc>
          <w:tcPr>
            <w:tcW w:w="4470" w:type="pct"/>
            <w:vAlign w:val="center"/>
          </w:tcPr>
          <w:p>
            <w:pPr>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投标人在制作电子投标文件时，开标一览表为系统默认设置，供交易系统唱标时使用，若其中内容无法填写或不适用可填写“0”或“/”。本项目以投标人电子投标文件中的投标函及投标函附录中的内容为准。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8.15</w:t>
            </w:r>
          </w:p>
        </w:tc>
        <w:tc>
          <w:tcPr>
            <w:tcW w:w="4470" w:type="pct"/>
            <w:vAlign w:val="center"/>
          </w:tcPr>
          <w:p>
            <w:pPr>
              <w:pStyle w:val="21"/>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1、对于</w:t>
            </w:r>
            <w:r>
              <w:rPr>
                <w:rFonts w:hint="eastAsia" w:ascii="宋体" w:hAnsi="宋体" w:eastAsia="宋体" w:cs="宋体"/>
                <w:b/>
                <w:bCs/>
                <w:color w:val="auto"/>
                <w:sz w:val="24"/>
                <w:szCs w:val="24"/>
                <w:highlight w:val="none"/>
                <w:lang w:val="en-US" w:eastAsia="zh-CN"/>
              </w:rPr>
              <w:t>第六章招标项目需求及技术要求</w:t>
            </w:r>
            <w:r>
              <w:rPr>
                <w:rFonts w:hint="eastAsia" w:ascii="宋体" w:hAnsi="宋体" w:eastAsia="宋体" w:cs="宋体"/>
                <w:b/>
                <w:bCs/>
                <w:color w:val="auto"/>
                <w:sz w:val="24"/>
                <w:szCs w:val="24"/>
                <w:highlight w:val="none"/>
              </w:rPr>
              <w:t>中的★标注</w:t>
            </w:r>
            <w:r>
              <w:rPr>
                <w:rFonts w:hint="eastAsia" w:ascii="宋体" w:hAnsi="宋体" w:cs="宋体"/>
                <w:b/>
                <w:bCs/>
                <w:color w:val="auto"/>
                <w:sz w:val="24"/>
                <w:szCs w:val="24"/>
                <w:highlight w:val="none"/>
                <w:lang w:eastAsia="zh-CN"/>
              </w:rPr>
              <w:t>技术</w:t>
            </w:r>
            <w:r>
              <w:rPr>
                <w:rFonts w:hint="eastAsia" w:ascii="宋体" w:hAnsi="宋体" w:eastAsia="宋体" w:cs="宋体"/>
                <w:b/>
                <w:bCs/>
                <w:color w:val="auto"/>
                <w:sz w:val="24"/>
                <w:szCs w:val="24"/>
                <w:highlight w:val="none"/>
              </w:rPr>
              <w:t>参数，用户与中标单位在签订合同前，用户有权要求中标单位现场测试。对于虚假标注参数或参数实际不满足的，将报请财政部门取消其中标资格并按政府采购相关法律法规进行处理。</w:t>
            </w:r>
          </w:p>
          <w:p>
            <w:pPr>
              <w:pStyle w:val="21"/>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pPr>
        <w:adjustRightInd w:val="0"/>
        <w:snapToGrid w:val="0"/>
        <w:spacing w:line="360" w:lineRule="auto"/>
        <w:ind w:left="38" w:leftChars="18"/>
        <w:jc w:val="center"/>
        <w:rPr>
          <w:rFonts w:hint="eastAsia" w:ascii="宋体" w:hAnsi="宋体" w:eastAsia="宋体" w:cs="宋体"/>
          <w:color w:val="auto"/>
          <w:sz w:val="24"/>
          <w:szCs w:val="24"/>
          <w:highlight w:val="none"/>
        </w:rPr>
        <w:sectPr>
          <w:footerReference r:id="rId7" w:type="default"/>
          <w:pgSz w:w="11906" w:h="16838"/>
          <w:pgMar w:top="1440" w:right="1800" w:bottom="1440" w:left="1800" w:header="850" w:footer="964" w:gutter="0"/>
          <w:pgBorders>
            <w:top w:val="none" w:sz="0" w:space="0"/>
            <w:left w:val="none" w:sz="0" w:space="0"/>
            <w:bottom w:val="none" w:sz="0" w:space="0"/>
            <w:right w:val="none" w:sz="0" w:space="0"/>
          </w:pgBorders>
          <w:pgNumType w:fmt="decimal" w:start="1"/>
          <w:cols w:space="720" w:num="1"/>
          <w:docGrid w:type="lines" w:linePitch="315" w:charSpace="0"/>
        </w:sectPr>
      </w:pPr>
    </w:p>
    <w:p>
      <w:pPr>
        <w:numPr>
          <w:ilvl w:val="0"/>
          <w:numId w:val="0"/>
        </w:numPr>
        <w:spacing w:line="360" w:lineRule="auto"/>
        <w:jc w:val="center"/>
        <w:outlineLvl w:val="1"/>
        <w:rPr>
          <w:rFonts w:hint="eastAsia" w:ascii="宋体" w:hAnsi="宋体" w:eastAsia="宋体" w:cs="宋体"/>
          <w:color w:val="auto"/>
          <w:sz w:val="24"/>
          <w:szCs w:val="24"/>
          <w:highlight w:val="none"/>
        </w:rPr>
      </w:pPr>
      <w:bookmarkStart w:id="22" w:name="_Toc3925"/>
      <w:bookmarkStart w:id="23" w:name="_Toc17929"/>
      <w:bookmarkStart w:id="24" w:name="_Toc15365"/>
      <w:bookmarkStart w:id="25" w:name="_Toc20527"/>
      <w:bookmarkStart w:id="26" w:name="_Toc40112130"/>
      <w:r>
        <w:rPr>
          <w:rStyle w:val="28"/>
          <w:rFonts w:hint="eastAsia" w:ascii="宋体" w:hAnsi="宋体" w:eastAsia="宋体" w:cs="宋体"/>
          <w:color w:val="auto"/>
          <w:sz w:val="24"/>
          <w:szCs w:val="24"/>
          <w:highlight w:val="none"/>
        </w:rPr>
        <w:t>总则</w:t>
      </w:r>
      <w:bookmarkEnd w:id="22"/>
      <w:bookmarkEnd w:id="23"/>
      <w:bookmarkEnd w:id="24"/>
      <w:bookmarkEnd w:id="25"/>
      <w:bookmarkEnd w:id="26"/>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27" w:name="_Toc20743"/>
      <w:bookmarkStart w:id="28" w:name="_Toc4828"/>
      <w:bookmarkStart w:id="29" w:name="_Toc15062"/>
      <w:bookmarkStart w:id="30" w:name="_Toc30432"/>
      <w:bookmarkStart w:id="31" w:name="_Toc30513"/>
      <w:bookmarkStart w:id="32" w:name="_Toc2081"/>
      <w:bookmarkStart w:id="33" w:name="_Toc14496"/>
      <w:bookmarkStart w:id="34" w:name="_Toc28200"/>
      <w:bookmarkStart w:id="35" w:name="_Toc5358"/>
      <w:bookmarkStart w:id="36" w:name="_Toc28377"/>
      <w:bookmarkStart w:id="37" w:name="_Toc2427"/>
      <w:r>
        <w:rPr>
          <w:rFonts w:hint="eastAsia" w:ascii="宋体" w:hAnsi="宋体" w:eastAsia="宋体" w:cs="宋体"/>
          <w:b/>
          <w:bCs/>
          <w:color w:val="auto"/>
          <w:sz w:val="24"/>
          <w:szCs w:val="24"/>
          <w:highlight w:val="none"/>
        </w:rPr>
        <w:t>适用范围</w:t>
      </w:r>
      <w:bookmarkEnd w:id="27"/>
      <w:bookmarkEnd w:id="28"/>
      <w:bookmarkEnd w:id="29"/>
      <w:bookmarkEnd w:id="30"/>
      <w:bookmarkEnd w:id="31"/>
      <w:bookmarkEnd w:id="32"/>
      <w:bookmarkEnd w:id="33"/>
      <w:bookmarkEnd w:id="34"/>
      <w:bookmarkEnd w:id="35"/>
      <w:bookmarkEnd w:id="36"/>
      <w:bookmarkEnd w:id="37"/>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本招标文件仅适用于本次所述的货物及其伴随的服务采购。</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本招标文件的解释权归采购人所有。</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38" w:name="_Toc16716"/>
      <w:bookmarkStart w:id="39" w:name="_Toc29424"/>
      <w:bookmarkStart w:id="40" w:name="_Toc19192"/>
      <w:bookmarkStart w:id="41" w:name="_Toc18955"/>
      <w:r>
        <w:rPr>
          <w:rFonts w:hint="eastAsia" w:ascii="宋体" w:hAnsi="宋体" w:eastAsia="宋体" w:cs="宋体"/>
          <w:b/>
          <w:bCs/>
          <w:color w:val="auto"/>
          <w:sz w:val="24"/>
          <w:szCs w:val="24"/>
          <w:highlight w:val="none"/>
        </w:rPr>
        <w:t>招标项目概况</w:t>
      </w:r>
      <w:bookmarkEnd w:id="38"/>
      <w:bookmarkEnd w:id="39"/>
      <w:bookmarkEnd w:id="40"/>
      <w:bookmarkEnd w:id="41"/>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须知前附表中所述的、依法进行政府采购的国家机关、事业单位、团体组织。</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采购代理机构：受采购人委托组织招标活动，在招标过程中负有相应责任的社会中介组织。</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项目编号及项目名称：见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本次采购内容：见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资金来源及预算金额：见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资格要求：详见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不接受联合体投标。</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不得存在下列情形之一：</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为采购人不具有独立法人资格的附属机构（单位）；</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不得以向采购人行贿或者采取其他不正当手段谋取非法利益；</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为本项目提供招标代理服务的；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被责令停业的；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被暂停或取消投标资格的；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财产被接管或冻结的；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在最近三年内有骗取中标或严重违约或重大质量问题的。</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中标人：接到并接受中标通知，最终被授予合同的供应商。</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根据招标文件提交的所有文件。</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2" w:name="_Toc4927"/>
      <w:bookmarkStart w:id="43" w:name="_Toc8166"/>
      <w:bookmarkStart w:id="44" w:name="_Toc9501"/>
      <w:bookmarkStart w:id="45" w:name="_Toc25850"/>
      <w:r>
        <w:rPr>
          <w:rFonts w:hint="eastAsia" w:ascii="宋体" w:hAnsi="宋体" w:eastAsia="宋体" w:cs="宋体"/>
          <w:b/>
          <w:bCs/>
          <w:color w:val="auto"/>
          <w:sz w:val="24"/>
          <w:szCs w:val="24"/>
          <w:highlight w:val="none"/>
        </w:rPr>
        <w:t>投标费用</w:t>
      </w:r>
      <w:bookmarkEnd w:id="42"/>
      <w:bookmarkEnd w:id="43"/>
      <w:bookmarkEnd w:id="44"/>
      <w:bookmarkEnd w:id="45"/>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46" w:name="_Toc22953398"/>
      <w:bookmarkEnd w:id="46"/>
      <w:bookmarkStart w:id="47" w:name="_Toc312133544"/>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准备和参加投标活动发生的费用自理。</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8" w:name="_Toc28829"/>
      <w:bookmarkStart w:id="49" w:name="_Toc1130"/>
      <w:bookmarkStart w:id="50" w:name="_Toc18613"/>
      <w:bookmarkStart w:id="51" w:name="_Toc12301"/>
      <w:bookmarkStart w:id="52" w:name="_Toc23865"/>
      <w:bookmarkStart w:id="53" w:name="_Toc13179"/>
      <w:bookmarkStart w:id="54" w:name="_Toc31440"/>
      <w:bookmarkStart w:id="55" w:name="_Toc27047"/>
      <w:bookmarkStart w:id="56" w:name="_Toc28577"/>
      <w:bookmarkStart w:id="57" w:name="_Toc30990"/>
      <w:bookmarkStart w:id="58" w:name="_Toc13660"/>
      <w:r>
        <w:rPr>
          <w:rFonts w:hint="eastAsia" w:ascii="宋体" w:hAnsi="宋体" w:eastAsia="宋体" w:cs="宋体"/>
          <w:b/>
          <w:bCs/>
          <w:color w:val="auto"/>
          <w:sz w:val="24"/>
          <w:szCs w:val="24"/>
          <w:highlight w:val="none"/>
        </w:rPr>
        <w:t>现场考察或答疑会</w:t>
      </w:r>
      <w:bookmarkEnd w:id="48"/>
      <w:bookmarkEnd w:id="49"/>
      <w:bookmarkEnd w:id="50"/>
      <w:bookmarkEnd w:id="51"/>
      <w:bookmarkEnd w:id="52"/>
      <w:bookmarkEnd w:id="53"/>
      <w:bookmarkEnd w:id="54"/>
      <w:bookmarkEnd w:id="55"/>
      <w:bookmarkEnd w:id="56"/>
      <w:bookmarkEnd w:id="57"/>
      <w:bookmarkEnd w:id="58"/>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前附表规定组织现场考察的，采购人按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前附表规定的时间、地点组织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考察项目现场。部分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未按时参加现场考察的，不影响现场考察的正常进行。</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现场考察发生的费用自理。</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除采购人的原因外，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自行负责在现场考察中所发生的人员伤亡和财产损失。</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采购人在现场考察中介绍的项目场地和相关的周边环境情况，供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在编制投标文件时参考，采购人不对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据此作出的判断和决策负责。</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59" w:name="_Toc26711"/>
      <w:bookmarkStart w:id="60" w:name="_Toc20467"/>
      <w:bookmarkStart w:id="61" w:name="_Toc6051"/>
      <w:bookmarkStart w:id="62" w:name="_Toc9561"/>
      <w:bookmarkStart w:id="63" w:name="_Toc7448"/>
      <w:bookmarkStart w:id="64" w:name="_Toc11040"/>
      <w:bookmarkStart w:id="65" w:name="_Toc28493"/>
      <w:bookmarkStart w:id="66" w:name="_Toc10737"/>
      <w:bookmarkStart w:id="67" w:name="_Toc9110"/>
      <w:bookmarkStart w:id="68" w:name="_Toc8265"/>
      <w:bookmarkStart w:id="69" w:name="_Toc27635"/>
      <w:r>
        <w:rPr>
          <w:rFonts w:hint="eastAsia" w:ascii="宋体" w:hAnsi="宋体" w:eastAsia="宋体" w:cs="宋体"/>
          <w:b/>
          <w:bCs/>
          <w:color w:val="auto"/>
          <w:sz w:val="24"/>
          <w:szCs w:val="24"/>
          <w:highlight w:val="none"/>
        </w:rPr>
        <w:t>分包</w:t>
      </w:r>
      <w:bookmarkEnd w:id="59"/>
      <w:bookmarkEnd w:id="60"/>
      <w:bookmarkEnd w:id="61"/>
      <w:bookmarkEnd w:id="62"/>
      <w:bookmarkEnd w:id="63"/>
      <w:bookmarkEnd w:id="64"/>
      <w:bookmarkEnd w:id="65"/>
      <w:bookmarkEnd w:id="66"/>
      <w:bookmarkEnd w:id="67"/>
      <w:bookmarkEnd w:id="68"/>
      <w:bookmarkEnd w:id="69"/>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70" w:name="_Toc6725"/>
      <w:bookmarkStart w:id="71" w:name="_Toc20874"/>
      <w:bookmarkStart w:id="72" w:name="_Toc9963"/>
      <w:bookmarkStart w:id="73" w:name="_Toc31207"/>
      <w:bookmarkStart w:id="74" w:name="_Toc26863"/>
      <w:bookmarkStart w:id="75" w:name="_Toc18743"/>
      <w:bookmarkStart w:id="76" w:name="_Toc28651"/>
      <w:bookmarkStart w:id="77" w:name="_Toc6977"/>
      <w:bookmarkStart w:id="78" w:name="_Toc21582"/>
      <w:bookmarkStart w:id="79" w:name="_Toc10914"/>
      <w:bookmarkStart w:id="80" w:name="_Toc26753"/>
      <w:bookmarkStart w:id="81" w:name="_Toc11954"/>
      <w:bookmarkStart w:id="82" w:name="_Toc2167"/>
      <w:r>
        <w:rPr>
          <w:rFonts w:hint="eastAsia" w:ascii="宋体" w:hAnsi="宋体" w:eastAsia="宋体" w:cs="宋体"/>
          <w:b/>
          <w:bCs/>
          <w:color w:val="auto"/>
          <w:sz w:val="24"/>
          <w:szCs w:val="24"/>
          <w:highlight w:val="none"/>
        </w:rPr>
        <w:t>响应和偏差</w:t>
      </w:r>
      <w:bookmarkEnd w:id="70"/>
      <w:bookmarkEnd w:id="71"/>
      <w:bookmarkEnd w:id="72"/>
      <w:bookmarkEnd w:id="73"/>
      <w:bookmarkEnd w:id="74"/>
      <w:bookmarkEnd w:id="75"/>
      <w:bookmarkEnd w:id="76"/>
      <w:bookmarkEnd w:id="77"/>
      <w:bookmarkEnd w:id="78"/>
      <w:bookmarkEnd w:id="79"/>
      <w:bookmarkEnd w:id="80"/>
      <w:bookmarkEnd w:id="81"/>
      <w:bookmarkEnd w:id="82"/>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投标文件应当对招标文件的实质性要求和条件作出响应，实质性要求和条件见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投标文件中应针对实质性要求和条件中列明的技术要求提供技术支持资料。技术支持资料以制造商公开发布的产品说明书，或检测机构</w:t>
      </w:r>
      <w:r>
        <w:rPr>
          <w:rFonts w:hint="eastAsia" w:ascii="宋体" w:hAnsi="宋体" w:eastAsia="宋体" w:cs="宋体"/>
          <w:color w:val="auto"/>
          <w:spacing w:val="-2"/>
          <w:kern w:val="0"/>
          <w:sz w:val="24"/>
          <w:szCs w:val="24"/>
          <w:highlight w:val="none"/>
        </w:rPr>
        <w:t>出具的检测报告或检验报告，</w:t>
      </w:r>
      <w:r>
        <w:rPr>
          <w:rFonts w:hint="eastAsia" w:ascii="宋体" w:hAnsi="宋体" w:eastAsia="宋体" w:cs="宋体"/>
          <w:color w:val="auto"/>
          <w:kern w:val="0"/>
          <w:sz w:val="24"/>
          <w:szCs w:val="24"/>
          <w:highlight w:val="none"/>
        </w:rPr>
        <w:t>或其他相关证明材料为准，不符合前述要求的，视为无技术支持资料。</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前附表允许投标文件偏离招标文件某些要求的，偏差应当符合招标文件规定的偏差范围和幅度。</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件对招标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件的全部偏差，均应在</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标文件</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商务和技术偏</w:t>
      </w:r>
      <w:r>
        <w:rPr>
          <w:rFonts w:hint="eastAsia" w:ascii="宋体" w:hAnsi="宋体" w:eastAsia="宋体" w:cs="宋体"/>
          <w:color w:val="auto"/>
          <w:spacing w:val="-2"/>
          <w:kern w:val="0"/>
          <w:sz w:val="24"/>
          <w:szCs w:val="24"/>
          <w:highlight w:val="none"/>
        </w:rPr>
        <w:t>差</w:t>
      </w:r>
      <w:r>
        <w:rPr>
          <w:rFonts w:hint="eastAsia" w:ascii="宋体" w:hAnsi="宋体" w:eastAsia="宋体" w:cs="宋体"/>
          <w:color w:val="auto"/>
          <w:kern w:val="0"/>
          <w:sz w:val="24"/>
          <w:szCs w:val="24"/>
          <w:highlight w:val="none"/>
        </w:rPr>
        <w:t>表中列明，除列明</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容</w:t>
      </w:r>
      <w:r>
        <w:rPr>
          <w:rFonts w:hint="eastAsia" w:ascii="宋体" w:hAnsi="宋体" w:eastAsia="宋体" w:cs="宋体"/>
          <w:color w:val="auto"/>
          <w:kern w:val="0"/>
          <w:sz w:val="24"/>
          <w:szCs w:val="24"/>
          <w:highlight w:val="none"/>
        </w:rPr>
        <w:t>外</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视</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响</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招</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全</w:t>
      </w:r>
      <w:r>
        <w:rPr>
          <w:rFonts w:hint="eastAsia" w:ascii="宋体" w:hAnsi="宋体" w:eastAsia="宋体" w:cs="宋体"/>
          <w:color w:val="auto"/>
          <w:kern w:val="0"/>
          <w:sz w:val="24"/>
          <w:szCs w:val="24"/>
          <w:highlight w:val="none"/>
        </w:rPr>
        <w:t>部</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质量把控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83" w:name="_Toc29202"/>
      <w:bookmarkStart w:id="84" w:name="_Toc29855"/>
      <w:bookmarkStart w:id="85" w:name="_Toc14740"/>
      <w:bookmarkStart w:id="86" w:name="_Toc9147"/>
      <w:bookmarkStart w:id="87" w:name="_Toc16595"/>
      <w:bookmarkStart w:id="88" w:name="_Toc9588"/>
      <w:bookmarkStart w:id="89" w:name="_Toc11845"/>
      <w:bookmarkStart w:id="90" w:name="_Toc5477"/>
      <w:bookmarkStart w:id="91" w:name="_Toc12963"/>
      <w:bookmarkStart w:id="92" w:name="_Toc25924"/>
      <w:bookmarkStart w:id="93" w:name="_Toc15630"/>
      <w:r>
        <w:rPr>
          <w:rFonts w:hint="eastAsia" w:ascii="宋体" w:hAnsi="宋体" w:eastAsia="宋体" w:cs="宋体"/>
          <w:b/>
          <w:bCs/>
          <w:color w:val="auto"/>
          <w:sz w:val="24"/>
          <w:szCs w:val="24"/>
          <w:highlight w:val="none"/>
        </w:rPr>
        <w:t>投标语言</w:t>
      </w:r>
      <w:bookmarkEnd w:id="83"/>
      <w:bookmarkEnd w:id="84"/>
      <w:bookmarkEnd w:id="85"/>
      <w:bookmarkEnd w:id="86"/>
      <w:bookmarkEnd w:id="87"/>
      <w:bookmarkEnd w:id="88"/>
      <w:bookmarkEnd w:id="89"/>
      <w:bookmarkEnd w:id="90"/>
      <w:bookmarkEnd w:id="91"/>
      <w:bookmarkEnd w:id="92"/>
      <w:bookmarkEnd w:id="93"/>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言</w:t>
      </w:r>
      <w:r>
        <w:rPr>
          <w:rFonts w:hint="eastAsia" w:ascii="宋体" w:hAnsi="宋体" w:eastAsia="宋体" w:cs="宋体"/>
          <w:color w:val="auto"/>
          <w:kern w:val="0"/>
          <w:sz w:val="24"/>
          <w:szCs w:val="24"/>
          <w:highlight w:val="none"/>
        </w:rPr>
        <w:t>文字</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专</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用外</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应</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有</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注</w:t>
      </w:r>
      <w:r>
        <w:rPr>
          <w:rFonts w:hint="eastAsia" w:ascii="宋体" w:hAnsi="宋体" w:eastAsia="宋体" w:cs="宋体"/>
          <w:color w:val="auto"/>
          <w:kern w:val="0"/>
          <w:sz w:val="24"/>
          <w:szCs w:val="24"/>
          <w:highlight w:val="none"/>
        </w:rPr>
        <w:t>释</w:t>
      </w:r>
      <w:r>
        <w:rPr>
          <w:rFonts w:hint="eastAsia" w:ascii="宋体" w:hAnsi="宋体" w:eastAsia="宋体" w:cs="宋体"/>
          <w:color w:val="auto"/>
          <w:sz w:val="24"/>
          <w:szCs w:val="24"/>
          <w:highlight w:val="none"/>
        </w:rPr>
        <w:t>。</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94" w:name="_Toc5019"/>
      <w:bookmarkStart w:id="95" w:name="_Toc14186"/>
      <w:bookmarkStart w:id="96" w:name="_Toc9167"/>
      <w:bookmarkStart w:id="97" w:name="_Toc22605"/>
      <w:bookmarkStart w:id="98" w:name="_Toc20418"/>
      <w:bookmarkStart w:id="99" w:name="_Toc14812"/>
      <w:bookmarkStart w:id="100" w:name="_Toc30395"/>
      <w:bookmarkStart w:id="101" w:name="_Toc19599"/>
      <w:bookmarkStart w:id="102" w:name="_Toc21374"/>
      <w:bookmarkStart w:id="103" w:name="_Toc22466"/>
      <w:bookmarkStart w:id="104" w:name="_Toc7785"/>
      <w:r>
        <w:rPr>
          <w:rFonts w:hint="eastAsia" w:ascii="宋体" w:hAnsi="宋体" w:eastAsia="宋体" w:cs="宋体"/>
          <w:b/>
          <w:bCs/>
          <w:color w:val="auto"/>
          <w:sz w:val="24"/>
          <w:szCs w:val="24"/>
          <w:highlight w:val="none"/>
        </w:rPr>
        <w:t>投标文件计量单位</w:t>
      </w:r>
      <w:bookmarkEnd w:id="94"/>
      <w:bookmarkEnd w:id="95"/>
      <w:bookmarkEnd w:id="96"/>
      <w:bookmarkEnd w:id="97"/>
      <w:bookmarkEnd w:id="98"/>
      <w:bookmarkEnd w:id="99"/>
      <w:bookmarkEnd w:id="100"/>
      <w:bookmarkEnd w:id="101"/>
      <w:bookmarkEnd w:id="102"/>
      <w:bookmarkEnd w:id="103"/>
      <w:bookmarkEnd w:id="104"/>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除在招标文件的技术文件中另有规定外，计量单位均使用中华人民共和国法定计量标准单位。</w:t>
      </w:r>
    </w:p>
    <w:p>
      <w:pPr>
        <w:numPr>
          <w:ilvl w:val="1"/>
          <w:numId w:val="3"/>
        </w:numPr>
        <w:spacing w:line="360" w:lineRule="auto"/>
        <w:ind w:firstLine="482" w:firstLineChars="200"/>
        <w:rPr>
          <w:rFonts w:hint="eastAsia" w:ascii="宋体" w:hAnsi="宋体" w:eastAsia="宋体" w:cs="宋体"/>
          <w:color w:val="auto"/>
          <w:sz w:val="24"/>
          <w:szCs w:val="24"/>
          <w:highlight w:val="none"/>
        </w:rPr>
      </w:pPr>
      <w:bookmarkStart w:id="105" w:name="_Toc19923"/>
      <w:bookmarkStart w:id="106" w:name="_Toc4326"/>
      <w:bookmarkStart w:id="107" w:name="_Toc23880"/>
      <w:bookmarkStart w:id="108" w:name="_Toc2806"/>
      <w:bookmarkStart w:id="109" w:name="_Toc23957"/>
      <w:bookmarkStart w:id="110" w:name="_Toc16602"/>
      <w:bookmarkStart w:id="111" w:name="_Toc24747"/>
      <w:bookmarkStart w:id="112" w:name="_Toc26769"/>
      <w:bookmarkStart w:id="113" w:name="_Toc10045"/>
      <w:bookmarkStart w:id="114" w:name="_Toc12071"/>
      <w:bookmarkStart w:id="115" w:name="_Toc15754"/>
      <w:r>
        <w:rPr>
          <w:rFonts w:hint="eastAsia" w:ascii="宋体" w:hAnsi="宋体" w:eastAsia="宋体" w:cs="宋体"/>
          <w:b/>
          <w:bCs/>
          <w:color w:val="auto"/>
          <w:sz w:val="24"/>
          <w:szCs w:val="24"/>
          <w:highlight w:val="none"/>
        </w:rPr>
        <w:t>投标货币</w:t>
      </w:r>
      <w:bookmarkEnd w:id="105"/>
      <w:bookmarkEnd w:id="106"/>
      <w:bookmarkEnd w:id="107"/>
      <w:bookmarkEnd w:id="108"/>
      <w:bookmarkEnd w:id="109"/>
      <w:bookmarkEnd w:id="110"/>
      <w:bookmarkEnd w:id="111"/>
      <w:bookmarkEnd w:id="112"/>
      <w:bookmarkEnd w:id="113"/>
      <w:bookmarkEnd w:id="114"/>
      <w:bookmarkEnd w:id="115"/>
    </w:p>
    <w:p>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除非另有规定，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提供的所有服务用人民币报价。</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116" w:name="_Toc29095"/>
      <w:bookmarkStart w:id="117" w:name="_Toc24561"/>
      <w:bookmarkStart w:id="118" w:name="_Toc12030"/>
      <w:bookmarkStart w:id="119" w:name="_Toc28184"/>
      <w:bookmarkStart w:id="120" w:name="_Toc16853"/>
      <w:bookmarkStart w:id="121" w:name="_Toc11598"/>
      <w:bookmarkStart w:id="122" w:name="_Toc14764"/>
      <w:bookmarkStart w:id="123" w:name="_Toc31058"/>
      <w:bookmarkStart w:id="124" w:name="_Toc141"/>
      <w:bookmarkStart w:id="125" w:name="_Toc26021"/>
      <w:bookmarkStart w:id="126" w:name="_Toc32032"/>
      <w:bookmarkStart w:id="127" w:name="_Toc4030"/>
      <w:bookmarkStart w:id="128" w:name="_Toc19335"/>
      <w:r>
        <w:rPr>
          <w:rFonts w:hint="eastAsia" w:ascii="宋体" w:hAnsi="宋体" w:eastAsia="宋体" w:cs="宋体"/>
          <w:b/>
          <w:bCs/>
          <w:color w:val="auto"/>
          <w:sz w:val="24"/>
          <w:szCs w:val="24"/>
          <w:highlight w:val="none"/>
        </w:rPr>
        <w:t>保密</w:t>
      </w:r>
      <w:bookmarkEnd w:id="116"/>
      <w:bookmarkEnd w:id="117"/>
      <w:bookmarkEnd w:id="118"/>
      <w:bookmarkEnd w:id="119"/>
      <w:bookmarkEnd w:id="120"/>
      <w:bookmarkEnd w:id="121"/>
      <w:bookmarkEnd w:id="122"/>
      <w:bookmarkEnd w:id="123"/>
      <w:bookmarkEnd w:id="124"/>
      <w:bookmarkEnd w:id="125"/>
      <w:bookmarkEnd w:id="126"/>
      <w:bookmarkEnd w:id="127"/>
      <w:bookmarkEnd w:id="128"/>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29" w:name="_Toc6378"/>
      <w:bookmarkStart w:id="130" w:name="_Toc26702"/>
      <w:bookmarkStart w:id="131" w:name="_Toc20563"/>
      <w:bookmarkStart w:id="132" w:name="_Toc12581"/>
      <w:bookmarkStart w:id="133" w:name="_Toc40112131"/>
      <w:r>
        <w:rPr>
          <w:rStyle w:val="28"/>
          <w:rFonts w:hint="eastAsia" w:ascii="宋体" w:hAnsi="宋体" w:eastAsia="宋体" w:cs="宋体"/>
          <w:color w:val="auto"/>
          <w:sz w:val="24"/>
          <w:szCs w:val="24"/>
          <w:highlight w:val="none"/>
        </w:rPr>
        <w:t>招标文件</w:t>
      </w:r>
      <w:bookmarkEnd w:id="47"/>
      <w:bookmarkEnd w:id="129"/>
      <w:bookmarkEnd w:id="130"/>
      <w:bookmarkEnd w:id="131"/>
      <w:bookmarkEnd w:id="132"/>
      <w:bookmarkEnd w:id="133"/>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4" w:name="_Toc14801"/>
      <w:bookmarkStart w:id="135" w:name="_Toc8008"/>
      <w:bookmarkStart w:id="136" w:name="_Toc3764"/>
      <w:bookmarkStart w:id="137" w:name="_Toc20524"/>
      <w:r>
        <w:rPr>
          <w:rFonts w:hint="eastAsia" w:ascii="宋体" w:hAnsi="宋体" w:eastAsia="宋体" w:cs="宋体"/>
          <w:b/>
          <w:bCs/>
          <w:color w:val="auto"/>
          <w:sz w:val="24"/>
          <w:szCs w:val="24"/>
          <w:highlight w:val="none"/>
        </w:rPr>
        <w:t>招标文件的构成</w:t>
      </w:r>
      <w:bookmarkEnd w:id="134"/>
      <w:bookmarkEnd w:id="135"/>
      <w:bookmarkEnd w:id="136"/>
      <w:bookmarkEnd w:id="137"/>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招标文件用以阐明本次招标的货物和服务要求、招标投标程序和合同条件。</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招标文件由下述部分组成： </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投标人须知</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资格审查</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评标办法（综合评分法）</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招标项目需求及技术要求</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投标文件格式</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应仔细阅读招标文件中</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cs="宋体"/>
          <w:b/>
          <w:bCs/>
          <w:color w:val="auto"/>
          <w:sz w:val="24"/>
          <w:szCs w:val="24"/>
          <w:highlight w:val="none"/>
        </w:rPr>
        <w:t>投标被拒绝或认定为投标无效</w:t>
      </w:r>
      <w:r>
        <w:rPr>
          <w:rFonts w:hint="eastAsia" w:ascii="宋体" w:hAnsi="宋体" w:eastAsia="宋体" w:cs="宋体"/>
          <w:color w:val="auto"/>
          <w:sz w:val="24"/>
          <w:szCs w:val="24"/>
          <w:highlight w:val="none"/>
        </w:rPr>
        <w:t>的风险。</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制作投标文件时应充分完整理解招标文件的整体要求。</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根据本章第1.4款、第2.2款和第2.3款对招标文件所做的澄清和修改，构成招标文件的组成部分。</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8" w:name="_Toc3408"/>
      <w:bookmarkStart w:id="139" w:name="_Toc23431"/>
      <w:bookmarkStart w:id="140" w:name="_Toc6978"/>
      <w:bookmarkStart w:id="141" w:name="_Toc7923"/>
      <w:r>
        <w:rPr>
          <w:rFonts w:hint="eastAsia" w:ascii="宋体" w:hAnsi="宋体" w:eastAsia="宋体" w:cs="宋体"/>
          <w:b/>
          <w:bCs/>
          <w:color w:val="auto"/>
          <w:sz w:val="24"/>
          <w:szCs w:val="24"/>
          <w:highlight w:val="none"/>
        </w:rPr>
        <w:t>招标文件的澄清</w:t>
      </w:r>
      <w:bookmarkEnd w:id="138"/>
      <w:bookmarkEnd w:id="139"/>
      <w:bookmarkEnd w:id="140"/>
      <w:bookmarkEnd w:id="141"/>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应仔细阅读和检查招标文件的全部内容。如发现缺页或附件不全，应及时向采购人提出，以便补齐。如有疑问，应按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前附表规定的时间和形式将提出的问题送达采购人，要求采购人对招标文件予以澄清。</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前附表规定的形式发给所有购买招标文件的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，但不指明澄清问题的来源。澄清发出的时间距本章第4.2.1项规定的投标截止时间不足15日的，并且澄清内容可能影响投标文件编制的，将相应延长投标截止时间。</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在收到澄清后，应按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前附表规定的时间和形式通知采购人，确认已收到该澄清。</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除非采购人认为确有必要答复，否则，采购人有权拒绝回复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在本章第 2.2.1 项规定的时间后的任何澄清要求。在规定的时间内未提出疑问的，将被视为对招标文件完全认可。</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42" w:name="_Toc25801"/>
      <w:bookmarkStart w:id="143" w:name="_Toc32510"/>
      <w:bookmarkStart w:id="144" w:name="_Toc12162"/>
      <w:bookmarkStart w:id="145" w:name="_Toc28742"/>
      <w:r>
        <w:rPr>
          <w:rFonts w:hint="eastAsia" w:ascii="宋体" w:hAnsi="宋体" w:eastAsia="宋体" w:cs="宋体"/>
          <w:b/>
          <w:bCs/>
          <w:color w:val="auto"/>
          <w:sz w:val="24"/>
          <w:szCs w:val="24"/>
          <w:highlight w:val="none"/>
        </w:rPr>
        <w:t>招标文件的修改</w:t>
      </w:r>
      <w:bookmarkEnd w:id="142"/>
      <w:bookmarkEnd w:id="143"/>
      <w:bookmarkEnd w:id="144"/>
      <w:bookmarkEnd w:id="14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采购人或采购代理机构可以对已发出的招标文件进行必要的修改，但不得改变采购标的和资格条件，修改的内容为招标文件的组成部分。</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前附表规定的形式修改招标文件，并通知所有已购买招标文件的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。修改招标文件的时间距本章第4.2.1项规定的投标截止时间不足15日的，并且修改内容可能影响投标文件编制的，将相应延长投标截止时间。</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收到修改内容后，应按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前附表规定的时间和形式通知采购人，确认已收到该修改。</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46" w:name="_Toc12525"/>
      <w:bookmarkStart w:id="147" w:name="_Toc40112132"/>
      <w:bookmarkStart w:id="148" w:name="_Toc23680"/>
      <w:bookmarkStart w:id="149" w:name="_Toc18538"/>
      <w:bookmarkStart w:id="150" w:name="_Toc26472"/>
      <w:bookmarkStart w:id="151" w:name="_Toc312133545"/>
      <w:r>
        <w:rPr>
          <w:rStyle w:val="28"/>
          <w:rFonts w:hint="eastAsia" w:ascii="宋体" w:hAnsi="宋体" w:eastAsia="宋体" w:cs="宋体"/>
          <w:color w:val="auto"/>
          <w:sz w:val="24"/>
          <w:szCs w:val="24"/>
          <w:highlight w:val="none"/>
        </w:rPr>
        <w:t>投标文件的编写</w:t>
      </w:r>
      <w:bookmarkEnd w:id="146"/>
      <w:bookmarkEnd w:id="147"/>
      <w:bookmarkEnd w:id="148"/>
      <w:bookmarkEnd w:id="149"/>
      <w:bookmarkEnd w:id="150"/>
      <w:bookmarkEnd w:id="151"/>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2" w:name="_Toc27498"/>
      <w:bookmarkStart w:id="153" w:name="_Toc21879"/>
      <w:bookmarkStart w:id="154" w:name="_Toc9605"/>
      <w:bookmarkStart w:id="155" w:name="_Toc17436"/>
      <w:r>
        <w:rPr>
          <w:rFonts w:hint="eastAsia" w:ascii="宋体" w:hAnsi="宋体" w:eastAsia="宋体" w:cs="宋体"/>
          <w:b/>
          <w:bCs/>
          <w:color w:val="auto"/>
          <w:sz w:val="24"/>
          <w:szCs w:val="24"/>
          <w:highlight w:val="none"/>
        </w:rPr>
        <w:t>投标文件的组成</w:t>
      </w:r>
      <w:bookmarkEnd w:id="152"/>
      <w:bookmarkEnd w:id="153"/>
      <w:bookmarkEnd w:id="154"/>
      <w:bookmarkEnd w:id="15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投标文件包括下列部分：详见第七章投标文件格式</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投标文件应按招标文件中投标文件格式编写。</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招标文件中的每个分包，是项目招标不可拆分的最小投标单元，</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必须按此分包编制投标文件，提交相应的文件资料，拆包投标将视为漏项或非实质性响应予以</w:t>
      </w:r>
      <w:r>
        <w:rPr>
          <w:rFonts w:hint="eastAsia" w:ascii="宋体" w:hAnsi="宋体" w:eastAsia="宋体" w:cs="宋体"/>
          <w:b/>
          <w:bCs/>
          <w:color w:val="auto"/>
          <w:sz w:val="24"/>
          <w:szCs w:val="24"/>
          <w:highlight w:val="none"/>
        </w:rPr>
        <w:t>认定为投标无效</w:t>
      </w:r>
      <w:r>
        <w:rPr>
          <w:rFonts w:hint="eastAsia" w:ascii="宋体" w:hAnsi="宋体" w:eastAsia="宋体" w:cs="宋体"/>
          <w:color w:val="auto"/>
          <w:sz w:val="24"/>
          <w:szCs w:val="24"/>
          <w:highlight w:val="none"/>
        </w:rPr>
        <w:t>。</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6" w:name="_Toc32754"/>
      <w:bookmarkStart w:id="157" w:name="_Toc2826"/>
      <w:bookmarkStart w:id="158" w:name="_Toc1833"/>
      <w:bookmarkStart w:id="159" w:name="_Toc4941"/>
      <w:r>
        <w:rPr>
          <w:rFonts w:hint="eastAsia" w:ascii="宋体" w:hAnsi="宋体" w:eastAsia="宋体" w:cs="宋体"/>
          <w:b/>
          <w:bCs/>
          <w:color w:val="auto"/>
          <w:sz w:val="24"/>
          <w:szCs w:val="24"/>
          <w:highlight w:val="none"/>
        </w:rPr>
        <w:t>投标报价</w:t>
      </w:r>
      <w:bookmarkEnd w:id="156"/>
      <w:bookmarkEnd w:id="157"/>
      <w:bookmarkEnd w:id="158"/>
      <w:bookmarkEnd w:id="159"/>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应按照招标文件提供的报价明细表格式填写提供各项货物及服务的单价、分项总价和总投标价。</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eastAsia="宋体" w:cs="宋体"/>
          <w:color w:val="auto"/>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根据上述规定所作分项报价的目的只是为了评标时对投标文件进行比较的方便，但并不限制采购人订立合同的权力。</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投标报价应完全包括招标文件规定的全部货物及其伴随的服务范围，不得任意分割或合并所规定的货物及其伴随的服务分项。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对每种货物只允许有一个报价，采购人和采购代理机构不接受有任何选择报价的投标。</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不得以任何理由在</w:t>
      </w:r>
      <w:r>
        <w:rPr>
          <w:rFonts w:hint="eastAsia" w:ascii="宋体" w:hAnsi="宋体" w:eastAsia="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60" w:name="_Toc26916"/>
      <w:bookmarkStart w:id="161" w:name="_Toc25999"/>
      <w:bookmarkStart w:id="162" w:name="_Toc31023"/>
      <w:bookmarkStart w:id="163" w:name="_Toc28543"/>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资格的证明文件</w:t>
      </w:r>
      <w:bookmarkEnd w:id="160"/>
      <w:bookmarkEnd w:id="161"/>
      <w:bookmarkEnd w:id="162"/>
      <w:bookmarkEnd w:id="163"/>
    </w:p>
    <w:p>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4" w:name="_Toc28461"/>
      <w:bookmarkStart w:id="165" w:name="_Toc30002"/>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前附表中的要求提交相应的资格证明文件，作为投标文件资格审查的一部分，以证明其有资格进行投标和有能力履行合同。</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66" w:name="_Toc7564"/>
      <w:bookmarkStart w:id="167" w:name="_Toc13866"/>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技术证明文件</w:t>
      </w:r>
      <w:bookmarkEnd w:id="164"/>
      <w:bookmarkEnd w:id="165"/>
      <w:bookmarkEnd w:id="166"/>
      <w:bookmarkEnd w:id="167"/>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8" w:name="_Toc26009"/>
      <w:bookmarkStart w:id="169" w:name="_Toc26473"/>
      <w:bookmarkStart w:id="170" w:name="_Toc14418"/>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应提交证明其拟供货物及伴随服务符合招标文件规定的技术响应文件，作为投标文件的一部分。</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在投标文件中应说明各项货物名称、数量、单价、规格型号等。</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证明文件可以是文字资料、图纸和数据。</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1" w:name="_Toc20716"/>
      <w:r>
        <w:rPr>
          <w:rFonts w:hint="eastAsia" w:ascii="宋体" w:hAnsi="宋体" w:eastAsia="宋体" w:cs="宋体"/>
          <w:b/>
          <w:bCs/>
          <w:color w:val="auto"/>
          <w:sz w:val="24"/>
          <w:szCs w:val="24"/>
          <w:highlight w:val="none"/>
        </w:rPr>
        <w:t>投标保证金</w:t>
      </w:r>
      <w:bookmarkEnd w:id="168"/>
      <w:bookmarkEnd w:id="169"/>
      <w:bookmarkEnd w:id="170"/>
      <w:bookmarkEnd w:id="171"/>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根据豫财购【2019】4号文要求，不再收取投标保证金。</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2" w:name="_Toc11525"/>
      <w:bookmarkStart w:id="173" w:name="_Toc11749"/>
      <w:bookmarkStart w:id="174" w:name="_Toc29010"/>
      <w:bookmarkStart w:id="175" w:name="_Toc878"/>
      <w:r>
        <w:rPr>
          <w:rFonts w:hint="eastAsia" w:ascii="宋体" w:hAnsi="宋体" w:eastAsia="宋体" w:cs="宋体"/>
          <w:b/>
          <w:bCs/>
          <w:color w:val="auto"/>
          <w:sz w:val="24"/>
          <w:szCs w:val="24"/>
          <w:highlight w:val="none"/>
        </w:rPr>
        <w:t>投标有效期</w:t>
      </w:r>
      <w:bookmarkEnd w:id="172"/>
      <w:bookmarkEnd w:id="173"/>
      <w:bookmarkEnd w:id="174"/>
      <w:bookmarkEnd w:id="17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前附表，从递交投标文件的截止之日起算。投标有效期内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不得要求撤销投标文件。</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投标文件应自递交投标文件的截止之日起，在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前附表规定的时间内保持有效。投标有效期不足的将被视为非响应投标而予以拒绝。</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在特殊情况下，在原投标有效期截止之前，采购人和采购代理机构可征求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同意延长投标有效期。这种要求与答复均应以书面形式提交。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可以拒绝这种要求。同意延期的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将不会被要求也不允许修改其投标。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6" w:name="_Toc5773"/>
      <w:bookmarkStart w:id="177" w:name="_Toc10777"/>
      <w:bookmarkStart w:id="178" w:name="_Toc25251"/>
      <w:bookmarkStart w:id="179" w:name="_Toc9753"/>
      <w:r>
        <w:rPr>
          <w:rFonts w:hint="eastAsia" w:ascii="宋体" w:hAnsi="宋体" w:eastAsia="宋体" w:cs="宋体"/>
          <w:b/>
          <w:bCs/>
          <w:color w:val="auto"/>
          <w:sz w:val="24"/>
          <w:szCs w:val="24"/>
          <w:highlight w:val="none"/>
        </w:rPr>
        <w:t>投标文件编制</w:t>
      </w:r>
      <w:bookmarkEnd w:id="176"/>
      <w:bookmarkEnd w:id="177"/>
      <w:bookmarkEnd w:id="178"/>
      <w:bookmarkEnd w:id="179"/>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80" w:name="_Toc312133546"/>
      <w:r>
        <w:rPr>
          <w:rFonts w:hint="eastAsia" w:ascii="宋体" w:hAnsi="宋体" w:eastAsia="宋体" w:cs="宋体"/>
          <w:color w:val="auto"/>
          <w:sz w:val="24"/>
          <w:szCs w:val="24"/>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投标文件应当对招标文件有关投标有效期、招标范围等实质性内容作出响应。</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投标文件须是已上传加密的的电子投标文件，并按招标文件中要求签字盖章，如授权代表签字或盖章，授权代表必须将书面形式出具的法定代表人授权委托书附在投标文件中。</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任何行间插字、涂改和增删，必须由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法定代表人或其委托代理人在旁边签字或加盖公章后有效。</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电报、电传和传真投标文件一律不接受。</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81" w:name="_Toc25147"/>
      <w:bookmarkStart w:id="182" w:name="_Toc5919"/>
      <w:bookmarkStart w:id="183" w:name="_Toc18954"/>
      <w:bookmarkStart w:id="184" w:name="_Toc40112133"/>
      <w:bookmarkStart w:id="185" w:name="_Toc14536"/>
      <w:r>
        <w:rPr>
          <w:rStyle w:val="28"/>
          <w:rFonts w:hint="eastAsia" w:ascii="宋体" w:hAnsi="宋体" w:eastAsia="宋体" w:cs="宋体"/>
          <w:color w:val="auto"/>
          <w:sz w:val="24"/>
          <w:szCs w:val="24"/>
          <w:highlight w:val="none"/>
        </w:rPr>
        <w:t>投标</w:t>
      </w:r>
      <w:bookmarkEnd w:id="180"/>
      <w:bookmarkEnd w:id="181"/>
      <w:bookmarkEnd w:id="182"/>
      <w:bookmarkEnd w:id="183"/>
      <w:bookmarkEnd w:id="184"/>
      <w:bookmarkEnd w:id="185"/>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86" w:name="_Toc24089"/>
      <w:bookmarkStart w:id="187" w:name="_Toc7004"/>
      <w:bookmarkStart w:id="188" w:name="_Toc15515"/>
      <w:bookmarkStart w:id="189" w:name="_Toc7201"/>
      <w:bookmarkStart w:id="190" w:name="_Toc23777"/>
      <w:bookmarkStart w:id="191" w:name="_Toc24770"/>
      <w:bookmarkStart w:id="192" w:name="_Toc25740"/>
      <w:bookmarkStart w:id="193" w:name="_Toc9486"/>
      <w:bookmarkStart w:id="194" w:name="_Toc2541"/>
      <w:bookmarkStart w:id="195" w:name="_Toc17190"/>
      <w:bookmarkStart w:id="196" w:name="_Toc22690"/>
      <w:bookmarkStart w:id="197" w:name="_Toc312133547"/>
      <w:r>
        <w:rPr>
          <w:rFonts w:hint="eastAsia" w:ascii="宋体" w:hAnsi="宋体" w:eastAsia="宋体" w:cs="宋体"/>
          <w:b/>
          <w:bCs/>
          <w:color w:val="auto"/>
          <w:sz w:val="24"/>
          <w:szCs w:val="24"/>
          <w:highlight w:val="none"/>
        </w:rPr>
        <w:t>投标文件签署和盖章</w:t>
      </w:r>
      <w:bookmarkEnd w:id="186"/>
      <w:bookmarkEnd w:id="187"/>
      <w:bookmarkEnd w:id="188"/>
      <w:bookmarkEnd w:id="189"/>
      <w:bookmarkEnd w:id="190"/>
      <w:bookmarkEnd w:id="191"/>
      <w:bookmarkEnd w:id="192"/>
      <w:bookmarkEnd w:id="193"/>
      <w:bookmarkEnd w:id="194"/>
      <w:bookmarkEnd w:id="195"/>
      <w:bookmarkEnd w:id="196"/>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按照招标文件中格式的要求签字或盖章。</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98" w:name="_Toc8642"/>
      <w:bookmarkStart w:id="199" w:name="_Toc20161"/>
      <w:bookmarkStart w:id="200" w:name="_Toc2882"/>
      <w:bookmarkStart w:id="201" w:name="_Toc14647"/>
      <w:bookmarkStart w:id="202" w:name="_Toc17164"/>
      <w:bookmarkStart w:id="203" w:name="_Toc17234"/>
      <w:bookmarkStart w:id="204" w:name="_Toc27621"/>
      <w:bookmarkStart w:id="205" w:name="_Toc25206"/>
      <w:bookmarkStart w:id="206" w:name="_Toc10849"/>
      <w:bookmarkStart w:id="207" w:name="_Toc27859"/>
      <w:bookmarkStart w:id="208" w:name="_Toc28937"/>
      <w:r>
        <w:rPr>
          <w:rFonts w:hint="eastAsia" w:ascii="宋体" w:hAnsi="宋体" w:eastAsia="宋体" w:cs="宋体"/>
          <w:b/>
          <w:bCs/>
          <w:color w:val="auto"/>
          <w:sz w:val="24"/>
          <w:szCs w:val="24"/>
          <w:highlight w:val="none"/>
        </w:rPr>
        <w:t>投标文件的递交</w:t>
      </w:r>
      <w:bookmarkEnd w:id="198"/>
      <w:bookmarkEnd w:id="199"/>
      <w:bookmarkEnd w:id="200"/>
      <w:bookmarkEnd w:id="201"/>
      <w:bookmarkEnd w:id="202"/>
      <w:bookmarkEnd w:id="203"/>
      <w:bookmarkEnd w:id="204"/>
      <w:bookmarkEnd w:id="205"/>
      <w:bookmarkEnd w:id="206"/>
      <w:bookmarkEnd w:id="207"/>
      <w:bookmarkEnd w:id="208"/>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在</w:t>
      </w:r>
      <w:r>
        <w:rPr>
          <w:rFonts w:hint="eastAsia" w:ascii="宋体" w:hAnsi="宋体" w:eastAsia="宋体" w:cs="宋体"/>
          <w:color w:val="auto"/>
          <w:spacing w:val="-2"/>
          <w:kern w:val="0"/>
          <w:sz w:val="24"/>
          <w:szCs w:val="24"/>
          <w:highlight w:val="none"/>
          <w:lang w:eastAsia="zh-CN"/>
        </w:rPr>
        <w:t>投标人须知</w:t>
      </w:r>
      <w:r>
        <w:rPr>
          <w:rFonts w:hint="eastAsia" w:ascii="宋体" w:hAnsi="宋体" w:eastAsia="宋体" w:cs="宋体"/>
          <w:color w:val="auto"/>
          <w:kern w:val="0"/>
          <w:sz w:val="24"/>
          <w:szCs w:val="24"/>
          <w:highlight w:val="none"/>
        </w:rPr>
        <w:t>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截</w:t>
      </w:r>
      <w:r>
        <w:rPr>
          <w:rFonts w:hint="eastAsia" w:ascii="宋体" w:hAnsi="宋体" w:eastAsia="宋体" w:cs="宋体"/>
          <w:color w:val="auto"/>
          <w:spacing w:val="-2"/>
          <w:kern w:val="0"/>
          <w:sz w:val="24"/>
          <w:szCs w:val="24"/>
          <w:highlight w:val="none"/>
        </w:rPr>
        <w:t>止</w:t>
      </w:r>
      <w:r>
        <w:rPr>
          <w:rFonts w:hint="eastAsia" w:ascii="宋体" w:hAnsi="宋体" w:eastAsia="宋体" w:cs="宋体"/>
          <w:color w:val="auto"/>
          <w:kern w:val="0"/>
          <w:sz w:val="24"/>
          <w:szCs w:val="24"/>
          <w:highlight w:val="none"/>
        </w:rPr>
        <w:t>时间</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递</w:t>
      </w:r>
      <w:r>
        <w:rPr>
          <w:rFonts w:hint="eastAsia" w:ascii="宋体" w:hAnsi="宋体" w:eastAsia="宋体" w:cs="宋体"/>
          <w:color w:val="auto"/>
          <w:spacing w:val="-2"/>
          <w:kern w:val="0"/>
          <w:sz w:val="24"/>
          <w:szCs w:val="24"/>
          <w:highlight w:val="none"/>
        </w:rPr>
        <w:t>交</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电子投标文件的递交：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应在投标截止时间前上传加密的电子投标文件到电子交易平台系统的指定位置。上传时必须得到电脑“上传成功”的确认。请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在上传时认真检查上传投标文件是否完整、正确。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因交易中心投标系统问题无法上传电子投标文件时，请在工作时间与</w:t>
      </w:r>
      <w:r>
        <w:rPr>
          <w:rFonts w:hint="eastAsia" w:ascii="宋体" w:hAnsi="宋体" w:eastAsia="宋体" w:cs="宋体"/>
          <w:color w:val="auto"/>
          <w:sz w:val="24"/>
          <w:szCs w:val="24"/>
          <w:highlight w:val="none"/>
          <w:lang w:eastAsia="zh-CN"/>
        </w:rPr>
        <w:t>《全国公共资源交易平台（河南省·平顶山市）》</w:t>
      </w:r>
      <w:r>
        <w:rPr>
          <w:rFonts w:hint="eastAsia" w:ascii="宋体" w:hAnsi="宋体" w:eastAsia="宋体" w:cs="宋体"/>
          <w:color w:val="auto"/>
          <w:sz w:val="24"/>
          <w:szCs w:val="24"/>
          <w:highlight w:val="none"/>
        </w:rPr>
        <w:t xml:space="preserve">联系。 </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09" w:name="_Toc7423"/>
      <w:bookmarkStart w:id="210" w:name="_Toc32365"/>
      <w:bookmarkStart w:id="211" w:name="_Toc22212"/>
      <w:bookmarkStart w:id="212" w:name="_Toc3471"/>
      <w:bookmarkStart w:id="213" w:name="_Toc19554"/>
      <w:bookmarkStart w:id="214" w:name="_Toc8025"/>
      <w:bookmarkStart w:id="215" w:name="_Toc31018"/>
      <w:bookmarkStart w:id="216" w:name="_Toc27900"/>
      <w:bookmarkStart w:id="217" w:name="_Toc23125"/>
      <w:bookmarkStart w:id="218" w:name="_Toc27084"/>
      <w:bookmarkStart w:id="219" w:name="_Toc13886"/>
      <w:r>
        <w:rPr>
          <w:rFonts w:hint="eastAsia" w:ascii="宋体" w:hAnsi="宋体" w:eastAsia="宋体" w:cs="宋体"/>
          <w:b/>
          <w:bCs/>
          <w:color w:val="auto"/>
          <w:sz w:val="24"/>
          <w:szCs w:val="24"/>
          <w:highlight w:val="none"/>
        </w:rPr>
        <w:t>投标文件的修改和撤回</w:t>
      </w:r>
      <w:bookmarkEnd w:id="209"/>
      <w:bookmarkEnd w:id="210"/>
      <w:bookmarkEnd w:id="211"/>
      <w:bookmarkEnd w:id="212"/>
      <w:bookmarkEnd w:id="213"/>
      <w:bookmarkEnd w:id="214"/>
      <w:bookmarkEnd w:id="215"/>
      <w:bookmarkEnd w:id="216"/>
      <w:bookmarkEnd w:id="217"/>
      <w:bookmarkEnd w:id="218"/>
      <w:bookmarkEnd w:id="219"/>
    </w:p>
    <w:p>
      <w:pPr>
        <w:numPr>
          <w:ilvl w:val="2"/>
          <w:numId w:val="5"/>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在本章第4.2.1项规定的投标截止时间前，</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可以修改或撤回已上传的投标文件。</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不得对其投标文件做任何修改。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从投标截止时间至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在投标文件中载明的投标有效期满期间，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不得撤回其投标文件。</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220" w:name="_Toc27025"/>
      <w:bookmarkStart w:id="221" w:name="_Toc32258"/>
      <w:bookmarkStart w:id="222" w:name="_Toc40112134"/>
      <w:bookmarkStart w:id="223" w:name="_Toc20910"/>
      <w:bookmarkStart w:id="224" w:name="_Toc17439"/>
      <w:r>
        <w:rPr>
          <w:rStyle w:val="28"/>
          <w:rFonts w:hint="eastAsia" w:ascii="宋体" w:hAnsi="宋体" w:eastAsia="宋体" w:cs="宋体"/>
          <w:color w:val="auto"/>
          <w:sz w:val="24"/>
          <w:szCs w:val="24"/>
          <w:highlight w:val="none"/>
        </w:rPr>
        <w:t>开标、资格审查与评标</w:t>
      </w:r>
      <w:bookmarkEnd w:id="197"/>
      <w:bookmarkEnd w:id="220"/>
      <w:bookmarkEnd w:id="221"/>
      <w:bookmarkEnd w:id="222"/>
      <w:bookmarkEnd w:id="223"/>
      <w:bookmarkEnd w:id="224"/>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25" w:name="_Toc22058"/>
      <w:bookmarkStart w:id="226" w:name="_Toc18834"/>
      <w:bookmarkStart w:id="227" w:name="_Toc10066"/>
      <w:bookmarkStart w:id="228" w:name="_Toc3484"/>
      <w:bookmarkStart w:id="229" w:name="_Toc24837"/>
      <w:bookmarkStart w:id="230" w:name="_Toc21689"/>
      <w:bookmarkStart w:id="231" w:name="_Toc28821"/>
      <w:bookmarkStart w:id="232" w:name="_Toc30917"/>
      <w:bookmarkStart w:id="233" w:name="_Toc1051"/>
      <w:bookmarkStart w:id="234" w:name="_Toc3802"/>
      <w:bookmarkStart w:id="235" w:name="_Toc10372"/>
      <w:bookmarkStart w:id="236" w:name="_Toc312133548"/>
      <w:r>
        <w:rPr>
          <w:rFonts w:hint="eastAsia" w:ascii="宋体" w:hAnsi="宋体" w:eastAsia="宋体" w:cs="宋体"/>
          <w:b/>
          <w:bCs/>
          <w:color w:val="auto"/>
          <w:sz w:val="24"/>
          <w:szCs w:val="24"/>
          <w:highlight w:val="none"/>
        </w:rPr>
        <w:t>开标</w:t>
      </w:r>
      <w:bookmarkEnd w:id="225"/>
      <w:bookmarkEnd w:id="226"/>
      <w:bookmarkEnd w:id="227"/>
      <w:bookmarkEnd w:id="228"/>
      <w:bookmarkEnd w:id="229"/>
      <w:bookmarkEnd w:id="230"/>
      <w:bookmarkEnd w:id="231"/>
      <w:bookmarkEnd w:id="232"/>
      <w:bookmarkEnd w:id="233"/>
      <w:bookmarkEnd w:id="234"/>
      <w:bookmarkEnd w:id="23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前附表中规定的时间和地点组织公开开标。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不足3家的，不得开标。开标由采购代理机构主持，邀请所有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的法定代表人或委托代理人参加远程不见面开标会议。</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37" w:name="_Toc14761"/>
      <w:r>
        <w:rPr>
          <w:rFonts w:hint="eastAsia" w:ascii="宋体" w:hAnsi="宋体" w:eastAsia="宋体" w:cs="宋体"/>
          <w:color w:val="auto"/>
          <w:sz w:val="24"/>
          <w:szCs w:val="24"/>
          <w:highlight w:val="none"/>
        </w:rPr>
        <w:t>公布投标人</w:t>
      </w:r>
      <w:bookmarkEnd w:id="237"/>
      <w:r>
        <w:rPr>
          <w:rFonts w:hint="eastAsia" w:ascii="宋体" w:hAnsi="宋体" w:eastAsia="宋体" w:cs="宋体"/>
          <w:color w:val="auto"/>
          <w:sz w:val="24"/>
          <w:szCs w:val="24"/>
          <w:highlight w:val="none"/>
        </w:rPr>
        <w:t>（供应商）；</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38" w:name="_Toc2651"/>
      <w:r>
        <w:rPr>
          <w:rFonts w:hint="eastAsia" w:ascii="宋体" w:hAnsi="宋体" w:eastAsia="宋体" w:cs="宋体"/>
          <w:color w:val="auto"/>
          <w:sz w:val="24"/>
          <w:szCs w:val="24"/>
          <w:highlight w:val="none"/>
        </w:rPr>
        <w:t>投标人（供应商）解密</w:t>
      </w:r>
      <w:bookmarkEnd w:id="238"/>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（3）批量导入完成后，公布开标结果；</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bookmarkStart w:id="239" w:name="_Toc17366"/>
      <w:r>
        <w:rPr>
          <w:rFonts w:hint="eastAsia" w:ascii="宋体" w:hAnsi="宋体" w:eastAsia="宋体" w:cs="宋体"/>
          <w:color w:val="auto"/>
          <w:sz w:val="24"/>
          <w:szCs w:val="24"/>
          <w:highlight w:val="none"/>
        </w:rPr>
        <w:t>异议答复</w:t>
      </w:r>
      <w:bookmarkEnd w:id="239"/>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代表提出的询问或者回避申请应当及时处理，并制作记录。</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未参加开标的，视同认可开标结果。</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40" w:name="_Toc13168"/>
      <w:bookmarkStart w:id="241" w:name="_Toc29315"/>
      <w:bookmarkStart w:id="242" w:name="_Toc29588"/>
      <w:bookmarkStart w:id="243" w:name="_Toc29955"/>
      <w:bookmarkStart w:id="244" w:name="_Toc18862"/>
      <w:bookmarkStart w:id="245" w:name="_Toc11192"/>
      <w:bookmarkStart w:id="246" w:name="_Toc3031"/>
      <w:bookmarkStart w:id="247" w:name="_Toc22131"/>
      <w:bookmarkStart w:id="248" w:name="_Toc24277"/>
      <w:bookmarkStart w:id="249" w:name="_Toc29637"/>
      <w:bookmarkStart w:id="250" w:name="_Toc22209"/>
      <w:r>
        <w:rPr>
          <w:rFonts w:hint="eastAsia" w:ascii="宋体" w:hAnsi="宋体" w:eastAsia="宋体" w:cs="宋体"/>
          <w:b/>
          <w:bCs/>
          <w:color w:val="auto"/>
          <w:sz w:val="24"/>
          <w:szCs w:val="24"/>
          <w:highlight w:val="none"/>
        </w:rPr>
        <w:t>资格审查工作</w:t>
      </w:r>
      <w:bookmarkEnd w:id="240"/>
      <w:bookmarkEnd w:id="241"/>
      <w:bookmarkEnd w:id="242"/>
      <w:bookmarkEnd w:id="243"/>
      <w:bookmarkEnd w:id="244"/>
      <w:bookmarkEnd w:id="245"/>
      <w:bookmarkEnd w:id="246"/>
      <w:bookmarkEnd w:id="247"/>
      <w:bookmarkEnd w:id="248"/>
      <w:bookmarkEnd w:id="249"/>
      <w:bookmarkEnd w:id="250"/>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开标结束后，采购代理机构应当依法对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51" w:name="_Toc31129"/>
      <w:bookmarkStart w:id="252" w:name="_Toc8092"/>
      <w:bookmarkStart w:id="253" w:name="_Toc16180"/>
      <w:bookmarkStart w:id="254" w:name="_Toc26746"/>
      <w:bookmarkStart w:id="255" w:name="_Toc19513"/>
      <w:bookmarkStart w:id="256" w:name="_Toc22105"/>
      <w:bookmarkStart w:id="257" w:name="_Toc12598"/>
      <w:bookmarkStart w:id="258" w:name="_Toc31474"/>
      <w:bookmarkStart w:id="259" w:name="_Toc2042"/>
      <w:bookmarkStart w:id="260" w:name="_Toc32305"/>
      <w:bookmarkStart w:id="261" w:name="_Toc24379"/>
      <w:r>
        <w:rPr>
          <w:rFonts w:hint="eastAsia" w:ascii="宋体" w:hAnsi="宋体" w:eastAsia="宋体" w:cs="宋体"/>
          <w:b/>
          <w:bCs/>
          <w:color w:val="auto"/>
          <w:sz w:val="24"/>
          <w:szCs w:val="24"/>
          <w:highlight w:val="none"/>
        </w:rPr>
        <w:t>评标工作</w:t>
      </w:r>
      <w:bookmarkEnd w:id="251"/>
      <w:bookmarkEnd w:id="252"/>
      <w:bookmarkEnd w:id="253"/>
      <w:bookmarkEnd w:id="254"/>
      <w:bookmarkEnd w:id="255"/>
      <w:bookmarkEnd w:id="256"/>
      <w:bookmarkEnd w:id="257"/>
      <w:bookmarkEnd w:id="258"/>
      <w:bookmarkEnd w:id="259"/>
      <w:bookmarkEnd w:id="260"/>
      <w:bookmarkEnd w:id="261"/>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（1）评标工作由采购人依法组建的评标委员会负责，对符合资格的投标人的投标文件进行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，并按评标办法规定的方式推荐出</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前附表中载明数量的中标候选人。</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（2）评标委员会由采购人代表和评标专家组成，见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评标专家对本单位的采购项目只能作为采购人代表参与评标，</w:t>
      </w:r>
      <w:r>
        <w:rPr>
          <w:rFonts w:hint="eastAsia" w:ascii="宋体" w:hAnsi="宋体" w:eastAsia="宋体" w:cs="宋体"/>
          <w:color w:val="auto"/>
          <w:kern w:val="0"/>
          <w:sz w:val="24"/>
          <w:szCs w:val="24"/>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eastAsia="宋体" w:cs="宋体"/>
          <w:color w:val="auto"/>
          <w:kern w:val="0"/>
          <w:sz w:val="24"/>
          <w:szCs w:val="24"/>
          <w:highlight w:val="none"/>
        </w:rPr>
        <w:t>。</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（4）采购代理机构工作人员不得参加由本机构代理的政府采购项目的评标。</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（5）评标委员会成员名单在评标结果公告前应当保密。</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评标委员会及其成员不得有下列行为：</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（1）确定参与评标至评标结束前私自接触</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（2）接受</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作出必要的澄清、说明或者补正的除外）；</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（3）违反评标纪律发表倾向性意见或者征询采购人的倾向性意见；</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（4）在评标过程中擅离职守，影响评标程序正常进行的；</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（5）记录、复制或者带走任何评标资料；</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（6）其他不遵守评标纪律的行为。</w:t>
      </w:r>
    </w:p>
    <w:p>
      <w:pPr>
        <w:tabs>
          <w:tab w:val="left" w:pos="72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评标委员会成员有本章第</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.3.2项第（1）至（6）目行为之一的，其评标意见无效，并不得获取评标劳务报酬和报销异地评标差旅费。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（1）评标委员会按照第四章评标办法规定的方法、评标因素、标准和程序对投标文件进行评标。第四章评标办法没有规定的方法、评标因素和标准，不作为评标依据。</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（2）评标委员会完成评标后，评标委员会应当向</w:t>
      </w:r>
      <w:r>
        <w:rPr>
          <w:rFonts w:hint="eastAsia" w:ascii="宋体" w:hAnsi="宋体" w:eastAsia="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评标系统上提交书面评标报告和中标候选人名单。评标委员会推荐中标候选人的人数见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评标委员会成员有下列情形之一的，应当回避：</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(一)参加采购活动前三年内，与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存在劳动关系，或者担任过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的董事、监事，或者是</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的控股股东或实际控制人；</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的法定代表人或者负责人有夫妻、直系血亲、三代以内旁系血亲或者近姻亲关系；</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有其他可能影响政府采购活动公平、公正进行的关系。</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评标专家发现本人与参加采购活动的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有利害关系的，应当主动提出回避。采购代理机构发现评标专家与参加采购活动的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有利害关系的，应当要求其回避。</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62" w:name="_Toc12609"/>
      <w:bookmarkStart w:id="263" w:name="_Toc25530"/>
      <w:bookmarkStart w:id="264" w:name="_Toc8996"/>
      <w:bookmarkStart w:id="265" w:name="_Toc5830"/>
      <w:bookmarkStart w:id="266" w:name="_Toc12131"/>
      <w:bookmarkStart w:id="267" w:name="_Toc22420"/>
      <w:bookmarkStart w:id="268" w:name="_Toc10927"/>
      <w:bookmarkStart w:id="269" w:name="_Toc25755"/>
      <w:bookmarkStart w:id="270" w:name="_Toc7396"/>
      <w:bookmarkStart w:id="271" w:name="_Toc608"/>
      <w:bookmarkStart w:id="272" w:name="_Toc25509"/>
      <w:r>
        <w:rPr>
          <w:rFonts w:hint="eastAsia" w:ascii="宋体" w:hAnsi="宋体" w:eastAsia="宋体" w:cs="宋体"/>
          <w:b/>
          <w:bCs/>
          <w:color w:val="auto"/>
          <w:sz w:val="24"/>
          <w:szCs w:val="24"/>
          <w:highlight w:val="none"/>
        </w:rPr>
        <w:t>保密及其它注意事项</w:t>
      </w:r>
      <w:bookmarkEnd w:id="262"/>
      <w:bookmarkEnd w:id="263"/>
      <w:bookmarkEnd w:id="264"/>
      <w:bookmarkEnd w:id="265"/>
      <w:bookmarkEnd w:id="266"/>
      <w:bookmarkEnd w:id="267"/>
      <w:bookmarkEnd w:id="268"/>
      <w:bookmarkEnd w:id="269"/>
      <w:bookmarkEnd w:id="270"/>
      <w:bookmarkEnd w:id="271"/>
      <w:bookmarkEnd w:id="272"/>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评标是招标工作的重要环节，评标工作在评标委员会内独立进行。</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评标委员会将遵照规定的评标方法，公正、平等地对待所有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在开标、评标期间，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不得向评委询问评标情况，不得进行旨在影响评标结果的活动。否则其投标可能被拒绝。</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为保证评标的公正性，开标后直至授予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合同，评委不得与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私下交换意见。</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在评标工作结束后，凡与评标情况有接触的任何人不得擅自将评标情况扩散出评标人员之外。</w:t>
      </w:r>
    </w:p>
    <w:p>
      <w:pPr>
        <w:numPr>
          <w:ilvl w:val="2"/>
          <w:numId w:val="5"/>
        </w:num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评标结束后，投标文件概不退还。</w:t>
      </w:r>
      <w:bookmarkStart w:id="273" w:name="_Toc30376"/>
      <w:bookmarkStart w:id="274" w:name="_Toc40112135"/>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275" w:name="_Toc11701"/>
      <w:bookmarkStart w:id="276" w:name="_Toc11279"/>
      <w:bookmarkStart w:id="277" w:name="_Toc21032"/>
      <w:r>
        <w:rPr>
          <w:rStyle w:val="28"/>
          <w:rFonts w:hint="eastAsia" w:ascii="宋体" w:hAnsi="宋体" w:eastAsia="宋体" w:cs="宋体"/>
          <w:color w:val="auto"/>
          <w:sz w:val="24"/>
          <w:szCs w:val="24"/>
          <w:highlight w:val="none"/>
        </w:rPr>
        <w:t>授予合同</w:t>
      </w:r>
      <w:bookmarkEnd w:id="236"/>
      <w:bookmarkEnd w:id="273"/>
      <w:bookmarkEnd w:id="274"/>
      <w:bookmarkEnd w:id="275"/>
      <w:bookmarkEnd w:id="276"/>
      <w:bookmarkEnd w:id="277"/>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78" w:name="_Toc7898"/>
      <w:bookmarkStart w:id="279" w:name="_Toc3574"/>
      <w:bookmarkStart w:id="280" w:name="_Toc32241"/>
      <w:bookmarkStart w:id="281" w:name="_Toc13599"/>
      <w:bookmarkStart w:id="282" w:name="_Toc15637"/>
      <w:bookmarkStart w:id="283" w:name="_Toc6320"/>
      <w:bookmarkStart w:id="284" w:name="_Toc22971"/>
      <w:bookmarkStart w:id="285" w:name="_Toc16230"/>
      <w:bookmarkStart w:id="286" w:name="_Toc27126"/>
      <w:bookmarkStart w:id="287" w:name="_Toc22245"/>
      <w:bookmarkStart w:id="288" w:name="_Toc21756"/>
      <w:bookmarkStart w:id="289" w:name="_Toc30644"/>
      <w:bookmarkStart w:id="290" w:name="_Toc26604"/>
      <w:bookmarkStart w:id="291" w:name="_Toc22088"/>
      <w:bookmarkStart w:id="292" w:name="_Toc23900"/>
      <w:bookmarkStart w:id="293" w:name="_Toc17818"/>
      <w:bookmarkStart w:id="294" w:name="_Toc22457"/>
      <w:r>
        <w:rPr>
          <w:rFonts w:hint="eastAsia" w:ascii="宋体" w:hAnsi="宋体" w:eastAsia="宋体" w:cs="宋体"/>
          <w:b/>
          <w:bCs/>
          <w:color w:val="auto"/>
          <w:sz w:val="24"/>
          <w:szCs w:val="24"/>
          <w:highlight w:val="none"/>
        </w:rPr>
        <w:t>中标公告</w:t>
      </w:r>
      <w:bookmarkEnd w:id="278"/>
      <w:bookmarkEnd w:id="279"/>
      <w:bookmarkEnd w:id="280"/>
      <w:bookmarkEnd w:id="281"/>
      <w:bookmarkEnd w:id="282"/>
      <w:bookmarkEnd w:id="283"/>
      <w:bookmarkEnd w:id="284"/>
      <w:bookmarkEnd w:id="285"/>
      <w:bookmarkEnd w:id="286"/>
      <w:bookmarkEnd w:id="287"/>
      <w:bookmarkEnd w:id="288"/>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采购代理机构应当在评标结束后2个工作日内将评标报告送采购人。采购人应自收到评标报告之日起5个工作日内，依法确定中标人。中标候选人并列的，由采购人确定中标人。</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采购代理机构应当自中标人确定之日起2个工作日内，在省级以上财政部门指定的媒体上公告中标结果，招标文件应当随中标结果同时公告。</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1个工作日。</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在公告中标结果的同时，采购代理机构应当向中标人发出中标通知书；对未通过资格审查的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，应当告知其未通过的原因；采用综合评分法评标的，还应当告知未中标人单位的评审得分与排序。</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中标通知书发出后，采购人无正当理由不得改变中标结果，中标人无正当理由不得放弃中标。</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各有关当事人对中标结果有异议的，可以在</w:t>
      </w:r>
      <w:r>
        <w:rPr>
          <w:rFonts w:hint="eastAsia" w:ascii="宋体" w:hAnsi="宋体" w:eastAsia="宋体" w:cs="宋体"/>
          <w:color w:val="auto"/>
          <w:sz w:val="24"/>
          <w:szCs w:val="24"/>
          <w:highlight w:val="none"/>
          <w:lang w:eastAsia="zh-CN"/>
        </w:rPr>
        <w:t>中标结果公告</w:t>
      </w:r>
      <w:r>
        <w:rPr>
          <w:rFonts w:hint="eastAsia" w:ascii="宋体" w:hAnsi="宋体" w:eastAsia="宋体" w:cs="宋体"/>
          <w:color w:val="auto"/>
          <w:sz w:val="24"/>
          <w:szCs w:val="24"/>
          <w:highlight w:val="none"/>
        </w:rPr>
        <w:t>期限届满之日起七个工作日内，按《政府采购质疑和投诉办法》（财政部令第94号）要求以书面形式同时向采购人和采购代理机构提出质疑，逾期提交或未按照要求提交的质疑函将不予受理。</w:t>
      </w:r>
    </w:p>
    <w:bookmarkEnd w:id="289"/>
    <w:bookmarkEnd w:id="290"/>
    <w:bookmarkEnd w:id="291"/>
    <w:bookmarkEnd w:id="292"/>
    <w:bookmarkEnd w:id="293"/>
    <w:bookmarkEnd w:id="294"/>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5" w:name="_Toc7497"/>
      <w:r>
        <w:rPr>
          <w:rFonts w:hint="eastAsia" w:ascii="宋体" w:hAnsi="宋体" w:eastAsia="宋体" w:cs="宋体"/>
          <w:b/>
          <w:bCs/>
          <w:color w:val="auto"/>
          <w:sz w:val="24"/>
          <w:szCs w:val="24"/>
          <w:highlight w:val="none"/>
        </w:rPr>
        <w:t>采购任务取消</w:t>
      </w:r>
      <w:bookmarkEnd w:id="295"/>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采购人有权拒绝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不承担任何责任。</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6" w:name="_Toc12174"/>
      <w:bookmarkStart w:id="297" w:name="_Toc24223"/>
      <w:bookmarkStart w:id="298" w:name="_Toc21282"/>
      <w:bookmarkStart w:id="299" w:name="_Toc23214"/>
      <w:bookmarkStart w:id="300" w:name="_Toc25326"/>
      <w:bookmarkStart w:id="301" w:name="_Toc5799"/>
      <w:bookmarkStart w:id="302" w:name="_Toc12305"/>
      <w:bookmarkStart w:id="303" w:name="_Toc14610"/>
      <w:bookmarkStart w:id="304" w:name="_Toc1468"/>
      <w:bookmarkStart w:id="305" w:name="_Toc29785"/>
      <w:bookmarkStart w:id="306" w:name="_Toc3846"/>
      <w:r>
        <w:rPr>
          <w:rFonts w:hint="eastAsia" w:ascii="宋体" w:hAnsi="宋体" w:eastAsia="宋体" w:cs="宋体"/>
          <w:b/>
          <w:bCs/>
          <w:color w:val="auto"/>
          <w:sz w:val="24"/>
          <w:szCs w:val="24"/>
          <w:highlight w:val="none"/>
        </w:rPr>
        <w:t>中标通知书</w:t>
      </w:r>
      <w:bookmarkEnd w:id="296"/>
      <w:bookmarkEnd w:id="297"/>
      <w:bookmarkEnd w:id="298"/>
      <w:bookmarkEnd w:id="299"/>
      <w:bookmarkEnd w:id="300"/>
      <w:bookmarkEnd w:id="301"/>
      <w:bookmarkEnd w:id="302"/>
      <w:bookmarkEnd w:id="303"/>
      <w:bookmarkEnd w:id="304"/>
      <w:bookmarkEnd w:id="305"/>
      <w:bookmarkEnd w:id="306"/>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在公告中标结果的同时，采购人或采购代理机构应当向中标人发出中标通知书，中标通知书将作为进行签订合同的依据。</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07" w:name="_Toc20517"/>
      <w:bookmarkStart w:id="308" w:name="_Toc25686"/>
      <w:bookmarkStart w:id="309" w:name="_Toc11448"/>
      <w:bookmarkStart w:id="310" w:name="_Toc26111"/>
      <w:bookmarkStart w:id="311" w:name="_Toc21924"/>
      <w:bookmarkStart w:id="312" w:name="_Toc9428"/>
      <w:bookmarkStart w:id="313" w:name="_Toc14397"/>
      <w:bookmarkStart w:id="314" w:name="_Toc25990"/>
      <w:bookmarkStart w:id="315" w:name="_Toc9865"/>
      <w:bookmarkStart w:id="316" w:name="_Toc15209"/>
      <w:bookmarkStart w:id="317" w:name="_Toc3979"/>
      <w:bookmarkStart w:id="318" w:name="_Toc1226"/>
      <w:bookmarkStart w:id="319" w:name="_Toc11221"/>
      <w:bookmarkStart w:id="320" w:name="_Toc26471"/>
      <w:bookmarkStart w:id="321" w:name="_Toc3376"/>
      <w:bookmarkStart w:id="322" w:name="_Toc15061"/>
      <w:bookmarkStart w:id="323" w:name="_Toc12530"/>
      <w:r>
        <w:rPr>
          <w:rFonts w:hint="eastAsia" w:ascii="宋体" w:hAnsi="宋体" w:eastAsia="宋体" w:cs="宋体"/>
          <w:b/>
          <w:bCs/>
          <w:color w:val="auto"/>
          <w:sz w:val="24"/>
          <w:szCs w:val="24"/>
          <w:highlight w:val="none"/>
        </w:rPr>
        <w:t>履约保证金</w:t>
      </w:r>
      <w:bookmarkEnd w:id="307"/>
      <w:bookmarkEnd w:id="308"/>
      <w:bookmarkEnd w:id="309"/>
      <w:bookmarkEnd w:id="310"/>
      <w:bookmarkEnd w:id="311"/>
      <w:bookmarkEnd w:id="312"/>
      <w:bookmarkEnd w:id="313"/>
      <w:bookmarkEnd w:id="314"/>
      <w:bookmarkEnd w:id="315"/>
      <w:bookmarkEnd w:id="316"/>
      <w:bookmarkEnd w:id="317"/>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24" w:name="_Toc22384"/>
      <w:bookmarkStart w:id="325" w:name="_Toc1508"/>
      <w:bookmarkStart w:id="326" w:name="_Toc13295"/>
      <w:bookmarkStart w:id="327" w:name="_Toc24299"/>
      <w:r>
        <w:rPr>
          <w:rFonts w:hint="eastAsia" w:ascii="宋体" w:hAnsi="宋体" w:eastAsia="宋体" w:cs="宋体"/>
          <w:color w:val="auto"/>
          <w:sz w:val="24"/>
          <w:szCs w:val="24"/>
          <w:highlight w:val="none"/>
          <w:lang w:val="en-US" w:eastAsia="zh-CN"/>
        </w:rPr>
        <w:t>中标人应按投标人须知前附表规定的形式、金额和招标文件第五章“合同条款及格式”的规定向招标人提交履约保证金</w:t>
      </w:r>
      <w:r>
        <w:rPr>
          <w:rFonts w:hint="eastAsia" w:ascii="宋体" w:hAnsi="宋体" w:eastAsia="宋体" w:cs="宋体"/>
          <w:color w:val="auto"/>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中标人不能按</w:t>
      </w:r>
      <w:r>
        <w:rPr>
          <w:rFonts w:hint="eastAsia" w:ascii="宋体" w:hAnsi="宋体" w:cs="宋体"/>
          <w:color w:val="auto"/>
          <w:sz w:val="24"/>
          <w:szCs w:val="24"/>
          <w:highlight w:val="none"/>
          <w:lang w:val="en-US" w:eastAsia="zh-CN"/>
        </w:rPr>
        <w:t>投标须知前附表</w:t>
      </w:r>
      <w:r>
        <w:rPr>
          <w:rFonts w:hint="eastAsia" w:ascii="宋体" w:hAnsi="宋体" w:eastAsia="宋体" w:cs="宋体"/>
          <w:color w:val="auto"/>
          <w:sz w:val="24"/>
          <w:szCs w:val="24"/>
          <w:highlight w:val="none"/>
        </w:rPr>
        <w:t>第6.4.1项要求提交履约保证金的，视为放弃中标。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28" w:name="_Toc20184"/>
      <w:r>
        <w:rPr>
          <w:rFonts w:hint="eastAsia" w:ascii="宋体" w:hAnsi="宋体" w:eastAsia="宋体" w:cs="宋体"/>
          <w:b/>
          <w:bCs/>
          <w:color w:val="auto"/>
          <w:sz w:val="24"/>
          <w:szCs w:val="24"/>
          <w:highlight w:val="none"/>
        </w:rPr>
        <w:t>签订合同</w:t>
      </w:r>
      <w:bookmarkEnd w:id="318"/>
      <w:bookmarkEnd w:id="319"/>
      <w:bookmarkEnd w:id="320"/>
      <w:bookmarkEnd w:id="321"/>
      <w:bookmarkEnd w:id="322"/>
      <w:bookmarkEnd w:id="323"/>
      <w:bookmarkEnd w:id="324"/>
      <w:bookmarkEnd w:id="325"/>
      <w:bookmarkEnd w:id="326"/>
      <w:bookmarkEnd w:id="327"/>
      <w:bookmarkEnd w:id="328"/>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采购人应当自中标通知书发出之日起</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日内，按照招标文件和中标人投标文件的规定，与中标人签订书面合同。所签订的合同不得对招标文件确定的事项和中标人投标文件作实质性修改。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招标文件、中标人的投标文件和澄清文件等，均应作为签约合同文本的基础。</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如中标人拒签合同，则按违约处理。对违约方收取中标金额2%的违约金。</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政府采购合同应当包括采购人与中标人的名称和住所、标的、数量、质量、价款或者报酬、履行期限及地点和方式、验收要求、违约责任、解决争议的方法等内容。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如中标人不按约定签订合同，采购人将报请取消其中标决定。采购人可重新招标。</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329" w:name="_Toc3577"/>
      <w:bookmarkStart w:id="330" w:name="_Toc40112136"/>
      <w:bookmarkStart w:id="331" w:name="_Toc23358"/>
      <w:bookmarkStart w:id="332" w:name="_Toc31652"/>
      <w:bookmarkStart w:id="333" w:name="_Toc11106"/>
      <w:r>
        <w:rPr>
          <w:rStyle w:val="28"/>
          <w:rFonts w:hint="eastAsia" w:ascii="宋体" w:hAnsi="宋体" w:eastAsia="宋体" w:cs="宋体"/>
          <w:color w:val="auto"/>
          <w:sz w:val="24"/>
          <w:szCs w:val="24"/>
          <w:highlight w:val="none"/>
        </w:rPr>
        <w:t>信用记录</w:t>
      </w:r>
      <w:bookmarkEnd w:id="329"/>
      <w:bookmarkEnd w:id="330"/>
      <w:bookmarkEnd w:id="331"/>
      <w:bookmarkEnd w:id="332"/>
      <w:bookmarkEnd w:id="333"/>
    </w:p>
    <w:p>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34" w:name="_Toc40112137"/>
      <w:bookmarkStart w:id="335" w:name="_Toc18298"/>
      <w:bookmarkStart w:id="336" w:name="_Toc16339"/>
      <w:r>
        <w:rPr>
          <w:rFonts w:hint="eastAsia" w:ascii="宋体" w:hAnsi="宋体" w:eastAsia="宋体" w:cs="宋体"/>
          <w:color w:val="auto"/>
          <w:sz w:val="24"/>
          <w:szCs w:val="24"/>
          <w:highlight w:val="none"/>
        </w:rPr>
        <w:t>根据《关于在政府采购活动中查询及使用信用记录有关问题的通知》(财库[2016]125号)的规定，</w:t>
      </w:r>
      <w:r>
        <w:rPr>
          <w:rFonts w:hint="eastAsia" w:ascii="宋体" w:hAnsi="宋体" w:eastAsia="宋体" w:cs="宋体"/>
          <w:color w:val="auto"/>
          <w:sz w:val="24"/>
          <w:szCs w:val="24"/>
          <w:highlight w:val="none"/>
          <w:lang w:eastAsia="zh-CN"/>
        </w:rPr>
        <w:t>开标结束后至符合性审查前</w:t>
      </w:r>
      <w:r>
        <w:rPr>
          <w:rFonts w:hint="eastAsia" w:ascii="宋体" w:hAnsi="宋体" w:eastAsia="宋体" w:cs="宋体"/>
          <w:color w:val="auto"/>
          <w:sz w:val="24"/>
          <w:szCs w:val="24"/>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，将拒绝参与本次政府采购活动。</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在本招标文件规定的查询时间之后，网站信息发生的任何变更均不再作为评标依据。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自行提供的与网站信息不一致的其他证明材料亦不作为资格审查的依据。信用信息查询记录及相关证据与其他采购文件一并保存。</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337" w:name="_Toc10534"/>
      <w:bookmarkStart w:id="338" w:name="_Toc6419"/>
      <w:bookmarkStart w:id="339" w:name="_Toc7802"/>
      <w:r>
        <w:rPr>
          <w:rStyle w:val="28"/>
          <w:rFonts w:hint="eastAsia" w:ascii="宋体" w:hAnsi="宋体" w:eastAsia="宋体" w:cs="宋体"/>
          <w:color w:val="auto"/>
          <w:sz w:val="24"/>
          <w:szCs w:val="24"/>
          <w:highlight w:val="none"/>
        </w:rPr>
        <w:t>需要补充的其他内容</w:t>
      </w:r>
      <w:bookmarkEnd w:id="334"/>
      <w:bookmarkEnd w:id="335"/>
      <w:bookmarkEnd w:id="337"/>
      <w:bookmarkEnd w:id="338"/>
      <w:bookmarkEnd w:id="339"/>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bookmarkEnd w:id="336"/>
    </w:p>
    <w:p>
      <w:pPr>
        <w:rPr>
          <w:color w:val="auto"/>
          <w:highlight w:val="none"/>
        </w:rPr>
      </w:pPr>
      <w:r>
        <w:rPr>
          <w:color w:val="auto"/>
          <w:highlight w:val="none"/>
        </w:rPr>
        <w:br w:type="page"/>
      </w:r>
    </w:p>
    <w:p>
      <w:pPr>
        <w:pStyle w:val="2"/>
        <w:adjustRightInd w:val="0"/>
        <w:snapToGrid w:val="0"/>
        <w:rPr>
          <w:rFonts w:ascii="宋体" w:cs="宋体"/>
          <w:color w:val="auto"/>
          <w:szCs w:val="32"/>
          <w:highlight w:val="none"/>
        </w:rPr>
      </w:pPr>
      <w:bookmarkStart w:id="340" w:name="_Toc19667"/>
      <w:bookmarkStart w:id="341" w:name="_Toc11970"/>
      <w:bookmarkStart w:id="342" w:name="_Toc28292"/>
      <w:bookmarkStart w:id="343" w:name="_Toc40112138"/>
      <w:bookmarkStart w:id="344" w:name="_Toc4110"/>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40"/>
      <w:bookmarkEnd w:id="341"/>
      <w:bookmarkEnd w:id="342"/>
      <w:bookmarkEnd w:id="343"/>
      <w:bookmarkEnd w:id="344"/>
    </w:p>
    <w:p>
      <w:pPr>
        <w:pStyle w:val="4"/>
        <w:adjustRightInd w:val="0"/>
        <w:snapToGrid w:val="0"/>
        <w:ind w:left="482"/>
        <w:jc w:val="center"/>
        <w:rPr>
          <w:rFonts w:hint="eastAsia" w:ascii="宋体" w:eastAsia="宋体" w:cs="宋体"/>
          <w:color w:val="auto"/>
          <w:sz w:val="24"/>
          <w:szCs w:val="24"/>
          <w:highlight w:val="none"/>
          <w:lang w:eastAsia="zh-CN"/>
        </w:rPr>
      </w:pPr>
      <w:bookmarkStart w:id="345" w:name="_Toc6735"/>
      <w:bookmarkStart w:id="346" w:name="_Toc11714"/>
      <w:bookmarkStart w:id="347" w:name="_Toc27033"/>
      <w:bookmarkStart w:id="348" w:name="_Toc27205"/>
      <w:bookmarkStart w:id="349" w:name="_Toc16729"/>
      <w:bookmarkStart w:id="350" w:name="_Toc13197"/>
      <w:bookmarkStart w:id="351" w:name="_Toc28519"/>
      <w:bookmarkStart w:id="352" w:name="_Toc21173"/>
      <w:bookmarkStart w:id="353" w:name="_Toc30398"/>
      <w:r>
        <w:rPr>
          <w:rFonts w:hint="eastAsia" w:ascii="宋体" w:hAnsi="宋体" w:cs="宋体"/>
          <w:color w:val="auto"/>
          <w:sz w:val="24"/>
          <w:szCs w:val="24"/>
          <w:highlight w:val="none"/>
        </w:rPr>
        <w:t>资格审查前附表</w:t>
      </w:r>
      <w:bookmarkEnd w:id="345"/>
      <w:bookmarkEnd w:id="346"/>
      <w:bookmarkEnd w:id="347"/>
      <w:bookmarkEnd w:id="348"/>
      <w:bookmarkEnd w:id="349"/>
      <w:bookmarkEnd w:id="350"/>
      <w:bookmarkEnd w:id="351"/>
      <w:bookmarkEnd w:id="352"/>
      <w:bookmarkEnd w:id="353"/>
    </w:p>
    <w:tbl>
      <w:tblPr>
        <w:tblStyle w:val="22"/>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color w:val="auto"/>
                <w:sz w:val="24"/>
                <w:szCs w:val="24"/>
                <w:highlight w:val="none"/>
                <w:lang w:eastAsia="zh-CN"/>
              </w:rPr>
              <w:t>202</w:t>
            </w:r>
            <w:r>
              <w:rPr>
                <w:rFonts w:hint="eastAsia"/>
                <w:color w:val="auto"/>
                <w:sz w:val="24"/>
                <w:szCs w:val="24"/>
                <w:highlight w:val="none"/>
                <w:lang w:val="en-US" w:eastAsia="zh-CN"/>
              </w:rPr>
              <w:t>2</w:t>
            </w:r>
            <w:r>
              <w:rPr>
                <w:rFonts w:hint="eastAsia"/>
                <w:color w:val="auto"/>
                <w:sz w:val="24"/>
                <w:szCs w:val="24"/>
                <w:highlight w:val="none"/>
                <w:lang w:eastAsia="zh-CN"/>
              </w:rPr>
              <w:t>年度</w:t>
            </w:r>
            <w:r>
              <w:rPr>
                <w:rFonts w:hint="eastAsia"/>
                <w:color w:val="auto"/>
                <w:sz w:val="24"/>
                <w:szCs w:val="24"/>
                <w:highlight w:val="none"/>
                <w:lang w:val="en-US" w:eastAsia="zh-CN"/>
              </w:rPr>
              <w:t>或2023年度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color w:val="auto"/>
                <w:sz w:val="24"/>
                <w:szCs w:val="24"/>
                <w:highlight w:val="none"/>
                <w:lang w:eastAsia="zh-CN"/>
              </w:rPr>
              <w:t>1</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个月依法缴纳税收的相关证明，依法免税的，应提供相应证明文件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信用记录</w:t>
            </w:r>
          </w:p>
        </w:tc>
        <w:tc>
          <w:tcPr>
            <w:tcW w:w="5153" w:type="dxa"/>
            <w:vAlign w:val="center"/>
          </w:tcPr>
          <w:p>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专门面向</w:t>
            </w:r>
            <w:r>
              <w:rPr>
                <w:rFonts w:hint="eastAsia" w:ascii="宋体" w:hAnsi="宋体" w:cs="宋体"/>
                <w:b/>
                <w:bCs/>
                <w:color w:val="auto"/>
                <w:kern w:val="0"/>
                <w:sz w:val="24"/>
                <w:highlight w:val="none"/>
                <w:lang w:val="en-US" w:eastAsia="zh-CN"/>
              </w:rPr>
              <w:t>中</w:t>
            </w:r>
            <w:r>
              <w:rPr>
                <w:rFonts w:hint="eastAsia" w:ascii="宋体" w:hAnsi="宋体" w:eastAsia="宋体" w:cs="宋体"/>
                <w:b/>
                <w:bCs/>
                <w:color w:val="auto"/>
                <w:kern w:val="0"/>
                <w:sz w:val="24"/>
                <w:highlight w:val="none"/>
              </w:rPr>
              <w:t>小</w:t>
            </w:r>
            <w:bookmarkStart w:id="590" w:name="_GoBack"/>
            <w:bookmarkEnd w:id="590"/>
            <w:r>
              <w:rPr>
                <w:rFonts w:hint="eastAsia" w:ascii="宋体" w:hAnsi="宋体" w:eastAsia="宋体" w:cs="宋体"/>
                <w:b/>
                <w:bCs/>
                <w:color w:val="auto"/>
                <w:kern w:val="0"/>
                <w:sz w:val="24"/>
                <w:highlight w:val="none"/>
              </w:rPr>
              <w:t>企业采购</w:t>
            </w:r>
            <w:r>
              <w:rPr>
                <w:rFonts w:hint="eastAsia" w:ascii="宋体" w:hAnsi="宋体" w:cs="宋体"/>
                <w:b/>
                <w:bCs/>
                <w:color w:val="auto"/>
                <w:kern w:val="0"/>
                <w:sz w:val="24"/>
                <w:highlight w:val="none"/>
                <w:lang w:eastAsia="zh-CN"/>
              </w:rPr>
              <w:t>（包</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lang w:eastAsia="zh-CN"/>
              </w:rPr>
              <w:t>）</w:t>
            </w:r>
          </w:p>
        </w:tc>
        <w:tc>
          <w:tcPr>
            <w:tcW w:w="5153" w:type="dxa"/>
            <w:vAlign w:val="center"/>
          </w:tcPr>
          <w:p>
            <w:pPr>
              <w:widowControl/>
              <w:adjustRightInd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需提供《中小企业声明函》或《残疾人福利性单位声明函》或《监狱企业的证明文件》</w:t>
            </w:r>
            <w:r>
              <w:rPr>
                <w:rFonts w:hint="eastAsia" w:ascii="宋体" w:hAnsi="宋体" w:cs="宋体"/>
                <w:b/>
                <w:bCs/>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专门面向小微企业采购</w:t>
            </w:r>
          </w:p>
          <w:p>
            <w:pPr>
              <w:widowControl/>
              <w:adjustRightInd w:val="0"/>
              <w:snapToGrid w:val="0"/>
              <w:spacing w:line="360" w:lineRule="auto"/>
              <w:jc w:val="center"/>
              <w:rPr>
                <w:rFonts w:hint="eastAsia" w:ascii="宋体" w:eastAsia="宋体" w:cs="宋体"/>
                <w:color w:val="auto"/>
                <w:kern w:val="0"/>
                <w:sz w:val="24"/>
                <w:highlight w:val="none"/>
                <w:lang w:eastAsia="zh-CN"/>
              </w:rPr>
            </w:pPr>
            <w:r>
              <w:rPr>
                <w:rFonts w:hint="eastAsia" w:ascii="宋体" w:hAnsi="宋体" w:cs="宋体"/>
                <w:b/>
                <w:bCs/>
                <w:color w:val="auto"/>
                <w:kern w:val="0"/>
                <w:sz w:val="24"/>
                <w:highlight w:val="none"/>
                <w:lang w:eastAsia="zh-CN"/>
              </w:rPr>
              <w:t>（包</w:t>
            </w:r>
            <w:r>
              <w:rPr>
                <w:rFonts w:hint="eastAsia" w:ascii="宋体" w:hAnsi="宋体" w:cs="宋体"/>
                <w:b/>
                <w:bCs/>
                <w:color w:val="auto"/>
                <w:kern w:val="0"/>
                <w:sz w:val="24"/>
                <w:highlight w:val="none"/>
                <w:lang w:val="en-US" w:eastAsia="zh-CN"/>
              </w:rPr>
              <w:t>6、包9</w:t>
            </w:r>
            <w:r>
              <w:rPr>
                <w:rFonts w:hint="eastAsia" w:ascii="宋体" w:hAnsi="宋体" w:cs="宋体"/>
                <w:b/>
                <w:bCs/>
                <w:color w:val="auto"/>
                <w:kern w:val="0"/>
                <w:sz w:val="24"/>
                <w:highlight w:val="none"/>
                <w:lang w:eastAsia="zh-CN"/>
              </w:rPr>
              <w:t>）</w:t>
            </w:r>
          </w:p>
        </w:tc>
        <w:tc>
          <w:tcPr>
            <w:tcW w:w="5153" w:type="dxa"/>
            <w:vAlign w:val="center"/>
          </w:tcPr>
          <w:p>
            <w:pPr>
              <w:widowControl/>
              <w:adjustRightInd w:val="0"/>
              <w:snapToGrid w:val="0"/>
              <w:spacing w:line="360" w:lineRule="auto"/>
              <w:jc w:val="left"/>
              <w:rPr>
                <w:rFonts w:ascii="宋体" w:cs="宋体"/>
                <w:color w:val="auto"/>
                <w:kern w:val="0"/>
                <w:sz w:val="24"/>
                <w:highlight w:val="none"/>
              </w:rPr>
            </w:pPr>
            <w:r>
              <w:rPr>
                <w:rFonts w:hint="eastAsia" w:ascii="宋体" w:hAnsi="宋体" w:eastAsia="宋体" w:cs="宋体"/>
                <w:b/>
                <w:bCs/>
                <w:color w:val="auto"/>
                <w:kern w:val="0"/>
                <w:sz w:val="24"/>
                <w:highlight w:val="none"/>
              </w:rPr>
              <w:t>需提供《中小企业声明函》或《残疾人福利性单位声明函》或《监狱企业的证明文件》</w:t>
            </w:r>
            <w:r>
              <w:rPr>
                <w:rFonts w:hint="eastAsia" w:ascii="宋体" w:hAnsi="宋体" w:cs="宋体"/>
                <w:b/>
                <w:bCs/>
                <w:color w:val="auto"/>
                <w:kern w:val="0"/>
                <w:sz w:val="24"/>
                <w:highlight w:val="none"/>
                <w:lang w:eastAsia="zh-CN"/>
              </w:rPr>
              <w:t>。</w:t>
            </w:r>
          </w:p>
        </w:tc>
      </w:tr>
    </w:tbl>
    <w:p>
      <w:pPr>
        <w:pStyle w:val="4"/>
        <w:numPr>
          <w:ilvl w:val="0"/>
          <w:numId w:val="6"/>
        </w:numPr>
        <w:adjustRightInd w:val="0"/>
        <w:snapToGrid w:val="0"/>
        <w:rPr>
          <w:rFonts w:ascii="宋体" w:cs="宋体"/>
          <w:color w:val="auto"/>
          <w:sz w:val="24"/>
          <w:szCs w:val="24"/>
          <w:highlight w:val="none"/>
        </w:rPr>
      </w:pPr>
      <w:bookmarkStart w:id="354" w:name="_Toc465"/>
      <w:bookmarkStart w:id="355" w:name="_Toc25514"/>
      <w:bookmarkStart w:id="356" w:name="_Toc19241"/>
      <w:bookmarkStart w:id="357" w:name="_Toc16266"/>
      <w:bookmarkStart w:id="358" w:name="_Toc1301"/>
      <w:bookmarkStart w:id="359" w:name="_Toc2378"/>
      <w:bookmarkStart w:id="360" w:name="_Toc16607"/>
      <w:bookmarkStart w:id="361" w:name="_Toc16293"/>
      <w:bookmarkStart w:id="362" w:name="_Toc21337"/>
      <w:bookmarkStart w:id="363" w:name="_Toc23399"/>
      <w:r>
        <w:rPr>
          <w:rFonts w:hint="eastAsia" w:ascii="宋体" w:hAnsi="宋体" w:cs="宋体"/>
          <w:color w:val="auto"/>
          <w:sz w:val="24"/>
          <w:szCs w:val="24"/>
          <w:highlight w:val="none"/>
        </w:rPr>
        <w:t>资格审查</w:t>
      </w:r>
      <w:bookmarkEnd w:id="354"/>
      <w:bookmarkEnd w:id="355"/>
      <w:bookmarkEnd w:id="356"/>
      <w:bookmarkEnd w:id="357"/>
      <w:bookmarkEnd w:id="358"/>
      <w:bookmarkEnd w:id="359"/>
      <w:bookmarkEnd w:id="360"/>
      <w:bookmarkEnd w:id="361"/>
      <w:bookmarkEnd w:id="362"/>
      <w:bookmarkEnd w:id="363"/>
    </w:p>
    <w:p>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pPr>
        <w:pStyle w:val="4"/>
        <w:numPr>
          <w:ilvl w:val="0"/>
          <w:numId w:val="6"/>
        </w:numPr>
        <w:adjustRightInd w:val="0"/>
        <w:snapToGrid w:val="0"/>
        <w:rPr>
          <w:rFonts w:ascii="宋体" w:cs="宋体"/>
          <w:color w:val="auto"/>
          <w:sz w:val="24"/>
          <w:szCs w:val="24"/>
          <w:highlight w:val="none"/>
        </w:rPr>
      </w:pPr>
      <w:bookmarkStart w:id="364" w:name="_Toc21593"/>
      <w:bookmarkStart w:id="365" w:name="_Toc11542"/>
      <w:bookmarkStart w:id="366" w:name="_Toc3310"/>
      <w:bookmarkStart w:id="367" w:name="_Toc8631"/>
      <w:bookmarkStart w:id="368" w:name="_Toc8280"/>
      <w:bookmarkStart w:id="369" w:name="_Toc12137"/>
      <w:bookmarkStart w:id="370" w:name="_Toc29893"/>
      <w:bookmarkStart w:id="371" w:name="_Toc2610"/>
      <w:bookmarkStart w:id="372" w:name="_Toc18033"/>
      <w:bookmarkStart w:id="373" w:name="_Toc23230"/>
      <w:r>
        <w:rPr>
          <w:rFonts w:hint="eastAsia" w:ascii="宋体" w:hAnsi="宋体" w:cs="宋体"/>
          <w:color w:val="auto"/>
          <w:sz w:val="24"/>
          <w:szCs w:val="24"/>
          <w:highlight w:val="none"/>
        </w:rPr>
        <w:t>资格审查标准</w:t>
      </w:r>
      <w:bookmarkEnd w:id="364"/>
      <w:bookmarkEnd w:id="365"/>
      <w:bookmarkEnd w:id="366"/>
      <w:bookmarkEnd w:id="367"/>
      <w:bookmarkEnd w:id="368"/>
      <w:bookmarkEnd w:id="369"/>
      <w:bookmarkEnd w:id="370"/>
      <w:bookmarkEnd w:id="371"/>
      <w:bookmarkEnd w:id="372"/>
      <w:bookmarkEnd w:id="373"/>
    </w:p>
    <w:p>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pPr>
        <w:pStyle w:val="4"/>
        <w:numPr>
          <w:ilvl w:val="0"/>
          <w:numId w:val="6"/>
        </w:numPr>
        <w:adjustRightInd w:val="0"/>
        <w:snapToGrid w:val="0"/>
        <w:rPr>
          <w:rFonts w:ascii="宋体" w:cs="宋体"/>
          <w:color w:val="auto"/>
          <w:sz w:val="24"/>
          <w:szCs w:val="24"/>
          <w:highlight w:val="none"/>
        </w:rPr>
      </w:pPr>
      <w:bookmarkStart w:id="374" w:name="_Toc5940"/>
      <w:bookmarkStart w:id="375" w:name="_Toc2029"/>
      <w:bookmarkStart w:id="376" w:name="_Toc14072"/>
      <w:bookmarkStart w:id="377" w:name="_Toc2259"/>
      <w:bookmarkStart w:id="378" w:name="_Toc16031"/>
      <w:bookmarkStart w:id="379" w:name="_Toc19383"/>
      <w:bookmarkStart w:id="380" w:name="_Toc32375"/>
      <w:bookmarkStart w:id="381" w:name="_Toc10180"/>
      <w:bookmarkStart w:id="382" w:name="_Toc13549"/>
      <w:bookmarkStart w:id="383" w:name="_Toc920"/>
      <w:r>
        <w:rPr>
          <w:rFonts w:hint="eastAsia" w:ascii="宋体" w:hAnsi="宋体" w:cs="宋体"/>
          <w:color w:val="auto"/>
          <w:sz w:val="24"/>
          <w:szCs w:val="24"/>
          <w:highlight w:val="none"/>
        </w:rPr>
        <w:t>资格审查程序</w:t>
      </w:r>
      <w:bookmarkEnd w:id="374"/>
      <w:bookmarkEnd w:id="375"/>
      <w:bookmarkEnd w:id="376"/>
      <w:bookmarkEnd w:id="377"/>
      <w:bookmarkEnd w:id="378"/>
      <w:bookmarkEnd w:id="379"/>
      <w:bookmarkEnd w:id="380"/>
      <w:bookmarkEnd w:id="381"/>
      <w:bookmarkEnd w:id="382"/>
      <w:bookmarkEnd w:id="383"/>
    </w:p>
    <w:p>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pPr>
        <w:pStyle w:val="2"/>
        <w:rPr>
          <w:rFonts w:ascii="宋体" w:cs="宋体"/>
          <w:color w:val="auto"/>
          <w:szCs w:val="32"/>
          <w:highlight w:val="none"/>
        </w:rPr>
      </w:pPr>
      <w:r>
        <w:rPr>
          <w:rFonts w:ascii="宋体" w:cs="宋体"/>
          <w:color w:val="auto"/>
          <w:highlight w:val="none"/>
        </w:rPr>
        <w:br w:type="page"/>
      </w:r>
      <w:bookmarkStart w:id="384" w:name="_Toc9844"/>
      <w:bookmarkStart w:id="385" w:name="_Toc31076"/>
      <w:bookmarkStart w:id="386" w:name="_Toc40112139"/>
      <w:bookmarkStart w:id="387" w:name="_Toc2792"/>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4"/>
      <w:bookmarkEnd w:id="385"/>
      <w:bookmarkEnd w:id="386"/>
      <w:bookmarkEnd w:id="387"/>
    </w:p>
    <w:p>
      <w:pPr>
        <w:keepNext/>
        <w:keepLines/>
        <w:spacing w:line="360" w:lineRule="auto"/>
        <w:ind w:left="482"/>
        <w:jc w:val="center"/>
        <w:rPr>
          <w:color w:val="auto"/>
          <w:highlight w:val="none"/>
        </w:rPr>
      </w:pPr>
      <w:bookmarkStart w:id="388" w:name="_Toc4734"/>
      <w:bookmarkStart w:id="389" w:name="_Toc23659"/>
      <w:bookmarkStart w:id="390" w:name="_Toc16950"/>
      <w:bookmarkStart w:id="391" w:name="_Toc1534"/>
      <w:bookmarkStart w:id="392" w:name="_Toc14114"/>
      <w:bookmarkStart w:id="393" w:name="_Toc12415"/>
      <w:bookmarkStart w:id="394" w:name="_Toc16535"/>
      <w:bookmarkStart w:id="395" w:name="_Toc22753"/>
      <w:bookmarkStart w:id="396" w:name="_Toc6633"/>
      <w:bookmarkStart w:id="397" w:name="_Toc22649"/>
      <w:r>
        <w:rPr>
          <w:rFonts w:hint="eastAsia" w:ascii="宋体" w:hAnsi="宋体" w:cs="宋体"/>
          <w:b/>
          <w:bCs/>
          <w:color w:val="auto"/>
          <w:sz w:val="30"/>
          <w:szCs w:val="30"/>
          <w:highlight w:val="none"/>
        </w:rPr>
        <w:t>评标办法前附表</w:t>
      </w:r>
      <w:bookmarkEnd w:id="388"/>
      <w:bookmarkEnd w:id="389"/>
      <w:bookmarkEnd w:id="390"/>
      <w:bookmarkEnd w:id="391"/>
      <w:bookmarkEnd w:id="392"/>
      <w:bookmarkEnd w:id="393"/>
      <w:bookmarkEnd w:id="394"/>
      <w:bookmarkEnd w:id="395"/>
      <w:bookmarkEnd w:id="396"/>
      <w:bookmarkEnd w:id="397"/>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pPr>
              <w:widowControl/>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04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47"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w:t>
            </w: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w:t>
            </w: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投标文件签署、盖章</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投标文件格式</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符合招标文件中提供的投标文件格式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总报价唯一</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所投标包投标总报价不可超过所投标包最高限价，且该标包中各单品报价不得超过单品最高限价。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47"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符合性审查</w:t>
            </w:r>
            <w:r>
              <w:rPr>
                <w:rFonts w:hint="eastAsia" w:ascii="宋体" w:hAnsi="宋体" w:eastAsia="宋体" w:cs="宋体"/>
                <w:color w:val="auto"/>
                <w:kern w:val="0"/>
                <w:sz w:val="21"/>
                <w:szCs w:val="21"/>
                <w:highlight w:val="none"/>
              </w:rPr>
              <w:t>标准</w:t>
            </w: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交货期</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交货地点</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前附表”第1.2.9项规定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前附表”第3.6.1项规定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投标文件制作机器码一致的视为无效投标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具有合法资质的</w:t>
            </w:r>
            <w:r>
              <w:rPr>
                <w:rFonts w:hint="eastAsia" w:ascii="宋体" w:hAnsi="宋体" w:eastAsia="宋体" w:cs="宋体"/>
                <w:color w:val="auto"/>
                <w:sz w:val="21"/>
                <w:szCs w:val="21"/>
                <w:highlight w:val="none"/>
              </w:rPr>
              <w:t>检测机构出具的检测报告或</w:t>
            </w:r>
            <w:r>
              <w:rPr>
                <w:rFonts w:hint="eastAsia" w:ascii="宋体" w:hAnsi="宋体" w:eastAsia="宋体" w:cs="宋体"/>
                <w:color w:val="auto"/>
                <w:sz w:val="21"/>
                <w:szCs w:val="21"/>
                <w:highlight w:val="none"/>
                <w:lang w:val="en-US" w:eastAsia="zh-CN"/>
              </w:rPr>
              <w:t>检验报告或</w:t>
            </w:r>
            <w:r>
              <w:rPr>
                <w:rFonts w:hint="eastAsia" w:ascii="宋体" w:hAnsi="宋体" w:eastAsia="宋体" w:cs="宋体"/>
                <w:color w:val="auto"/>
                <w:sz w:val="21"/>
                <w:szCs w:val="21"/>
                <w:highlight w:val="none"/>
              </w:rPr>
              <w:t>产品合格证书</w:t>
            </w:r>
          </w:p>
        </w:tc>
        <w:tc>
          <w:tcPr>
            <w:tcW w:w="3042" w:type="pct"/>
            <w:gridSpan w:val="2"/>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前附表”第1.7项第5条规定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响应招标文件规定的其他实质性内容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w:t>
            </w:r>
          </w:p>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(总分100分)</w:t>
            </w:r>
          </w:p>
        </w:tc>
        <w:tc>
          <w:tcPr>
            <w:tcW w:w="3042" w:type="pct"/>
            <w:gridSpan w:val="2"/>
            <w:vAlign w:val="center"/>
          </w:tcPr>
          <w:p>
            <w:pPr>
              <w:autoSpaceDE w:val="0"/>
              <w:autoSpaceDN w:val="0"/>
              <w:adjustRightInd w:val="0"/>
              <w:snapToGrid w:val="0"/>
              <w:spacing w:line="360" w:lineRule="auto"/>
              <w:ind w:left="38" w:leftChars="18"/>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投标报价</w:t>
            </w: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 xml:space="preserve">分  </w:t>
            </w:r>
          </w:p>
          <w:p>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 xml:space="preserve">分   </w:t>
            </w:r>
          </w:p>
          <w:p>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42" w:hRule="atLeast"/>
          <w:jc w:val="center"/>
        </w:trPr>
        <w:tc>
          <w:tcPr>
            <w:tcW w:w="488" w:type="pc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投标报价</w:t>
            </w: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eastAsia="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pPr>
              <w:adjustRightInd w:val="0"/>
              <w:snapToGrid w:val="0"/>
              <w:spacing w:line="360" w:lineRule="auto"/>
              <w:ind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eastAsia="zh-CN"/>
              </w:rPr>
              <w:t>专门面向</w:t>
            </w:r>
            <w:r>
              <w:rPr>
                <w:rFonts w:hint="eastAsia" w:ascii="宋体" w:hAnsi="宋体" w:cs="宋体"/>
                <w:b/>
                <w:bCs/>
                <w:color w:val="auto"/>
                <w:kern w:val="0"/>
                <w:sz w:val="21"/>
                <w:szCs w:val="21"/>
                <w:highlight w:val="none"/>
                <w:lang w:val="en-US" w:eastAsia="zh-CN"/>
              </w:rPr>
              <w:t>中小</w:t>
            </w:r>
            <w:r>
              <w:rPr>
                <w:rFonts w:hint="eastAsia" w:ascii="宋体" w:hAnsi="宋体" w:eastAsia="宋体" w:cs="宋体"/>
                <w:b/>
                <w:bCs/>
                <w:color w:val="auto"/>
                <w:kern w:val="0"/>
                <w:sz w:val="21"/>
                <w:szCs w:val="21"/>
                <w:highlight w:val="none"/>
                <w:lang w:eastAsia="zh-CN"/>
              </w:rPr>
              <w:t>企业采购</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专门面向</w:t>
            </w:r>
            <w:r>
              <w:rPr>
                <w:rFonts w:hint="eastAsia" w:ascii="宋体" w:hAnsi="宋体" w:cs="宋体"/>
                <w:b/>
                <w:bCs/>
                <w:color w:val="auto"/>
                <w:kern w:val="0"/>
                <w:sz w:val="21"/>
                <w:szCs w:val="21"/>
                <w:highlight w:val="none"/>
                <w:lang w:val="en-US" w:eastAsia="zh-CN"/>
              </w:rPr>
              <w:t>小微企业</w:t>
            </w:r>
            <w:r>
              <w:rPr>
                <w:rFonts w:hint="eastAsia" w:ascii="宋体" w:hAnsi="宋体" w:eastAsia="宋体" w:cs="宋体"/>
                <w:b/>
                <w:bCs/>
                <w:color w:val="auto"/>
                <w:kern w:val="0"/>
                <w:sz w:val="21"/>
                <w:szCs w:val="21"/>
                <w:highlight w:val="none"/>
              </w:rPr>
              <w:t>采购的标包不再进行价格扣除。</w:t>
            </w:r>
          </w:p>
          <w:p>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243"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pPr>
              <w:widowControl/>
              <w:adjustRightInd w:val="0"/>
              <w:snapToGrid w:val="0"/>
              <w:spacing w:line="360" w:lineRule="auto"/>
              <w:jc w:val="center"/>
              <w:rPr>
                <w:rFonts w:hint="eastAsia" w:ascii="宋体" w:hAnsi="宋体" w:eastAsia="宋体" w:cs="宋体"/>
                <w:color w:val="auto"/>
                <w:sz w:val="21"/>
                <w:szCs w:val="21"/>
                <w:highlight w:val="none"/>
              </w:rPr>
            </w:pPr>
          </w:p>
          <w:p>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货物响应招标文件参数情况</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（0-</w:t>
            </w: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投标货物完全满足招标文件参数要求的；得满分35分；投标技术参数与招标文件参数要求有负偏离的在35分的基础上，非“★”项每项扣2分，带“★”项每项扣6分，扣完为止。</w:t>
            </w:r>
          </w:p>
          <w:p>
            <w:pPr>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注：投标人所投产品需附具有合法资质的检测机构出具的检测报告或检验报告或产品合格证书。带“★”项以检测报告或检验报告中的相应指标为准，检测报告或检验报告中应体现技术参数中要求的带“★”参数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p>
          <w:p>
            <w:pPr>
              <w:adjustRightInd w:val="0"/>
              <w:snapToGrid w:val="0"/>
              <w:spacing w:line="360" w:lineRule="auto"/>
              <w:jc w:val="left"/>
              <w:rPr>
                <w:rFonts w:hint="eastAsia" w:ascii="宋体" w:hAnsi="宋体" w:eastAsia="宋体" w:cs="宋体"/>
                <w:color w:val="auto"/>
                <w:kern w:val="0"/>
                <w:sz w:val="21"/>
                <w:szCs w:val="21"/>
                <w:highlight w:val="none"/>
              </w:rPr>
            </w:pPr>
          </w:p>
          <w:p>
            <w:pPr>
              <w:adjustRightInd w:val="0"/>
              <w:snapToGrid w:val="0"/>
              <w:spacing w:line="360" w:lineRule="auto"/>
              <w:jc w:val="left"/>
              <w:rPr>
                <w:rFonts w:hint="eastAsia" w:ascii="宋体" w:hAnsi="宋体" w:eastAsia="宋体" w:cs="宋体"/>
                <w:color w:val="auto"/>
                <w:kern w:val="0"/>
                <w:sz w:val="21"/>
                <w:szCs w:val="21"/>
                <w:highlight w:val="none"/>
              </w:rPr>
            </w:pPr>
          </w:p>
          <w:p>
            <w:pPr>
              <w:adjustRightInd w:val="0"/>
              <w:snapToGrid w:val="0"/>
              <w:spacing w:line="360" w:lineRule="auto"/>
              <w:ind w:firstLine="207" w:firstLineChars="98"/>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产品选型</w:t>
            </w:r>
          </w:p>
          <w:p>
            <w:pPr>
              <w:adjustRightInd w:val="0"/>
              <w:snapToGrid w:val="0"/>
              <w:spacing w:line="360" w:lineRule="auto"/>
              <w:ind w:left="31680" w:hanging="310" w:hangingChars="147"/>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（整体设计）</w:t>
            </w:r>
          </w:p>
          <w:p>
            <w:pPr>
              <w:adjustRightInd w:val="0"/>
              <w:snapToGrid w:val="0"/>
              <w:spacing w:line="360" w:lineRule="auto"/>
              <w:ind w:left="31680" w:hanging="310" w:hangingChars="147"/>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5分）</w:t>
            </w:r>
          </w:p>
        </w:tc>
        <w:tc>
          <w:tcPr>
            <w:tcW w:w="3040" w:type="pct"/>
            <w:gridSpan w:val="2"/>
            <w:vAlign w:val="center"/>
          </w:tcPr>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合本项目采购需求及实际应用场景环境等要求提出产品整体选型、各部件的结构设计、产品功能设计，各部件间适配性、系统配置、产品工艺等内容（须提供设计说明、整体设计图、结构设计图、功能设计图等）。</w:t>
            </w:r>
          </w:p>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选型先进、设计完善合理、功能全面、适配性强、操作简单易用、耐用实用、对本项目具有针对性、可行性强的得5分，</w:t>
            </w:r>
          </w:p>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选型先进、设计合理、功能全面、具有适配性、操作简单易用、耐用实用、对本项目具有针对性、可行性得3分。</w:t>
            </w:r>
          </w:p>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选型基本合理、功能基本完善、具有适配性及针对性的得1分，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各部件设计不合理、功能不足，无法满足本项目需求的得0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专业技术生产能力（0-</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r>
              <w:rPr>
                <w:rFonts w:hint="eastAsia" w:ascii="宋体" w:hAnsi="宋体" w:eastAsia="宋体" w:cs="宋体"/>
                <w:color w:val="auto"/>
                <w:kern w:val="0"/>
                <w:sz w:val="21"/>
                <w:szCs w:val="21"/>
                <w:highlight w:val="none"/>
              </w:rPr>
              <w:t>）</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根据所投产品制造商专业技术生产能力（包括但不限于自主研发能力、生产工艺、生产步骤、产品检验等）进行评审：</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核心产品及所投其他产品制造商具备自主研发能力（提供研发团队名单、研发成果名称）、具拥有完整工艺流程图并配有详细的图片和文字说明，能够提供各环节完整的生产车间环境及详细的实际生产实景照片，具有完整的产品检验流程，各检验流程均配备有检验设备、检验步骤严密，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未对是否有自主研发能力作出说明，提供的工艺流程图配有图片和文字说明，能够提供大部分生产环节生产车间环境及实际生产实景照片，提供有产品检验主要流程，重要检验节点配备有检验设备，得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所投产品制造商生产工艺简单粗糙，生产步骤说明不完整，未能提供生产车间环境及实际生产照片，产品检验流程及具体检验步骤前后不连贯，各检验步骤未明确检验设备配置，得1分；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1"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w:t>
            </w:r>
          </w:p>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具备质量管理体系认证、职业健康安全管理体系认证、环境管理体系认证，提供证书扫描件。每提供1种证书得1分，最多3分。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注：投标文件中须附证书扫描件，清晰可辨。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7"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产品业绩</w:t>
            </w:r>
          </w:p>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产品业绩：指投标人所投标包项目同产品的业绩，产品业绩项目时间要求：2021年1月1日至今（以合同签订时间为准）：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产品业绩项目证明材料：须提供中标（成交）通知书、合同协议书（含首页、关键页、签章页），应清晰可辨，合同签订主体为投标人，以上内容缺一不得分。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一个标包含有多种产品的，须提供核心产品的业绩方可认定加分。代理商投标的，不得将其他代理商或厂家自身的业绩作为投标人业绩加分。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每提供一份业绩加1分，最多加3分。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331"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restart"/>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w:t>
            </w: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（0-1分）</w:t>
            </w:r>
          </w:p>
        </w:tc>
        <w:tc>
          <w:tcPr>
            <w:tcW w:w="3040" w:type="pct"/>
            <w:gridSpan w:val="2"/>
            <w:vAlign w:val="center"/>
          </w:tcPr>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所投产品如为节能产品政府采购品目清单内非强制节能产品的，加0.5分</w:t>
            </w:r>
          </w:p>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 xml:space="preserve">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6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continue"/>
            <w:vAlign w:val="center"/>
          </w:tcPr>
          <w:p>
            <w:pPr>
              <w:widowControl/>
              <w:adjustRightInd w:val="0"/>
              <w:snapToGrid w:val="0"/>
              <w:spacing w:line="360" w:lineRule="auto"/>
              <w:jc w:val="left"/>
              <w:rPr>
                <w:rFonts w:hint="eastAsia" w:ascii="宋体" w:hAnsi="宋体" w:eastAsia="宋体" w:cs="宋体"/>
                <w:b/>
                <w:color w:val="auto"/>
                <w:kern w:val="0"/>
                <w:sz w:val="21"/>
                <w:szCs w:val="21"/>
                <w:highlight w:val="none"/>
              </w:rPr>
            </w:pPr>
          </w:p>
        </w:tc>
        <w:tc>
          <w:tcPr>
            <w:tcW w:w="3040" w:type="pct"/>
            <w:gridSpan w:val="2"/>
            <w:vAlign w:val="center"/>
          </w:tcPr>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所投产品如为环境标志产品政府采购品目清单内的产品，加0.5分。</w:t>
            </w:r>
          </w:p>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897"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质保期</w:t>
            </w:r>
          </w:p>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在招标文件要求的质保期基础上，每承诺延长一年质保期得1.5分，最多得3分，未承诺的不得分。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（注：如标包内有多个产品的，所有产品的质保期均需延长，否则不得分）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实施方案（0-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1、项目具体实施进度方案：</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整体实施进度方案详实、全面可行，生产进度规划科学、原材料采购及生产计划响应迅速，供货周期优于项目要求，进度保障措施规划详细、响应周全、切实可行，项目组人员配备科学、分工明确、团队力量强得2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（2）整体实施进度方案详细，生产进度规划合理、原材料采购及生产计划响应较快，供货周期优于项目要求，进度保障措施规划详细，项目组人员分工明确、团队力量较强得1分；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（3）整体实施进度方案简单，原材料采购及生产计划响应缓慢，进度保障措施规划简单，项目组人员配置较少、分工不够明确得0.5分；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2、质量保障措施：</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（1）质量保障方案制定详实、周全，质量保障制度制定完善、科学合理、可操作性强，质量保障人员配备科学、分工明确、团队力量强，有专门的的质量保障经费规划，质量保障设施设备配备齐全得 2分；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（2）质量保障方案制定详细，质量保障制度制定完善，质量保障人员配备充足、分工明确，有专门的的质量保障经费规划，质量保障设施设备配备较全得 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（3）质量保障方案、质量保障制度制定简单，质量保障人员配备较少，分工不够明确，质量保障设施设备配备较少得 0.5分；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（1）方案提供的测试、验收依据和相关的技术标准准确完整，方案制定的测试、验收的组织形式、程序、注意事项周全详实，测试、验收环节和内容设置合理、全面得 2分；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（2）方案提供的测试、验收依据和相关的技术标准准确，方案制定的测试、验收的组织形式、程序、注意事项较完整，测试、验收环节和内容设置简单得 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（3）方案提供的测试、验收依据和相关的技术标准未提供，方案制定的测试、验收的组织形式、程序、注意事项简单，测试、验收环节和内容设置简单得0.5分；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（4）未提供或其他得0分。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履约能力（0-</w:t>
            </w: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rPr>
              <w:t>分）</w:t>
            </w:r>
          </w:p>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1.各阶段资金使用计划规划科学、各环节资金投入明确且保障有力得1分，不科学、不明确、没有保障或未提供该项内容得 0 分。 </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2.生产过程有落实节能环保相关措施且科学可行得1分，措施不可行或未提供该项内容得 0 分。 </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3.与各用户单位沟通和协调管理制度完善可行得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分，不完善、不可行或未提供该项内容得0分。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restart"/>
            <w:vAlign w:val="center"/>
          </w:tcPr>
          <w:p>
            <w:pPr>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售后服务及培训方案（0-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p>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（1）根据投标人</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服务计划（内容包括但不限于</w:t>
            </w:r>
            <w:r>
              <w:rPr>
                <w:rFonts w:hint="eastAsia" w:ascii="宋体" w:hAnsi="宋体" w:eastAsia="宋体" w:cs="宋体"/>
                <w:color w:val="auto"/>
                <w:sz w:val="21"/>
                <w:szCs w:val="21"/>
                <w:highlight w:val="none"/>
                <w:lang w:val="en-US" w:eastAsia="zh-CN"/>
              </w:rPr>
              <w:t>质保期内及质保期外</w:t>
            </w:r>
            <w:r>
              <w:rPr>
                <w:rFonts w:hint="eastAsia" w:ascii="宋体" w:hAnsi="宋体" w:eastAsia="宋体" w:cs="宋体"/>
                <w:color w:val="auto"/>
                <w:sz w:val="21"/>
                <w:szCs w:val="21"/>
                <w:highlight w:val="none"/>
              </w:rPr>
              <w:t>服务内容、售后服务体系、故障响应、备品备件保障供应、巡检服务等）</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应急维修保障措施（内容包括但不限应急维修程序、应急维修预案、应急维修人员配备等）进行综合评分：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维修保障措施完整（涵盖上述全部内容，根据项目实际情况有新增加）、详尽，完全满足项目要求的，得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维修保障措施（涵盖上述全部内容，但是内容不够详尽或者其中某项描述欠缺的），基本满足项目要求的，得1分；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维修保障措施（内容缺少一项或多项的）的，或者服务计划无法满足采购需求的得0.5分；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无服务计划的不得分。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投标人提供本地化服务承诺（</w:t>
            </w:r>
            <w:r>
              <w:rPr>
                <w:rFonts w:hint="eastAsia" w:ascii="宋体" w:hAnsi="宋体" w:eastAsia="宋体" w:cs="宋体"/>
                <w:color w:val="auto"/>
                <w:sz w:val="21"/>
                <w:szCs w:val="21"/>
                <w:highlight w:val="none"/>
                <w:lang w:val="en-US" w:eastAsia="zh-CN"/>
              </w:rPr>
              <w:t>承诺书中需明确</w:t>
            </w:r>
            <w:r>
              <w:rPr>
                <w:rFonts w:hint="eastAsia" w:ascii="宋体" w:hAnsi="宋体" w:eastAsia="宋体" w:cs="宋体"/>
                <w:color w:val="auto"/>
                <w:sz w:val="21"/>
                <w:szCs w:val="21"/>
                <w:highlight w:val="none"/>
                <w:lang w:eastAsia="zh-CN"/>
              </w:rPr>
              <w:t>具体实施方式在合同中约定）的得</w:t>
            </w:r>
            <w:r>
              <w:rPr>
                <w:rFonts w:hint="eastAsia" w:ascii="宋体" w:hAnsi="宋体" w:eastAsia="宋体" w:cs="宋体"/>
                <w:color w:val="auto"/>
                <w:sz w:val="21"/>
                <w:szCs w:val="21"/>
                <w:highlight w:val="none"/>
                <w:lang w:val="en-US" w:eastAsia="zh-CN"/>
              </w:rPr>
              <w:t>1分，未提供的得0份</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continue"/>
            <w:vAlign w:val="center"/>
          </w:tcPr>
          <w:p>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2.培训方案（</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等）进行综合评分，培训方案全面（涵盖上述全部内容，根据项目实际情况有新增加）、详尽，符合项目特点，针对性强，确保满足培训效果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分；培训方案（内容缺少其中至少一项）、针对性不强，得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分；培训方案无法满足项目实际需求的得0.5分；方案未提供不得分。</w:t>
            </w:r>
          </w:p>
        </w:tc>
      </w:tr>
    </w:tbl>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8" w:name="_Toc13454"/>
      <w:bookmarkStart w:id="399" w:name="_Toc6135"/>
      <w:bookmarkStart w:id="400" w:name="_Toc17219"/>
      <w:bookmarkStart w:id="401" w:name="_Toc4003"/>
      <w:bookmarkStart w:id="402" w:name="_Toc30234"/>
      <w:bookmarkStart w:id="403" w:name="_Toc3406"/>
      <w:bookmarkStart w:id="404" w:name="_Toc5920"/>
      <w:bookmarkStart w:id="405" w:name="_Toc30895"/>
      <w:bookmarkStart w:id="406" w:name="_Toc26533"/>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8"/>
      <w:bookmarkEnd w:id="399"/>
      <w:bookmarkEnd w:id="400"/>
      <w:bookmarkEnd w:id="401"/>
      <w:bookmarkEnd w:id="402"/>
      <w:bookmarkEnd w:id="403"/>
      <w:bookmarkEnd w:id="404"/>
      <w:bookmarkEnd w:id="405"/>
      <w:bookmarkEnd w:id="406"/>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7" w:name="_Toc29139"/>
      <w:bookmarkStart w:id="408" w:name="_Toc27094"/>
      <w:bookmarkStart w:id="409" w:name="_Toc5467"/>
      <w:bookmarkStart w:id="410" w:name="_Toc28336"/>
      <w:bookmarkStart w:id="411" w:name="_Toc7259"/>
      <w:bookmarkStart w:id="412" w:name="_Toc10856"/>
      <w:bookmarkStart w:id="413" w:name="_Toc6724"/>
      <w:bookmarkStart w:id="414" w:name="_Toc17735"/>
      <w:bookmarkStart w:id="415" w:name="_Toc31651"/>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7"/>
      <w:bookmarkEnd w:id="408"/>
      <w:bookmarkEnd w:id="409"/>
      <w:bookmarkEnd w:id="410"/>
      <w:bookmarkEnd w:id="411"/>
      <w:bookmarkEnd w:id="412"/>
      <w:bookmarkEnd w:id="413"/>
      <w:bookmarkEnd w:id="414"/>
      <w:bookmarkEnd w:id="415"/>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6" w:name="_Toc4338"/>
      <w:bookmarkStart w:id="417" w:name="_Toc5605"/>
      <w:bookmarkStart w:id="418" w:name="_Toc1740"/>
      <w:bookmarkStart w:id="419" w:name="_Toc5149"/>
      <w:bookmarkStart w:id="420" w:name="_Toc21732"/>
      <w:bookmarkStart w:id="421" w:name="_Toc28724"/>
      <w:bookmarkStart w:id="422" w:name="_Toc26726"/>
      <w:bookmarkStart w:id="423" w:name="_Toc22175"/>
      <w:bookmarkStart w:id="424" w:name="_Toc16356"/>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6"/>
      <w:bookmarkEnd w:id="417"/>
      <w:bookmarkEnd w:id="418"/>
      <w:bookmarkEnd w:id="419"/>
      <w:bookmarkEnd w:id="420"/>
      <w:bookmarkEnd w:id="421"/>
      <w:bookmarkEnd w:id="422"/>
      <w:bookmarkEnd w:id="423"/>
      <w:bookmarkEnd w:id="424"/>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5" w:name="_Toc32083"/>
      <w:bookmarkStart w:id="426" w:name="_Toc17957"/>
      <w:bookmarkStart w:id="427" w:name="_Toc18983"/>
      <w:bookmarkStart w:id="428" w:name="_Toc9613"/>
      <w:bookmarkStart w:id="429" w:name="_Toc10682"/>
      <w:bookmarkStart w:id="430" w:name="_Toc1654"/>
      <w:bookmarkStart w:id="431" w:name="_Toc5708"/>
      <w:bookmarkStart w:id="432" w:name="_Toc7036"/>
      <w:bookmarkStart w:id="433" w:name="_Toc9443"/>
      <w:r>
        <w:rPr>
          <w:rFonts w:ascii="宋体" w:hAnsi="宋体" w:cs="宋体"/>
          <w:color w:val="auto"/>
          <w:kern w:val="0"/>
          <w:sz w:val="24"/>
          <w:highlight w:val="none"/>
        </w:rPr>
        <w:t xml:space="preserve">3.1 </w:t>
      </w:r>
      <w:bookmarkEnd w:id="425"/>
      <w:bookmarkEnd w:id="426"/>
      <w:bookmarkEnd w:id="427"/>
      <w:bookmarkEnd w:id="428"/>
      <w:bookmarkEnd w:id="429"/>
      <w:bookmarkEnd w:id="430"/>
      <w:bookmarkEnd w:id="431"/>
      <w:bookmarkEnd w:id="432"/>
      <w:bookmarkEnd w:id="433"/>
      <w:r>
        <w:rPr>
          <w:rFonts w:hint="eastAsia" w:ascii="宋体" w:hAnsi="宋体" w:cs="宋体"/>
          <w:color w:val="auto"/>
          <w:kern w:val="0"/>
          <w:sz w:val="24"/>
          <w:highlight w:val="none"/>
        </w:rPr>
        <w:t>初步评审</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4" w:name="_Toc22449"/>
      <w:bookmarkStart w:id="435" w:name="_Toc13336"/>
      <w:bookmarkStart w:id="436" w:name="_Toc18705"/>
      <w:bookmarkStart w:id="437" w:name="_Toc26213"/>
      <w:bookmarkStart w:id="438" w:name="_Toc24391"/>
      <w:bookmarkStart w:id="439" w:name="_Toc1221"/>
      <w:bookmarkStart w:id="440" w:name="_Toc10132"/>
      <w:bookmarkStart w:id="441" w:name="_Toc30428"/>
      <w:bookmarkStart w:id="442" w:name="_Toc12089"/>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4"/>
      <w:bookmarkEnd w:id="435"/>
      <w:bookmarkEnd w:id="436"/>
      <w:bookmarkEnd w:id="437"/>
      <w:bookmarkEnd w:id="438"/>
      <w:bookmarkEnd w:id="439"/>
      <w:bookmarkEnd w:id="440"/>
      <w:bookmarkEnd w:id="441"/>
      <w:bookmarkEnd w:id="442"/>
      <w:r>
        <w:rPr>
          <w:rFonts w:hint="eastAsia" w:ascii="宋体" w:hAnsi="宋体" w:cs="宋体"/>
          <w:color w:val="auto"/>
          <w:kern w:val="0"/>
          <w:sz w:val="24"/>
          <w:highlight w:val="none"/>
        </w:rPr>
        <w:t>评标</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3" w:name="_Toc11722"/>
      <w:bookmarkStart w:id="444" w:name="_Toc7845"/>
      <w:bookmarkStart w:id="445" w:name="_Toc18381"/>
      <w:bookmarkStart w:id="446" w:name="_Toc6048"/>
      <w:bookmarkStart w:id="447" w:name="_Toc11785"/>
      <w:bookmarkStart w:id="448" w:name="_Toc18083"/>
      <w:bookmarkStart w:id="449" w:name="_Toc2162"/>
      <w:bookmarkStart w:id="450" w:name="_Toc5640"/>
      <w:bookmarkStart w:id="451" w:name="_Toc9150"/>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3"/>
      <w:bookmarkEnd w:id="444"/>
      <w:bookmarkEnd w:id="445"/>
      <w:bookmarkEnd w:id="446"/>
      <w:bookmarkEnd w:id="447"/>
      <w:bookmarkEnd w:id="448"/>
      <w:bookmarkEnd w:id="449"/>
      <w:bookmarkEnd w:id="450"/>
      <w:bookmarkEnd w:id="451"/>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2" w:name="_Toc19756"/>
      <w:bookmarkStart w:id="453" w:name="_Toc10336"/>
      <w:bookmarkStart w:id="454" w:name="_Toc7956"/>
      <w:bookmarkStart w:id="455" w:name="_Toc25857"/>
      <w:bookmarkStart w:id="456" w:name="_Toc12108"/>
      <w:bookmarkStart w:id="457" w:name="_Toc12060"/>
      <w:bookmarkStart w:id="458" w:name="_Toc28041"/>
      <w:bookmarkStart w:id="459" w:name="_Toc27845"/>
      <w:bookmarkStart w:id="460" w:name="_Toc19426"/>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2"/>
      <w:bookmarkEnd w:id="453"/>
      <w:bookmarkEnd w:id="454"/>
      <w:bookmarkEnd w:id="455"/>
      <w:bookmarkEnd w:id="456"/>
      <w:bookmarkEnd w:id="457"/>
      <w:bookmarkEnd w:id="458"/>
      <w:bookmarkEnd w:id="459"/>
      <w:bookmarkEnd w:id="460"/>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pPr>
        <w:pStyle w:val="2"/>
        <w:rPr>
          <w:rFonts w:ascii="宋体" w:cs="宋体"/>
          <w:color w:val="auto"/>
          <w:szCs w:val="32"/>
          <w:highlight w:val="none"/>
        </w:rPr>
      </w:pPr>
      <w:bookmarkStart w:id="461" w:name="_Toc40112140"/>
      <w:bookmarkStart w:id="462" w:name="_Toc312133549"/>
      <w:r>
        <w:rPr>
          <w:rFonts w:ascii="宋体" w:cs="宋体"/>
          <w:color w:val="auto"/>
          <w:szCs w:val="32"/>
          <w:highlight w:val="none"/>
        </w:rPr>
        <w:br w:type="page"/>
      </w:r>
      <w:bookmarkStart w:id="463" w:name="_Toc17148"/>
      <w:bookmarkStart w:id="464" w:name="_Toc16056"/>
      <w:bookmarkStart w:id="465" w:name="_Toc30127"/>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61"/>
      <w:bookmarkEnd w:id="463"/>
      <w:bookmarkEnd w:id="464"/>
      <w:bookmarkEnd w:id="465"/>
    </w:p>
    <w:bookmarkEnd w:id="462"/>
    <w:p>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pPr>
        <w:widowControl/>
        <w:spacing w:line="360" w:lineRule="auto"/>
        <w:jc w:val="center"/>
        <w:rPr>
          <w:rFonts w:ascii="宋体" w:hAnsi="宋体" w:cs="宋体"/>
          <w:b/>
          <w:bCs/>
          <w:color w:val="auto"/>
          <w:sz w:val="52"/>
          <w:szCs w:val="52"/>
          <w:highlight w:val="none"/>
        </w:rPr>
      </w:pPr>
      <w:bookmarkStart w:id="466" w:name="_Toc29143"/>
      <w:r>
        <w:rPr>
          <w:rFonts w:hint="eastAsia" w:ascii="宋体" w:hAnsi="宋体" w:cs="宋体"/>
          <w:b/>
          <w:bCs/>
          <w:color w:val="auto"/>
          <w:sz w:val="52"/>
          <w:szCs w:val="52"/>
          <w:highlight w:val="none"/>
        </w:rPr>
        <w:t>合  同  书</w:t>
      </w:r>
    </w:p>
    <w:p>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pPr>
        <w:widowControl/>
        <w:spacing w:line="360" w:lineRule="auto"/>
        <w:jc w:val="center"/>
        <w:rPr>
          <w:rFonts w:hint="default" w:ascii="宋体" w:eastAsia="宋体" w:cs="宋体"/>
          <w:color w:val="auto"/>
          <w:sz w:val="28"/>
          <w:szCs w:val="28"/>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合同编号：</w:t>
      </w:r>
      <w:r>
        <w:rPr>
          <w:rFonts w:hint="eastAsia" w:ascii="宋体" w:hAnsi="宋体" w:cs="宋体"/>
          <w:color w:val="auto"/>
          <w:sz w:val="28"/>
          <w:szCs w:val="28"/>
          <w:highlight w:val="none"/>
          <w:u w:val="single"/>
          <w:lang w:val="en-US" w:eastAsia="zh-CN"/>
        </w:rPr>
        <w:t xml:space="preserve">          </w:t>
      </w:r>
    </w:p>
    <w:p>
      <w:pPr>
        <w:widowControl/>
        <w:spacing w:line="360" w:lineRule="auto"/>
        <w:jc w:val="center"/>
        <w:rPr>
          <w:rFonts w:ascii="宋体" w:cs="宋体"/>
          <w:color w:val="auto"/>
          <w:sz w:val="28"/>
          <w:szCs w:val="28"/>
          <w:highlight w:val="none"/>
        </w:rPr>
      </w:pPr>
    </w:p>
    <w:p>
      <w:pPr>
        <w:bidi w:val="0"/>
        <w:rPr>
          <w:color w:val="auto"/>
          <w:sz w:val="28"/>
          <w:szCs w:val="28"/>
          <w:highlight w:val="none"/>
        </w:rPr>
      </w:pPr>
      <w:r>
        <w:rPr>
          <w:rFonts w:hint="eastAsia"/>
          <w:color w:val="auto"/>
          <w:sz w:val="28"/>
          <w:szCs w:val="28"/>
          <w:highlight w:val="none"/>
        </w:rPr>
        <w:t>项目名称：</w:t>
      </w:r>
      <w:r>
        <w:rPr>
          <w:rFonts w:hint="eastAsia"/>
          <w:color w:val="auto"/>
          <w:sz w:val="28"/>
          <w:szCs w:val="28"/>
          <w:highlight w:val="none"/>
          <w:lang w:eastAsia="zh-CN"/>
        </w:rPr>
        <w:t>平顶山市消防救援支队河南省消防救援总队“自然灾害应急能力提升工程”平顶山支队装备建设项目</w:t>
      </w: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甲方（需方）：</w:t>
      </w:r>
    </w:p>
    <w:p>
      <w:pPr>
        <w:widowControl/>
        <w:spacing w:line="360" w:lineRule="auto"/>
        <w:rPr>
          <w:rFonts w:ascii="宋体" w:cs="宋体"/>
          <w:color w:val="auto"/>
          <w:sz w:val="28"/>
          <w:szCs w:val="28"/>
          <w:highlight w:val="none"/>
        </w:rPr>
      </w:pPr>
    </w:p>
    <w:p>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乙方（供方）： </w:t>
      </w:r>
    </w:p>
    <w:p>
      <w:pPr>
        <w:widowControl/>
        <w:spacing w:line="360" w:lineRule="auto"/>
        <w:jc w:val="right"/>
        <w:rPr>
          <w:rFonts w:ascii="宋体" w:cs="宋体"/>
          <w:color w:val="auto"/>
          <w:sz w:val="28"/>
          <w:szCs w:val="28"/>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合同签订日期：二〇二</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年</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ascii="宋体" w:hAnsi="宋体" w:cs="宋体"/>
          <w:color w:val="auto"/>
          <w:sz w:val="32"/>
          <w:szCs w:val="32"/>
          <w:highlight w:val="none"/>
        </w:rPr>
        <w:t xml:space="preserve"> </w:t>
      </w:r>
    </w:p>
    <w:p>
      <w:pPr>
        <w:snapToGrid w:val="0"/>
        <w:spacing w:before="119" w:line="360" w:lineRule="auto"/>
        <w:textAlignment w:val="baseline"/>
        <w:rPr>
          <w:rFonts w:hint="eastAsia" w:ascii="宋体" w:cs="宋体"/>
          <w:color w:val="auto"/>
          <w:kern w:val="0"/>
          <w:szCs w:val="21"/>
          <w:highlight w:val="none"/>
        </w:rPr>
      </w:pPr>
    </w:p>
    <w:p>
      <w:pPr>
        <w:pStyle w:val="21"/>
        <w:rPr>
          <w:rFonts w:hint="eastAsia"/>
          <w:color w:val="auto"/>
          <w:highlight w:val="none"/>
        </w:rPr>
      </w:pPr>
    </w:p>
    <w:p>
      <w:pPr>
        <w:pStyle w:val="6"/>
        <w:rPr>
          <w:rFonts w:hint="eastAsia"/>
          <w:color w:val="auto"/>
          <w:highlight w:val="none"/>
        </w:rPr>
      </w:pPr>
    </w:p>
    <w:p>
      <w:pPr>
        <w:widowControl/>
        <w:snapToGrid w:val="0"/>
        <w:spacing w:line="360" w:lineRule="auto"/>
        <w:ind w:firstLine="480" w:firstLineChars="200"/>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u w:val="single"/>
        </w:rPr>
        <w:t xml:space="preserve">                            </w:t>
      </w:r>
    </w:p>
    <w:p>
      <w:pPr>
        <w:widowControl/>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pPr>
        <w:widowControl/>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为了保护供需各方的合法权益，甲乙双方依照《中华人民共和国民法典》有关条款，就</w:t>
      </w:r>
      <w:r>
        <w:rPr>
          <w:rFonts w:hint="eastAsia" w:ascii="宋体" w:hAnsi="宋体" w:eastAsia="宋体" w:cs="宋体"/>
          <w:bCs/>
          <w:color w:val="auto"/>
          <w:kern w:val="0"/>
          <w:sz w:val="24"/>
          <w:szCs w:val="24"/>
          <w:highlight w:val="none"/>
          <w:u w:val="single"/>
          <w:lang w:eastAsia="zh-CN"/>
        </w:rPr>
        <w:t>平顶山市消防救援支队河南省消防救援总队“自然灾害应急能力提升工程”平顶山支队装备建设项目</w:t>
      </w: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）第</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包中，乙方向甲方提供的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的供货及相关服务，经甲乙双方协商一致，签订本合同，共同遵守执行。</w:t>
      </w:r>
    </w:p>
    <w:p>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1、合同文件</w:t>
      </w:r>
    </w:p>
    <w:p>
      <w:pPr>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下列文件构成本合同的组成部分，应该认为是一个整体，彼此相互解释，相互补充。组成合同的多个文件的优先支配地位的次序如下：</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a.本合同书</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b.中标通知书</w:t>
      </w:r>
      <w:r>
        <w:rPr>
          <w:rFonts w:hint="eastAsia" w:ascii="宋体" w:hAnsi="宋体" w:eastAsia="宋体" w:cs="宋体"/>
          <w:color w:val="auto"/>
          <w:kern w:val="0"/>
          <w:sz w:val="24"/>
          <w:szCs w:val="24"/>
          <w:highlight w:val="none"/>
        </w:rPr>
        <w:tab/>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c.协议</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d.投标文件</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e.招标文件(含招标文件补充通知)</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f.会议纪要、协议等</w:t>
      </w:r>
    </w:p>
    <w:p>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7" w:name="_Toc19189"/>
      <w:r>
        <w:rPr>
          <w:rFonts w:hint="eastAsia" w:ascii="宋体" w:hAnsi="宋体" w:eastAsia="宋体" w:cs="宋体"/>
          <w:b/>
          <w:color w:val="auto"/>
          <w:kern w:val="0"/>
          <w:sz w:val="24"/>
          <w:szCs w:val="24"/>
          <w:highlight w:val="none"/>
        </w:rPr>
        <w:t>2、货物和数量</w:t>
      </w:r>
      <w:bookmarkEnd w:id="467"/>
    </w:p>
    <w:p>
      <w:pPr>
        <w:widowControl/>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币种单位：人民币(元)</w:t>
      </w:r>
    </w:p>
    <w:tbl>
      <w:tblPr>
        <w:tblStyle w:val="22"/>
        <w:tblW w:w="4997"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510"/>
        <w:gridCol w:w="1378"/>
        <w:gridCol w:w="855"/>
        <w:gridCol w:w="1428"/>
        <w:gridCol w:w="1240"/>
        <w:gridCol w:w="730"/>
        <w:gridCol w:w="1057"/>
        <w:gridCol w:w="113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restart"/>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continue"/>
            <w:tcBorders>
              <w:top w:val="outset" w:color="000000" w:sz="6" w:space="0"/>
              <w:bottom w:val="outset" w:color="000000" w:sz="6" w:space="0"/>
              <w:right w:val="outset" w:color="000000" w:sz="6"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82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货物名称</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生产厂家</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数量/单位</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43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本合同总金额</w:t>
            </w:r>
          </w:p>
        </w:tc>
        <w:tc>
          <w:tcPr>
            <w:tcW w:w="3186" w:type="pct"/>
            <w:gridSpan w:val="5"/>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3866" w:type="pct"/>
            <w:gridSpan w:val="6"/>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r>
    </w:tbl>
    <w:p>
      <w:pP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合同总价：</w:t>
      </w: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合同总金额为乙方完成本合同项下全部义务（包括但不限于货物及配置产品的设计、采购、制造、检测、试验、包装、运输、保险、装卸、货款、安装调试、培训、保修维护、技术支持、质保期服务、税费和服务内容的检验、验收、技术服务（包括技术资料、图纸的提供）、质保期保障等）的费用和报酬，除本合同另有约定外，甲方无须支付其他任何费用和款项</w:t>
      </w:r>
      <w:r>
        <w:rPr>
          <w:rFonts w:hint="eastAsia" w:ascii="宋体" w:hAnsi="宋体" w:eastAsia="宋体" w:cs="宋体"/>
          <w:color w:val="auto"/>
          <w:sz w:val="24"/>
          <w:szCs w:val="24"/>
          <w:highlight w:val="none"/>
        </w:rPr>
        <w:t>。</w:t>
      </w:r>
    </w:p>
    <w:p>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8" w:name="_Toc478555529"/>
      <w:bookmarkStart w:id="469" w:name="_Toc10153"/>
      <w:r>
        <w:rPr>
          <w:rFonts w:hint="eastAsia" w:ascii="宋体" w:hAnsi="宋体" w:eastAsia="宋体" w:cs="宋体"/>
          <w:b/>
          <w:color w:val="auto"/>
          <w:kern w:val="0"/>
          <w:sz w:val="24"/>
          <w:szCs w:val="24"/>
          <w:highlight w:val="none"/>
        </w:rPr>
        <w:t>3</w:t>
      </w:r>
      <w:bookmarkEnd w:id="468"/>
      <w:r>
        <w:rPr>
          <w:rFonts w:hint="eastAsia" w:ascii="宋体" w:hAnsi="宋体" w:eastAsia="宋体" w:cs="宋体"/>
          <w:b/>
          <w:color w:val="auto"/>
          <w:kern w:val="0"/>
          <w:sz w:val="24"/>
          <w:szCs w:val="24"/>
          <w:highlight w:val="none"/>
        </w:rPr>
        <w:t>、货物包装、运输</w:t>
      </w:r>
      <w:bookmarkEnd w:id="469"/>
    </w:p>
    <w:p>
      <w:pPr>
        <w:snapToGrid w:val="0"/>
        <w:spacing w:line="360" w:lineRule="auto"/>
        <w:ind w:firstLine="480" w:firstLineChars="200"/>
        <w:textAlignment w:val="baseline"/>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sz w:val="24"/>
          <w:szCs w:val="24"/>
          <w:highlight w:val="none"/>
        </w:rPr>
        <w:t>合同货物的包装：货物的包装均应有良好的防湿、防锈、防潮、防雨、防腐及防碰撞的措施，同时每类器材应分类包装，禁止混包。凡由于包装不良造成的损失和由此产生的费用均由乙方承担</w:t>
      </w:r>
      <w:r>
        <w:rPr>
          <w:rFonts w:hint="eastAsia" w:ascii="宋体" w:hAnsi="宋体" w:eastAsia="宋体" w:cs="宋体"/>
          <w:color w:val="auto"/>
          <w:kern w:val="0"/>
          <w:sz w:val="24"/>
          <w:szCs w:val="24"/>
          <w:highlight w:val="none"/>
        </w:rPr>
        <w:t>，乙方负责办理运输和保险，将货物运抵现场。有关运输和保险的一切费用由乙方承担。</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3.1.2本合同项下交货时间：自样品验收合格之日起至货物运抵现场并验收合格之日止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日历天内为交货时间。合格样品须于合同签订之日起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日内提供。</w:t>
      </w:r>
    </w:p>
    <w:p>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3.1.3本合同项下交货地点：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联系人：         联系电话：</w:t>
      </w:r>
    </w:p>
    <w:p>
      <w:pPr>
        <w:wordWrap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3.2乙方应在送达甲方指定地点前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日以书面形式通知甲方送货时间、合同号、货物名称、数量，确保甲方做好相关接收准备工作。</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乙方联系人：         联系电话： </w:t>
      </w:r>
    </w:p>
    <w:p>
      <w:pPr>
        <w:tabs>
          <w:tab w:val="left" w:pos="719"/>
        </w:tabs>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bookmarkStart w:id="470" w:name="_Toc478555530"/>
      <w:r>
        <w:rPr>
          <w:rFonts w:hint="eastAsia" w:ascii="宋体" w:hAnsi="宋体" w:eastAsia="宋体" w:cs="宋体"/>
          <w:color w:val="auto"/>
          <w:kern w:val="0"/>
          <w:sz w:val="24"/>
          <w:szCs w:val="24"/>
          <w:highlight w:val="none"/>
        </w:rPr>
        <w:t>.3货物的装卸：货物到达甲方指定地点后，由乙方负责货物装卸及发生的一切费用。</w:t>
      </w:r>
    </w:p>
    <w:bookmarkEnd w:id="470"/>
    <w:p>
      <w:pPr>
        <w:snapToGrid w:val="0"/>
        <w:spacing w:line="360" w:lineRule="auto"/>
        <w:ind w:firstLine="241" w:firstLineChars="100"/>
        <w:rPr>
          <w:rFonts w:hint="eastAsia" w:ascii="宋体" w:hAnsi="宋体" w:eastAsia="宋体" w:cs="宋体"/>
          <w:b/>
          <w:bCs/>
          <w:color w:val="auto"/>
          <w:sz w:val="24"/>
          <w:szCs w:val="24"/>
          <w:highlight w:val="none"/>
        </w:rPr>
      </w:pPr>
      <w:bookmarkStart w:id="471" w:name="_Toc22486"/>
      <w:r>
        <w:rPr>
          <w:rFonts w:hint="eastAsia" w:ascii="宋体" w:hAnsi="宋体" w:eastAsia="宋体" w:cs="宋体"/>
          <w:b/>
          <w:bCs/>
          <w:color w:val="auto"/>
          <w:sz w:val="24"/>
          <w:szCs w:val="24"/>
          <w:highlight w:val="none"/>
        </w:rPr>
        <w:t>4、付款方式</w:t>
      </w:r>
      <w:bookmarkEnd w:id="471"/>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4.1合同签订之日起 14 个工作日内，乙方向甲方提供合同总金额5%的履约保证金（履约保证金期限届满后60日内甲方向乙方退还）。货物验收合格后，乙方向甲方提交各种装备器材资料（产品出厂合格证、中文产品使用说明书、电子文档产品使用说明书、检验报告和货物有关配件等）及装备器材质量验收报告及意见反馈单。经审核后，乙方向甲方提供审定金额全额发票后60日历天内，甲方向乙方支付全部货款。质保期内乙方应到产品使用单位，开展技术巡检和售后服务。</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4.2履约保证金的提交形式：转账及法律法规规定的其他形式。</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如乙方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履约保证金（履约保函等）期限：提交之日起至全部货物到货验收合格之日起的第366天止。</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无论履约保金、独立保函是否退还，采购人或采购人用户随时都有权对由中标人生产的尚未使用且在质量保证期内的装备发生的质量问题向乙方主张索赔。</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2" w:name="_Toc14628"/>
      <w:r>
        <w:rPr>
          <w:rFonts w:hint="eastAsia" w:ascii="宋体" w:hAnsi="宋体" w:eastAsia="宋体" w:cs="宋体"/>
          <w:b/>
          <w:bCs/>
          <w:color w:val="auto"/>
          <w:sz w:val="24"/>
          <w:szCs w:val="24"/>
          <w:highlight w:val="none"/>
        </w:rPr>
        <w:t>5、质量保证</w:t>
      </w:r>
      <w:bookmarkEnd w:id="472"/>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5.1乙方提供的全部产品须符合国家消防产品技术规范和相关产品标准，且都属于厂家原装正品产品，并为合法渠道进货的全新产品，其质量、规格及技术特征符合招标和投标文件要求。</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因货物质量问题发生争议的，由国家消防装备质量检验中心质量鉴定，该鉴定结论是终局的，甲乙双方均应当接受，发生的相关费用由货物质量责任方承担。国家消防装备质量监督检验中心无法鉴定的，经甲乙双方同意，可委托有相关资质的第三方机构进行质量鉴定。鉴定费用由乙方承担。</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在批量生产前，需提供样品，由验收小组根据招标文件要求和投标文件承诺进行初验，样品验收合格后乙方方可批量生产。中标人提供样品进行验收的次数不得超过2次；若第1次样品验收不通过，中标人须在第1次样品验收之日起10日内提交第2次样品验收；若2次样品验收均不通过的，可视为中标人违约，采购人有权终止合同。</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5.4样品需要抽样送检的相关费用由乙方承担。</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5.5质保期内乙方应到产品使用单位开展技术巡检和售后服务。</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5.6乙方所投产品需附具有合法资质的检测机构出具的检测报告或产品合格证书。</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3" w:name="_Toc478555533"/>
      <w:bookmarkStart w:id="474" w:name="_Toc12718"/>
      <w:r>
        <w:rPr>
          <w:rFonts w:hint="eastAsia" w:ascii="宋体" w:hAnsi="宋体" w:eastAsia="宋体" w:cs="宋体"/>
          <w:b/>
          <w:bCs/>
          <w:color w:val="auto"/>
          <w:sz w:val="24"/>
          <w:szCs w:val="24"/>
          <w:highlight w:val="none"/>
        </w:rPr>
        <w:t>6</w:t>
      </w:r>
      <w:bookmarkEnd w:id="473"/>
      <w:r>
        <w:rPr>
          <w:rFonts w:hint="eastAsia" w:ascii="宋体" w:hAnsi="宋体" w:eastAsia="宋体" w:cs="宋体"/>
          <w:b/>
          <w:bCs/>
          <w:color w:val="auto"/>
          <w:sz w:val="24"/>
          <w:szCs w:val="24"/>
          <w:highlight w:val="none"/>
        </w:rPr>
        <w:t>、售后服务</w:t>
      </w:r>
      <w:bookmarkEnd w:id="474"/>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6.1合同项下货物的质量保证期为：     年的质保服务，自甲乙双方代表在货物交付后的验收合格报告书上签字之日起计算（如果乙方投标承诺或生产制造厂家提供的质保期超过本款要求，按乙方投标承诺或生产制造厂家的质保期执行）。</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质保期内非甲方的人为原因而出现货物质量及安装问题，由乙方负责包修、包换或包退，并承担因此而产生的一切费用。质保期后，由乙方提供免工时费服务，只收取材料费。</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6.2质保期内，乙方负责对其提供货物进行维修，不再向甲方收取费用，但自然因素（如火灾、雷击等）造成的故障除外。</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6.3乙方开通     小时服务热线，提供     小时技术服务。产品出现问题，故障响应时间为     ，到达现场时间不超过     小时，     小时无法排除故障，乙方应     小时内提供同款设备供用户使用，直至送修设备修好后换回为止。</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6.4乙方应按照招标文件、投标文件及本合同的要求，对出售给甲方的货物进行有效跟踪服务，定期巡检，每年不少于     次。</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6.5质保期满后，乙方未提供货物使用所有单位巡检记录的，乙方应向甲方支付合同金额的5%作为违约金。</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6.6在发出信息、通知     日内没有收到回复，视为对方收到信息、通知。</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5" w:name="_Toc23776"/>
      <w:r>
        <w:rPr>
          <w:rFonts w:hint="eastAsia" w:ascii="宋体" w:hAnsi="宋体" w:eastAsia="宋体" w:cs="宋体"/>
          <w:b/>
          <w:bCs/>
          <w:color w:val="auto"/>
          <w:sz w:val="24"/>
          <w:szCs w:val="24"/>
          <w:highlight w:val="none"/>
        </w:rPr>
        <w:t>7、检验和验收</w:t>
      </w:r>
      <w:bookmarkEnd w:id="475"/>
    </w:p>
    <w:p>
      <w:pPr>
        <w:snapToGrid w:val="0"/>
        <w:spacing w:line="360" w:lineRule="auto"/>
        <w:ind w:firstLine="240" w:firstLineChars="100"/>
        <w:rPr>
          <w:rFonts w:hint="eastAsia" w:ascii="宋体" w:hAnsi="宋体" w:eastAsia="宋体" w:cs="宋体"/>
          <w:color w:val="auto"/>
          <w:sz w:val="24"/>
          <w:szCs w:val="24"/>
          <w:highlight w:val="none"/>
        </w:rPr>
      </w:pPr>
      <w:bookmarkStart w:id="476" w:name="_Toc478555534"/>
      <w:r>
        <w:rPr>
          <w:rFonts w:hint="eastAsia" w:ascii="宋体" w:hAnsi="宋体" w:eastAsia="宋体" w:cs="宋体"/>
          <w:color w:val="auto"/>
          <w:sz w:val="24"/>
          <w:szCs w:val="24"/>
          <w:highlight w:val="none"/>
        </w:rPr>
        <w:t>7.1在交货前，中标人应对货物的质量、规格、性能、数量和重量等进行详细而全面的检验，并出具证明货物符合合同规定的文件。该文件将作为申请付款单据的一部分。</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验收前应提供所有中文使用说明书等资料文档后进行验收，每件货品须有产品出厂合格证、产品使用说明书、电子文档产品使用说明书、具有合法资质的检测机构出具有效期内的检测报告（招标文件采购需求中约定不需要提供的除外）和货物有关配件等。验收时如发现所交付的货物有短装、次品、损坏、不符合招标文件的技术要求或其它不符合本合同规定之情形者，甲方应做出详尽的现场记录，或由甲乙双方签署备忘录，甲方有权终止合同，甲方有权要求乙方赔偿由此产生的所有费用。此现场记录或备忘录是本合同的有效组成部分，可用作补充、缺失和更换损坏部件的有效证据，由此产生的有关费用由乙方承担，验收期限相应后延。如果合同货物运输和安装调试过程中因事故造成货物短缺、损坏，乙方应及时安排调换，以保证合同货物安装调试的及时完成，换货的相关费用由乙方承担。</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7.3甲乙双方应当在货物验收完成后，10个工作日内共同签署验收报告，且此验收报告应当作为乙方申请付款的凭证之一。 </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7" w:name="_Toc7749"/>
      <w:r>
        <w:rPr>
          <w:rFonts w:hint="eastAsia" w:ascii="宋体" w:hAnsi="宋体" w:eastAsia="宋体" w:cs="宋体"/>
          <w:b/>
          <w:bCs/>
          <w:color w:val="auto"/>
          <w:sz w:val="24"/>
          <w:szCs w:val="24"/>
          <w:highlight w:val="none"/>
        </w:rPr>
        <w:t>8、索赔</w:t>
      </w:r>
      <w:bookmarkEnd w:id="476"/>
      <w:bookmarkEnd w:id="477"/>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8.1消防装备器材经两次验收仍不合格的，甲方有权根据验收结果立即解除与乙方签订的合同，并向乙方提出索赔。</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8.2在合同执行期间，如果乙方对甲方提出的索赔有异议，乙方需经甲方同意按照下列一种或多种方式解决索赔事宜：</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（1）乙方同意退货，并按合同规定的同种货币将货款退还给甲方，并承担由此发生的一切损失和费用。</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（2）用符合规格、质量和性能要求的新零件、部件或货物来更换有缺陷的部分或修补缺陷的部分，乙方应承担一切费用和风险并负有甲方所发生的一切直接费用。同时，相应延长质量保证期。</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8.3如果在甲方发出索赔通知后3日内，乙方未作答复，上述索赔应视为已被乙方接受。如乙方未能在甲方提出索赔通知后 7 日内或甲方同意的更长时间内进行赔偿，甲方将有权从合同款或从乙方的履约保证金中优先扣除索赔金额。若不足以赔偿索赔金额的，不足部分由乙方另行赔偿。</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8" w:name="_Toc19670"/>
      <w:bookmarkStart w:id="479" w:name="_Toc478555535"/>
      <w:r>
        <w:rPr>
          <w:rFonts w:hint="eastAsia" w:ascii="宋体" w:hAnsi="宋体" w:eastAsia="宋体" w:cs="宋体"/>
          <w:b/>
          <w:bCs/>
          <w:color w:val="auto"/>
          <w:sz w:val="24"/>
          <w:szCs w:val="24"/>
          <w:highlight w:val="none"/>
        </w:rPr>
        <w:t>9、违约与处罚</w:t>
      </w:r>
      <w:bookmarkEnd w:id="478"/>
    </w:p>
    <w:bookmarkEnd w:id="479"/>
    <w:p>
      <w:pPr>
        <w:snapToGrid w:val="0"/>
        <w:spacing w:line="360" w:lineRule="auto"/>
        <w:ind w:firstLine="240" w:firstLineChars="100"/>
        <w:rPr>
          <w:rFonts w:hint="eastAsia" w:ascii="宋体" w:hAnsi="宋体" w:eastAsia="宋体" w:cs="宋体"/>
          <w:color w:val="auto"/>
          <w:sz w:val="24"/>
          <w:szCs w:val="24"/>
          <w:highlight w:val="none"/>
        </w:rPr>
      </w:pPr>
      <w:bookmarkStart w:id="480" w:name="_Toc478555537"/>
      <w:bookmarkStart w:id="481" w:name="_Toc30166"/>
      <w:r>
        <w:rPr>
          <w:rFonts w:hint="eastAsia" w:ascii="宋体" w:hAnsi="宋体" w:eastAsia="宋体" w:cs="宋体"/>
          <w:color w:val="auto"/>
          <w:sz w:val="24"/>
          <w:szCs w:val="24"/>
          <w:highlight w:val="none"/>
        </w:rPr>
        <w:t>9.1甲方应依合同规定时间内，向乙方支付货款，每拖延一天乙方可向甲方加收合同金额的1‰的违约金，但不超过合同金额的2%。</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乙双方协商后，选择继续履行本合同的，甲方将从本合同货款总额内一次性扣除10%作为乙方的违约金。 </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乙方交付货物不符合合同规定的或性能参数达不到招标文件要求、投标文件承诺的，甲方有权拒收或单方面解除本合同，并要求乙方赔付合同价款的10%作为违约金，同时甲方向采购监管部门申请将乙方列入“黑名单”，禁止乙方在三年内参与甲方及甲方下属机构的任何招投标采购活动。</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9.4因验收不合格需要更换同规格的货物时，货物更换完成时间晚于交货时间的视为逾期交货。</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9.5甲方无正当理由拒收乙方按照合同约定提供合格货物的，甲方应向乙方支付合同金额的10%作为违约金。</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9.6乙方未能按照故障响应时间履行售后维修、培训等服务的，甲方根据使用单位书面反馈情况，经核实属实的，每次乙方应支付合同金额的1%作为违约金，但不超过合同金额的5%。</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9.7质保期满后，乙方未提供货物使用所有单位每半年巡检记录的，乙方应向甲方支付合同金额的5%作为违约金。</w:t>
      </w:r>
    </w:p>
    <w:p>
      <w:pPr>
        <w:snapToGrid w:val="0"/>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10、不可抗力</w:t>
      </w:r>
      <w:bookmarkEnd w:id="480"/>
      <w:bookmarkEnd w:id="481"/>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10.1如果双方中任何一方遭遇法律规定的不可抗力，致使合同履行受阻时，履行合同的期限应予延长，延长的期限应相当于不可抗力所影响的时间。</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10.2受事故影响的一方应在不可抗力的事故发生后尽快书面形式通知另一方，并在事故发生后     日内，将有关部门出具的证明文件送达另一方。</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10.3不可抗力使合同的某些内容有变更必要的，双方应通过协商在3日内达成进一步履行合同的协议，因不可抗力致使合同不能履行的，合同终止。</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82" w:name="_Toc30186"/>
      <w:bookmarkStart w:id="483" w:name="_Toc478555539"/>
      <w:r>
        <w:rPr>
          <w:rFonts w:hint="eastAsia" w:ascii="宋体" w:hAnsi="宋体" w:eastAsia="宋体" w:cs="宋体"/>
          <w:b/>
          <w:bCs/>
          <w:color w:val="auto"/>
          <w:sz w:val="24"/>
          <w:szCs w:val="24"/>
          <w:highlight w:val="none"/>
        </w:rPr>
        <w:t>11、合同争议的解决</w:t>
      </w:r>
      <w:bookmarkEnd w:id="482"/>
      <w:bookmarkEnd w:id="483"/>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11.1因合同履行中发生的争议，可通过合同当事人双方友好协商解决。如自协商开始之起15日内得不到解决，可向甲方所在地人民法院提起诉讼。</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84" w:name="_Toc30951"/>
      <w:bookmarkStart w:id="485" w:name="_Toc478555540"/>
      <w:r>
        <w:rPr>
          <w:rFonts w:hint="eastAsia" w:ascii="宋体" w:hAnsi="宋体" w:eastAsia="宋体" w:cs="宋体"/>
          <w:b/>
          <w:bCs/>
          <w:color w:val="auto"/>
          <w:sz w:val="24"/>
          <w:szCs w:val="24"/>
          <w:highlight w:val="none"/>
        </w:rPr>
        <w:t>12、违约解除合同</w:t>
      </w:r>
      <w:bookmarkEnd w:id="484"/>
      <w:bookmarkEnd w:id="485"/>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12.1在乙方违约的情况下，可向乙方发出书面通知，部分或全部终止合同。同时保留向乙方追诉的权利。</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12.1.1乙方未能在合同规定的限期或甲方同意延长的限期内，提供全部或部分货物的； </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12.1.2乙方未能履行合同规定的其它主要义务的；</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12.1.3甲方认为乙方在本合同履行过程中有腐败和欺诈行为的。</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12.1.3.1“腐败行为”和“欺诈行为”定义如下：</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12.1.3.1.1“腐败行为”是指提供/给予/接受或索取任何有价值的东西来影响甲方在合同签定、履行过程中的行为。</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12.1.3.1.2“欺诈行为”是指为了影响合同签定、履行过程，以谎报事实的方法，损害甲方的利益的行为。</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86" w:name="_Toc478555548"/>
      <w:bookmarkStart w:id="487" w:name="_Toc18676"/>
      <w:r>
        <w:rPr>
          <w:rFonts w:hint="eastAsia" w:ascii="宋体" w:hAnsi="宋体" w:eastAsia="宋体" w:cs="宋体"/>
          <w:b/>
          <w:bCs/>
          <w:color w:val="auto"/>
          <w:sz w:val="24"/>
          <w:szCs w:val="24"/>
          <w:highlight w:val="none"/>
        </w:rPr>
        <w:t>13、合同生效</w:t>
      </w:r>
      <w:bookmarkEnd w:id="486"/>
      <w:r>
        <w:rPr>
          <w:rFonts w:hint="eastAsia" w:ascii="宋体" w:hAnsi="宋体" w:eastAsia="宋体" w:cs="宋体"/>
          <w:b/>
          <w:bCs/>
          <w:color w:val="auto"/>
          <w:sz w:val="24"/>
          <w:szCs w:val="24"/>
          <w:highlight w:val="none"/>
        </w:rPr>
        <w:t>及其他</w:t>
      </w:r>
      <w:bookmarkEnd w:id="487"/>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13.1政府采购项目的采购合同内容的确定应以招标文件和投标文件为基础，不得违背其实质性内容。本合同经双方全权代表签署、加盖单位印章并由乙方递交履约保证金后开始生效。</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13.2签约双方在履约中发生争执和分歧，双方应通过友好协商解决。若经协商不能达成协议时，可依法提起诉讼。受理期间，双方应继续执行合同中没有争议的有关约定。</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13.3甲乙双方共同确认，本合同中所列明的联系地址及电话，视为双方在履行本合同中及发生争议时，各类文书（包括法律文书）的送达地址。</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13.4本合同一式  肆 份，具同等法律效力。甲方叁份，乙方壹份。</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附件一：投标一览表</w:t>
      </w:r>
    </w:p>
    <w:p>
      <w:pPr>
        <w:snapToGrid w:val="0"/>
        <w:spacing w:line="360" w:lineRule="auto"/>
        <w:ind w:firstLine="240" w:firstLineChars="100"/>
        <w:rPr>
          <w:rFonts w:hint="eastAsia" w:ascii="宋体" w:hAnsi="宋体" w:eastAsia="宋体" w:cs="宋体"/>
          <w:color w:val="auto"/>
          <w:sz w:val="24"/>
          <w:szCs w:val="24"/>
          <w:highlight w:val="none"/>
        </w:rPr>
      </w:pPr>
      <w:bookmarkStart w:id="488" w:name="_Toc478555549"/>
      <w:r>
        <w:rPr>
          <w:rFonts w:hint="eastAsia" w:ascii="宋体" w:hAnsi="宋体" w:eastAsia="宋体" w:cs="宋体"/>
          <w:color w:val="auto"/>
          <w:sz w:val="24"/>
          <w:szCs w:val="24"/>
          <w:highlight w:val="none"/>
        </w:rPr>
        <w:t>附件二：投标分项报价</w:t>
      </w:r>
      <w:bookmarkEnd w:id="488"/>
    </w:p>
    <w:p>
      <w:pPr>
        <w:snapToGrid w:val="0"/>
        <w:spacing w:line="360" w:lineRule="auto"/>
        <w:ind w:firstLine="240" w:firstLineChars="100"/>
        <w:rPr>
          <w:rFonts w:hint="eastAsia" w:ascii="宋体" w:hAnsi="宋体" w:eastAsia="宋体" w:cs="宋体"/>
          <w:color w:val="auto"/>
          <w:sz w:val="24"/>
          <w:szCs w:val="24"/>
          <w:highlight w:val="none"/>
        </w:rPr>
      </w:pPr>
      <w:bookmarkStart w:id="489" w:name="_Toc163010072"/>
      <w:bookmarkStart w:id="490" w:name="_Toc478555550"/>
      <w:r>
        <w:rPr>
          <w:rFonts w:hint="eastAsia" w:ascii="宋体" w:hAnsi="宋体" w:eastAsia="宋体" w:cs="宋体"/>
          <w:color w:val="auto"/>
          <w:sz w:val="24"/>
          <w:szCs w:val="24"/>
          <w:highlight w:val="none"/>
        </w:rPr>
        <w:t>附件三</w:t>
      </w:r>
      <w:bookmarkEnd w:id="489"/>
      <w:r>
        <w:rPr>
          <w:rFonts w:hint="eastAsia" w:ascii="宋体" w:hAnsi="宋体" w:eastAsia="宋体" w:cs="宋体"/>
          <w:color w:val="auto"/>
          <w:sz w:val="24"/>
          <w:szCs w:val="24"/>
          <w:highlight w:val="none"/>
        </w:rPr>
        <w:t>：技术规格偏离表</w:t>
      </w:r>
      <w:bookmarkEnd w:id="490"/>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附件四：售后服务条款（同投标文件内容一致）</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附件五：合同最后一页请附中标通知书复印件。</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（本页为签署页）</w:t>
      </w:r>
    </w:p>
    <w:tbl>
      <w:tblPr>
        <w:tblStyle w:val="22"/>
        <w:tblW w:w="8659" w:type="dxa"/>
        <w:tblInd w:w="0" w:type="dxa"/>
        <w:tblLayout w:type="fixed"/>
        <w:tblCellMar>
          <w:top w:w="0" w:type="dxa"/>
          <w:left w:w="108" w:type="dxa"/>
          <w:bottom w:w="0" w:type="dxa"/>
          <w:right w:w="108" w:type="dxa"/>
        </w:tblCellMar>
      </w:tblPr>
      <w:tblGrid>
        <w:gridCol w:w="4001"/>
        <w:gridCol w:w="4658"/>
      </w:tblGrid>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  方（盖章）：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  方（盖章）：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法定代表人（签字或盖章）：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甲方授权代表（签字）：</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乙方授权代表（签字）：</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邮政编码：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传真：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开户账号：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开户账号：</w:t>
            </w:r>
          </w:p>
        </w:tc>
      </w:tr>
      <w:tr>
        <w:tblPrEx>
          <w:tblCellMar>
            <w:top w:w="0" w:type="dxa"/>
            <w:left w:w="108" w:type="dxa"/>
            <w:bottom w:w="0" w:type="dxa"/>
            <w:right w:w="108" w:type="dxa"/>
          </w:tblCellMar>
        </w:tblPrEx>
        <w:trPr>
          <w:trHeight w:val="996" w:hRule="atLeast"/>
        </w:trPr>
        <w:tc>
          <w:tcPr>
            <w:tcW w:w="4001" w:type="dxa"/>
            <w:vAlign w:val="center"/>
          </w:tcPr>
          <w:p>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c>
          <w:tcPr>
            <w:tcW w:w="4658" w:type="dxa"/>
            <w:vAlign w:val="center"/>
          </w:tcPr>
          <w:p>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pPr>
        <w:widowControl/>
        <w:spacing w:line="360" w:lineRule="auto"/>
        <w:jc w:val="center"/>
        <w:rPr>
          <w:rFonts w:hint="eastAsia" w:ascii="宋体" w:hAnsi="宋体" w:eastAsia="宋体" w:cs="宋体"/>
          <w:color w:val="auto"/>
          <w:sz w:val="24"/>
          <w:szCs w:val="24"/>
          <w:highlight w:val="none"/>
        </w:rPr>
      </w:pPr>
    </w:p>
    <w:bookmarkEnd w:id="466"/>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政府采购廉政合同</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甲方（供货方）：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乙方（购货方）： </w:t>
      </w:r>
      <w:r>
        <w:rPr>
          <w:rFonts w:hint="eastAsia" w:ascii="宋体" w:hAnsi="宋体" w:eastAsia="宋体" w:cs="宋体"/>
          <w:color w:val="auto"/>
          <w:kern w:val="0"/>
          <w:sz w:val="24"/>
          <w:szCs w:val="24"/>
          <w:highlight w:val="none"/>
        </w:rPr>
        <w:tab/>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为促进甲乙双方廉洁高效合作，促使甲乙双方工作人员廉洁从业，不断推动党风廉政建设工作，按照《中华人民共和国民法典》和国家其他有关法律法规、廉政规定，经甲乙双方协商一致， 自愿签订以下廉政合同。</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第一条：甲乙双方的权利和义务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（一）严格遵守党和国家有关法律法规及党风廉政建设各项规定。</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（二）严格履行《中华人民共和国反不正当竞争法》、《关于禁止商业贿赂行为的暂行规定》各项约定，杜绝违约行为的发生。</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（三）双方的业务活动坚持公开、公平、公正、诚信的原则（除法律认定的商业秘密和合同文件另有规定之外），严禁损害国家和集体利益，违反法律法规及规章制度。</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（四）建立健全党风廉政建设各项制度，开展党风廉政建设宣传教育，加强对本方工作人员的监督检查。</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（五）发现对方在业务活动中有违反廉政规定和本合同约定的行为时，有及时提醒和督促对方纠正的权利和义务。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（六）发现对方在业务活动中有违反廉政规定和本合同约定的行为时，有权向对方主管部门或有关机构检举、揭发。</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（七）经济合同变更时廉政合同内容也应做相应调整，并履行有关手续。第二条：甲方在廉政建设方面义务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（一）甲方不准以任何形式向乙方及其工作人员馈赠礼金、礼品、有价证券、支付凭证、贵重物品等财物。</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（二）甲方不准以任何名义为乙方及其工作人员报销应由乙方或个人支付的任何费用。</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（三）甲方不准以任何理由邀请乙方工作人员参加有影响合作业务的宴请及娱乐活动；不准为其提供通讯工具、交通工具、高档办公用品等。</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（四）甲方不准为乙方工作人员在住房装修、婚丧嫁娶、配偶、子女、亲友出国（境）</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旅游提供方便；不准为乙方工作人员的配偶、子女及有利害关系的人员安排工作或劳务。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（五）甲方及其工作人员不准与监管单位串通，违反有关规定和程序，损害乙方利益。</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（六）不得有其他违反法律法规、党纪政纪行为。第三条：乙方在廉政建设方面的义务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（一）乙方及其工作人员不得干扰协作企业正常的生产经营活动，不得以任何理由要挟甲方从事不属于甲方义务的工作。</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（二）乙方及其工作人员不得索要或接受甲方的礼金，有价证券、支付凭证、贵重物品等财物。</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（三）乙方及其工作人员不得在甲方报销应由乙方或个人支付的任何费用。</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（四）乙方工作人员不得参加甲方提供的宴请、娱乐活动、高档消费；不得要求甲方提供交通工具、通讯工具、高档办公用品等。</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（五）乙方及其工作人员不得要求或者接受甲方为其住房装修、婚丧嫁娶、配偶、子女、亲友出国（境）旅游等违反规定的相关活动提供方便。</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（六）乙方及其工作人员不得要求甲方为其配偶、子女及有利害关系的人员安排工作或劳务；不得违反规定从事与甲方施工项目有关的材料设备供应、工程分包等经济活动。</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（七）乙方应根据经济合同约定进度付款，不得以不正当理由拖欠款项，不得超进度拨付款。</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第四条：违约责任</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（一）甲方违反本《廉政合同》规定义务的，须向乙方承担经济合同总额 3%的经济违约责任。</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（二）甲方发生多次违反廉政合同约定内容，乙方有权将甲方列入黑名单，禁止 3-5 年内进入乙方作业市场；给乙方造成经济损失、社会影响较大的，乙方有权终止履行合同。</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（三）乙方若违反本《廉政合同》有关规定的，对违法违纪人员，由乙方主管部门依据有关规定查处，给甲方造成的损失，按有关规定予以赔偿。</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第五条：检查方式</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本合同的履约情况由甲乙双方共同派员监督，检查方式为座谈、问卷调查、查看资料或由双方约定的其他方式等。检查时间、次数、方式、检查结论等由双方协商确定。</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第六条：本合同有效期同经济合同期限。</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第七条：本合同为经济合同附件，与主合同具有同等法律效力，甲乙双方签署后生效。</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第八条：本合同一式</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份，甲、乙双方</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份、采购办</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甲方单位：（盖章）</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乙方单位：（盖章）</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法定代表人：</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（或委托代理人）签字：</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（或委托代理人）签字：</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单位地址：</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联系电话：</w:t>
      </w:r>
    </w:p>
    <w:p>
      <w:pPr>
        <w:spacing w:line="360" w:lineRule="auto"/>
        <w:rPr>
          <w:color w:val="auto"/>
          <w:highlight w:val="none"/>
        </w:rPr>
      </w:pPr>
    </w:p>
    <w:p>
      <w:pPr>
        <w:spacing w:line="360" w:lineRule="auto"/>
        <w:rPr>
          <w:rFonts w:ascii="宋体" w:cs="宋体"/>
          <w:b/>
          <w:bCs/>
          <w:color w:val="auto"/>
          <w:sz w:val="32"/>
          <w:szCs w:val="40"/>
          <w:highlight w:val="none"/>
        </w:rPr>
      </w:pPr>
      <w:r>
        <w:rPr>
          <w:color w:val="auto"/>
          <w:highlight w:val="none"/>
        </w:rPr>
        <w:br w:type="page"/>
      </w:r>
    </w:p>
    <w:p>
      <w:pPr>
        <w:spacing w:line="360" w:lineRule="auto"/>
        <w:jc w:val="center"/>
        <w:rPr>
          <w:rFonts w:ascii="宋体" w:cs="宋体"/>
          <w:b/>
          <w:bCs/>
          <w:color w:val="auto"/>
          <w:sz w:val="28"/>
          <w:szCs w:val="28"/>
          <w:highlight w:val="none"/>
        </w:rPr>
      </w:pPr>
      <w:r>
        <w:rPr>
          <w:rFonts w:hint="eastAsia" w:ascii="宋体" w:hAnsi="宋体" w:cs="宋体"/>
          <w:b/>
          <w:bCs/>
          <w:color w:val="auto"/>
          <w:sz w:val="28"/>
          <w:szCs w:val="28"/>
          <w:highlight w:val="none"/>
        </w:rPr>
        <w:t>生产厂家售后服务承诺函</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pPr>
        <w:snapToGrid w:val="0"/>
        <w:spacing w:line="360" w:lineRule="auto"/>
        <w:textAlignment w:val="baseline"/>
        <w:rPr>
          <w:rFonts w:hint="eastAsia" w:ascii="宋体" w:hAnsi="宋体" w:cs="宋体"/>
          <w:color w:val="auto"/>
          <w:kern w:val="0"/>
          <w:sz w:val="24"/>
          <w:highlight w:val="none"/>
        </w:rPr>
      </w:pP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widowControl/>
        <w:spacing w:line="360" w:lineRule="auto"/>
        <w:rPr>
          <w:rFonts w:ascii="宋体" w:cs="宋体"/>
          <w:color w:val="auto"/>
          <w:szCs w:val="21"/>
          <w:highlight w:val="none"/>
        </w:rPr>
      </w:pPr>
    </w:p>
    <w:p>
      <w:pPr>
        <w:autoSpaceDE w:val="0"/>
        <w:autoSpaceDN w:val="0"/>
        <w:spacing w:line="360" w:lineRule="auto"/>
        <w:jc w:val="center"/>
        <w:rPr>
          <w:rFonts w:ascii="宋体" w:cs="宋体"/>
          <w:b/>
          <w:bCs/>
          <w:color w:val="auto"/>
          <w:sz w:val="36"/>
          <w:szCs w:val="36"/>
          <w:highlight w:val="none"/>
        </w:rPr>
      </w:pPr>
      <w:bookmarkStart w:id="491" w:name="bookmark23"/>
      <w:bookmarkStart w:id="492" w:name="bookmark24"/>
      <w:bookmarkStart w:id="493" w:name="bookmark22"/>
    </w:p>
    <w:p>
      <w:pPr>
        <w:pStyle w:val="7"/>
        <w:rPr>
          <w:color w:val="auto"/>
          <w:highlight w:val="none"/>
        </w:rPr>
      </w:pPr>
    </w:p>
    <w:p>
      <w:pPr>
        <w:pStyle w:val="20"/>
        <w:rPr>
          <w:rFonts w:ascii="宋体" w:cs="宋体"/>
          <w:b/>
          <w:bCs/>
          <w:color w:val="auto"/>
          <w:sz w:val="36"/>
          <w:szCs w:val="36"/>
          <w:highlight w:val="none"/>
        </w:rPr>
      </w:pPr>
    </w:p>
    <w:p>
      <w:pPr>
        <w:rPr>
          <w:color w:val="auto"/>
          <w:highlight w:val="none"/>
        </w:rPr>
      </w:pPr>
    </w:p>
    <w:p>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pPr>
        <w:snapToGrid w:val="0"/>
        <w:spacing w:line="500" w:lineRule="exact"/>
        <w:ind w:firstLine="480" w:firstLineChars="200"/>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队出具任何证明或陈述理由。</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pPr>
        <w:snapToGrid w:val="0"/>
        <w:spacing w:line="500" w:lineRule="exact"/>
        <w:ind w:firstLine="480" w:firstLineChars="200"/>
        <w:textAlignment w:val="baseline"/>
        <w:rPr>
          <w:rFonts w:ascii="宋体" w:cs="宋体"/>
          <w:color w:val="auto"/>
          <w:kern w:val="0"/>
          <w:sz w:val="24"/>
          <w:szCs w:val="24"/>
          <w:highlight w:val="none"/>
        </w:rPr>
      </w:pP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pPr>
        <w:widowControl/>
        <w:jc w:val="center"/>
        <w:rPr>
          <w:rFonts w:ascii="宋体" w:cs="宋体"/>
          <w:b/>
          <w:bCs/>
          <w:color w:val="auto"/>
          <w:sz w:val="28"/>
          <w:szCs w:val="28"/>
          <w:highlight w:val="none"/>
        </w:rPr>
      </w:pPr>
      <w:r>
        <w:rPr>
          <w:rFonts w:ascii="宋体" w:cs="宋体"/>
          <w:b/>
          <w:bCs/>
          <w:color w:val="auto"/>
          <w:sz w:val="36"/>
          <w:szCs w:val="36"/>
          <w:highlight w:val="none"/>
        </w:rPr>
        <w:br w:type="page"/>
      </w:r>
      <w:r>
        <w:rPr>
          <w:rFonts w:hint="eastAsia" w:ascii="宋体" w:hAnsi="宋体" w:cs="宋体"/>
          <w:b/>
          <w:bCs/>
          <w:color w:val="auto"/>
          <w:sz w:val="28"/>
          <w:szCs w:val="28"/>
          <w:highlight w:val="none"/>
        </w:rPr>
        <w:t>河南省政府采购合同融资政策告知函</w:t>
      </w:r>
      <w:bookmarkEnd w:id="491"/>
      <w:bookmarkEnd w:id="492"/>
      <w:bookmarkEnd w:id="493"/>
    </w:p>
    <w:p>
      <w:pPr>
        <w:autoSpaceDE w:val="0"/>
        <w:autoSpaceDN w:val="0"/>
        <w:spacing w:line="360" w:lineRule="auto"/>
        <w:ind w:firstLine="480" w:firstLineChars="200"/>
        <w:rPr>
          <w:rFonts w:ascii="宋体" w:cs="宋体"/>
          <w:color w:val="auto"/>
          <w:sz w:val="24"/>
          <w:highlight w:val="none"/>
        </w:rPr>
      </w:pP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pPr>
        <w:pStyle w:val="10"/>
        <w:spacing w:line="360" w:lineRule="auto"/>
        <w:ind w:left="31680" w:right="31680"/>
        <w:rPr>
          <w:rFonts w:ascii="宋体" w:cs="宋体"/>
          <w:bCs/>
          <w:color w:val="auto"/>
          <w:kern w:val="0"/>
          <w:sz w:val="32"/>
          <w:szCs w:val="32"/>
          <w:highlight w:val="none"/>
        </w:rPr>
      </w:pPr>
    </w:p>
    <w:p>
      <w:pPr>
        <w:pStyle w:val="10"/>
        <w:spacing w:line="360" w:lineRule="auto"/>
        <w:ind w:left="31680" w:right="31680"/>
        <w:rPr>
          <w:rFonts w:ascii="宋体" w:cs="宋体"/>
          <w:bCs/>
          <w:color w:val="auto"/>
          <w:kern w:val="0"/>
          <w:sz w:val="32"/>
          <w:szCs w:val="32"/>
          <w:highlight w:val="none"/>
        </w:rPr>
      </w:pPr>
    </w:p>
    <w:p>
      <w:pPr>
        <w:pStyle w:val="10"/>
        <w:spacing w:line="360" w:lineRule="auto"/>
        <w:ind w:left="31680" w:right="31680"/>
        <w:rPr>
          <w:rFonts w:ascii="宋体" w:cs="宋体"/>
          <w:bCs/>
          <w:color w:val="auto"/>
          <w:kern w:val="0"/>
          <w:sz w:val="32"/>
          <w:szCs w:val="32"/>
          <w:highlight w:val="none"/>
        </w:rPr>
        <w:sectPr>
          <w:footerReference r:id="rId8" w:type="default"/>
          <w:pgSz w:w="11906" w:h="16838"/>
          <w:pgMar w:top="1440" w:right="1800" w:bottom="1440" w:left="1800" w:header="850" w:footer="964" w:gutter="0"/>
          <w:pgBorders>
            <w:top w:val="none" w:sz="0" w:space="0"/>
            <w:left w:val="none" w:sz="0" w:space="0"/>
            <w:bottom w:val="none" w:sz="0" w:space="0"/>
            <w:right w:val="none" w:sz="0" w:space="0"/>
          </w:pgBorders>
          <w:pgNumType w:fmt="decimal"/>
          <w:cols w:space="720" w:num="1"/>
          <w:docGrid w:type="lines" w:linePitch="315" w:charSpace="0"/>
        </w:sectPr>
      </w:pPr>
    </w:p>
    <w:p>
      <w:pPr>
        <w:pStyle w:val="2"/>
        <w:rPr>
          <w:rFonts w:hint="eastAsia" w:ascii="宋体" w:hAnsi="宋体" w:cs="宋体"/>
          <w:color w:val="auto"/>
          <w:szCs w:val="32"/>
          <w:highlight w:val="none"/>
        </w:rPr>
      </w:pPr>
      <w:bookmarkStart w:id="494" w:name="_Toc871"/>
      <w:bookmarkStart w:id="495" w:name="_Toc23795"/>
      <w:bookmarkStart w:id="496" w:name="_Toc22008"/>
      <w:bookmarkStart w:id="497" w:name="_Toc40112141"/>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94"/>
      <w:bookmarkEnd w:id="495"/>
      <w:bookmarkEnd w:id="496"/>
      <w:bookmarkEnd w:id="497"/>
    </w:p>
    <w:p>
      <w:pPr>
        <w:spacing w:line="360" w:lineRule="auto"/>
        <w:jc w:val="center"/>
        <w:outlineLvl w:val="1"/>
        <w:rPr>
          <w:rFonts w:ascii="宋体" w:cs="宋体"/>
          <w:b/>
          <w:color w:val="auto"/>
          <w:sz w:val="32"/>
          <w:szCs w:val="32"/>
          <w:highlight w:val="none"/>
        </w:rPr>
      </w:pPr>
      <w:bookmarkStart w:id="498" w:name="_Toc4083"/>
      <w:bookmarkStart w:id="499" w:name="_Toc612"/>
      <w:bookmarkStart w:id="500" w:name="_Toc24050"/>
      <w:bookmarkStart w:id="501" w:name="_Toc2376"/>
      <w:r>
        <w:rPr>
          <w:rFonts w:hint="eastAsia" w:ascii="宋体" w:hAnsi="宋体" w:cs="宋体"/>
          <w:b/>
          <w:color w:val="auto"/>
          <w:sz w:val="32"/>
          <w:szCs w:val="32"/>
          <w:highlight w:val="none"/>
        </w:rPr>
        <w:t>一、项目需求</w:t>
      </w:r>
      <w:bookmarkEnd w:id="498"/>
      <w:bookmarkEnd w:id="499"/>
      <w:bookmarkEnd w:id="500"/>
      <w:bookmarkEnd w:id="501"/>
    </w:p>
    <w:p>
      <w:pPr>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 xml:space="preserve">1.1 </w:t>
      </w:r>
      <w:r>
        <w:rPr>
          <w:rFonts w:hint="eastAsia" w:hAnsi="宋体"/>
          <w:bCs/>
          <w:color w:val="auto"/>
          <w:sz w:val="21"/>
          <w:szCs w:val="21"/>
          <w:highlight w:val="none"/>
        </w:rPr>
        <w:t>项目名称：</w:t>
      </w:r>
      <w:r>
        <w:rPr>
          <w:rFonts w:hint="eastAsia" w:hAnsi="宋体"/>
          <w:bCs/>
          <w:color w:val="auto"/>
          <w:sz w:val="21"/>
          <w:szCs w:val="21"/>
          <w:highlight w:val="none"/>
          <w:lang w:eastAsia="zh-CN"/>
        </w:rPr>
        <w:t>平顶山市消防救援支队河南省消防救援总队“自然灾害应急能力提升工程”平顶山支队装备建设项目（二次）</w:t>
      </w:r>
    </w:p>
    <w:p>
      <w:pPr>
        <w:adjustRightInd w:val="0"/>
        <w:snapToGrid w:val="0"/>
        <w:spacing w:line="360" w:lineRule="auto"/>
        <w:ind w:firstLine="420" w:firstLineChars="200"/>
        <w:jc w:val="left"/>
        <w:rPr>
          <w:rFonts w:hint="eastAsia" w:ascii="宋体" w:hAnsi="宋体" w:cs="宋体"/>
          <w:bCs/>
          <w:color w:val="auto"/>
          <w:kern w:val="0"/>
          <w:sz w:val="21"/>
          <w:szCs w:val="21"/>
          <w:highlight w:val="none"/>
        </w:rPr>
      </w:pPr>
      <w:r>
        <w:rPr>
          <w:rFonts w:ascii="宋体" w:hAnsi="宋体" w:cs="宋体"/>
          <w:bCs/>
          <w:color w:val="auto"/>
          <w:kern w:val="0"/>
          <w:sz w:val="21"/>
          <w:szCs w:val="21"/>
          <w:highlight w:val="none"/>
        </w:rPr>
        <w:t xml:space="preserve">1.2 </w:t>
      </w:r>
      <w:r>
        <w:rPr>
          <w:rFonts w:hint="eastAsia" w:ascii="宋体" w:hAnsi="宋体" w:cs="宋体"/>
          <w:bCs/>
          <w:color w:val="auto"/>
          <w:kern w:val="0"/>
          <w:sz w:val="21"/>
          <w:szCs w:val="21"/>
          <w:highlight w:val="none"/>
        </w:rPr>
        <w:t>采购内容：</w:t>
      </w:r>
    </w:p>
    <w:p>
      <w:pPr>
        <w:spacing w:line="360" w:lineRule="auto"/>
        <w:ind w:firstLine="420" w:firstLineChars="200"/>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号：平公资采2024573号-2</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5G单兵图传5、北斗有源终端2、单人洗消帐篷1、堵漏工具组11、防水定位对讲机30、红外生命探测仪2、激光测距仪1、简易洗消喷淋器1、救生照明线10、可燃气体探测仪2、气柱灯2、水深探测仪1、卫星电话5、狭小空间排烟机5、小型移动照明灯组10、移动照明灯10、移动照明灯组2、音视频布控球5、有毒气体探测仪2；</w:t>
      </w:r>
    </w:p>
    <w:p>
      <w:pPr>
        <w:spacing w:line="360" w:lineRule="auto"/>
        <w:ind w:firstLine="420" w:firstLineChars="200"/>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号：平公资采2024573号-3</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AED除颤仪5、便携式推车10、充气帐篷（40m2）5、充气帐篷（60m2）5、大功率发电机1、单兵携行包（箱）30、浮艇泵3、航空运输箱30、静音发电机5、空气呼吸器瓶30、千斤顶5、手抬机动泵3、婴儿呼吸袋5；</w:t>
      </w:r>
    </w:p>
    <w:p>
      <w:pPr>
        <w:spacing w:line="360" w:lineRule="auto"/>
        <w:ind w:firstLine="420" w:firstLineChars="200"/>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号：平公资采2024573号-4</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冰面救援滑板4、充气救援艇（橡皮艇）1、船型担架5、多功能担架15、多功能省力系统50、多功能水枪44、救生抛投器5、救援三角架6、卷扬机5、可漂浮救生担架5、气动起重气垫2、躯体固定气囊5、水面漂浮救生绳（200米）1、通用安全绳（200米）30、舷外机（含油箱防护罩）2、橡皮艇1、移动供气源6、移动式消防炮5、肢体固定气囊5、重型支撑套具2。</w:t>
      </w:r>
    </w:p>
    <w:p>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 xml:space="preserve">1.3 </w:t>
      </w:r>
      <w:r>
        <w:rPr>
          <w:rFonts w:hint="eastAsia" w:ascii="宋体" w:hAnsi="宋体" w:cs="宋体"/>
          <w:bCs/>
          <w:color w:val="auto"/>
          <w:kern w:val="0"/>
          <w:sz w:val="21"/>
          <w:szCs w:val="21"/>
          <w:highlight w:val="none"/>
        </w:rPr>
        <w:t>质量要求：合格（符合现行国家、行业、地方相关规范要求）。</w:t>
      </w:r>
    </w:p>
    <w:p>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4</w:t>
      </w:r>
      <w:r>
        <w:rPr>
          <w:rFonts w:hint="eastAsia" w:ascii="宋体" w:hAnsi="宋体" w:cs="宋体"/>
          <w:bCs/>
          <w:color w:val="auto"/>
          <w:kern w:val="0"/>
          <w:sz w:val="21"/>
          <w:szCs w:val="21"/>
          <w:highlight w:val="none"/>
        </w:rPr>
        <w:t>交货地点：采购人指定地点。</w:t>
      </w:r>
    </w:p>
    <w:p>
      <w:pPr>
        <w:pStyle w:val="25"/>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1.</w:t>
      </w:r>
      <w:r>
        <w:rPr>
          <w:rFonts w:hint="eastAsia" w:hAnsi="宋体"/>
          <w:bCs/>
          <w:color w:val="auto"/>
          <w:sz w:val="21"/>
          <w:szCs w:val="21"/>
          <w:highlight w:val="none"/>
          <w:lang w:val="en-US" w:eastAsia="zh-CN"/>
        </w:rPr>
        <w:t>5</w:t>
      </w:r>
      <w:r>
        <w:rPr>
          <w:rFonts w:hAnsi="宋体"/>
          <w:bCs/>
          <w:color w:val="auto"/>
          <w:sz w:val="21"/>
          <w:szCs w:val="21"/>
          <w:highlight w:val="none"/>
        </w:rPr>
        <w:t xml:space="preserve"> </w:t>
      </w:r>
      <w:r>
        <w:rPr>
          <w:rFonts w:hint="eastAsia" w:hAnsi="宋体"/>
          <w:bCs/>
          <w:color w:val="auto"/>
          <w:sz w:val="21"/>
          <w:szCs w:val="21"/>
          <w:highlight w:val="none"/>
        </w:rPr>
        <w:t>项目分包情况</w:t>
      </w:r>
      <w:r>
        <w:rPr>
          <w:rFonts w:hint="eastAsia" w:hAnsi="宋体"/>
          <w:bCs/>
          <w:color w:val="auto"/>
          <w:sz w:val="21"/>
          <w:szCs w:val="21"/>
          <w:highlight w:val="none"/>
          <w:lang w:eastAsia="zh-CN"/>
        </w:rPr>
        <w:t>（包</w:t>
      </w:r>
      <w:r>
        <w:rPr>
          <w:rFonts w:hint="eastAsia" w:hAnsi="宋体"/>
          <w:bCs/>
          <w:color w:val="auto"/>
          <w:sz w:val="21"/>
          <w:szCs w:val="21"/>
          <w:highlight w:val="none"/>
          <w:lang w:val="en-US" w:eastAsia="zh-CN"/>
        </w:rPr>
        <w:t>5、包6、包9</w:t>
      </w:r>
      <w:r>
        <w:rPr>
          <w:rFonts w:hint="eastAsia" w:hAnsi="宋体"/>
          <w:bCs/>
          <w:color w:val="auto"/>
          <w:sz w:val="21"/>
          <w:szCs w:val="21"/>
          <w:highlight w:val="none"/>
          <w:lang w:eastAsia="zh-CN"/>
        </w:rPr>
        <w:t>）：</w:t>
      </w:r>
    </w:p>
    <w:tbl>
      <w:tblPr>
        <w:tblStyle w:val="22"/>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540"/>
        <w:gridCol w:w="1586"/>
        <w:gridCol w:w="431"/>
        <w:gridCol w:w="633"/>
        <w:gridCol w:w="908"/>
        <w:gridCol w:w="969"/>
        <w:gridCol w:w="935"/>
        <w:gridCol w:w="815"/>
        <w:gridCol w:w="75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w:t>
            </w:r>
            <w:r>
              <w:rPr>
                <w:rFonts w:hint="eastAsia" w:ascii="宋体" w:hAnsi="宋体" w:cs="宋体"/>
                <w:b/>
                <w:bCs/>
                <w:i w:val="0"/>
                <w:iCs w:val="0"/>
                <w:color w:val="auto"/>
                <w:kern w:val="0"/>
                <w:sz w:val="18"/>
                <w:szCs w:val="18"/>
                <w:highlight w:val="none"/>
                <w:u w:val="none"/>
                <w:lang w:val="en-US" w:eastAsia="zh-CN" w:bidi="ar"/>
              </w:rPr>
              <w:t>名称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核心产品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预算单价（单品最高限价）（万元）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单品合计金额（万元）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包最高限价（万元）</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质保期（年，自验收合格之日算起）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交货期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包5</w:t>
            </w: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5G单兵图传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自样品验收合格之日起30日历天，合格样品须于合同签订之日起10日内提供，交货的货物必须是发布中标公告后生产日期（验收时，提供证明或原材料进货证明）；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北斗有源终端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单人洗消帐篷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堵漏工具组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防水定位对讲机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红外生命探测仪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激光测距仪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简易洗消喷淋器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救生照明线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可燃气体探测仪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水深探测仪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卫星电话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狭小空间排烟机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小型移动照明灯组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移动照明灯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移动照明灯组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音视频布控球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有毒气体探测仪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包6</w:t>
            </w: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AED除颤仪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充气帐篷（40m2）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充气帐篷（60m2）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大功率发电机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单兵携行包（箱）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浮艇泵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航空运输箱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静音发电机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空气呼吸器瓶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千斤顶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手抬机动泵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婴儿呼吸袋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包9</w:t>
            </w: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冰面救援滑板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充气救援艇（橡皮艇）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船型担架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多功能省力系统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多功能水枪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救生抛投器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救援三角架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卷扬机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可漂浮救生担架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气动起重气垫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躯体固定气囊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水面漂浮救生绳（200米）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通用安全绳（200米）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舷外机（含油箱防护罩）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橡皮艇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移动供气源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移动式消防炮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肢体固定气囊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重型支撑套具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8"/>
                <w:szCs w:val="18"/>
                <w:highlight w:val="none"/>
                <w:u w:val="none"/>
              </w:rPr>
            </w:pPr>
          </w:p>
        </w:tc>
      </w:tr>
    </w:tbl>
    <w:p>
      <w:pPr>
        <w:rPr>
          <w:rFonts w:hint="eastAsia"/>
          <w:color w:val="auto"/>
          <w:highlight w:val="none"/>
          <w:lang w:eastAsia="zh-CN"/>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spacing w:line="360" w:lineRule="auto"/>
        <w:jc w:val="center"/>
        <w:outlineLvl w:val="1"/>
        <w:rPr>
          <w:rFonts w:hint="eastAsia" w:ascii="宋体" w:hAnsi="宋体" w:eastAsia="宋体" w:cs="宋体"/>
          <w:color w:val="auto"/>
          <w:sz w:val="48"/>
          <w:szCs w:val="48"/>
          <w:highlight w:val="none"/>
        </w:rPr>
      </w:pPr>
      <w:bookmarkStart w:id="502" w:name="_Toc28402"/>
      <w:bookmarkStart w:id="503" w:name="_Toc4452"/>
      <w:bookmarkStart w:id="504" w:name="_Toc28115"/>
      <w:bookmarkStart w:id="505" w:name="_Toc16997"/>
      <w:r>
        <w:rPr>
          <w:rFonts w:hint="eastAsia" w:ascii="宋体" w:hAnsi="宋体" w:eastAsia="宋体" w:cs="宋体"/>
          <w:b/>
          <w:color w:val="auto"/>
          <w:sz w:val="32"/>
          <w:szCs w:val="32"/>
          <w:highlight w:val="none"/>
        </w:rPr>
        <w:t>二、技术要求</w:t>
      </w:r>
      <w:bookmarkEnd w:id="502"/>
      <w:bookmarkEnd w:id="503"/>
      <w:bookmarkEnd w:id="504"/>
      <w:bookmarkEnd w:id="505"/>
    </w:p>
    <w:p>
      <w:pPr>
        <w:shd w:val="clea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技术通用部分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1、投标产品符合国家、行业标准。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2、交付时须附着由“消防装备物资信息采集系统”统一发行的装备物资二维码（或RFID）。</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3、统型要求：所有装备技术、规格、性能、款式等要素，应等同或优于应急管理部消防救援局最近有关装备统型技术要求（若有）。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4、生产日期：发布中标公告后生产日期（验收时，提供证明或原材料进货证明）；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5、配套资料：产品合格证、质量检验报告、中文版使用说明书（1份/件套），视频和PPT电子档（包括技术性能介绍、操作使用规程，注意事项、维护保养规程及方法；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6、产品标识：打印或永久性粘贴厂家信息标签，标签耐水、耐磨、不易掉色；标签内容包括售后服务电话、生产日期、厂家名称、产品名称及型号。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7、所有投标单位均应自愿接受按照采购方装备外观统型要求，免费设计配送标识、包装及外观。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8、提供所投产品备品备件清单（若有），内附单价，采购人可按照此价格采购。</w:t>
      </w:r>
    </w:p>
    <w:p>
      <w:pPr>
        <w:pStyle w:val="20"/>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技术需求专用部分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cs="宋体"/>
          <w:b/>
          <w:bCs/>
          <w:i w:val="0"/>
          <w:iCs w:val="0"/>
          <w:color w:val="auto"/>
          <w:kern w:val="0"/>
          <w:sz w:val="28"/>
          <w:szCs w:val="28"/>
          <w:highlight w:val="none"/>
          <w:u w:val="none"/>
          <w:lang w:val="en-US" w:eastAsia="zh-CN" w:bidi="ar"/>
        </w:rPr>
      </w:pPr>
      <w:r>
        <w:rPr>
          <w:rFonts w:hint="eastAsia" w:ascii="宋体" w:hAnsi="宋体" w:cs="宋体"/>
          <w:b/>
          <w:bCs/>
          <w:i w:val="0"/>
          <w:iCs w:val="0"/>
          <w:color w:val="auto"/>
          <w:kern w:val="0"/>
          <w:sz w:val="28"/>
          <w:szCs w:val="28"/>
          <w:highlight w:val="none"/>
          <w:u w:val="none"/>
          <w:lang w:val="en-US" w:eastAsia="zh-CN" w:bidi="ar"/>
        </w:rPr>
        <w:t>（包5）</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1、5G单兵图传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1、头戴式，融合微光夜视和红外热成像，可快速确定火点位置，回传灾害现场信息；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超星光级夜视全彩镜头：采用数字CMOS图像传感器，像素≥1920*1080，像素尺寸≥4.0μmx4.0μm，近红外增强；支持≥54倍模拟增益，≥32倍数字增益。支持2D/3D降噪、数字宽动态、多种图像增强和矫正算法，支持低照度下可看清≥7米处人物面部特征，≥15米处人体轮廓；</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3、红外热成像镜头：采用非制冷红外焦平面探测器类型，分辨率≥256×192，支持探测距离≥320米，识别距离≥80米，辨认距离≥40米；测温范围≥-10℃～550℃，支持中心点测温和多点测温；</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4、视频模式：支持可见光、红外热成像、可见光与热成像双光融合三种视频图传模式；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5、图像防抖：支持EIS视频防抖图像补偿技术，适应各种复杂运动场景；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6、续航：可充电高温电池，续航时间≥3.5小时，支持USB线和座充两种充电方式；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7、网络：支持5G全网通；WiFi支持2.4GHz+5.8GHz；具有AP热点模式；支持蓝牙，与腕戴视显终端自动匹配长连接；支持接入自组网设备网络；支持同时接入消防指挥网和公网，无缝自由切换；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8、协议：支持TCP/IP、UDP、RTP、HTTP、DHCP、GB/T28181、SIP协议；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9、编码：支持H.264视频编码，支持G.711、G.729、OPUS语音编码；</w:t>
      </w:r>
    </w:p>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、防护等级：≥IP68防水防尘；支持承受≥2米任意面跌落主要部件与数据安全；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、防爆功能：本安型；</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、NFC功能：支持快速管理、自动触碰配对设备；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、存储：≥64G存储；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、盔装支架：支持现有各种统型带滑轨，支持快装快拆支架、视角角度可调节：垂直≥60度；支持定制专用支架；</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、机身重量：≤300g，重量轻，佩戴无负重感；</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、机身尺寸：≤120mmx70mmx40mm；</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对接接口：支持设备在国家消防救援局、总队、支队的图像综合管理平台的资源树中呈现，指挥中心可通过平台或在外人员随时随地通过手机或电脑实时调取设备第一视角可见光、红外热成像、可见光与热成像融合视频图像，并支持上下线状态、语音通话，定位信息实时获取。</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腕戴视显终端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1、屏幕：≥3.5英寸彩色电容屏；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2、高清摄像头：≥500万像素；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3、存储：≥64G存储；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4、视频模式：支持查看可见光、红外热成像、可见光与热成像双光融合画面，支持物理功能按键快捷切换；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5、录像：支持音视频通信本地录像；支持服务器端远程录像；支持远程拉取录像文件；采用防水式数据采集接口，支持数据线和远程方式采集录像文件；</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6、网络：支持5G全网通；WiFi支持2.4GHz+5.8GHz；具有AP热点模式；支持蓝牙，与盔装视传自动匹配长连接；支持接入自组网设备网络；支持同时接入消防指挥网和公网，无缝自由切换；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7、协议：支持TCP/IP、UDP、RTP、HTTP、DHCP、GB/T28181、SIP协议；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8、编码：支持H.264视频编码，支持G.711、G.729、OPUS语音编码；</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9、物理按键：提供≥2个物理功能按键，便于消防员佩戴手套操作；</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10、NFC功能：支持快速管理、自动触碰配对设备；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11、续航：可充电高温电池，续航时间≥3.5小时，支持USB线和座充两种充电方式；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12、防护等级：≥IP68防水防尘；支持承受≥1.5米任意面跌落主要部件与数据安全；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13、防爆功能：本安型；</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14、机身及腕带：支持主机与腕带分离，实现快装快拆；采用V0级别耐高温阻燃材料；</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15、机身重量：≤250g；</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16、机身尺寸：≤110mmx65mmx25mm；</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对接接口：支持设备在消防局、总队、支队的图像综合管理平台的资源树中呈现，指挥中心可通过平台或在外人员随时随地通过手机或电脑实时调取设备第一视角可见光、红外热成像、可见光与热成像融合视频图像，并支持上下线状态、语音通话，定位信息实时获取。</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2、北斗有源终端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技术参数：主要用于应急通信，具备北斗短报文通信、位置上报等功能。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1、操作系统Android 11.0或更优；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2、支持北斗定位、导航功能。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3、重量≤600g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4、工业级三防标准，≥IP67,防水、防尘、防震，高抗损伤性和高耐久性，轻松应对恶劣极端环境，机身坚固设计，并配有背包，方便携带；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5、须提供具备CNAS资质的第三方检测机构出具的盖有CNAS章的检测报告复印件，可实现定位获取、位置上报；</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6、定位精度≤5米；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7、支持重力感应、光感应器和距离感应；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8、配备专业的北斗短报文通信软件；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9、电池容量≥4500mAh；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10、电池续航时间：待机时常不低于8小时；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11、网络制式：全网通，支持4G通讯模块，蓝牙 4.0（BLE）；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12、工作温度： -20℃~+</w:t>
      </w: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 xml:space="preserve">0℃；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13、操作系统和CPU：Android 八核处理器，主频≥2.3GHz，机身内存≥128GB  ，运行内存≥6GB ，支持TF存储卡扩展</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eastAsia="zh" w:bidi="ar"/>
        </w:rPr>
        <w:t>14、</w:t>
      </w:r>
      <w:r>
        <w:rPr>
          <w:rFonts w:hint="eastAsia" w:ascii="宋体" w:hAnsi="宋体" w:eastAsia="宋体" w:cs="宋体"/>
          <w:color w:val="auto"/>
          <w:sz w:val="24"/>
          <w:szCs w:val="24"/>
          <w:highlight w:val="none"/>
          <w:lang w:bidi="ar"/>
        </w:rPr>
        <w:t>增加装备器材型号对应的说明书和视频讲解用法，具备防干扰性能要求</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eastAsia="zh" w:bidi="ar"/>
        </w:rPr>
        <w:t>15、</w:t>
      </w:r>
      <w:r>
        <w:rPr>
          <w:rFonts w:hint="eastAsia" w:ascii="宋体" w:hAnsi="宋体" w:eastAsia="宋体" w:cs="宋体"/>
          <w:color w:val="auto"/>
          <w:sz w:val="24"/>
          <w:szCs w:val="24"/>
          <w:highlight w:val="none"/>
          <w:lang w:bidi="ar"/>
        </w:rPr>
        <w:t>产品质量检验报告应与产品本身功能相符</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eastAsia="zh" w:bidi="ar"/>
        </w:rPr>
        <w:t>16、</w:t>
      </w:r>
      <w:r>
        <w:rPr>
          <w:rFonts w:hint="eastAsia" w:ascii="宋体" w:hAnsi="宋体" w:eastAsia="宋体" w:cs="宋体"/>
          <w:color w:val="auto"/>
          <w:sz w:val="24"/>
          <w:szCs w:val="24"/>
          <w:highlight w:val="none"/>
          <w:lang w:bidi="ar"/>
        </w:rPr>
        <w:t>支持上报位置数据至消防综合定位服务平台</w:t>
      </w:r>
      <w:r>
        <w:rPr>
          <w:rFonts w:hint="eastAsia" w:ascii="宋体" w:hAnsi="宋体" w:eastAsia="宋体" w:cs="宋体"/>
          <w:color w:val="auto"/>
          <w:sz w:val="24"/>
          <w:szCs w:val="24"/>
          <w:highlight w:val="none"/>
          <w:lang w:eastAsia="zh"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、单人洗消帐篷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1、用途：单人洗消帐篷可供消防人员进行完全洗消及快速洗消。</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2、洗消淋浴间及洗消池：整体为充气框架结构（PVC涂层气密布），产品尺寸：≥2.0m*2.0m*2.5m，内挂PVC复合布防水篷帘，设计2扇门。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3、</w:t>
      </w:r>
      <w:r>
        <w:rPr>
          <w:rFonts w:hint="eastAsia" w:ascii="宋体" w:hAnsi="宋体" w:eastAsia="宋体" w:cs="宋体"/>
          <w:color w:val="auto"/>
          <w:sz w:val="24"/>
          <w:szCs w:val="24"/>
          <w:highlight w:val="none"/>
        </w:rPr>
        <w:t>结构及充气方式：帐篷可折叠，配备电动充气泵、喷淋、照明等系统，充气孔在帐篷门的充气框架柱上，充气框架气囊装有过压保护阀门，以确保过量充气不遭损害。</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4、</w:t>
      </w:r>
      <w:r>
        <w:rPr>
          <w:rFonts w:hint="eastAsia" w:ascii="宋体" w:hAnsi="宋体" w:eastAsia="宋体" w:cs="宋体"/>
          <w:color w:val="auto"/>
          <w:sz w:val="24"/>
          <w:szCs w:val="24"/>
          <w:highlight w:val="none"/>
          <w:lang w:bidi="ar"/>
        </w:rPr>
        <w:t>喷淋系统可连接消防车使用。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、额定容积：≥500L，需气量≤700L，平均流量：≥30L/min。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
        </w:rPr>
        <w:t>6</w:t>
      </w:r>
      <w:r>
        <w:rPr>
          <w:rFonts w:hint="eastAsia" w:ascii="宋体" w:hAnsi="宋体" w:eastAsia="宋体" w:cs="宋体"/>
          <w:color w:val="auto"/>
          <w:sz w:val="24"/>
          <w:szCs w:val="24"/>
          <w:highlight w:val="none"/>
        </w:rPr>
        <w:t>、充气时间：≤50s。</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、配有电动充吸气机和脚踏泵，配置快速充气装置，用碳纤维气瓶快速充气，提高救援效率。</w:t>
      </w:r>
    </w:p>
    <w:p>
      <w:pPr>
        <w:numPr>
          <w:ilvl w:val="0"/>
          <w:numId w:val="0"/>
        </w:num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配置含：充气框架、淋浴池、喷淋管含喷淋头（喷淋头为铜质）、淋浴罩工具袋（固定钉和修补材料）、手提包装袋、1个可以替换的衬垫、2个排水口、1扇门、1个热空气进口、1个储水袋、1个修理包、1个携带包。</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4、堵漏工具组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技术参数：适用于各种罐体和管道表面点状、线状泄漏以及法兰的堵漏作业。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磁压式堵漏工具1套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1.1磁压式堵漏工具用于罐体和管道表面点状、线状泄漏的作业。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1.2适用压力：≥0.8MPa，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1.3适用温度：≤80℃。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1.4磁压式堵漏工具吸附力≥300kg，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1.5修复后可承受压力≥0.8MPa。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1.6具体配置：磁压堵漏主体1只、磁压式堵漏器极靴4块、专用胶带1卷、快速堵漏胶2盒、铝合金箱1个。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注入式堵漏工具 1套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1.1注入式堵漏工具适用于化工、化肥、炼油、煤气、发电、冶金等行业装置管道上的各种静密封点堵漏密封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1.2适用介质温度≥-200℃、≤230℃。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1.3压力≥30MPa。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1.4具体配置如下：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1.4.1注胶枪 1 把，材质：合金钢；</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lang w:bidi="ar"/>
        </w:rPr>
        <w:t>堵漏胶≥4盒（每盒包括白胶2支、蓝胶3支）。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1.4.3手动高压油泵 1 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1.4.4专用高压油泵（附快速接头）1 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1.4.5旋塞阀（M12）2 只，材质：合金钢；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1.4.6注胶螺母：（M12、M14、M16、M18、M20、M22各一只），材质合金钢；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1.4.7注胶螺杆：（M12、M14、M16、M18、M20、M22 各一只），材质不锈钢材质；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1.4.8便携式铝合金工具箱 1 只；</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5、防水定位对讲机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技术参数：主要用于火灾现场的指挥、协调、沟通工作。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1、主要功能：主要用于火灾现场的指挥、协调、沟通工作。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2、具有有效期内的工信部颁发的无线电通信设备型号核准证；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3、符合《警用数字集群（PDT）通信系统射频设备技术要求和测试方法》（GA/T 1255-2015）技术规范；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4、频率范围：350-400MHz，支持模拟常规、MPT集群、PDT数字常规和PDT集群等多种工作模式，同时在对讲机切换工作模式时，无须重启对讲机；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内置北斗定位模块，支持北斗定位功能；</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6、信道容量≥1024个，电池容量≥2400mAH，</w:t>
      </w:r>
      <w:r>
        <w:rPr>
          <w:rFonts w:hint="eastAsia" w:ascii="宋体" w:hAnsi="宋体" w:eastAsia="宋体" w:cs="宋体"/>
          <w:color w:val="auto"/>
          <w:sz w:val="24"/>
          <w:szCs w:val="24"/>
          <w:highlight w:val="none"/>
          <w:lang w:bidi="ar"/>
        </w:rPr>
        <w:t>电池运行时间≥6小时</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内置北斗和蓝牙功能；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7、防护性能：具备不低于IP68等级的防尘防水性能。（提供国家认可检测机构出具的检测报告复印件）</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8、对讲机须支持智能降噪功能，不限于噪音源的方向，能保证对讲机在嘈杂环境下能提供清晰的语音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9、显示屏可显示信道，中文界面，强光下清晰可见。</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lang w:bidi="ar"/>
        </w:rPr>
        <w:t>出厂自带写频配件。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6、红外生命探测仪（核心产品）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技术参数：红外生命探测仪是一种利用红外也是技术，结合视频显示等向搜救人员提供废墟下的受害者物体影像的搜救工具。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符合《消防用红外热像仪》（XF/T635-2023），提供具备CNAS和CMA认证标识的检测机构出具的检测报告。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1、测温范围至少为-20摄氏度至550℃，工作环境温度-10℃-260℃。</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 ≥3.5英寸显示屏，支持屏幕亮度调节，采集帧速率：25帧/s；工作波段：8um～14um。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3、配备大容量锂电池，续航时间≥4h/块。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4、具备显示功能，成像屏幕在红外方式下，至少具有白热、黑热、伪彩色三种显示模式。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5、测温精度：≤2℃。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6、具备拍照、录像等功能，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7、整机重量≤1.5 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8、防尘防水等级≥IP67；</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、激光测距仪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技术参数：用于远距离测距使用。采用数字电路技术、可以透过大部分的玻璃进行测量；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1、具备目镜显示功能，同时外置显示屏，数据可同步显示；</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2、测距范围:≥1000米；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△3、（300m以内）≤±0.2、（300m以上）≤±1m；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4、放大倍率:≥8</w:t>
      </w:r>
      <w:r>
        <w:rPr>
          <w:rFonts w:hint="eastAsia" w:ascii="宋体" w:hAnsi="宋体" w:eastAsia="宋体" w:cs="宋体"/>
          <w:color w:val="auto"/>
          <w:sz w:val="24"/>
          <w:szCs w:val="24"/>
          <w:highlight w:val="none"/>
          <w:lang w:eastAsia="zh"/>
        </w:rPr>
        <w:t>倍</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5、物镜直径:≥26mm；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6、倾角精度：≤±1°；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7、出瞳直径≥:3.2mm；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8、出瞳距离:≥17mm；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9、工作温度：≥-10至＋50℃；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10、测量角范围：±90°</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、简易洗消喷淋器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技术参数：为污染人员或物体进行全方位洗消，四面喷射，配有救援专用软管支脚，遇压呈刚性，可根据被洗消对象高度调整洗消高度，方便拆卸，携带方便。</w:t>
      </w:r>
      <w:r>
        <w:rPr>
          <w:rFonts w:hint="eastAsia" w:ascii="宋体" w:hAnsi="宋体" w:eastAsia="宋体" w:cs="宋体"/>
          <w:color w:val="auto"/>
          <w:sz w:val="24"/>
          <w:szCs w:val="24"/>
          <w:highlight w:val="none"/>
          <w:lang w:bidi="ar"/>
        </w:rPr>
        <w:t>供水接口可以与消防车连接使用；</w:t>
      </w:r>
      <w:r>
        <w:rPr>
          <w:rFonts w:hint="eastAsia" w:ascii="宋体" w:hAnsi="宋体" w:eastAsia="宋体" w:cs="宋体"/>
          <w:color w:val="auto"/>
          <w:sz w:val="24"/>
          <w:szCs w:val="24"/>
          <w:highlight w:val="none"/>
        </w:rPr>
        <w:t>脚踏箱与支撑杆全不锈钢结构，</w:t>
      </w:r>
      <w:r>
        <w:rPr>
          <w:rFonts w:hint="eastAsia" w:ascii="宋体" w:hAnsi="宋体" w:eastAsia="宋体" w:cs="宋体"/>
          <w:color w:val="auto"/>
          <w:sz w:val="24"/>
          <w:szCs w:val="24"/>
          <w:highlight w:val="none"/>
          <w:lang w:bidi="ar"/>
        </w:rPr>
        <w:t>支撑强度≥100公斤</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在脚踏处安有防滑垫。</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1、喷嘴≥16 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△2、驱动压力：≥2~7 bar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3、水流量：≥20L/min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4、高度：1.8-2.5 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9、救生照明线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技术参数：能见度较低情况下的照明及疏散导向。防止参加救援的人员和灭火进攻人员在黑暗的火场迷失方向。由供电系统，发光线体，绕线转盘等组成。</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1、长度：≥200米，重量≤10KG。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2、导向装置：线体按照国标5.5要求每隔（2±0.1）m 应有清晰可见的夜光方向标志。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3、线盘外置红色方位灯，以显示设备烟雾状态下的具体位置。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4、发光不小于10cd/m²。</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5、工作电压：12V，工作电流≤4.5A。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6、直流电供电符合国标5.13要求常亮型连续工作时间不小于8h，闪亮型连续工作时间不小于16h。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7、照明线线体表面温度符合国标要求不大于30℃。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8、线体负载拉力：＞300N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9、配有方便运输的包装箱。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10、防爆：出具省级以上检测机构检测报告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11、工作温度：-25℃+60℃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12、具有国家消防装备质量监督检验中心出具的型式检验报告，通过消防合格评定中心3C认证。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10、可燃气体探测仪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1、配置1个LEL传感器，可检测20种以上可燃性气体。≥2.3英寸全彩显示屏，可实时显示各项技术指标和气体浓度值；</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2、检测气体范围：包括可燃、O2、CO；</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3、采样方式：泵吸式；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4、可充电锂电池，电池容量不小于3500mA；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5、工作时间：可燃不小于8小时、有毒不小于200小时；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6、具备声、光、振动三级报警，可自由调整设置时间及警报功能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w:t>
      </w:r>
      <w:r>
        <w:rPr>
          <w:rFonts w:hint="eastAsia" w:ascii="宋体" w:hAnsi="宋体" w:eastAsia="宋体" w:cs="宋体"/>
          <w:color w:val="auto"/>
          <w:sz w:val="24"/>
          <w:szCs w:val="24"/>
          <w:highlight w:val="none"/>
          <w:lang w:eastAsia="zh"/>
        </w:rPr>
        <w:t>600</w:t>
      </w:r>
      <w:r>
        <w:rPr>
          <w:rFonts w:hint="eastAsia" w:ascii="宋体" w:hAnsi="宋体" w:eastAsia="宋体" w:cs="宋体"/>
          <w:color w:val="auto"/>
          <w:sz w:val="24"/>
          <w:szCs w:val="24"/>
          <w:highlight w:val="none"/>
        </w:rPr>
        <w:t>g，尺寸（mm）≤</w:t>
      </w:r>
      <w:r>
        <w:rPr>
          <w:rFonts w:hint="eastAsia" w:ascii="宋体" w:hAnsi="宋体" w:eastAsia="宋体" w:cs="宋体"/>
          <w:color w:val="auto"/>
          <w:sz w:val="24"/>
          <w:szCs w:val="24"/>
          <w:highlight w:val="none"/>
          <w:lang w:eastAsia="zh"/>
        </w:rPr>
        <w:t>210</w:t>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lang w:eastAsia="zh"/>
        </w:rPr>
        <w:t>60</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8、其他要求：防爆，提供防爆等级证书。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、气柱灯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技术参数：适用于夜间施工、工程抢修、灾情抢险、消防照明、警案现场、交通拯救等。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1、额定功率：≥1kW。</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2、光通量：≥110000lm。</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3、升高高度：≥5m。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△4、光源寿命：≥10000h。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5、发电机类型：汽油发电机或优于。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6、油箱容积：≥4L。</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△7、连续工作时间：发电机组一次注满燃油，连续工作时间大于6小时；在有市电的场所，可接通220V市电实现长时间照明。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8、整体重量：≤50kg。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9、防护等级：IP65。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配备支撑杆≥2套</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市电专用插座≥1套。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12、水深探测仪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技术参数：用于测量水位深度和溫度，测量介质。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1、符合国家或行业标准：《水深测量仪器　第3部分：超声波测深仪》（GB/T 27992.3-2016）满足SL_T 185-1997标准；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2、主要用于探测水深深度，具有彩色显示屏，可显示实时温度和深度；</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3、可测量液体深度，测量范围：0.5m ~80m（或优于）；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4、可测量温度，测量范围：-10℃≤温度测量范围≤70℃（或优于）；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5、防水等级不低于IPX8；</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6、规格：频率≥ 200khz，波束角≥14°。</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7、仪器使用时间大于10h；（检测报告、7、6小时）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8、工作温度：-17~70°C；</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9、测量精度： 0.1mm。  </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bidi="ar"/>
        </w:rPr>
        <w:t>10、</w:t>
      </w:r>
      <w:r>
        <w:rPr>
          <w:rFonts w:hint="eastAsia" w:ascii="宋体" w:hAnsi="宋体" w:eastAsia="宋体" w:cs="宋体"/>
          <w:color w:val="auto"/>
          <w:sz w:val="24"/>
          <w:szCs w:val="24"/>
          <w:highlight w:val="none"/>
          <w:lang w:bidi="ar"/>
        </w:rPr>
        <w:t>配备电池≥2块；</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bidi="ar"/>
        </w:rPr>
        <w:t>11、</w:t>
      </w:r>
      <w:r>
        <w:rPr>
          <w:rFonts w:hint="eastAsia" w:ascii="宋体" w:hAnsi="宋体" w:eastAsia="宋体" w:cs="宋体"/>
          <w:color w:val="auto"/>
          <w:sz w:val="24"/>
          <w:szCs w:val="24"/>
          <w:highlight w:val="none"/>
          <w:lang w:bidi="ar"/>
        </w:rPr>
        <w:t>配备专用收纳箱。</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13、卫星电话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技术参数：用于现有通信（有线通信、无线通信）终端无法覆盖的区域，为消防救援人员提供通信联络服务。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1、支持中国自主研发的“天通一号”卫星移动通信系统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2、使用中国全自主研发的“天通一号”卫星基带和射频芯片，技术成熟，国内领先，保密性强</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3、支持双卡双待全网通，并且优先接入地面运用商网络</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4、使用北斗独立定位模块，实现实时定位及位置跟踪，定位模块不得含其它定位功能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5、常规状态下，终端平均搜星入网时间≤90秒钟</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6、IP68防护等级，可防侵水一米、防灰尘侵入，抗1.5米硬面跌落，并且有检测报告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7、通话过程中，声音响度大，噪声抑制强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8、≥5000mAh超大电池，入网状态下待机时长不低于72小时，通话时长不低于6小时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9、一键SOS紧急求救功能，可向指定号码拨打卫星电话，并发送位置信息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10、摄像头： 前摄≥800万像素；后摄 ≥800万像素 自动对焦，带闪光灯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11、支持Android 智能操作系统，用户体验流畅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12、包含但不少于重力、距离、光线感应、电子罗盘、加速度传感器、地磁传感器、气压传感器、温度传感器、陀螺仪等内置传感器；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13、天线采用折叠式设计方案，天线状态自动监测；同时支持天线拆卸</w:t>
      </w:r>
    </w:p>
    <w:p>
      <w:pPr>
        <w:spacing w:line="360" w:lineRule="auto"/>
        <w:rPr>
          <w:rFonts w:hint="eastAsia" w:ascii="宋体" w:hAnsi="宋体" w:eastAsia="宋体" w:cs="宋体"/>
          <w:color w:val="auto"/>
          <w:sz w:val="24"/>
          <w:szCs w:val="24"/>
          <w:highlight w:val="none"/>
          <w:lang w:eastAsia="zh"/>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14、配备车载全向天线和鹅颈式手持全向天线，走路通话更稳定</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增配防寒套</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耳机（有线和无线</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15、耳机接口：Type-c防水接口</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16、支持WiFi、蓝牙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17、SIM卡：双卡nano SIM卡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18、运行内存：≥</w:t>
      </w: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 xml:space="preserve">GB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19、机身内存：≥</w:t>
      </w:r>
      <w:r>
        <w:rPr>
          <w:rFonts w:hint="eastAsia" w:ascii="宋体" w:hAnsi="宋体" w:eastAsia="宋体" w:cs="宋体"/>
          <w:color w:val="auto"/>
          <w:sz w:val="24"/>
          <w:szCs w:val="24"/>
          <w:highlight w:val="none"/>
          <w:lang w:eastAsia="zh"/>
        </w:rPr>
        <w:t>256</w:t>
      </w:r>
      <w:r>
        <w:rPr>
          <w:rFonts w:hint="eastAsia" w:ascii="宋体" w:hAnsi="宋体" w:eastAsia="宋体" w:cs="宋体"/>
          <w:color w:val="auto"/>
          <w:sz w:val="24"/>
          <w:szCs w:val="24"/>
          <w:highlight w:val="none"/>
        </w:rPr>
        <w:t xml:space="preserve">GB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20、显示屏≥</w:t>
      </w:r>
      <w:r>
        <w:rPr>
          <w:rFonts w:hint="eastAsia" w:ascii="宋体" w:hAnsi="宋体" w:eastAsia="宋体" w:cs="宋体"/>
          <w:color w:val="auto"/>
          <w:sz w:val="24"/>
          <w:szCs w:val="24"/>
          <w:highlight w:val="none"/>
          <w:lang w:eastAsia="zh"/>
        </w:rPr>
        <w:t>6</w:t>
      </w:r>
      <w:r>
        <w:rPr>
          <w:rFonts w:hint="eastAsia" w:ascii="宋体" w:hAnsi="宋体" w:eastAsia="宋体" w:cs="宋体"/>
          <w:color w:val="auto"/>
          <w:sz w:val="24"/>
          <w:szCs w:val="24"/>
          <w:highlight w:val="none"/>
        </w:rPr>
        <w:t>寸</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21、电容触摸屏，多点触控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22、屏幕分辨率：不低于480*640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23、支持快速拆卸更换电池，可支持座充，座充具有Type-C和MicroUSB双充电口，可对整机和电池进行同时充电，同时座充抗2.0米跌落，工作温度范围≥-30℃-+60℃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24、支持背夹，配合设备型号使用，可以拓展在户外或单兵应用时的固定方式，方便操作和携带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25、重量：≤320g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26、支持北斗/GPS、具有显示屏，配备相应收纳箱。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27、支持强光手电筒;支持SOS物理按键一键求援/一键报警</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rPr>
        <w:t>28、</w:t>
      </w:r>
      <w:r>
        <w:rPr>
          <w:rFonts w:hint="eastAsia" w:ascii="宋体" w:hAnsi="宋体" w:eastAsia="宋体" w:cs="宋体"/>
          <w:color w:val="auto"/>
          <w:sz w:val="24"/>
          <w:szCs w:val="24"/>
          <w:highlight w:val="none"/>
          <w:lang w:bidi="ar"/>
        </w:rPr>
        <w:t>支持上报位置数据至消防综合定位服务平台</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、狭小空间排烟机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技术参数：用于坑道、管道、地下井的救援通风使用。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所投产品符合 GB27901-2011《移动式消防排烟机》标准中全部性能要求，提供由国家权威检测机构出具与所投产品型号一致、完整有效的型式检验报告；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1.2提供与所投产品型号（认证单元）一致的、有效期内的（以证书标注为准）消防产品认证证书。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主要功能：用于坑道、管道、地下井的救援通风使用。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额定电压：AC220V/50HZ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额定功率：≥450W</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 排风量：≥2200m³/h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每根送风管长度: ≥5m，管道不少于4根。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噪声：≤90db</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净重：≤18kg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15、小型移动照明灯组</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技术参数：用于灾害现场的作业照明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1.1所投产品需提供国家、省级或具有CMA章或带有CNAS标志的第三方检验报告。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1.3器材为蓄电池式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2.1光源：额定功率≥100W；10m处中心照度强光照度值≥700lx，工作光≥350lx；</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2.2防爆设计，满足一二区易燃易爆气体环境安全使用；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2.3警示灯颜色：黄色警示灯、频闪。可以根据引导需要，指示灯左右方向箭头单独使用；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2.4连续照明时间强光≥4h、中光≥8h、工作光≥12h，充电时间≤6h；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2.5体积小，重量轻，重量≤12kg，形状规则，便于携带及运输。</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2.6在高温、低温、恒定湿热、雨淋、振动实验后，产品均能正常工作。</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2.7对讲机抗干扰功能：用对讲机最大功率不同档位距离样品 1.5米进行不同方向干扰，常温下分别开启强、中光、工作光模式+警示灯工作，光线无抖动闪烁，无熄灭，电量无改变，干扰后无损坏；用手机APP 连接灯具，分别在监控及操控状态，连接无中断， 显示信息无发生改变；放电后连接配套充电器，市电输入充电状态，充电无异常，电量显 示无异常。</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6、移动照明灯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技术参数：符合GB26755-2011《消防移动照明装置》标准要求。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1、额定电压≥25.4V；</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2、额定容量≥2.6Ah；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3、额定功率≥17W；</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4、工作时间：书写光≥3h，工作光≥8h，节能光≥24h，警示光≥10h；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5、充电时间：≤3h；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6、外形尺寸：折叠状态230*110*80mm(±10mm)，拉起状态230*110*420mm(±10mm)；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7、重量≤3Kg；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△8、灯具采用全光谱LED，光源使用寿命不低于10万小时，显色指数95Ra以上；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9、灯具底座采用强力吸附设计，解放双手，防脱落；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10、灯具采用四轴旋转结构，可折叠，满足不同角度的照射要求；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11、整灯防护等级不低于IP65，可在雨雪天气等恶劣环境中正常使用；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12、灯具配备5段电量显示，便于查看剩余电量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13、灯具自带5V2A的USB输出口，可为手机及小手电充电使用；</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14、配备专用收纳箱。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17、移动照明灯组</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技术参数：用于灾害现场的作业照明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1.1所投产品需提供国家、省级或具有CMA章或带有CNAS标志的第三方检验报告。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1.3器材为蓄电池式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2.1光源：额定功率≥100W；10m处中心照度强光照度值≥700lx，工作光≥350lx；</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2.2防爆设计，满足一二区易燃易爆气体环境安全使用；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2.3警示灯颜色：黄色警示灯、频闪。可以根据引导需要，指示灯左右方向箭头单独使用；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2.4连续照明时间强光≥4h、中光≥8h、工作光≥12h，充电时间≤6h；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2.5体积小，重量轻，重量≤12kg，形状规则，便于携带及运输。</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2.6在高温、低温、恒定湿热、雨淋、振动实验后，产品均能正常工作。</w:t>
      </w:r>
    </w:p>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2.7对讲机抗干扰功能：用对讲机最大功率不同档位距离样品 1.5米进行不同方向干扰，常温下分别开启强、中光、工作光模式+警示灯工作，光线无抖动闪烁，无熄灭，电量无改变，干扰后无损坏；用手机APP 连接灯具，分别在监控及操控状态，连接无中断， 显示信息无发生改变；放电后连接配套充电器，市电输入充电状态，充电无异常，电量显 示无异常。</w:t>
      </w:r>
    </w:p>
    <w:p>
      <w:pPr>
        <w:spacing w:line="360" w:lineRule="auto"/>
        <w:rPr>
          <w:rFonts w:hint="eastAsia" w:ascii="宋体" w:hAnsi="宋体" w:eastAsia="宋体" w:cs="宋体"/>
          <w:color w:val="auto"/>
          <w:sz w:val="24"/>
          <w:szCs w:val="24"/>
          <w:highlight w:val="none"/>
          <w:lang w:eastAsia="zh"/>
        </w:rPr>
      </w:pP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18、音视频布控球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1、对接要求：能无缝接入应急管理部消防救援局、省消防总队图像综合平台，通过国标 GB/T 28181 标准和 SDK 接口可获取国家消防救援局图像综合管理平台视频资源目录、设备状态信息、设备地理信息，并可实现视频调阅、云台操作和双向对讲等功能: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2、整体结构：一体化结构设计，带有设备提手，携带方便，集成高清云台摄像机、无线编码器、大容量电池、红外灯组等模块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3、机芯：高清机芯CMOS≥1/2.8″；光学变倍≥30倍，数字变倍≥16倍，最大分辨率1920*1080P 25帧/秒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4、编码协议：支持H.264、H.265，支持G711A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5、最低照度：彩色≤ 0.001Lux（F1.2 AGC ON），黑白≤ 0.0001Lux(F1.2 AGC ON)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6、镜头角度：60°~2°（远望-广角）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7、协议：支持GB/T28181/RTSP协议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8、红外夜视：自动、手动红外灯光模式，红外夜视距离≥100米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9、去雾功能：支持去雾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10、存储：双TF卡存储，单TF卡最大支持256G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11、音频输入：内置拾音器，手咪或蓝牙（三选择一，单声道），支持双向语音对讲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12、手咪接口：支持1×3.5mm接口（由航空插头转出）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13、云台：水平旋转范围360°，垂直旋转范围-15°~90°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14、网络：支持不少于1×4G全网通，1×5G全网通，支持APN和VPDN，内置1×WIFI，1×10/100M以太网口（由航空插头转出），内置蓝牙4.0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15、定位：内置北斗定位模块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16、状态显示：内置OLED屏，显示5G信号强弱，电池容量，服务器地址；OSD可调取显示设备名称、时间、定位、电量字符叠加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17、防护等级：防护等级≥IP66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18、部署方式：支持磁力吸附、固定支架、三脚架等安装方式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19、电源：底部内置10AH锂电池,工作续航时间≥8小时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20、尺寸：≤Φ160*220mm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21、重量：≤3KG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22</w:t>
      </w:r>
      <w:r>
        <w:rPr>
          <w:rFonts w:hint="eastAsia" w:ascii="宋体" w:hAnsi="宋体" w:eastAsia="宋体" w:cs="宋体"/>
          <w:color w:val="auto"/>
          <w:sz w:val="24"/>
          <w:szCs w:val="24"/>
          <w:highlight w:val="none"/>
          <w:lang w:bidi="ar"/>
        </w:rPr>
        <w:t>增设外接音响带蓝牙功能</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
        </w:rPr>
        <w:t>3</w:t>
      </w:r>
      <w:r>
        <w:rPr>
          <w:rFonts w:hint="eastAsia" w:ascii="宋体" w:hAnsi="宋体" w:eastAsia="宋体" w:cs="宋体"/>
          <w:color w:val="auto"/>
          <w:sz w:val="24"/>
          <w:szCs w:val="24"/>
          <w:highlight w:val="none"/>
        </w:rPr>
        <w:t>、配件要求：航空头连接线×1、电源适配器×1、三脚架固定圆盘×1、手提防护箱×1、手咪×1、蓝牙耳机×1、车载充电器×1</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防寒保暖套</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手咪</w:t>
      </w:r>
      <w:r>
        <w:rPr>
          <w:rFonts w:hint="eastAsia" w:ascii="宋体" w:hAnsi="宋体" w:eastAsia="宋体" w:cs="宋体"/>
          <w:color w:val="auto"/>
          <w:sz w:val="24"/>
          <w:szCs w:val="24"/>
          <w:highlight w:val="none"/>
        </w:rPr>
        <w:t>×1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、200万超星光级高清机芯，分辨率高达1080P</w:t>
      </w:r>
    </w:p>
    <w:p>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rPr>
        <w:t>25、</w:t>
      </w:r>
      <w:r>
        <w:rPr>
          <w:rFonts w:hint="eastAsia" w:ascii="宋体" w:hAnsi="宋体" w:eastAsia="宋体" w:cs="宋体"/>
          <w:color w:val="auto"/>
          <w:sz w:val="24"/>
          <w:szCs w:val="24"/>
          <w:highlight w:val="none"/>
          <w:lang w:bidi="ar"/>
        </w:rPr>
        <w:t>支持上报位置至消防综合服务平台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19、有毒气体探测仪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1、符合GB3836.4-2010标准，提供省或国家级检测机构的检测报告或具有CNAS/CMA资质认证的第三方检测机构出具的产品检测报告；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2、可同时检测（一氧化碳，氧气，硫化氢）等气体，液晶显示屏显示；</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3、具备自检、警报震动功能；警报音量≥90dB；</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4、防护等级≥IP67；</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5、氧气：</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5.1测量范围：0%~30%；</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5.2分辨率（dpi）≤0.1%；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6、一氧化碳：</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6.1测量范围0ppm~500ppm；</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6.2分辨率（dpi）≤1ppm；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7、硫化氢：</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7.1测量范围0ppm~100ppm，</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7.2分辨率（dpi）≤1ppm；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8、连续工作时间≥4h；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9、具有中文说明书和校准证书；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10、具有永久性标志及产品数据标识；</w:t>
      </w:r>
    </w:p>
    <w:p>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11、整机具有第三方出具的防爆合格证，防爆等级≥Ex ib IICT4。</w:t>
      </w:r>
      <w:r>
        <w:rPr>
          <w:rFonts w:hint="eastAsia" w:ascii="宋体" w:hAnsi="宋体" w:eastAsia="宋体" w:cs="宋体"/>
          <w:color w:val="auto"/>
          <w:sz w:val="24"/>
          <w:szCs w:val="24"/>
          <w:highlight w:val="none"/>
          <w:lang w:eastAsia="zh"/>
        </w:rPr>
        <w:t>12、</w:t>
      </w:r>
      <w:r>
        <w:rPr>
          <w:rFonts w:hint="eastAsia" w:ascii="宋体" w:hAnsi="宋体" w:eastAsia="宋体" w:cs="宋体"/>
          <w:color w:val="auto"/>
          <w:sz w:val="24"/>
          <w:szCs w:val="24"/>
          <w:highlight w:val="none"/>
          <w:lang w:bidi="ar"/>
        </w:rPr>
        <w:t>质保期内免费标定；</w:t>
      </w:r>
    </w:p>
    <w:p>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bidi="ar"/>
        </w:rPr>
        <w:t>13、</w:t>
      </w:r>
      <w:r>
        <w:rPr>
          <w:rFonts w:hint="eastAsia" w:ascii="宋体" w:hAnsi="宋体" w:eastAsia="宋体" w:cs="宋体"/>
          <w:color w:val="auto"/>
          <w:sz w:val="24"/>
          <w:szCs w:val="24"/>
          <w:highlight w:val="none"/>
          <w:lang w:bidi="ar"/>
        </w:rPr>
        <w:t>配备专用收纳袋。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cs="宋体"/>
          <w:color w:val="auto"/>
          <w:sz w:val="32"/>
          <w:szCs w:val="32"/>
          <w:highlight w:val="none"/>
          <w:lang w:eastAsia="zh-CN" w:bidi="ar"/>
        </w:rPr>
      </w:pPr>
      <w:r>
        <w:rPr>
          <w:rFonts w:hint="eastAsia" w:ascii="宋体" w:hAnsi="宋体" w:cs="宋体"/>
          <w:color w:val="auto"/>
          <w:sz w:val="32"/>
          <w:szCs w:val="32"/>
          <w:highlight w:val="none"/>
          <w:lang w:eastAsia="zh-CN" w:bidi="ar"/>
        </w:rPr>
        <w:t>（包</w:t>
      </w:r>
      <w:r>
        <w:rPr>
          <w:rFonts w:hint="eastAsia" w:ascii="宋体" w:hAnsi="宋体" w:cs="宋体"/>
          <w:color w:val="auto"/>
          <w:sz w:val="32"/>
          <w:szCs w:val="32"/>
          <w:highlight w:val="none"/>
          <w:lang w:val="en-US" w:eastAsia="zh-CN" w:bidi="ar"/>
        </w:rPr>
        <w:t>6</w:t>
      </w:r>
      <w:r>
        <w:rPr>
          <w:rFonts w:hint="eastAsia" w:ascii="宋体" w:hAnsi="宋体" w:cs="宋体"/>
          <w:color w:val="auto"/>
          <w:sz w:val="32"/>
          <w:szCs w:val="32"/>
          <w:highlight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1、AED除颤仪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技术参数：用于体外除颤。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1、除颤波形为双相指数截断波形，除颤能量可根据阻抗动态调整，支持成人及儿童除颤模式，可一键相互切换；</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2、设备防水防尘级别≥IP55，设备抗跌落高度不小于 1.2 米；</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3、输出的最大成人除颤能量≧150J，输出的最大儿童除颤能量≧ 50J；</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4、开机到放电准备就绪时间≤6s秒；</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5、电极片有效期≥36个月；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6、电池寿命≥5年；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7、提示低电量后还可实施电击次数≥5次及以上；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8、具有可电击心律分析识别功能；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9、支持显示操作动作指导；</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10、设备默认自动调节音量，音量将适应环境噪声；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11、设备具有用户自检和设备自检功能；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12、数据传输：可通过USB和无线传输多方式导出数据；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13、可储存抢救现场录音数据；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14、配置携行箱，材质应耐压耐腐蚀并具备防晒防水等功能；携行箱外观应比例协调，美观大方，并应根据采购方需求印制指定标识。</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2、便携式推车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技术参数：消防员运送物资。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1、材质：平板整体为钢结构。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2、平板尺寸≥120*70（cm）。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3、配有电动行走、升降系统。</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4、电机功率≥650W，适合在多种地面行驶。</w:t>
      </w:r>
    </w:p>
    <w:p>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续航时间≥20 小时。</w:t>
      </w:r>
    </w:p>
    <w:p>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轮胎</w:t>
      </w:r>
      <w:r>
        <w:rPr>
          <w:rFonts w:hint="eastAsia" w:ascii="宋体" w:hAnsi="宋体" w:eastAsia="宋体" w:cs="宋体"/>
          <w:color w:val="auto"/>
          <w:sz w:val="24"/>
          <w:szCs w:val="24"/>
          <w:highlight w:val="none"/>
        </w:rPr>
        <w:t>尺寸≥35cm</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、行驶距离≥15km。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、爬坡角度≥30°。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9</w:t>
      </w:r>
      <w:r>
        <w:rPr>
          <w:rFonts w:hint="eastAsia" w:ascii="宋体" w:hAnsi="宋体" w:eastAsia="宋体" w:cs="宋体"/>
          <w:color w:val="auto"/>
          <w:sz w:val="24"/>
          <w:szCs w:val="24"/>
          <w:highlight w:val="none"/>
        </w:rPr>
        <w:t>、升降高度≥105cm。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、升降载重≥300kg。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1</w:t>
      </w:r>
      <w:r>
        <w:rPr>
          <w:rFonts w:hint="eastAsia" w:ascii="宋体" w:hAnsi="宋体" w:eastAsia="宋体" w:cs="宋体"/>
          <w:color w:val="auto"/>
          <w:sz w:val="24"/>
          <w:szCs w:val="24"/>
          <w:highlight w:val="none"/>
        </w:rPr>
        <w:t>、平地载重≥500kg。</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bidi="ar"/>
        </w:rPr>
        <w:t>12、</w:t>
      </w:r>
      <w:r>
        <w:rPr>
          <w:rFonts w:hint="eastAsia" w:ascii="宋体" w:hAnsi="宋体" w:eastAsia="宋体" w:cs="宋体"/>
          <w:color w:val="auto"/>
          <w:sz w:val="24"/>
          <w:szCs w:val="24"/>
          <w:highlight w:val="none"/>
          <w:lang w:bidi="ar"/>
        </w:rPr>
        <w:t>配备安全绳和绷带≥3根</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备胎、轮胎充气装置≥1套</w:t>
      </w:r>
      <w:r>
        <w:rPr>
          <w:rFonts w:hint="eastAsia" w:ascii="宋体" w:hAnsi="宋体" w:eastAsia="宋体" w:cs="宋体"/>
          <w:color w:val="auto"/>
          <w:sz w:val="24"/>
          <w:szCs w:val="24"/>
          <w:highlight w:val="none"/>
          <w:lang w:eastAsia="zh"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、充气帐篷（40m2）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numPr>
          <w:ilvl w:val="0"/>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1.1主要功能：用于野外施工作业、露营训练、临时会所、临时指挥所、野外医疗、抢险救灾等情况下的雨雪、风沙、阳光遮挡防护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1.2结构组成：气柱框架、外披、内衬、底布4部分组成。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2.1帐篷尺寸：长：8-10米，宽：4-8米，高：3-4米，使用面积≥40平方米；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2.2外篷布：颜色红色，单面涂覆pvc外篷布。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△2.3气柱：双面涂覆PVC刀刮灰色气密布，厚度大于0.5mm。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2.4底布：灰色色双面涂覆PVC双轴向阻燃布，厚度大于0.5mm。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2.5前后门尺寸：宽1-1.5米，高2-2.5米（2扇），门帘分四层：外层防水门帘、防蚊虫纱网、内衬层、防蚊虫纱网。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2.6窗户尺寸：宽0.4-1米，高0.4-1米，加设防雨帘和纱网。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2.7气阀两组：安全阀≥1个、快速充气阀≥2个、多功能充气阀≥1个。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2.8帐篷固定拉纤拉环防水处理，全部缝合处使用防雨条做防水处理。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2.9气压：正常使用：15-25kpa。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2.10适应温度：-30℃+70℃。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2.11充气搭建时间：10-20min；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2.12帐篷配通风口2个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△2.13抗风等级：≥8级。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2.14整体重量：小于200公斤。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2.15气柱保压时间≥48小时，一次充气自行竖立时间≥7天，具备自动补气功能。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3、其他要求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3.1配备专用储物袋</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3.2</w:t>
      </w:r>
      <w:r>
        <w:rPr>
          <w:rFonts w:hint="eastAsia" w:ascii="宋体" w:hAnsi="宋体" w:eastAsia="宋体" w:cs="宋体"/>
          <w:color w:val="auto"/>
          <w:sz w:val="24"/>
          <w:szCs w:val="24"/>
          <w:highlight w:val="none"/>
          <w:lang w:bidi="ar"/>
        </w:rPr>
        <w:t>配备帐篷收纳箱，底部安装移动轮，其中最少2个万向轮；</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3</w:t>
      </w:r>
      <w:r>
        <w:rPr>
          <w:rFonts w:hint="eastAsia" w:ascii="宋体" w:hAnsi="宋体" w:eastAsia="宋体" w:cs="宋体"/>
          <w:color w:val="auto"/>
          <w:sz w:val="24"/>
          <w:szCs w:val="24"/>
          <w:highlight w:val="none"/>
        </w:rPr>
        <w:t>工具配置：电动充、排一体气泵1台、手锤1把，风绳地钉、修补包各一套</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3.4</w:t>
      </w:r>
      <w:r>
        <w:rPr>
          <w:rFonts w:hint="eastAsia" w:ascii="宋体" w:hAnsi="宋体" w:eastAsia="宋体" w:cs="宋体"/>
          <w:color w:val="auto"/>
          <w:sz w:val="24"/>
          <w:szCs w:val="24"/>
          <w:highlight w:val="none"/>
          <w:lang w:bidi="ar"/>
        </w:rPr>
        <w:t>配备不少于6个节能灯具、挂点及配套相关线材、插头等，能够在帐篷内迅速搭建一套照明系统。</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外观具体字样、颜色及标识待后期定制。</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、充气帐篷（60m2）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numPr>
          <w:ilvl w:val="0"/>
          <w:numId w:val="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1.1主要功能：用于野外施工作业、露营训练、临时会所、临时指挥所、野外医疗、抢险救灾等情况下的雨雪、风沙、阳光遮挡防护                               </w:t>
      </w:r>
    </w:p>
    <w:p>
      <w:pPr>
        <w:numPr>
          <w:ilvl w:val="0"/>
          <w:numId w:val="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性能要求：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2.1结构组成：气柱框架、外披、内衬、底布4部分组成。</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2.2帐篷尺寸：长：10-12米，宽：5-6米，高：3-4米。使用面积≥60m²，</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2.3外篷布：颜色红色，单面涂覆pvc外篷布。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△2.4气柱：双面涂覆PVC刀刮灰色气密布，厚度大于0.5mm。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2.5底布：灰色色双面涂覆PVC双轴向阻燃布，厚度大于0.5mm。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2.6前后门尺寸：宽1-1.5米，高2-2.5米（2扇），门帘分四层：外层防水门帘、防蚊虫纱网、内衬层、防蚊虫纱网。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2.7窗户尺寸：宽0.5-1米，高0.5-1米，加设防雨帘和纱网。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2.8气阀两组：安全阀1个、快速充气阀3个、多功能充气阀1个。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2.9帐篷固定拉纤拉环防水处理，全部缝合处使用防雨条做防水处理。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2.10气压：正常使用：15-25kpa。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2.11适应温度：-30℃+70℃。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2.12充气搭建时间：10-20min。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2.13帐篷配通风口2个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△2.14抗风等级：≥8级。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 xml:space="preserve">2.15整体重量：小于300公斤。气柱保压时间≥48小时，一次充气自行竖立时间≥7天，具备自动补气功能                  </w:t>
      </w:r>
      <w:r>
        <w:rPr>
          <w:rFonts w:hint="eastAsia" w:ascii="宋体" w:hAnsi="宋体" w:eastAsia="宋体" w:cs="宋体"/>
          <w:color w:val="auto"/>
          <w:sz w:val="24"/>
          <w:szCs w:val="24"/>
          <w:highlight w:val="none"/>
          <w:lang w:eastAsia="zh"/>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3、其他要求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3.1工具配置：电动充、排一体气泵1台、手锤1把，风绳地钉、修补包一套。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3.2配置专用耐磨外包装布。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3.3</w:t>
      </w:r>
      <w:r>
        <w:rPr>
          <w:rFonts w:hint="eastAsia" w:ascii="宋体" w:hAnsi="宋体" w:eastAsia="宋体" w:cs="宋体"/>
          <w:color w:val="auto"/>
          <w:sz w:val="24"/>
          <w:szCs w:val="24"/>
          <w:highlight w:val="none"/>
          <w:lang w:bidi="ar"/>
        </w:rPr>
        <w:t>配备帐篷收纳箱，底部安装移动轮，其中最少2个万向轮；</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外观具体字样、颜色及标识待后期定制。</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3.5</w:t>
      </w:r>
      <w:r>
        <w:rPr>
          <w:rFonts w:hint="eastAsia" w:ascii="宋体" w:hAnsi="宋体" w:eastAsia="宋体" w:cs="宋体"/>
          <w:color w:val="auto"/>
          <w:sz w:val="24"/>
          <w:szCs w:val="24"/>
          <w:highlight w:val="none"/>
          <w:lang w:bidi="ar"/>
        </w:rPr>
        <w:t>配备不少于10个节能灯具、挂点及配套相关线材、插头等，能够在帐篷内迅速搭建一套照明系统。</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、大功率发电机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1、额定输出电压：220V/380V</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2、额定频率：50HZ</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3、输出功率：≥10kW，自动调节电压</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4、燃油箱容积：≥20L</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△5、启动系统：电启动、手拉反冲启动等</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6、发动机形式：风冷、单缸、四冲程</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7、净重：≤80kg</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8、移动方式：满足皮卡车、中小型货车货箱作为载具进行移动运输，并且适应以上车辆自动装卸功能</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bidi="ar"/>
        </w:rPr>
        <w:t>9、结构：</w:t>
      </w:r>
      <w:r>
        <w:rPr>
          <w:rFonts w:hint="eastAsia" w:ascii="宋体" w:hAnsi="宋体" w:eastAsia="宋体" w:cs="宋体"/>
          <w:color w:val="auto"/>
          <w:sz w:val="24"/>
          <w:szCs w:val="24"/>
          <w:highlight w:val="none"/>
          <w:lang w:bidi="ar"/>
        </w:rPr>
        <w:t>发电机底部配备滑轮，其中万向轮不低于2个</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、安全配备：发动机过温，机油欠压、发电机超压、过流等保护功能</w:t>
      </w:r>
      <w:r>
        <w:rPr>
          <w:rFonts w:hint="eastAsia" w:ascii="宋体" w:hAnsi="宋体" w:eastAsia="宋体" w:cs="宋体"/>
          <w:color w:val="auto"/>
          <w:sz w:val="24"/>
          <w:szCs w:val="24"/>
          <w:highlight w:val="none"/>
          <w:lang w:eastAsia="zh"/>
        </w:rPr>
        <w:t>；</w:t>
      </w:r>
    </w:p>
    <w:p>
      <w:pPr>
        <w:pStyle w:val="7"/>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bidi="ar"/>
        </w:rPr>
        <w:t>11、配件：</w:t>
      </w:r>
      <w:r>
        <w:rPr>
          <w:rFonts w:hint="eastAsia" w:ascii="宋体" w:hAnsi="宋体" w:eastAsia="宋体" w:cs="宋体"/>
          <w:color w:val="auto"/>
          <w:sz w:val="24"/>
          <w:szCs w:val="24"/>
          <w:highlight w:val="none"/>
          <w:lang w:bidi="ar"/>
        </w:rPr>
        <w:t>配备380V/220V带轮子移动线盘各一盘，长度≥50米，具有漏电保护功能。</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、单兵携行包（箱）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numPr>
          <w:ilvl w:val="0"/>
          <w:numId w:val="1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1.1、72小时应急救援携行装备是参加应急救援时随身携带的个人生活用品、食物、救援和防护装备以及医疗急救包、通讯器材等物资的单兵遂行作战携行装具。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2.1容积≥70L；</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2.2背囊正面可根据要求印反光字及相关标识，背面有个人信息卡及卡槽；配备有防雨罩。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2.3主要存储单元可单独开启并可分为若干个区域。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2.4主料为不低于1050D加密防水尼龙牛津布，透明PV涂层，具有强度高、耐磨、防水、防撕裂等性能。面料撕破力经、纬向≥250N。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2.5封口布面料为不低于300D尼龙布，PV涂层；里料为不低于210D加密尼龙布。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2.6背包后背、腰垫、肩垫均使用高透气网布。</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2.7</w:t>
      </w:r>
      <w:r>
        <w:rPr>
          <w:rFonts w:hint="eastAsia" w:ascii="宋体" w:hAnsi="宋体" w:eastAsia="宋体" w:cs="宋体"/>
          <w:color w:val="auto"/>
          <w:sz w:val="24"/>
          <w:szCs w:val="24"/>
          <w:highlight w:val="none"/>
          <w:lang w:bidi="ar"/>
        </w:rPr>
        <w:t>背包后背配备腰部支撑系统。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背包正面设置多个挂点，可挂置各类便携常用的小型装备。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△3.1包内配物品清单：</w:t>
      </w:r>
      <w:r>
        <w:rPr>
          <w:rFonts w:hint="eastAsia" w:ascii="宋体" w:hAnsi="宋体" w:eastAsia="宋体" w:cs="宋体"/>
          <w:color w:val="auto"/>
          <w:sz w:val="24"/>
          <w:szCs w:val="24"/>
          <w:highlight w:val="none"/>
          <w:lang w:bidi="ar"/>
        </w:rPr>
        <w:t>军用指南针，防潮垫、睡袋、单兵帐篷、急救包（不少于20种常用医疗物品）、军用水壶、饭盒（含刀叉勺）、简易洗漱用品：含牙刷、牙膏、梳子、洗发水、洗浴液、哨子、LED帐篷灯、放大镜、反光镜、温度计、口哨、指南针、密封舱，高频口哨、防水强光手电、雨衣、水质净化片1瓶、高能量自热即食食品、饮用水、蚊虫药、防静电内衣裤、袜子、折叠拖鞋、多功能刀具、多功能工兵铲（带有打火功能）、登山杖、聚脂薄膜保温毯等。</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7、浮艇泵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技术参数：消防队可利用室外天然水源补充消防车水箱。它也可以用来从洪水地区和房间抽水。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产品符合浮艇泵检验大纲，提供应急管理部上海消防研究所出具的检验报告。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1.水泵类型：轻型铝合金单级离心泵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2.吸水口≥80mm  出水口≥65mm（内扣式）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3.额定压力≥0.4Mpa</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4.额定流量≥1000L/min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5.扬程≥65米，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6.最大流量≥1500L/min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7.重量≤90kg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8.发动机型式：单缸强制风冷四冲程 ，启动系统：手拉启动、电力启动、遥控启动（遥控距离≥150m）（任意启动模式下都可以单独调节转速高低）；机器设计应急油门机构，在遥控器故障情况下，也能实现机器的启停和加减油门。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9.泵吸入口处设置抗腐蚀性滤网，滤网的过流面积不影响泵的性能。滤网孔只能通过≤8mm的颗粒。</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、航空运输箱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技术参数：1、外观颜色要求：绿色，或按照采购人制定要求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2、组成：把手、密封圈、卡扣、排气阀、海绵隔层；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3、主要性能：抗强冲击、耐高低温、缓冲减震、密封防水、防尘抗腐、漂浮救生、展收迅速、携行轻便、持久耐用；容量≥100 升；净重≤12 千克；</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4、承重≥150kg;</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温度范围：≥-40~90℃；外部尺寸≥800*550*355，内部尺寸≥700*480*300。</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、静音发电机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技术参数：为满足安静环境下特殊供电需求。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1、额定功率≥1.8KW，手动或电动，净重≤25Kg。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2、电压≥220v。</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3、油箱容量≧ 4L，</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4、直流输出：12V；输出电流：≥5.0A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△5、持续运行时间(额定输出下)(hr) ：≥2.5。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6、7米处噪音≦65dB（A）。</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lang w:bidi="ar"/>
        </w:rPr>
        <w:t>配备线盘≥50米。</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、空气呼吸器瓶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1、气瓶容积：6.8L，以无缝铝合金为内胆，在其外表全缠绕浸渍树脂基体的炭纤维加强层，并经加温固化。</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2、气瓶工作压力30Mpa，水压试验压力≥50MPa，气瓶顶端和底部都配有橡胶保护套。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△3、气瓶瓶阀安全膜片爆破压力≥40～45Mpa。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气瓶瓶阀带有自锁装置，具有防误操作功能。</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5、</w:t>
      </w:r>
      <w:r>
        <w:rPr>
          <w:rFonts w:hint="eastAsia" w:ascii="宋体" w:hAnsi="宋体" w:eastAsia="宋体" w:cs="宋体"/>
          <w:color w:val="auto"/>
          <w:sz w:val="24"/>
          <w:szCs w:val="24"/>
          <w:highlight w:val="none"/>
          <w:lang w:bidi="ar"/>
        </w:rPr>
        <w:t>气瓶增加保护套（阻燃带标识）。</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、千斤顶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技术参数：交通事故、建筑倒塌现场的重载荷撑顶救援。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具有防止超载的安全阀，开启负荷在1Gn至1.5Gn范围内，具备可靠的限位装置，使用手柄起升额定重量时，手柄操作力≤400N。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起重重量≥20 吨。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12、手抬机动泵（核心产品）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技术参数：用于灾害事故现场排涝、供水、灭火等。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1、符合：GB 6245-2006、CCCF-CPRZ-26：2019标准；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2、启动方式：电启动和手动启动；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3、发动机功率：四冲程发动机，＞13HP；</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4、额定压力≥0.5MPa，额定流量≥15L/s（3米吸深）；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5、最大出口压力：≥0.8MPa；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6、进水口：≥80mm；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7、出水口：≥65mm*2；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8、引水装置性能：无油润滑真空泵；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9、△引水时间：≤10秒；</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10、水泵型式：单泵单程离心泵；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11、重量：≤70 kg；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12、提供国家级质量监督检验中心检测报告</w:t>
      </w:r>
      <w:r>
        <w:rPr>
          <w:rFonts w:hint="eastAsia" w:ascii="宋体" w:hAnsi="宋体" w:eastAsia="宋体" w:cs="宋体"/>
          <w:color w:val="auto"/>
          <w:sz w:val="24"/>
          <w:szCs w:val="24"/>
          <w:highlight w:val="none"/>
          <w:lang w:eastAsia="zh"/>
        </w:rPr>
        <w:t>13</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13、配件：</w:t>
      </w:r>
      <w:r>
        <w:rPr>
          <w:rFonts w:hint="eastAsia" w:ascii="宋体" w:hAnsi="宋体" w:eastAsia="宋体" w:cs="宋体"/>
          <w:color w:val="auto"/>
          <w:sz w:val="24"/>
          <w:szCs w:val="24"/>
          <w:highlight w:val="none"/>
          <w:lang w:bidi="ar"/>
        </w:rPr>
        <w:t>配备滤网≥2个、各类转换接口≥1套、火花塞≥2个</w:t>
      </w:r>
      <w:r>
        <w:rPr>
          <w:rFonts w:hint="eastAsia" w:ascii="宋体" w:hAnsi="宋体" w:eastAsia="宋体" w:cs="宋体"/>
          <w:color w:val="auto"/>
          <w:sz w:val="24"/>
          <w:szCs w:val="24"/>
          <w:highlight w:val="none"/>
          <w:lang w:eastAsia="zh" w:bidi="ar"/>
        </w:rPr>
        <w:t>；</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14、</w:t>
      </w:r>
      <w:r>
        <w:rPr>
          <w:rFonts w:hint="eastAsia" w:ascii="宋体" w:hAnsi="宋体" w:eastAsia="宋体" w:cs="宋体"/>
          <w:color w:val="auto"/>
          <w:sz w:val="24"/>
          <w:szCs w:val="24"/>
          <w:highlight w:val="none"/>
          <w:lang w:bidi="ar"/>
        </w:rPr>
        <w:t>设备底部加装可拆卸移动轮</w:t>
      </w:r>
      <w:r>
        <w:rPr>
          <w:rFonts w:hint="eastAsia" w:ascii="宋体" w:hAnsi="宋体" w:eastAsia="宋体" w:cs="宋体"/>
          <w:color w:val="auto"/>
          <w:sz w:val="24"/>
          <w:szCs w:val="24"/>
          <w:highlight w:val="none"/>
          <w:lang w:eastAsia="zh"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val="en-US" w:eastAsia="zh-CN"/>
        </w:rPr>
        <w:t>、婴儿呼吸袋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技术参数：用于保护（3-8 岁）儿童免受有毒化学或者其他有毒气体侵害。</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1、主要部件：头罩、滤毒罐、送风机等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2、电源：充电锂电池</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3、额定电压≥9VDC</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4、使用时间≥4h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5、送 风 量≥90L/min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6、重量：≤1kg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7、尺寸大小≤35cm×70cm。</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lang w:eastAsia="zh-CN" w:bidi="ar"/>
        </w:rPr>
      </w:pPr>
      <w:r>
        <w:rPr>
          <w:rFonts w:hint="eastAsia" w:ascii="宋体" w:hAnsi="宋体" w:cs="宋体"/>
          <w:color w:val="auto"/>
          <w:sz w:val="32"/>
          <w:szCs w:val="32"/>
          <w:highlight w:val="none"/>
          <w:lang w:eastAsia="zh-CN" w:bidi="ar"/>
        </w:rPr>
        <w:t>（包</w:t>
      </w:r>
      <w:r>
        <w:rPr>
          <w:rFonts w:hint="eastAsia" w:ascii="宋体" w:hAnsi="宋体" w:cs="宋体"/>
          <w:color w:val="auto"/>
          <w:sz w:val="32"/>
          <w:szCs w:val="32"/>
          <w:highlight w:val="none"/>
          <w:lang w:val="en-US" w:eastAsia="zh-CN" w:bidi="ar"/>
        </w:rPr>
        <w:t>9</w:t>
      </w:r>
      <w:r>
        <w:rPr>
          <w:rFonts w:hint="eastAsia" w:ascii="宋体" w:hAnsi="宋体" w:cs="宋体"/>
          <w:color w:val="auto"/>
          <w:sz w:val="32"/>
          <w:szCs w:val="32"/>
          <w:highlight w:val="none"/>
          <w:lang w:eastAsia="zh-CN"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1、冰面救援滑板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技术参数：主要用于消防员冬季冰面救援使用。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1、应一体成型设计，非多层压制，不易分解。</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2、材质应完全不吸水，可长时间浮出水面。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3、应使用高亮颜色，增强可视性。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4、展开尺寸：长度≥1.5米，宽度：≥0.9米，厚度≥10cm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5、重量≤20kg。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6、静态均衡承载浮力≥</w:t>
      </w:r>
      <w:r>
        <w:rPr>
          <w:rFonts w:hint="eastAsia" w:ascii="宋体" w:hAnsi="宋体" w:eastAsia="宋体" w:cs="宋体"/>
          <w:color w:val="auto"/>
          <w:sz w:val="24"/>
          <w:szCs w:val="24"/>
          <w:highlight w:val="none"/>
          <w:lang w:eastAsia="zh"/>
        </w:rPr>
        <w:t>23</w:t>
      </w:r>
      <w:r>
        <w:rPr>
          <w:rFonts w:hint="eastAsia" w:ascii="宋体" w:hAnsi="宋体" w:eastAsia="宋体" w:cs="宋体"/>
          <w:color w:val="auto"/>
          <w:sz w:val="24"/>
          <w:szCs w:val="24"/>
          <w:highlight w:val="none"/>
        </w:rPr>
        <w:t>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7、充气时间≤4min；</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8、救援板四周有≥4个拉手</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滑板前后增加救援挂绳孔</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9、便携袋设计合理，方便有序使用救生器材；主体滑板袋，浮力圈口袋、浮水绳（30米）口袋、冰锥和冰锥辅助爬行器工具口袋，频闪灯或对讲机口袋，多口袋规范设计使用方便。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10、频闪灯1个续航时间≥30h</w:t>
      </w:r>
    </w:p>
    <w:p>
      <w:pPr>
        <w:numPr>
          <w:ilvl w:val="0"/>
          <w:numId w:val="11"/>
        </w:num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bidi="ar"/>
        </w:rPr>
        <w:t>配备电动、手动充气泵、气瓶转换接口各≥1套</w:t>
      </w:r>
      <w:r>
        <w:rPr>
          <w:rFonts w:hint="eastAsia" w:ascii="宋体" w:hAnsi="宋体" w:eastAsia="宋体" w:cs="宋体"/>
          <w:color w:val="auto"/>
          <w:sz w:val="24"/>
          <w:szCs w:val="24"/>
          <w:highlight w:val="none"/>
          <w:lang w:eastAsia="zh" w:bidi="ar"/>
        </w:rPr>
        <w:t>。</w:t>
      </w:r>
    </w:p>
    <w:p>
      <w:pPr>
        <w:numPr>
          <w:ilvl w:val="0"/>
          <w:numId w:val="11"/>
        </w:num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bidi="ar"/>
        </w:rPr>
        <w:t>配备专用收纳箱</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cs="宋体"/>
          <w:color w:val="auto"/>
          <w:sz w:val="32"/>
          <w:szCs w:val="32"/>
          <w:highlight w:val="none"/>
          <w:lang w:eastAsia="zh" w:bidi="ar"/>
        </w:rPr>
      </w:pPr>
      <w:r>
        <w:rPr>
          <w:rFonts w:hint="eastAsia" w:ascii="宋体" w:hAnsi="宋体" w:eastAsia="宋体" w:cs="宋体"/>
          <w:color w:val="auto"/>
          <w:sz w:val="24"/>
          <w:szCs w:val="24"/>
          <w:highlight w:val="none"/>
          <w:lang w:eastAsia="zh"/>
        </w:rPr>
        <w:t>13、</w:t>
      </w:r>
      <w:r>
        <w:rPr>
          <w:rFonts w:hint="eastAsia" w:ascii="宋体" w:hAnsi="宋体" w:eastAsia="宋体" w:cs="宋体"/>
          <w:color w:val="auto"/>
          <w:sz w:val="24"/>
          <w:szCs w:val="24"/>
          <w:highlight w:val="none"/>
        </w:rPr>
        <w:t>提供省级以上检测机构出具的检验证书。</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2、充气救援艇（橡皮艇）</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技术参数：</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1.1用于水域救援。舟体为充气式，配马达。采用双尾椎充气船体结构，船底部有充气舷梁，具有排水阀门。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2、技术要求：</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2.1额定乘员：≥8人。</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2.2尺寸：长度≥4200mm、外宽≥1900mm、直径≥500 mm </w:t>
      </w:r>
    </w:p>
    <w:p>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2.3结构:船底充气拉丝底板，M型艇底，底部加装耐磨条。</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2.4独立安全密封气室：≥4个</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2.5舟底接触地面位置覆加厚橡胶层。</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2.6浮筒外侧安装安全绳索，艇身加装安全把手用于固定抓握。</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2.7艉板与气囊连接处采用双向金属片夹固处理。</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2.8尾板处设置安装队旗装置；船头设置可拆卸式充电照明灯灯架</w:t>
      </w:r>
    </w:p>
    <w:p>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2.9材料：采用PVC或优于此材料（厚度≥ 0.9mm）并提供检测报告</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2.10耐磨性能：在12KPa压力下，面料经1000次循环摩擦后无变化；</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2.11船身抗穿刺性：≥166N；</w:t>
      </w:r>
    </w:p>
    <w:p>
      <w:pPr>
        <w:spacing w:line="360" w:lineRule="auto"/>
        <w:rPr>
          <w:rFonts w:hint="eastAsia" w:ascii="宋体" w:hAnsi="宋体" w:eastAsia="宋体" w:cs="宋体"/>
          <w:b w:val="0"/>
          <w:bCs w:val="0"/>
          <w:color w:val="auto"/>
          <w:sz w:val="24"/>
          <w:szCs w:val="24"/>
          <w:highlight w:val="none"/>
          <w:lang w:eastAsia="zh"/>
        </w:rPr>
      </w:pPr>
      <w:r>
        <w:rPr>
          <w:rFonts w:hint="eastAsia" w:ascii="宋体" w:hAnsi="宋体" w:eastAsia="宋体" w:cs="宋体"/>
          <w:b w:val="0"/>
          <w:bCs w:val="0"/>
          <w:color w:val="auto"/>
          <w:sz w:val="24"/>
          <w:szCs w:val="24"/>
          <w:highlight w:val="none"/>
        </w:rPr>
        <w:t>2.12舷外机马力：≥30马力</w:t>
      </w:r>
      <w:r>
        <w:rPr>
          <w:rFonts w:hint="eastAsia" w:ascii="宋体" w:hAnsi="宋体" w:eastAsia="宋体" w:cs="宋体"/>
          <w:b w:val="0"/>
          <w:bCs w:val="0"/>
          <w:color w:val="auto"/>
          <w:sz w:val="24"/>
          <w:szCs w:val="24"/>
          <w:highlight w:val="none"/>
          <w:lang w:eastAsia="zh"/>
        </w:rPr>
        <w:t>，</w:t>
      </w:r>
      <w:r>
        <w:rPr>
          <w:rFonts w:hint="eastAsia" w:ascii="宋体" w:hAnsi="宋体" w:eastAsia="宋体" w:cs="宋体"/>
          <w:b w:val="0"/>
          <w:bCs w:val="0"/>
          <w:color w:val="auto"/>
          <w:sz w:val="24"/>
          <w:szCs w:val="24"/>
          <w:highlight w:val="none"/>
          <w:lang w:bidi="ar"/>
        </w:rPr>
        <w:t>舷外机具备手动和电动两种启动方式</w:t>
      </w:r>
      <w:r>
        <w:rPr>
          <w:rFonts w:hint="eastAsia" w:ascii="宋体" w:hAnsi="宋体" w:eastAsia="宋体" w:cs="宋体"/>
          <w:b w:val="0"/>
          <w:bCs w:val="0"/>
          <w:color w:val="auto"/>
          <w:sz w:val="24"/>
          <w:szCs w:val="24"/>
          <w:highlight w:val="none"/>
          <w:lang w:eastAsia="zh" w:bidi="ar"/>
        </w:rPr>
        <w:t>；</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2.13油箱≥20L</w:t>
      </w:r>
      <w:r>
        <w:rPr>
          <w:rFonts w:hint="eastAsia" w:ascii="宋体" w:hAnsi="宋体" w:eastAsia="宋体" w:cs="宋体"/>
          <w:b w:val="0"/>
          <w:bCs w:val="0"/>
          <w:color w:val="auto"/>
          <w:sz w:val="24"/>
          <w:szCs w:val="24"/>
          <w:highlight w:val="none"/>
          <w:lang w:eastAsia="zh"/>
        </w:rPr>
        <w:t>，</w:t>
      </w:r>
      <w:r>
        <w:rPr>
          <w:rFonts w:hint="eastAsia" w:ascii="宋体" w:hAnsi="宋体" w:eastAsia="宋体" w:cs="宋体"/>
          <w:b w:val="0"/>
          <w:bCs w:val="0"/>
          <w:color w:val="auto"/>
          <w:sz w:val="24"/>
          <w:szCs w:val="24"/>
          <w:highlight w:val="none"/>
          <w:lang w:bidi="ar"/>
        </w:rPr>
        <w:t>船上固定油箱位置</w:t>
      </w:r>
      <w:r>
        <w:rPr>
          <w:rFonts w:hint="eastAsia" w:ascii="宋体" w:hAnsi="宋体" w:eastAsia="宋体" w:cs="宋体"/>
          <w:b w:val="0"/>
          <w:bCs w:val="0"/>
          <w:color w:val="auto"/>
          <w:sz w:val="24"/>
          <w:szCs w:val="24"/>
          <w:highlight w:val="none"/>
          <w:lang w:eastAsia="zh" w:bidi="ar"/>
        </w:rPr>
        <w:t>；</w:t>
      </w:r>
      <w:r>
        <w:rPr>
          <w:rFonts w:hint="eastAsia" w:ascii="宋体" w:hAnsi="宋体" w:eastAsia="宋体" w:cs="宋体"/>
          <w:b w:val="0"/>
          <w:bCs w:val="0"/>
          <w:color w:val="auto"/>
          <w:sz w:val="24"/>
          <w:szCs w:val="24"/>
          <w:highlight w:val="none"/>
        </w:rPr>
        <w:t xml:space="preserve">                       </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3、其他要求</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3.1随艇配备螺旋桨保护罩、</w:t>
      </w:r>
      <w:r>
        <w:rPr>
          <w:rFonts w:hint="eastAsia" w:ascii="宋体" w:hAnsi="宋体" w:eastAsia="宋体" w:cs="宋体"/>
          <w:b w:val="0"/>
          <w:bCs w:val="0"/>
          <w:color w:val="auto"/>
          <w:sz w:val="24"/>
          <w:szCs w:val="24"/>
          <w:highlight w:val="none"/>
          <w:lang w:bidi="ar"/>
        </w:rPr>
        <w:t>带锁止功能的舷外机拖车</w:t>
      </w:r>
      <w:r>
        <w:rPr>
          <w:rFonts w:hint="eastAsia" w:ascii="宋体" w:hAnsi="宋体" w:eastAsia="宋体" w:cs="宋体"/>
          <w:b w:val="0"/>
          <w:bCs w:val="0"/>
          <w:color w:val="auto"/>
          <w:sz w:val="24"/>
          <w:szCs w:val="24"/>
          <w:highlight w:val="none"/>
        </w:rPr>
        <w:t>、救援艇围板折叠轮，便于单人搬运。</w:t>
      </w:r>
    </w:p>
    <w:p>
      <w:pPr>
        <w:spacing w:line="360" w:lineRule="auto"/>
        <w:rPr>
          <w:rFonts w:hint="eastAsia" w:ascii="方正仿宋_GBK" w:hAnsi="方正仿宋_GBK" w:eastAsia="方正仿宋_GBK" w:cs="方正仿宋_GBK"/>
          <w:color w:val="auto"/>
          <w:sz w:val="24"/>
          <w:szCs w:val="24"/>
          <w:highlight w:val="none"/>
        </w:rPr>
      </w:pPr>
      <w:r>
        <w:rPr>
          <w:rFonts w:hint="eastAsia" w:ascii="宋体" w:hAnsi="宋体" w:eastAsia="宋体" w:cs="宋体"/>
          <w:b w:val="0"/>
          <w:bCs w:val="0"/>
          <w:color w:val="auto"/>
          <w:sz w:val="24"/>
          <w:szCs w:val="24"/>
          <w:highlight w:val="none"/>
        </w:rPr>
        <w:t>3.2每舟配备缆绳和修补工具，修补工具至少包含专用胶水1支，气阀扳手1个，维修材料3张、铝合金划桨</w:t>
      </w:r>
      <w:r>
        <w:rPr>
          <w:rFonts w:hint="eastAsia" w:ascii="宋体" w:hAnsi="宋体" w:eastAsia="宋体" w:cs="宋体"/>
          <w:b w:val="0"/>
          <w:bCs w:val="0"/>
          <w:color w:val="auto"/>
          <w:sz w:val="24"/>
          <w:szCs w:val="24"/>
          <w:highlight w:val="none"/>
          <w:lang w:eastAsia="zh"/>
        </w:rPr>
        <w:t>4</w:t>
      </w:r>
      <w:r>
        <w:rPr>
          <w:rFonts w:hint="eastAsia" w:ascii="宋体" w:hAnsi="宋体" w:eastAsia="宋体" w:cs="宋体"/>
          <w:b w:val="0"/>
          <w:bCs w:val="0"/>
          <w:color w:val="auto"/>
          <w:sz w:val="24"/>
          <w:szCs w:val="24"/>
          <w:highlight w:val="none"/>
        </w:rPr>
        <w:t>副、电动气泵1个，</w:t>
      </w:r>
      <w:r>
        <w:rPr>
          <w:rFonts w:hint="eastAsia" w:ascii="宋体" w:hAnsi="宋体" w:eastAsia="宋体" w:cs="宋体"/>
          <w:b w:val="0"/>
          <w:bCs w:val="0"/>
          <w:color w:val="auto"/>
          <w:sz w:val="24"/>
          <w:szCs w:val="24"/>
          <w:highlight w:val="none"/>
          <w:lang w:bidi="ar"/>
        </w:rPr>
        <w:t>气瓶充气转换接头</w:t>
      </w:r>
      <w:r>
        <w:rPr>
          <w:rFonts w:hint="eastAsia" w:ascii="宋体" w:hAnsi="宋体" w:eastAsia="宋体" w:cs="宋体"/>
          <w:b w:val="0"/>
          <w:bCs w:val="0"/>
          <w:color w:val="auto"/>
          <w:sz w:val="24"/>
          <w:szCs w:val="24"/>
          <w:highlight w:val="none"/>
          <w:lang w:eastAsia="zh" w:bidi="ar"/>
        </w:rPr>
        <w:t>1个，</w:t>
      </w:r>
      <w:r>
        <w:rPr>
          <w:rFonts w:hint="eastAsia" w:ascii="宋体" w:hAnsi="宋体" w:eastAsia="宋体" w:cs="宋体"/>
          <w:b w:val="0"/>
          <w:bCs w:val="0"/>
          <w:color w:val="auto"/>
          <w:sz w:val="24"/>
          <w:szCs w:val="24"/>
          <w:highlight w:val="none"/>
        </w:rPr>
        <w:t xml:space="preserve">油桶2个。 </w:t>
      </w:r>
      <w:r>
        <w:rPr>
          <w:rFonts w:hint="eastAsia" w:ascii="方正仿宋_GBK" w:hAnsi="方正仿宋_GBK" w:eastAsia="方正仿宋_GBK" w:cs="方正仿宋_GBK"/>
          <w:color w:val="auto"/>
          <w:sz w:val="24"/>
          <w:szCs w:val="24"/>
          <w:highlight w:val="none"/>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、船型担架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1.1用于在崎岖的山区，空中或海上救援。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△1.2整体结构为不锈钢外框，工程塑料或其它轻质材料底；担架底部配置伤员隔离减震垫；担架上宽下窄，易于搬运；吊篮内配置固定带和快速提升带。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2.1材质采用无毒无污染释放的材料，具有防火和耐磨损和防腐蚀的功能。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2.2担架配有可调节的脚部安全机械装置，安全带等。</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2.3载重≥150KG。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2.4固定点≥5个。</w:t>
      </w:r>
    </w:p>
    <w:p>
      <w:pPr>
        <w:pStyle w:val="7"/>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rPr>
        <w:t>2.5</w:t>
      </w:r>
      <w:r>
        <w:rPr>
          <w:rFonts w:hint="eastAsia" w:ascii="宋体" w:hAnsi="宋体" w:eastAsia="宋体" w:cs="宋体"/>
          <w:color w:val="auto"/>
          <w:sz w:val="24"/>
          <w:szCs w:val="24"/>
          <w:highlight w:val="none"/>
          <w:lang w:bidi="ar"/>
        </w:rPr>
        <w:t>配备专用收纳包</w:t>
      </w:r>
      <w:r>
        <w:rPr>
          <w:rFonts w:hint="eastAsia" w:ascii="宋体" w:hAnsi="宋体" w:eastAsia="宋体" w:cs="宋体"/>
          <w:color w:val="auto"/>
          <w:sz w:val="24"/>
          <w:szCs w:val="24"/>
          <w:highlight w:val="none"/>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4、多功能担架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1、总体性能符合市场准入标准要求，提供国家专业机构检测报告。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2、采用特殊复合塑料制成，可在－20℃～45℃温度下工作不发生硬化或软化，可以弯曲变形使用，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3、载重≥150kg。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4、垂直断裂强度≥2.5kN，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5、平行断裂强度≥4kN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6、耐温：高温≥45℃  低温≤-20℃。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7、自重：≤9kg</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、多功能省力系统</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bidi="ar"/>
        </w:rPr>
        <w:t>滑轮拖拽省力系</w:t>
      </w:r>
      <w:r>
        <w:rPr>
          <w:rFonts w:hint="eastAsia" w:ascii="宋体" w:hAnsi="宋体" w:eastAsia="宋体" w:cs="宋体"/>
          <w:color w:val="auto"/>
          <w:sz w:val="24"/>
          <w:szCs w:val="24"/>
          <w:highlight w:val="none"/>
        </w:rPr>
        <w:t>统，4比1或5比1滑轮</w:t>
      </w:r>
      <w:r>
        <w:rPr>
          <w:rFonts w:hint="eastAsia" w:ascii="宋体" w:hAnsi="宋体" w:eastAsia="宋体" w:cs="宋体"/>
          <w:color w:val="auto"/>
          <w:sz w:val="24"/>
          <w:szCs w:val="24"/>
          <w:highlight w:val="none"/>
          <w:lang w:bidi="ar"/>
        </w:rPr>
        <w:t>提拉套装。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适合绳索系统，高塔作业、消防救援。</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1、符合XF 494-2023《消防用防坠落装备》标准，倍力系数≥4：1。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2、提拉端可通过颜色识别。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3、绳索直径≥8mm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△4、重量≤1500g，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5、工作长度≥2米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△6.基本配置：万向滑轮*1对，16米8MM绳*1 ，缝合抓结*2 （双色），左右两侧拉链腿包*1 ，快拆插销*2安全盖+螺丝 *1</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6、多功能水枪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技术参数：用于扑救火灾的喷射水器具，由开关、流态调节器、流量调节器、转轴式方向套组成。可实现直流、开花水流等多种喷射方式。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1、喷雾流量（L/s）Ⅰ档≥2.5、Ⅱ档≥4.5、Ⅲ档≥6、Ⅳ档≥8；</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2、直流（L/s）≥7.6，射程≥32m；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3、喷射压力：0.6Mpa（±0.01）；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4、喷射角度≥120度；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5、水枪操作力矩≤7.8N•m；</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6、</w:t>
      </w:r>
      <w:r>
        <w:rPr>
          <w:rFonts w:hint="eastAsia" w:ascii="宋体" w:hAnsi="宋体" w:eastAsia="宋体" w:cs="宋体"/>
          <w:color w:val="auto"/>
          <w:sz w:val="24"/>
          <w:szCs w:val="24"/>
          <w:highlight w:val="none"/>
          <w:lang w:bidi="ar"/>
        </w:rPr>
        <w:t>配备零配件原装开关手柄≥2套/把；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 xml:space="preserve">、提供国家消防装备质量监督检验中心出具的检验报告及消防产品认证证书。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7、救生抛投器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技术参数：以压缩空气为动力，向目标抛投救绳索及救生圈的一种救援装备，主要用于海难遇险、高层空难及特殊场合的救援。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1、采用内置压缩空气作为动力，工作压力≥ 7.0Mpa，配有压力表便于观察抛投器压力。使用时无明火，带安全按钮联锁，安全可靠，操作简捷方便。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2、产品净重≤8kg。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3、具备陆地、水上远距离抛射救生功能， 陆用时抛射距离≥230m ，水用时抛射距离≥210m。抛绳抗拉力≥ 2KN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4、采用二氧化碳压缩气体或高压空气为发射动力，没有明火。产品带有保险开关，安全系数更高。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5、配备发射角度指示器，通过指示器调整发射角度，达到调整发射距离。</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6、内置1.5升碳纤维气瓶的发射枪体1个、陆用抛绳救援弹2个水用、救援弹2个、训练弹1个、训练绳包1个、吹绳枪1个、二氧化碳压缩气瓶4个、触发剂4个、水用保护套2个、空绳包2个、多功能底座1个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气瓶与发射枪连接口≥2个</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气瓶快速充气装置≥1个</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吹绳枪配备可以连接气瓶的专用气管≥1套</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7、提供国家认可的认证或检测机构出具的认证证书或检测报告复印件加盖投标单位公章，认证证书或检测报告在有效期内。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eastAsia="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、救援三角架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采用优质铝合金框架，在高处、悬崖垂直面上可设置伸出崖面的工作支点，满足高处、悬崖及井下救援作业。备有手摇式绞盘，可作临时移动的三角架支点，能个人独立操作，可呈现合适的救援角度，支撑脚两节可分解式，可组合三角型、A 型支架，斜 A 型支架或起重支架。顶部有直接安装的滑轮，配有多种基座;具备适应沙地、岩石、水泥地等多种环境的架设能力。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1、采用优质铝合金框架，三角架顶端装有环形挂钩，最大有效垂直空间≥195cmm；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2、牵引绞盘：阻断力≥2200N，钢丝绳长度≥20米；最大载重≥300kg；齿轮比例：8：1；绞盘带自制刹车装置。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3、三角架整体自重（含牵引绞盘自重）≤30kg；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4、完全展开：≥200cm；完全收缩：≤150cm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5、额定载荷：≥180kg；  </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由三角架连接头、支腿、支脚、收紧扁带(含收紧器)、绳包、器材包等组成，配置≥45 件套；</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
        </w:rPr>
        <w:t>配备专用收纳箱；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 xml:space="preserve">、提供检测报告。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、卷扬机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1.1质量：≤20kg （含电池）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1.2电池：≥5OOOMAH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1.3电压： ≤36V</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1.4拥有LED电池电量显示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2.1功率 ：≥1000W，</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△2.2安全负载 ：≥150KG 最大工作负荷≥250KG，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2.3运行距离（单电池）： 往返400M (120KG负载）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3.1需配备有无电释放下降功能，保证没电情况下人员安全落地。</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3.2设有紧急停止按钮</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悬停功能、误操作保护功能。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
        </w:rPr>
        <w:t>配件：</w:t>
      </w:r>
      <w:r>
        <w:rPr>
          <w:rFonts w:hint="eastAsia" w:ascii="宋体" w:hAnsi="宋体" w:eastAsia="宋体" w:cs="宋体"/>
          <w:color w:val="auto"/>
          <w:sz w:val="24"/>
          <w:szCs w:val="24"/>
          <w:highlight w:val="none"/>
        </w:rPr>
        <w:t>设备1台、电池≥2块、说明书1份、合格证1张、充电器≥2个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安全扣≥1个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消防员全身吊带1套</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通用型安全绳50米100米各1根</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10、可漂浮救生担架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技术参数：适用于海、陆、空等不同的救援场所；也可做为水中救生垫及其它漂浮品使用。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1、采用双层高强拉丝PVC材料或优于。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2、充气压力≥0.1Mpa，内部高压强的情况下救援板不会变形。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3、救援板长度≥1.85m，宽度≥0.7m，厚度≥0.1m。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4、正面中部为高强EVA材质或优于，正面和背面均设有防滑板，救援板四周有挂点和抓手绳。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5、配备划桨≥1支，</w:t>
      </w:r>
      <w:r>
        <w:rPr>
          <w:rFonts w:hint="eastAsia" w:ascii="宋体" w:hAnsi="宋体" w:eastAsia="宋体" w:cs="宋体"/>
          <w:color w:val="auto"/>
          <w:sz w:val="24"/>
          <w:szCs w:val="24"/>
          <w:highlight w:val="none"/>
          <w:lang w:eastAsia="zh"/>
        </w:rPr>
        <w:t>50米</w:t>
      </w:r>
      <w:r>
        <w:rPr>
          <w:rFonts w:hint="eastAsia" w:ascii="宋体" w:hAnsi="宋体" w:eastAsia="宋体" w:cs="宋体"/>
          <w:color w:val="auto"/>
          <w:sz w:val="24"/>
          <w:szCs w:val="24"/>
          <w:highlight w:val="none"/>
        </w:rPr>
        <w:t>水域漂浮救援绳≥1条，装备包≥1个，修补材料≥1份，打气筒/泵≥1个。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6、整体重量≤8kg。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7、水上漂浮载重≥100KG；</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lang w:bidi="ar"/>
        </w:rPr>
        <w:t>可漂浮救生担架设置挂点，可于救生艇配合使用；</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9</w:t>
      </w:r>
      <w:r>
        <w:rPr>
          <w:rFonts w:hint="eastAsia" w:ascii="宋体" w:hAnsi="宋体" w:eastAsia="宋体" w:cs="宋体"/>
          <w:color w:val="auto"/>
          <w:sz w:val="24"/>
          <w:szCs w:val="24"/>
          <w:highlight w:val="none"/>
        </w:rPr>
        <w:t>、板身主体颜色应为消防红；四周具有夜光反光标识</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、应可用压缩气瓶或专用气筒/泵充气；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1</w:t>
      </w:r>
      <w:r>
        <w:rPr>
          <w:rFonts w:hint="eastAsia" w:ascii="宋体" w:hAnsi="宋体" w:eastAsia="宋体" w:cs="宋体"/>
          <w:color w:val="auto"/>
          <w:sz w:val="24"/>
          <w:szCs w:val="24"/>
          <w:highlight w:val="none"/>
        </w:rPr>
        <w:t>、提供省级或省级以上质量监督检验中心的检测报告。</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、气动起重气垫</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性能要求:主要用于交通事故、建筑倒塌等现场救援。防滑设计，防酸碱，抗尖状硬物挤压；具备抗静电、抗裂、耐磨、抗油、抗老化性能</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1、不少于4种规格：球形气垫1、≥5T、2、≥15T、3、≥25T 、4、≥35T；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△2、气垫爆破压力≥2.4Mpa；额定工作高度≥100mm；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3、气垫之间可重叠使用，可将2个或3个气垫固定连接成为一个整体。</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△4、需配备有6.8L-9L碳纤维高压气瓶≥1个；充气管≥5米不少于2根。带安全阀截流管长度：≥1m，不低于2根；配备连接器、连接工具；承重板≥2块；地垫≥1块；</w:t>
      </w:r>
      <w:r>
        <w:rPr>
          <w:rFonts w:hint="eastAsia" w:ascii="宋体" w:hAnsi="宋体" w:eastAsia="宋体" w:cs="宋体"/>
          <w:color w:val="auto"/>
          <w:sz w:val="24"/>
          <w:szCs w:val="24"/>
          <w:highlight w:val="none"/>
          <w:lang w:bidi="ar"/>
        </w:rPr>
        <w:t>与</w:t>
      </w:r>
      <w:r>
        <w:rPr>
          <w:rFonts w:hint="eastAsia" w:ascii="宋体" w:hAnsi="宋体" w:cs="宋体"/>
          <w:color w:val="auto"/>
          <w:sz w:val="24"/>
          <w:szCs w:val="24"/>
          <w:highlight w:val="none"/>
          <w:lang w:eastAsia="zh-CN" w:bidi="ar"/>
        </w:rPr>
        <w:t>空气呼吸器瓶</w:t>
      </w:r>
      <w:r>
        <w:rPr>
          <w:rFonts w:hint="eastAsia" w:ascii="宋体" w:hAnsi="宋体" w:eastAsia="宋体" w:cs="宋体"/>
          <w:color w:val="auto"/>
          <w:sz w:val="24"/>
          <w:szCs w:val="24"/>
          <w:highlight w:val="none"/>
          <w:lang w:bidi="ar"/>
        </w:rPr>
        <w:t>匹配的快速接头和高压软管</w:t>
      </w:r>
      <w:r>
        <w:rPr>
          <w:rFonts w:hint="eastAsia" w:ascii="宋体" w:hAnsi="宋体" w:eastAsia="宋体" w:cs="宋体"/>
          <w:color w:val="auto"/>
          <w:sz w:val="24"/>
          <w:szCs w:val="24"/>
          <w:highlight w:val="none"/>
          <w:lang w:eastAsia="zh" w:bidi="ar"/>
        </w:rPr>
        <w:t>1套、</w:t>
      </w:r>
      <w:r>
        <w:rPr>
          <w:rFonts w:hint="eastAsia" w:ascii="宋体" w:hAnsi="宋体" w:eastAsia="宋体" w:cs="宋体"/>
          <w:color w:val="auto"/>
          <w:sz w:val="24"/>
          <w:szCs w:val="24"/>
          <w:highlight w:val="none"/>
        </w:rPr>
        <w:t>配件箱1只。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整套含高压气瓶、气瓶阀、减压器、压力表、充气管、安全阀 、控制阀、快速接头、充气泵、不同规格气垫。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、躯体固定气囊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技术参数：用于突发事故现场、躯体骨伤骨折，能有效防止因现场处理不当及送医过程造成二次损失。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1、功能：用于固定、搬运、转运受伤人员。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2、材质：PVC 材料，表面不易损坏，可洗涤。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3、结构：包括躯体气囊、手泵、手提包。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4、性能：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（1）要有手动负压装置，快速成型，牢固、轻便；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△（2）真空状态应保持70个小时以上；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（3）能配合直升机使用，可根据采购方需要定做；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（4）不影响 X 光、CT、MRI 检查，四季能用；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（5）躯体固定器可按伤员的各种形态而变化；</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5、承重≥150kg；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6、适应-30℃-80℃环境温度。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lang w:bidi="ar"/>
        </w:rPr>
        <w:t>配备收纳包，具有防水、防磨功能。</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3、水面漂浮救生绳（200米）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技术参数：适用于水域救援、船舶救生、水上作业、户外攀登等救生圈和救生用的绳索，可配在小船上、救生浮上、救生筏上， 同时可作为矿难搜救﹑夜间搜救。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1、符合GB/T8834--2016绳索有关物理和机械性能的测定,救生绳线密度测试按GB/T8834-2016规定的方法进行测量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2、具有可漂浮性，带有反光功能，夜间标明显</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3、长度≥200m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△4、直径≥12mm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5、其内线为PP绳（等同或优于），外线为荧光线制成，强度高、延伸率小、抗击性能好，具有不吸水、拉力强、可漂浮、抗老化、防腐蚀等优点。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△6、最小破断强度不小于35kN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7、重量：不大于8kg/100m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8、延伸率：承重达到最小破断强度的10%时救生绳延伸率不大于3%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9、经48小时的漂浮性能试验，绳漂浮在水面上。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lang w:bidi="ar"/>
        </w:rPr>
        <w:t>配备专用收纳包</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14、通用安全绳（200米）（核心产品）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1、符合XF 494-2023《消防用防坠落装备》标准，提供国家消防装备质量监督检验中心出具的检测报告或EN、CE认证；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2、安全绳应由原纤维制成；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3、安全绳应为连续结构，主承重部分应由连续纤维制成；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4、安全绳应采用夹心绳结构；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5、安全绳表面应无任何机械损伤现象，整绳粗细均匀、结构一致；</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6、安全绳的长度为≥200m每根安全绳的两端应妥善收尾，宜采用绳环结构，并用同种材料的细绳扎缝不少于50mm，在扎缝处热封，扎缝处包以裹紧的橡胶或塑料套管；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7、安全绳的最小破断强度：应不小于40kN；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8、安全绳的延伸率：当承重达到最小破断强度的10%时，安全绳的延伸率应不小于1%且不大于10%；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9、安全绳的直径12.5-16mm；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10、安全绳的耐高温性能：经204℃±5℃的耐高温性能试验后，安全绳不应出现融熔，焦化现象。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11、</w:t>
      </w:r>
      <w:r>
        <w:rPr>
          <w:rFonts w:hint="eastAsia" w:ascii="宋体" w:hAnsi="宋体" w:eastAsia="宋体" w:cs="宋体"/>
          <w:color w:val="auto"/>
          <w:sz w:val="24"/>
          <w:szCs w:val="24"/>
          <w:highlight w:val="none"/>
          <w:lang w:bidi="ar"/>
        </w:rPr>
        <w:t>配备绳包、安全挂钩≥2个。</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5、舷外机（含油箱防护罩）</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技术参数：用于水域救援，冲锋舟及橡皮艇舷外机；</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1、发动机最大输出功率：≥29kW；马力≥40匹；</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2、发动机类型：两缸两冲程水冷发动机，铝合金螺旋桨；</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3、转速(转/分)：≥5000r/min；</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4、排量：≥700cc；</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5、启动系统：采用手动和电启动，后操控系统；</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6、润滑系统：预混机油和汽油；</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7、倾斜系统：手动倾斜；</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8、净重重量：≤85kg；</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9、油箱L：≥20；</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配备：油箱+油管2个，保险钥匙≥3个，叶轮防罩2个，具有锁止功能专用推车1个，船外机固定绳1根，原装叶轮2个，化油器2个，进气滤芯2个，走动拉盘1个，火花塞10个，限位杆3个，发动机维修工具箱1套（火花塞套筒、钳子、十字起、一字起）。</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16、橡皮艇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产品主要适用于江河、水库、湖泊、近海等水域防汛抢险、水域救援、防汛救灾、运输物资以及城市内涝救援、转移受灾群众等作业。船底部做防磨耐刮处理，浮筒设计有间隔膜，完全独立设计，不仅能保护各个气室安全，完全的密封，并且也可以灵活的调节各个气室部分的压力平衡，提高艇体安全系数。船艇至少配备船桨4付，座板2块，电动高压气泵1个，维修工具包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（至少包含船艇修补工具、气瓶充气转换接头、充气压力显示表等），修理桶1个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具有锁止功能舷外机手推车</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手动充气泵</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1.2、艇身材质： PVC 夹网材质，厚度≥ 0.9mm；配件粘接采用进口 PVC 专用聚氨酯胶，高持久力并耐热、耐寒、耐盐水的性能，配件周边并做加固处理。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1.3、在气囊与挂机艉板结合处做加固，并用专用螺栓加强；全包围的橡胶条加固龙骨有靠岸防擦板。</w:t>
      </w:r>
    </w:p>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1.4、浮筒外侧需安装安全绳索，艇身加装安全把手用于固定抓握，保障人员安全，艇身安装 3M 防水反光条不少于 8 处，船底M型，充气底板可快速拆装，必要时作为救生浮板使用。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1.5、船艇静态稳定性应≤20°，船艇干舷高度≥340mm，船艇空载航速应≥30km/h。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1.6、配备2冲程知名品牌螺旋桨式舷外机，加装舷外机保护罩，马力应≥30匹,配备2个以上油箱</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船身油箱固定带</w:t>
      </w:r>
      <w:r>
        <w:rPr>
          <w:rFonts w:hint="eastAsia" w:ascii="宋体" w:hAnsi="宋体" w:eastAsia="宋体" w:cs="宋体"/>
          <w:color w:val="auto"/>
          <w:sz w:val="24"/>
          <w:szCs w:val="24"/>
          <w:highlight w:val="none"/>
        </w:rPr>
        <w:t>。舟艇维修工具包1个，内含胶水、气嘴扳手以及舟艇材料等；</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1.7、气室≥3个，成员数≥6人，气囊数：3+3+2；承载重量≥800KGM 型艇底，船底增项，底部及船头附带夹网布装甲， 增加船体的耐磨性与防穿刺强度。</w:t>
      </w:r>
    </w:p>
    <w:p>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1.8、具有相关部门出具的检测报告、具有国家消防检测中心检测报告</w:t>
      </w:r>
      <w:r>
        <w:rPr>
          <w:rFonts w:hint="eastAsia" w:ascii="宋体" w:hAnsi="宋体" w:eastAsia="宋体" w:cs="宋体"/>
          <w:b/>
          <w:bCs/>
          <w:color w:val="auto"/>
          <w:sz w:val="24"/>
          <w:szCs w:val="24"/>
          <w:highlight w:val="none"/>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17、移动供气源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技术参数：符合GA124-2013《正压式消防空气呼吸器》及XF1261-2015《长管空气呼吸器》的标准，用于人员在有烟雾、毒气、粉尘或缺氧等特殊环境中的呼吸保护。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1、符合XF124-2013《消防员正压式空气呼吸器》标准及XF1261-2015《长管空气呼吸器》标准。</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2、配备：9.0L 气瓶≥4 具，减压供气系统、供气管（≥40 米 2 根、≥10 米 2 根）、≥2 个呼吸面罩，≥1 个移动车架、≥1个三通阀门、自动供压阀等。导气长管卷筒及携带箱、气源分配器、减压器、高压压力表、中压表、压力报警器、供气阀、全面罩2个及腰带2根、Y型转换接口2个。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3、可单人背负也可置于地面推行。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4、中压导管的总长≥50米（可根据需要调节长度）。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5、面罩需防雾及硬化处理。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6、供气阀可与面罩360°快速插接。</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7、具备高压报警功能。报警压力5.5±0.5MPa；连续声响≥15s 发声声级≥92dB。间歇声响警报不应少于 60s，其声强峰值不应小于 90dB(A)，声响频率范围应在 2000-4000Hz 之间。之后，警报器应继续报警，直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至气瓶压力降至 1MPa 为止。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8、可同时供两人使用；更换气瓶时互相不干扰。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9、额定工作压力≥30MPa，报警压力4-6MPa。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10、采用9L双瓶设计，碳纤维复合气瓶。</w:t>
      </w:r>
    </w:p>
    <w:p>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11、气密性：在气密性能试验后，压力指示值在1 min内的下降不应大于2 MPa。</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18、移动式消防炮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技术参数：GB19156-2019《消防炮》标准要求。采用球阀式流道设计，快递翻转折叠式支撑角，单人即可操作，具有射程远，射流集中，操作便捷，快速移动的特点。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（1）遥控器启动至消防炮动作的响应时间≤1s；</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（2）无线遥控距离：大于200 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（3）额定喷射压力≤0.8MPa；</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（4）流量≥60L/s；</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（5）射程：直流水≥80m；泡沫≥70m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（6）最小仰角范围：≥30°至85°；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（7）水平回转角≥90°；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（8）最大喷雾角≥120°；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（9）炮体上有警示标志，设有保险带，有≥2个进水口，水炮可配80接口；</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（10）重量≤35KG，可以水泡沫两用；</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（11）配置泡沫炮头</w:t>
      </w:r>
      <w:r>
        <w:rPr>
          <w:rFonts w:hint="eastAsia" w:ascii="宋体" w:hAnsi="宋体" w:eastAsia="宋体" w:cs="宋体"/>
          <w:color w:val="auto"/>
          <w:sz w:val="24"/>
          <w:szCs w:val="24"/>
          <w:highlight w:val="none"/>
          <w:lang w:eastAsia="zh"/>
        </w:rPr>
        <w:t>1个、</w:t>
      </w:r>
      <w:r>
        <w:rPr>
          <w:rFonts w:hint="eastAsia" w:ascii="宋体" w:hAnsi="宋体" w:eastAsia="宋体" w:cs="宋体"/>
          <w:color w:val="auto"/>
          <w:sz w:val="24"/>
          <w:szCs w:val="24"/>
          <w:highlight w:val="none"/>
          <w:lang w:bidi="ar"/>
        </w:rPr>
        <w:t>水炮拖车</w:t>
      </w:r>
      <w:r>
        <w:rPr>
          <w:rFonts w:hint="eastAsia" w:ascii="宋体" w:hAnsi="宋体" w:eastAsia="宋体" w:cs="宋体"/>
          <w:color w:val="auto"/>
          <w:sz w:val="24"/>
          <w:szCs w:val="24"/>
          <w:highlight w:val="none"/>
          <w:lang w:eastAsia="zh" w:bidi="ar"/>
        </w:rPr>
        <w:t>1台</w:t>
      </w:r>
      <w:r>
        <w:rPr>
          <w:rFonts w:hint="eastAsia" w:ascii="宋体" w:hAnsi="宋体" w:eastAsia="宋体" w:cs="宋体"/>
          <w:color w:val="auto"/>
          <w:sz w:val="24"/>
          <w:szCs w:val="24"/>
          <w:highlight w:val="none"/>
          <w:lang w:bidi="ar"/>
        </w:rPr>
        <w:t>,各类转换接口≥2套。</w:t>
      </w:r>
    </w:p>
    <w:p>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2、其他性能和要求满足GB19156-2019《消防炮》标准要求。</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19、肢体固定气囊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技术参数：用于突发事故现场、固定头、颈、胸、脊、臀、盆骨及上下肢骨伤骨折，能有效防止因现场处理不当及送医过程造成二次损失。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1、总体性能符合市场准入标准要求，提供国家专业机构检测报告；</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2、肢体固定气囊用真空成型原理，将夹板内空气抽出，真空夹板快速形成硬性固定成型体分躯体、肢干、颈椎固定；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3、表面织物由耐磨材料无缝熔接制成，内充物为无毒，无味聚苯乙烯高分子颗粒；</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4、躯干脊椎尺寸（mm，长*宽）≥970*600；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5、上肢尺寸（mm，长*宽）≥400*350；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6、下肢尺寸（mm，长*宽）≥700*510；</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7、可用X光，四季都能使用，表面不容易损坏，可洗涤，躯体固定器可按伤员各种形态而变化。可用X光、CT、MRI检查；气密性：大气压维持48小时以上，压力下降≥1%；使用环境温度 0℃～80℃。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8、配置包括肢体固定气囊，上肢夹板、下肢夹板、躯干夹板、正负压气泵、存储包，备 2 个充气接口</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20、重型支撑套具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技术参数：符合重型支撑套具试验大纲</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GB/T 2423.3-2016 环境试验 第2部分:试验方法 试验Cab:恒定湿热试验，用于交通事故、地震、塌方、建筑物坍塌的支撑作业，可对危险建筑物进行固定支撑，也可用于车辆事故救援中车辆的支撑固定，还可用于沟渠和坑道塌方等灾害现场的 </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支撑作业。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一、整体要求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1.1符合重型支撑套具试验大纲GB/T 2423.3-2016</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1.2材质：高强度轻型航空铝合金（或优于），所有部件经阳极涂层处理；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2.1安全系数≥4:1；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2.2可手动/气动两种方式，可在行程内任何位置锁止。可实现垂直、水平和斜角支撑。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2.3单根轴向承载能力≥20T。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2.4配备有三脚基座，可以将三个套筒组合起来组成横梁支撑或危墙斜支撑；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2.整套配置包括：</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2.1快速支撑杆≥3种规格；不低于9根。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2.2延长杆≥4种规格不低于≥12根；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2.3各类底座：≥ 12个；横梁支撑配件≥ 6个；牵引器≥ 3个；各类配件≥10个；扳手≥ 2个；电动绞盘≥ 1个；脚踏泵≥ 2个；滑轮≥ 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2.4另外需配备满足功能配件并留有备份。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3.1提供相关检验部门出具的检验合格材料，及提供省级以上检测机构出具的检测报告。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3.2使用说明书，生产厂家详细地址、联络方式及代理商的详细地址和售后服务联络方式。</w:t>
      </w:r>
    </w:p>
    <w:p>
      <w:pPr>
        <w:spacing w:line="360" w:lineRule="auto"/>
        <w:rPr>
          <w:rFonts w:hint="eastAsia" w:ascii="宋体" w:hAnsi="宋体" w:eastAsia="宋体" w:cs="宋体"/>
          <w:color w:val="auto"/>
          <w:sz w:val="24"/>
          <w:szCs w:val="24"/>
          <w:highlight w:val="none"/>
        </w:rPr>
      </w:pPr>
    </w:p>
    <w:p>
      <w:pPr>
        <w:pStyle w:val="7"/>
        <w:rPr>
          <w:rFonts w:hint="eastAsia" w:ascii="宋体" w:hAnsi="宋体" w:cs="宋体"/>
          <w:b/>
          <w:bCs/>
          <w:color w:val="auto"/>
          <w:sz w:val="24"/>
          <w:szCs w:val="24"/>
          <w:highlight w:val="none"/>
          <w:lang w:val="en-US" w:eastAsia="zh-CN"/>
        </w:rPr>
      </w:pPr>
    </w:p>
    <w:p>
      <w:pPr>
        <w:pStyle w:val="7"/>
        <w:rPr>
          <w:rFonts w:hint="eastAsia" w:ascii="宋体" w:hAnsi="宋体" w:cs="宋体"/>
          <w:b/>
          <w:bCs/>
          <w:color w:val="auto"/>
          <w:sz w:val="24"/>
          <w:szCs w:val="24"/>
          <w:highlight w:val="none"/>
          <w:lang w:val="en-US" w:eastAsia="zh-CN"/>
        </w:rPr>
      </w:pPr>
    </w:p>
    <w:p>
      <w:pPr>
        <w:pStyle w:val="12"/>
        <w:rPr>
          <w:rFonts w:hint="eastAsia" w:ascii="宋体" w:hAnsi="宋体" w:cs="宋体"/>
          <w:b/>
          <w:bCs/>
          <w:color w:val="auto"/>
          <w:sz w:val="24"/>
          <w:szCs w:val="24"/>
          <w:highlight w:val="none"/>
          <w:lang w:val="en-US" w:eastAsia="zh-CN"/>
        </w:rPr>
      </w:pPr>
    </w:p>
    <w:p>
      <w:pPr>
        <w:rPr>
          <w:rFonts w:hint="eastAsia"/>
          <w:color w:val="auto"/>
          <w:highlight w:val="none"/>
          <w:lang w:val="en-US" w:eastAsia="zh-CN"/>
        </w:rPr>
      </w:pPr>
    </w:p>
    <w:p>
      <w:pPr>
        <w:rPr>
          <w:rFonts w:hint="eastAsia" w:ascii="宋体" w:hAnsi="宋体" w:cs="宋体"/>
          <w:b/>
          <w:bCs/>
          <w:color w:val="auto"/>
          <w:sz w:val="24"/>
          <w:szCs w:val="24"/>
          <w:highlight w:val="none"/>
          <w:lang w:val="en-US" w:eastAsia="zh-CN"/>
        </w:rPr>
      </w:pPr>
    </w:p>
    <w:p>
      <w:pPr>
        <w:pStyle w:val="7"/>
        <w:rPr>
          <w:rFonts w:hint="eastAsia" w:ascii="宋体" w:hAnsi="宋体" w:cs="宋体"/>
          <w:b/>
          <w:bCs/>
          <w:color w:val="auto"/>
          <w:sz w:val="24"/>
          <w:szCs w:val="24"/>
          <w:highlight w:val="none"/>
          <w:lang w:val="en-US" w:eastAsia="zh-CN"/>
        </w:rPr>
      </w:pPr>
    </w:p>
    <w:p>
      <w:pPr>
        <w:numPr>
          <w:ilvl w:val="0"/>
          <w:numId w:val="12"/>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p>
    <w:p>
      <w:pPr>
        <w:pStyle w:val="2"/>
        <w:rPr>
          <w:rFonts w:ascii="宋体" w:cs="宋体"/>
          <w:color w:val="auto"/>
          <w:szCs w:val="32"/>
          <w:highlight w:val="none"/>
        </w:rPr>
      </w:pPr>
      <w:bookmarkStart w:id="506" w:name="_Toc40112142"/>
      <w:bookmarkStart w:id="507" w:name="_Toc11783"/>
      <w:bookmarkStart w:id="508" w:name="_Toc32581"/>
      <w:bookmarkStart w:id="509" w:name="_Toc21444"/>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506"/>
      <w:bookmarkEnd w:id="507"/>
      <w:bookmarkEnd w:id="508"/>
      <w:bookmarkEnd w:id="509"/>
    </w:p>
    <w:p>
      <w:pPr>
        <w:spacing w:line="360" w:lineRule="auto"/>
        <w:ind w:left="720"/>
        <w:rPr>
          <w:color w:val="auto"/>
          <w:highlight w:val="none"/>
        </w:rPr>
      </w:pPr>
    </w:p>
    <w:p>
      <w:pPr>
        <w:pStyle w:val="11"/>
        <w:spacing w:beforeLines="100" w:afterLines="100" w:line="360" w:lineRule="auto"/>
        <w:jc w:val="center"/>
        <w:rPr>
          <w:rFonts w:hint="eastAsia" w:hAnsi="宋体" w:eastAsia="宋体" w:cs="宋体"/>
          <w:b/>
          <w:color w:val="auto"/>
          <w:sz w:val="36"/>
          <w:szCs w:val="36"/>
          <w:highlight w:val="none"/>
          <w:lang w:eastAsia="zh-CN"/>
        </w:rPr>
      </w:pPr>
      <w:r>
        <w:rPr>
          <w:rFonts w:hint="eastAsia" w:hAnsi="宋体" w:cs="宋体"/>
          <w:b/>
          <w:color w:val="auto"/>
          <w:sz w:val="44"/>
          <w:szCs w:val="44"/>
          <w:highlight w:val="none"/>
          <w:lang w:eastAsia="zh-CN"/>
        </w:rPr>
        <w:t>平顶山市消防救援支队河南省消防救援总队“自然灾害应急能力提升工程”平顶山支队装备建设项目（二次）</w:t>
      </w:r>
    </w:p>
    <w:p>
      <w:pPr>
        <w:pStyle w:val="11"/>
        <w:spacing w:beforeLines="100" w:afterLines="100" w:line="360" w:lineRule="auto"/>
        <w:jc w:val="center"/>
        <w:rPr>
          <w:rFonts w:hAnsi="宋体" w:cs="宋体"/>
          <w:b/>
          <w:color w:val="auto"/>
          <w:sz w:val="36"/>
          <w:szCs w:val="36"/>
          <w:highlight w:val="none"/>
        </w:rPr>
      </w:pPr>
    </w:p>
    <w:p>
      <w:pPr>
        <w:pStyle w:val="11"/>
        <w:spacing w:beforeLines="100" w:afterLines="100" w:line="360" w:lineRule="auto"/>
        <w:jc w:val="center"/>
        <w:rPr>
          <w:rFonts w:hint="eastAsia" w:hAnsi="宋体" w:eastAsia="宋体" w:cs="宋体"/>
          <w:b/>
          <w:color w:val="auto"/>
          <w:sz w:val="36"/>
          <w:szCs w:val="36"/>
          <w:highlight w:val="none"/>
          <w:lang w:eastAsia="zh-CN"/>
        </w:rPr>
      </w:pPr>
      <w:r>
        <w:rPr>
          <w:rFonts w:hint="eastAsia" w:hAnsi="宋体" w:cs="宋体"/>
          <w:b/>
          <w:color w:val="auto"/>
          <w:sz w:val="36"/>
          <w:szCs w:val="36"/>
          <w:highlight w:val="none"/>
          <w:lang w:eastAsia="zh-CN"/>
        </w:rPr>
        <w:t>（包</w:t>
      </w:r>
      <w:r>
        <w:rPr>
          <w:rFonts w:hint="eastAsia" w:hAnsi="宋体" w:cs="宋体"/>
          <w:b/>
          <w:color w:val="auto"/>
          <w:sz w:val="36"/>
          <w:szCs w:val="36"/>
          <w:highlight w:val="none"/>
          <w:lang w:val="en-US" w:eastAsia="zh-CN"/>
        </w:rPr>
        <w:t xml:space="preserve">     </w:t>
      </w:r>
      <w:r>
        <w:rPr>
          <w:rFonts w:hint="eastAsia" w:hAnsi="宋体" w:cs="宋体"/>
          <w:b/>
          <w:color w:val="auto"/>
          <w:sz w:val="36"/>
          <w:szCs w:val="36"/>
          <w:highlight w:val="none"/>
          <w:lang w:eastAsia="zh-CN"/>
        </w:rPr>
        <w:t>）</w:t>
      </w:r>
    </w:p>
    <w:p>
      <w:pPr>
        <w:pStyle w:val="11"/>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pPr>
        <w:pStyle w:val="11"/>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pPr>
        <w:pStyle w:val="11"/>
        <w:spacing w:beforeLines="100" w:afterLines="100" w:line="360" w:lineRule="auto"/>
        <w:rPr>
          <w:rFonts w:hAnsi="宋体" w:cs="宋体"/>
          <w:b/>
          <w:bCs/>
          <w:color w:val="auto"/>
          <w:sz w:val="32"/>
          <w:highlight w:val="none"/>
          <w:u w:val="single"/>
        </w:rPr>
      </w:pPr>
    </w:p>
    <w:p>
      <w:pPr>
        <w:pStyle w:val="11"/>
        <w:spacing w:beforeLines="100" w:afterLines="100" w:line="360" w:lineRule="auto"/>
        <w:jc w:val="center"/>
        <w:rPr>
          <w:rFonts w:hAnsi="宋体" w:cs="宋体"/>
          <w:b/>
          <w:bCs/>
          <w:color w:val="auto"/>
          <w:sz w:val="32"/>
          <w:highlight w:val="none"/>
          <w:u w:val="single"/>
        </w:rPr>
      </w:pPr>
    </w:p>
    <w:p>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pPr>
        <w:pStyle w:val="9"/>
        <w:spacing w:line="360" w:lineRule="auto"/>
        <w:ind w:left="0" w:leftChars="0" w:firstLine="2129" w:firstLineChars="707"/>
        <w:rPr>
          <w:rFonts w:ascii="宋体" w:cs="宋体"/>
          <w:b/>
          <w:bCs/>
          <w:color w:val="auto"/>
          <w:sz w:val="30"/>
          <w:szCs w:val="30"/>
          <w:highlight w:val="none"/>
        </w:rPr>
      </w:pPr>
    </w:p>
    <w:p>
      <w:pPr>
        <w:pStyle w:val="10"/>
        <w:spacing w:line="360" w:lineRule="auto"/>
        <w:ind w:left="31680" w:right="31680"/>
        <w:rPr>
          <w:rFonts w:ascii="宋体" w:cs="宋体"/>
          <w:b/>
          <w:color w:val="auto"/>
          <w:sz w:val="24"/>
          <w:highlight w:val="none"/>
        </w:rPr>
      </w:pPr>
    </w:p>
    <w:p>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pPr>
        <w:pStyle w:val="10"/>
        <w:spacing w:line="360" w:lineRule="auto"/>
        <w:ind w:left="0" w:leftChars="0" w:right="31680"/>
        <w:jc w:val="center"/>
        <w:rPr>
          <w:rFonts w:ascii="宋体" w:cs="宋体"/>
          <w:color w:val="auto"/>
          <w:highlight w:val="none"/>
        </w:rPr>
      </w:pPr>
    </w:p>
    <w:p>
      <w:pPr>
        <w:spacing w:line="360" w:lineRule="auto"/>
        <w:rPr>
          <w:rFonts w:ascii="宋体" w:cs="宋体"/>
          <w:bCs/>
          <w:color w:val="auto"/>
          <w:szCs w:val="21"/>
          <w:highlight w:val="none"/>
        </w:rPr>
      </w:pPr>
    </w:p>
    <w:p>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510" w:name="_Toc5119"/>
      <w:bookmarkStart w:id="511" w:name="_Toc13982"/>
      <w:bookmarkStart w:id="512" w:name="_Toc26798"/>
      <w:r>
        <w:rPr>
          <w:rFonts w:hint="eastAsia" w:ascii="宋体" w:hAnsi="宋体" w:cs="宋体"/>
          <w:b/>
          <w:color w:val="auto"/>
          <w:sz w:val="32"/>
          <w:highlight w:val="none"/>
        </w:rPr>
        <w:t>一、投标函及投标函附录</w:t>
      </w:r>
      <w:bookmarkEnd w:id="510"/>
      <w:bookmarkEnd w:id="511"/>
      <w:bookmarkEnd w:id="512"/>
    </w:p>
    <w:p>
      <w:pPr>
        <w:spacing w:before="212" w:line="360" w:lineRule="auto"/>
        <w:ind w:left="1"/>
        <w:jc w:val="center"/>
        <w:rPr>
          <w:b/>
          <w:color w:val="auto"/>
          <w:sz w:val="32"/>
          <w:highlight w:val="none"/>
        </w:rPr>
      </w:pPr>
      <w:bookmarkStart w:id="513" w:name="（一）投标函"/>
      <w:bookmarkEnd w:id="513"/>
      <w:r>
        <w:rPr>
          <w:rFonts w:hint="eastAsia"/>
          <w:b/>
          <w:color w:val="auto"/>
          <w:sz w:val="32"/>
          <w:highlight w:val="none"/>
        </w:rPr>
        <w:t>（一）投标函</w:t>
      </w:r>
    </w:p>
    <w:p>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pPr>
        <w:autoSpaceDE w:val="0"/>
        <w:autoSpaceDN w:val="0"/>
        <w:spacing w:line="360" w:lineRule="auto"/>
        <w:ind w:firstLine="720" w:firstLineChars="3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w:t>
      </w:r>
      <w:r>
        <w:rPr>
          <w:rFonts w:hint="eastAsia" w:ascii="宋体" w:hAnsi="宋体" w:cs="宋体"/>
          <w:color w:val="auto"/>
          <w:kern w:val="0"/>
          <w:sz w:val="24"/>
          <w:highlight w:val="none"/>
          <w:u w:val="single"/>
          <w:lang w:val="en-US" w:eastAsia="zh-CN"/>
        </w:rPr>
        <w:t xml:space="preserve">包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pPr>
        <w:numPr>
          <w:ilvl w:val="2"/>
          <w:numId w:val="13"/>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pPr>
        <w:numPr>
          <w:ilvl w:val="2"/>
          <w:numId w:val="13"/>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pPr>
        <w:numPr>
          <w:ilvl w:val="2"/>
          <w:numId w:val="13"/>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pPr>
        <w:numPr>
          <w:ilvl w:val="2"/>
          <w:numId w:val="13"/>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pPr>
        <w:numPr>
          <w:ilvl w:val="2"/>
          <w:numId w:val="13"/>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pPr>
        <w:spacing w:line="360" w:lineRule="auto"/>
        <w:ind w:firstLine="1200" w:firstLineChars="500"/>
        <w:jc w:val="left"/>
        <w:rPr>
          <w:rFonts w:hint="eastAsia" w:ascii="宋体" w:hAnsi="宋体" w:cs="宋体"/>
          <w:color w:val="auto"/>
          <w:sz w:val="24"/>
          <w:highlight w:val="none"/>
          <w:lang w:eastAsia="zh-CN"/>
        </w:rPr>
      </w:pP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jc w:val="right"/>
        <w:rPr>
          <w:rStyle w:val="29"/>
          <w:color w:val="auto"/>
          <w:szCs w:val="18"/>
          <w:highlight w:val="none"/>
        </w:rPr>
      </w:pPr>
    </w:p>
    <w:p>
      <w:pPr>
        <w:spacing w:line="360" w:lineRule="auto"/>
        <w:jc w:val="right"/>
        <w:rPr>
          <w:rStyle w:val="29"/>
          <w:color w:val="auto"/>
          <w:szCs w:val="18"/>
          <w:highlight w:val="none"/>
        </w:rPr>
      </w:pPr>
    </w:p>
    <w:p>
      <w:pPr>
        <w:numPr>
          <w:ilvl w:val="0"/>
          <w:numId w:val="14"/>
        </w:numPr>
        <w:spacing w:before="217" w:line="360" w:lineRule="auto"/>
        <w:ind w:left="3"/>
        <w:jc w:val="center"/>
        <w:rPr>
          <w:b/>
          <w:color w:val="auto"/>
          <w:sz w:val="32"/>
          <w:highlight w:val="none"/>
        </w:rPr>
      </w:pPr>
      <w:bookmarkStart w:id="514" w:name="（二）投标函附录1"/>
      <w:bookmarkEnd w:id="514"/>
      <w:r>
        <w:rPr>
          <w:rFonts w:hint="eastAsia"/>
          <w:b/>
          <w:color w:val="auto"/>
          <w:sz w:val="32"/>
          <w:highlight w:val="none"/>
        </w:rPr>
        <w:t>投标函附录</w:t>
      </w:r>
      <w:r>
        <w:rPr>
          <w:b/>
          <w:color w:val="auto"/>
          <w:sz w:val="32"/>
          <w:highlight w:val="none"/>
        </w:rPr>
        <w:t xml:space="preserve"> </w:t>
      </w:r>
    </w:p>
    <w:p>
      <w:pPr>
        <w:pStyle w:val="10"/>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2"/>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pPr>
              <w:pStyle w:val="27"/>
              <w:spacing w:before="35" w:line="360" w:lineRule="auto"/>
              <w:ind w:left="106"/>
              <w:jc w:val="center"/>
              <w:rPr>
                <w:color w:val="auto"/>
                <w:highlight w:val="none"/>
              </w:rPr>
            </w:pPr>
            <w:r>
              <w:rPr>
                <w:rFonts w:hint="eastAsia"/>
                <w:color w:val="auto"/>
                <w:highlight w:val="none"/>
              </w:rPr>
              <w:t>投标人名称</w:t>
            </w:r>
          </w:p>
        </w:tc>
        <w:tc>
          <w:tcPr>
            <w:tcW w:w="6976"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pPr>
              <w:pStyle w:val="27"/>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pPr>
              <w:pStyle w:val="27"/>
              <w:spacing w:before="43" w:line="360" w:lineRule="auto"/>
              <w:jc w:val="center"/>
              <w:rPr>
                <w:rFonts w:hint="default"/>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pPr>
              <w:pStyle w:val="27"/>
              <w:spacing w:before="43" w:line="360" w:lineRule="auto"/>
              <w:ind w:left="106" w:leftChars="0"/>
              <w:jc w:val="center"/>
              <w:rPr>
                <w:rFonts w:hint="eastAsia"/>
                <w:color w:val="auto"/>
                <w:highlight w:val="none"/>
              </w:rPr>
            </w:pPr>
            <w:r>
              <w:rPr>
                <w:rFonts w:hint="eastAsia"/>
                <w:color w:val="auto"/>
                <w:highlight w:val="none"/>
                <w:lang w:eastAsia="zh-CN"/>
              </w:rPr>
              <w:t>包名称</w:t>
            </w:r>
          </w:p>
        </w:tc>
        <w:tc>
          <w:tcPr>
            <w:tcW w:w="6976" w:type="dxa"/>
            <w:vAlign w:val="center"/>
          </w:tcPr>
          <w:p>
            <w:pPr>
              <w:pStyle w:val="27"/>
              <w:spacing w:before="43" w:line="360" w:lineRule="auto"/>
              <w:jc w:val="both"/>
              <w:rPr>
                <w:rFonts w:hint="default"/>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pPr>
              <w:pStyle w:val="27"/>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pPr>
              <w:pStyle w:val="27"/>
              <w:spacing w:before="43" w:line="360" w:lineRule="auto"/>
              <w:jc w:val="center"/>
              <w:rPr>
                <w:color w:val="auto"/>
                <w:highlight w:val="none"/>
              </w:rPr>
            </w:pPr>
            <w:r>
              <w:rPr>
                <w:rFonts w:hint="eastAsia"/>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交货期</w:t>
            </w:r>
          </w:p>
        </w:tc>
        <w:tc>
          <w:tcPr>
            <w:tcW w:w="6976" w:type="dxa"/>
            <w:vAlign w:val="center"/>
          </w:tcPr>
          <w:p>
            <w:pPr>
              <w:pStyle w:val="27"/>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pPr>
              <w:pStyle w:val="27"/>
              <w:spacing w:before="1" w:line="360" w:lineRule="auto"/>
              <w:ind w:left="106"/>
              <w:jc w:val="center"/>
              <w:rPr>
                <w:color w:val="auto"/>
                <w:highlight w:val="none"/>
              </w:rPr>
            </w:pPr>
            <w:r>
              <w:rPr>
                <w:rFonts w:hint="eastAsia"/>
                <w:color w:val="auto"/>
                <w:highlight w:val="none"/>
              </w:rPr>
              <w:t>质量保证期</w:t>
            </w:r>
          </w:p>
        </w:tc>
        <w:tc>
          <w:tcPr>
            <w:tcW w:w="6976" w:type="dxa"/>
          </w:tcPr>
          <w:p>
            <w:pPr>
              <w:pStyle w:val="27"/>
              <w:spacing w:before="43" w:line="360" w:lineRule="auto"/>
              <w:jc w:val="center"/>
              <w:rPr>
                <w:rFonts w:hint="default"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7"/>
              <w:spacing w:before="17" w:line="360" w:lineRule="auto"/>
              <w:ind w:left="106"/>
              <w:jc w:val="center"/>
              <w:rPr>
                <w:color w:val="auto"/>
                <w:highlight w:val="none"/>
              </w:rPr>
            </w:pPr>
            <w:r>
              <w:rPr>
                <w:rFonts w:hint="eastAsia"/>
                <w:color w:val="auto"/>
                <w:highlight w:val="none"/>
              </w:rPr>
              <w:t>投标有效期</w:t>
            </w:r>
          </w:p>
        </w:tc>
        <w:tc>
          <w:tcPr>
            <w:tcW w:w="6976" w:type="dxa"/>
          </w:tcPr>
          <w:p>
            <w:pPr>
              <w:pStyle w:val="27"/>
              <w:spacing w:before="43" w:line="360" w:lineRule="auto"/>
              <w:jc w:val="center"/>
              <w:rPr>
                <w:color w:val="auto"/>
                <w:highlight w:val="none"/>
              </w:rPr>
            </w:pPr>
            <w:r>
              <w:rPr>
                <w:rFonts w:hint="eastAsia" w:ascii="宋体" w:hAnsi="宋体" w:eastAsia="宋体" w:cs="宋体"/>
                <w:color w:val="auto"/>
                <w:sz w:val="24"/>
                <w:szCs w:val="24"/>
                <w:highlight w:val="none"/>
              </w:rPr>
              <w:t>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7"/>
              <w:spacing w:before="18" w:line="360" w:lineRule="auto"/>
              <w:ind w:left="106"/>
              <w:jc w:val="center"/>
              <w:rPr>
                <w:color w:val="auto"/>
                <w:highlight w:val="none"/>
              </w:rPr>
            </w:pPr>
            <w:r>
              <w:rPr>
                <w:rFonts w:hint="eastAsia"/>
                <w:color w:val="auto"/>
                <w:highlight w:val="none"/>
              </w:rPr>
              <w:t>质量要求</w:t>
            </w:r>
          </w:p>
        </w:tc>
        <w:tc>
          <w:tcPr>
            <w:tcW w:w="6976" w:type="dxa"/>
          </w:tcPr>
          <w:p>
            <w:pPr>
              <w:pStyle w:val="27"/>
              <w:spacing w:before="43" w:line="360" w:lineRule="auto"/>
              <w:jc w:val="center"/>
              <w:rPr>
                <w:rFonts w:hint="eastAsia" w:eastAsia="宋体"/>
                <w:color w:val="auto"/>
                <w:sz w:val="2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7"/>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交货地点</w:t>
            </w:r>
          </w:p>
        </w:tc>
        <w:tc>
          <w:tcPr>
            <w:tcW w:w="6976" w:type="dxa"/>
          </w:tcPr>
          <w:p>
            <w:pPr>
              <w:pStyle w:val="27"/>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vAlign w:val="center"/>
          </w:tcPr>
          <w:p>
            <w:pPr>
              <w:pStyle w:val="27"/>
              <w:spacing w:before="12" w:line="360" w:lineRule="auto"/>
              <w:ind w:left="106"/>
              <w:jc w:val="center"/>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pPr>
              <w:pStyle w:val="27"/>
              <w:spacing w:before="12" w:line="360" w:lineRule="auto"/>
              <w:ind w:left="107"/>
              <w:jc w:val="both"/>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pStyle w:val="27"/>
              <w:spacing w:before="12" w:line="360" w:lineRule="auto"/>
              <w:ind w:left="106"/>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其他声明</w:t>
            </w:r>
          </w:p>
        </w:tc>
        <w:tc>
          <w:tcPr>
            <w:tcW w:w="6976" w:type="dxa"/>
          </w:tcPr>
          <w:p>
            <w:pPr>
              <w:pStyle w:val="27"/>
              <w:spacing w:before="12" w:line="360" w:lineRule="auto"/>
              <w:ind w:left="107"/>
              <w:jc w:val="both"/>
              <w:rPr>
                <w:rFonts w:hint="eastAsia" w:ascii="Times New Roman" w:hAnsi="Times New Roman" w:eastAsia="宋体" w:cs="Times New Roman"/>
                <w:color w:val="auto"/>
                <w:kern w:val="2"/>
                <w:sz w:val="24"/>
                <w:szCs w:val="24"/>
                <w:highlight w:val="none"/>
                <w:lang w:val="en-US" w:eastAsia="zh-CN" w:bidi="ar-SA"/>
              </w:rPr>
            </w:pPr>
          </w:p>
        </w:tc>
      </w:tr>
    </w:tbl>
    <w:p>
      <w:pPr>
        <w:pStyle w:val="7"/>
        <w:spacing w:line="360" w:lineRule="auto"/>
        <w:rPr>
          <w:b/>
          <w:color w:val="auto"/>
          <w:sz w:val="20"/>
          <w:highlight w:val="none"/>
        </w:rPr>
      </w:pPr>
    </w:p>
    <w:p>
      <w:pPr>
        <w:pStyle w:val="25"/>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7"/>
        <w:spacing w:line="360" w:lineRule="auto"/>
        <w:rPr>
          <w:b/>
          <w:color w:val="auto"/>
          <w:sz w:val="32"/>
          <w:highlight w:val="none"/>
        </w:rPr>
      </w:pPr>
    </w:p>
    <w:p>
      <w:pPr>
        <w:rPr>
          <w:b/>
          <w:color w:val="auto"/>
          <w:sz w:val="32"/>
          <w:highlight w:val="none"/>
        </w:rPr>
      </w:pPr>
    </w:p>
    <w:p>
      <w:pPr>
        <w:spacing w:before="216" w:line="360" w:lineRule="auto"/>
        <w:jc w:val="center"/>
        <w:rPr>
          <w:b/>
          <w:color w:val="auto"/>
          <w:sz w:val="28"/>
          <w:highlight w:val="none"/>
        </w:rPr>
      </w:pPr>
      <w:bookmarkStart w:id="515" w:name="报价明细表"/>
      <w:bookmarkEnd w:id="515"/>
      <w:r>
        <w:rPr>
          <w:b/>
          <w:color w:val="auto"/>
          <w:sz w:val="28"/>
          <w:highlight w:val="none"/>
        </w:rPr>
        <w:t>2.</w:t>
      </w:r>
      <w:r>
        <w:rPr>
          <w:rFonts w:hint="eastAsia"/>
          <w:b/>
          <w:color w:val="auto"/>
          <w:sz w:val="28"/>
          <w:highlight w:val="none"/>
        </w:rPr>
        <w:t>报价明细表</w:t>
      </w:r>
    </w:p>
    <w:p>
      <w:pPr>
        <w:pStyle w:val="7"/>
        <w:spacing w:before="4" w:line="360" w:lineRule="auto"/>
        <w:rPr>
          <w:b/>
          <w:color w:val="auto"/>
          <w:sz w:val="9"/>
          <w:highlight w:val="none"/>
        </w:rPr>
      </w:pPr>
    </w:p>
    <w:p>
      <w:pPr>
        <w:pStyle w:val="7"/>
        <w:spacing w:before="66" w:line="360" w:lineRule="auto"/>
        <w:ind w:right="333"/>
        <w:jc w:val="right"/>
        <w:rPr>
          <w:color w:val="auto"/>
          <w:highlight w:val="none"/>
        </w:rPr>
      </w:pPr>
      <w:r>
        <w:rPr>
          <w:rFonts w:hint="eastAsia"/>
          <w:color w:val="auto"/>
          <w:highlight w:val="none"/>
        </w:rPr>
        <w:t>金额单位：元</w:t>
      </w:r>
    </w:p>
    <w:tbl>
      <w:tblPr>
        <w:tblStyle w:val="22"/>
        <w:tblW w:w="10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3"/>
        <w:gridCol w:w="750"/>
        <w:gridCol w:w="712"/>
        <w:gridCol w:w="1016"/>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7" w:hRule="atLeast"/>
          <w:jc w:val="center"/>
        </w:trPr>
        <w:tc>
          <w:tcPr>
            <w:tcW w:w="599" w:type="dxa"/>
            <w:vAlign w:val="center"/>
          </w:tcPr>
          <w:p>
            <w:pPr>
              <w:pStyle w:val="27"/>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pPr>
              <w:pStyle w:val="27"/>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pPr>
              <w:pStyle w:val="27"/>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pPr>
              <w:pStyle w:val="27"/>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pPr>
              <w:pStyle w:val="27"/>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pPr>
              <w:pStyle w:val="27"/>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pPr>
              <w:pStyle w:val="27"/>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pPr>
              <w:pStyle w:val="27"/>
              <w:spacing w:line="240" w:lineRule="auto"/>
              <w:ind w:left="186"/>
              <w:jc w:val="both"/>
              <w:rPr>
                <w:b w:val="0"/>
                <w:bCs w:val="0"/>
                <w:color w:val="auto"/>
                <w:highlight w:val="none"/>
              </w:rPr>
            </w:pPr>
            <w:r>
              <w:rPr>
                <w:rFonts w:hint="eastAsia"/>
                <w:b w:val="0"/>
                <w:bCs w:val="0"/>
                <w:color w:val="auto"/>
                <w:highlight w:val="none"/>
              </w:rPr>
              <w:t>单位</w:t>
            </w:r>
          </w:p>
        </w:tc>
        <w:tc>
          <w:tcPr>
            <w:tcW w:w="713" w:type="dxa"/>
            <w:vAlign w:val="center"/>
          </w:tcPr>
          <w:p>
            <w:pPr>
              <w:pStyle w:val="27"/>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pPr>
              <w:pStyle w:val="27"/>
              <w:spacing w:line="240" w:lineRule="auto"/>
              <w:ind w:left="171"/>
              <w:jc w:val="center"/>
              <w:rPr>
                <w:b w:val="0"/>
                <w:bCs w:val="0"/>
                <w:color w:val="auto"/>
                <w:highlight w:val="none"/>
              </w:rPr>
            </w:pPr>
            <w:r>
              <w:rPr>
                <w:rFonts w:hint="eastAsia"/>
                <w:b w:val="0"/>
                <w:bCs w:val="0"/>
                <w:color w:val="auto"/>
                <w:highlight w:val="none"/>
              </w:rPr>
              <w:t>单价</w:t>
            </w:r>
          </w:p>
        </w:tc>
        <w:tc>
          <w:tcPr>
            <w:tcW w:w="712" w:type="dxa"/>
            <w:vAlign w:val="center"/>
          </w:tcPr>
          <w:p>
            <w:pPr>
              <w:pStyle w:val="27"/>
              <w:spacing w:line="240" w:lineRule="auto"/>
              <w:ind w:left="171"/>
              <w:jc w:val="center"/>
              <w:rPr>
                <w:b w:val="0"/>
                <w:bCs w:val="0"/>
                <w:color w:val="auto"/>
                <w:highlight w:val="none"/>
              </w:rPr>
            </w:pPr>
            <w:r>
              <w:rPr>
                <w:rFonts w:hint="eastAsia"/>
                <w:b w:val="0"/>
                <w:bCs w:val="0"/>
                <w:color w:val="auto"/>
                <w:highlight w:val="none"/>
              </w:rPr>
              <w:t>总价</w:t>
            </w:r>
          </w:p>
        </w:tc>
        <w:tc>
          <w:tcPr>
            <w:tcW w:w="1016" w:type="dxa"/>
            <w:vAlign w:val="center"/>
          </w:tcPr>
          <w:p>
            <w:pPr>
              <w:pStyle w:val="27"/>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于中型、小</w:t>
            </w:r>
            <w:r>
              <w:rPr>
                <w:rFonts w:hint="eastAsia"/>
                <w:b w:val="0"/>
                <w:bCs w:val="0"/>
                <w:color w:val="auto"/>
                <w:spacing w:val="-2"/>
                <w:highlight w:val="none"/>
              </w:rPr>
              <w:t>型、微</w:t>
            </w:r>
            <w:r>
              <w:rPr>
                <w:rFonts w:hint="eastAsia"/>
                <w:b w:val="0"/>
                <w:bCs w:val="0"/>
                <w:color w:val="auto"/>
                <w:highlight w:val="none"/>
              </w:rPr>
              <w:t>型（填</w:t>
            </w:r>
          </w:p>
          <w:p>
            <w:pPr>
              <w:pStyle w:val="27"/>
              <w:spacing w:line="240" w:lineRule="auto"/>
              <w:ind w:left="107" w:right="60"/>
              <w:jc w:val="center"/>
              <w:rPr>
                <w:b w:val="0"/>
                <w:bCs w:val="0"/>
                <w:color w:val="auto"/>
                <w:highlight w:val="none"/>
              </w:rPr>
            </w:pPr>
            <w:r>
              <w:rPr>
                <w:rFonts w:hint="eastAsia"/>
                <w:b w:val="0"/>
                <w:bCs w:val="0"/>
                <w:color w:val="auto"/>
                <w:highlight w:val="none"/>
              </w:rPr>
              <w:t>中型或小型或微型）</w:t>
            </w:r>
          </w:p>
        </w:tc>
        <w:tc>
          <w:tcPr>
            <w:tcW w:w="767" w:type="dxa"/>
            <w:vAlign w:val="center"/>
          </w:tcPr>
          <w:p>
            <w:pPr>
              <w:pStyle w:val="27"/>
              <w:spacing w:line="240" w:lineRule="auto"/>
              <w:ind w:left="246"/>
              <w:jc w:val="center"/>
              <w:rPr>
                <w:b w:val="0"/>
                <w:bCs w:val="0"/>
                <w:color w:val="auto"/>
                <w:highlight w:val="none"/>
              </w:rPr>
            </w:pPr>
            <w:r>
              <w:rPr>
                <w:rFonts w:hint="eastAsia"/>
                <w:b w:val="0"/>
                <w:bCs w:val="0"/>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599" w:type="dxa"/>
          </w:tcPr>
          <w:p>
            <w:pPr>
              <w:pStyle w:val="27"/>
              <w:spacing w:before="6" w:line="360" w:lineRule="auto"/>
              <w:rPr>
                <w:b w:val="0"/>
                <w:bCs w:val="0"/>
                <w:color w:val="auto"/>
                <w:sz w:val="26"/>
                <w:highlight w:val="none"/>
              </w:rPr>
            </w:pPr>
          </w:p>
          <w:p>
            <w:pPr>
              <w:pStyle w:val="27"/>
              <w:spacing w:line="360" w:lineRule="auto"/>
              <w:ind w:left="9"/>
              <w:jc w:val="center"/>
              <w:rPr>
                <w:b w:val="0"/>
                <w:bCs w:val="0"/>
                <w:color w:val="auto"/>
                <w:highlight w:val="none"/>
              </w:rPr>
            </w:pPr>
            <w:r>
              <w:rPr>
                <w:b w:val="0"/>
                <w:bCs w:val="0"/>
                <w:color w:val="auto"/>
                <w:highlight w:val="none"/>
              </w:rPr>
              <w:t>1</w:t>
            </w:r>
          </w:p>
        </w:tc>
        <w:tc>
          <w:tcPr>
            <w:tcW w:w="661" w:type="dxa"/>
          </w:tcPr>
          <w:p>
            <w:pPr>
              <w:pStyle w:val="27"/>
              <w:spacing w:line="360" w:lineRule="auto"/>
              <w:rPr>
                <w:b w:val="0"/>
                <w:bCs w:val="0"/>
                <w:color w:val="auto"/>
                <w:sz w:val="22"/>
                <w:highlight w:val="none"/>
              </w:rPr>
            </w:pPr>
          </w:p>
        </w:tc>
        <w:tc>
          <w:tcPr>
            <w:tcW w:w="1117" w:type="dxa"/>
            <w:gridSpan w:val="2"/>
          </w:tcPr>
          <w:p>
            <w:pPr>
              <w:pStyle w:val="27"/>
              <w:spacing w:line="360" w:lineRule="auto"/>
              <w:rPr>
                <w:b w:val="0"/>
                <w:bCs w:val="0"/>
                <w:color w:val="auto"/>
                <w:sz w:val="22"/>
                <w:highlight w:val="none"/>
              </w:rPr>
            </w:pPr>
          </w:p>
        </w:tc>
        <w:tc>
          <w:tcPr>
            <w:tcW w:w="63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950" w:type="dxa"/>
          </w:tcPr>
          <w:p>
            <w:pPr>
              <w:pStyle w:val="27"/>
              <w:spacing w:line="360" w:lineRule="auto"/>
              <w:rPr>
                <w:b w:val="0"/>
                <w:bCs w:val="0"/>
                <w:color w:val="auto"/>
                <w:sz w:val="22"/>
                <w:highlight w:val="none"/>
              </w:rPr>
            </w:pPr>
          </w:p>
        </w:tc>
        <w:tc>
          <w:tcPr>
            <w:tcW w:w="775" w:type="dxa"/>
          </w:tcPr>
          <w:p>
            <w:pPr>
              <w:pStyle w:val="27"/>
              <w:spacing w:line="360" w:lineRule="auto"/>
              <w:rPr>
                <w:b w:val="0"/>
                <w:bCs w:val="0"/>
                <w:color w:val="auto"/>
                <w:sz w:val="22"/>
                <w:highlight w:val="none"/>
              </w:rPr>
            </w:pPr>
          </w:p>
        </w:tc>
        <w:tc>
          <w:tcPr>
            <w:tcW w:w="713" w:type="dxa"/>
          </w:tcPr>
          <w:p>
            <w:pPr>
              <w:pStyle w:val="27"/>
              <w:spacing w:line="360" w:lineRule="auto"/>
              <w:rPr>
                <w:b w:val="0"/>
                <w:bCs w:val="0"/>
                <w:color w:val="auto"/>
                <w:sz w:val="22"/>
                <w:highlight w:val="none"/>
              </w:rPr>
            </w:pPr>
          </w:p>
        </w:tc>
        <w:tc>
          <w:tcPr>
            <w:tcW w:w="750" w:type="dxa"/>
          </w:tcPr>
          <w:p>
            <w:pPr>
              <w:pStyle w:val="27"/>
              <w:spacing w:line="360" w:lineRule="auto"/>
              <w:rPr>
                <w:b w:val="0"/>
                <w:bCs w:val="0"/>
                <w:color w:val="auto"/>
                <w:sz w:val="22"/>
                <w:highlight w:val="none"/>
              </w:rPr>
            </w:pPr>
          </w:p>
        </w:tc>
        <w:tc>
          <w:tcPr>
            <w:tcW w:w="712" w:type="dxa"/>
          </w:tcPr>
          <w:p>
            <w:pPr>
              <w:pStyle w:val="27"/>
              <w:spacing w:line="360" w:lineRule="auto"/>
              <w:rPr>
                <w:b w:val="0"/>
                <w:bCs w:val="0"/>
                <w:color w:val="auto"/>
                <w:sz w:val="22"/>
                <w:highlight w:val="none"/>
              </w:rPr>
            </w:pPr>
          </w:p>
        </w:tc>
        <w:tc>
          <w:tcPr>
            <w:tcW w:w="1016" w:type="dxa"/>
          </w:tcPr>
          <w:p>
            <w:pPr>
              <w:pStyle w:val="27"/>
              <w:spacing w:line="360" w:lineRule="auto"/>
              <w:rPr>
                <w:b w:val="0"/>
                <w:bCs w:val="0"/>
                <w:color w:val="auto"/>
                <w:sz w:val="22"/>
                <w:highlight w:val="none"/>
              </w:rPr>
            </w:pPr>
          </w:p>
        </w:tc>
        <w:tc>
          <w:tcPr>
            <w:tcW w:w="767" w:type="dxa"/>
          </w:tcPr>
          <w:p>
            <w:pPr>
              <w:pStyle w:val="27"/>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599" w:type="dxa"/>
          </w:tcPr>
          <w:p>
            <w:pPr>
              <w:pStyle w:val="27"/>
              <w:spacing w:before="3" w:line="360" w:lineRule="auto"/>
              <w:rPr>
                <w:b w:val="0"/>
                <w:bCs w:val="0"/>
                <w:color w:val="auto"/>
                <w:sz w:val="21"/>
                <w:highlight w:val="none"/>
              </w:rPr>
            </w:pPr>
          </w:p>
          <w:p>
            <w:pPr>
              <w:pStyle w:val="27"/>
              <w:spacing w:before="1" w:line="360" w:lineRule="auto"/>
              <w:ind w:left="99" w:right="90"/>
              <w:jc w:val="center"/>
              <w:rPr>
                <w:b w:val="0"/>
                <w:bCs w:val="0"/>
                <w:color w:val="auto"/>
                <w:highlight w:val="none"/>
              </w:rPr>
            </w:pPr>
            <w:r>
              <w:rPr>
                <w:b w:val="0"/>
                <w:bCs w:val="0"/>
                <w:color w:val="auto"/>
                <w:highlight w:val="none"/>
              </w:rPr>
              <w:t>...</w:t>
            </w:r>
          </w:p>
        </w:tc>
        <w:tc>
          <w:tcPr>
            <w:tcW w:w="661" w:type="dxa"/>
          </w:tcPr>
          <w:p>
            <w:pPr>
              <w:pStyle w:val="27"/>
              <w:spacing w:line="360" w:lineRule="auto"/>
              <w:rPr>
                <w:b w:val="0"/>
                <w:bCs w:val="0"/>
                <w:color w:val="auto"/>
                <w:sz w:val="22"/>
                <w:highlight w:val="none"/>
              </w:rPr>
            </w:pPr>
          </w:p>
        </w:tc>
        <w:tc>
          <w:tcPr>
            <w:tcW w:w="1117" w:type="dxa"/>
            <w:gridSpan w:val="2"/>
          </w:tcPr>
          <w:p>
            <w:pPr>
              <w:pStyle w:val="27"/>
              <w:spacing w:line="360" w:lineRule="auto"/>
              <w:rPr>
                <w:b w:val="0"/>
                <w:bCs w:val="0"/>
                <w:color w:val="auto"/>
                <w:sz w:val="22"/>
                <w:highlight w:val="none"/>
              </w:rPr>
            </w:pPr>
          </w:p>
        </w:tc>
        <w:tc>
          <w:tcPr>
            <w:tcW w:w="63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950" w:type="dxa"/>
          </w:tcPr>
          <w:p>
            <w:pPr>
              <w:pStyle w:val="27"/>
              <w:spacing w:line="360" w:lineRule="auto"/>
              <w:rPr>
                <w:b w:val="0"/>
                <w:bCs w:val="0"/>
                <w:color w:val="auto"/>
                <w:sz w:val="22"/>
                <w:highlight w:val="none"/>
              </w:rPr>
            </w:pPr>
          </w:p>
        </w:tc>
        <w:tc>
          <w:tcPr>
            <w:tcW w:w="775" w:type="dxa"/>
          </w:tcPr>
          <w:p>
            <w:pPr>
              <w:pStyle w:val="27"/>
              <w:spacing w:line="360" w:lineRule="auto"/>
              <w:rPr>
                <w:b w:val="0"/>
                <w:bCs w:val="0"/>
                <w:color w:val="auto"/>
                <w:sz w:val="22"/>
                <w:highlight w:val="none"/>
              </w:rPr>
            </w:pPr>
          </w:p>
        </w:tc>
        <w:tc>
          <w:tcPr>
            <w:tcW w:w="713" w:type="dxa"/>
          </w:tcPr>
          <w:p>
            <w:pPr>
              <w:pStyle w:val="27"/>
              <w:spacing w:line="360" w:lineRule="auto"/>
              <w:rPr>
                <w:b w:val="0"/>
                <w:bCs w:val="0"/>
                <w:color w:val="auto"/>
                <w:sz w:val="22"/>
                <w:highlight w:val="none"/>
              </w:rPr>
            </w:pPr>
          </w:p>
        </w:tc>
        <w:tc>
          <w:tcPr>
            <w:tcW w:w="750" w:type="dxa"/>
          </w:tcPr>
          <w:p>
            <w:pPr>
              <w:pStyle w:val="27"/>
              <w:spacing w:line="360" w:lineRule="auto"/>
              <w:rPr>
                <w:b w:val="0"/>
                <w:bCs w:val="0"/>
                <w:color w:val="auto"/>
                <w:sz w:val="22"/>
                <w:highlight w:val="none"/>
              </w:rPr>
            </w:pPr>
          </w:p>
        </w:tc>
        <w:tc>
          <w:tcPr>
            <w:tcW w:w="712" w:type="dxa"/>
          </w:tcPr>
          <w:p>
            <w:pPr>
              <w:pStyle w:val="27"/>
              <w:spacing w:line="360" w:lineRule="auto"/>
              <w:rPr>
                <w:b w:val="0"/>
                <w:bCs w:val="0"/>
                <w:color w:val="auto"/>
                <w:sz w:val="22"/>
                <w:highlight w:val="none"/>
              </w:rPr>
            </w:pPr>
          </w:p>
        </w:tc>
        <w:tc>
          <w:tcPr>
            <w:tcW w:w="1016" w:type="dxa"/>
          </w:tcPr>
          <w:p>
            <w:pPr>
              <w:pStyle w:val="27"/>
              <w:spacing w:line="360" w:lineRule="auto"/>
              <w:rPr>
                <w:b w:val="0"/>
                <w:bCs w:val="0"/>
                <w:color w:val="auto"/>
                <w:sz w:val="22"/>
                <w:highlight w:val="none"/>
              </w:rPr>
            </w:pPr>
          </w:p>
        </w:tc>
        <w:tc>
          <w:tcPr>
            <w:tcW w:w="767" w:type="dxa"/>
          </w:tcPr>
          <w:p>
            <w:pPr>
              <w:pStyle w:val="27"/>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599" w:type="dxa"/>
          </w:tcPr>
          <w:p>
            <w:pPr>
              <w:pStyle w:val="27"/>
              <w:spacing w:before="1" w:line="360" w:lineRule="auto"/>
              <w:ind w:left="179"/>
              <w:rPr>
                <w:b w:val="0"/>
                <w:bCs w:val="0"/>
                <w:color w:val="auto"/>
                <w:highlight w:val="none"/>
              </w:rPr>
            </w:pPr>
            <w:r>
              <w:rPr>
                <w:rFonts w:hint="eastAsia"/>
                <w:b w:val="0"/>
                <w:bCs w:val="0"/>
                <w:color w:val="auto"/>
                <w:highlight w:val="none"/>
              </w:rPr>
              <w:t>合</w:t>
            </w:r>
          </w:p>
          <w:p>
            <w:pPr>
              <w:pStyle w:val="27"/>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pPr>
              <w:pStyle w:val="27"/>
              <w:spacing w:line="360" w:lineRule="auto"/>
              <w:rPr>
                <w:b w:val="0"/>
                <w:bCs w:val="0"/>
                <w:color w:val="auto"/>
                <w:sz w:val="22"/>
                <w:highlight w:val="none"/>
              </w:rPr>
            </w:pPr>
          </w:p>
        </w:tc>
        <w:tc>
          <w:tcPr>
            <w:tcW w:w="8755" w:type="dxa"/>
            <w:gridSpan w:val="11"/>
          </w:tcPr>
          <w:p>
            <w:pPr>
              <w:pStyle w:val="27"/>
              <w:spacing w:line="360" w:lineRule="auto"/>
              <w:rPr>
                <w:b w:val="0"/>
                <w:bCs w:val="0"/>
                <w:color w:val="auto"/>
                <w:sz w:val="22"/>
                <w:highlight w:val="none"/>
              </w:rPr>
            </w:pPr>
          </w:p>
        </w:tc>
      </w:tr>
    </w:tbl>
    <w:p>
      <w:pPr>
        <w:pStyle w:val="7"/>
        <w:spacing w:line="360" w:lineRule="auto"/>
        <w:rPr>
          <w:color w:val="auto"/>
          <w:highlight w:val="none"/>
        </w:rPr>
      </w:pPr>
    </w:p>
    <w:p>
      <w:pPr>
        <w:pStyle w:val="7"/>
        <w:spacing w:before="162" w:line="360" w:lineRule="auto"/>
        <w:rPr>
          <w:rFonts w:ascii="宋体"/>
          <w:color w:val="auto"/>
          <w:szCs w:val="22"/>
          <w:highlight w:val="none"/>
        </w:rPr>
      </w:pPr>
      <w:r>
        <w:rPr>
          <w:rFonts w:hint="eastAsia" w:ascii="宋体" w:hAnsi="宋体"/>
          <w:color w:val="auto"/>
          <w:szCs w:val="22"/>
          <w:highlight w:val="none"/>
        </w:rPr>
        <w:t>注：</w:t>
      </w:r>
      <w:r>
        <w:rPr>
          <w:rFonts w:ascii="宋体" w:hAnsi="宋体"/>
          <w:color w:val="auto"/>
          <w:szCs w:val="22"/>
          <w:highlight w:val="none"/>
        </w:rPr>
        <w:t>1</w:t>
      </w:r>
      <w:r>
        <w:rPr>
          <w:rFonts w:hint="eastAsia" w:ascii="宋体" w:hAnsi="宋体"/>
          <w:color w:val="auto"/>
          <w:szCs w:val="22"/>
          <w:highlight w:val="none"/>
        </w:rPr>
        <w:t>、</w:t>
      </w:r>
      <w:r>
        <w:rPr>
          <w:rFonts w:hint="eastAsia" w:ascii="宋体" w:hAnsi="宋体"/>
          <w:color w:val="auto"/>
          <w:szCs w:val="22"/>
          <w:highlight w:val="none"/>
          <w:lang w:eastAsia="zh-CN"/>
        </w:rPr>
        <w:t>投标人</w:t>
      </w:r>
      <w:r>
        <w:rPr>
          <w:rFonts w:hint="eastAsia" w:ascii="宋体" w:hAnsi="宋体"/>
          <w:color w:val="auto"/>
          <w:szCs w:val="22"/>
          <w:highlight w:val="none"/>
        </w:rPr>
        <w:t>根据所投标包的设备或产品填报（表格自行添减）。</w:t>
      </w:r>
    </w:p>
    <w:p>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2</w:t>
      </w:r>
      <w:r>
        <w:rPr>
          <w:rFonts w:hint="eastAsia" w:ascii="宋体" w:hAnsi="宋体"/>
          <w:color w:val="auto"/>
          <w:szCs w:val="22"/>
          <w:highlight w:val="none"/>
        </w:rPr>
        <w:t>、</w:t>
      </w:r>
      <w:r>
        <w:rPr>
          <w:rFonts w:hint="eastAsia" w:ascii="宋体" w:hAnsi="宋体"/>
          <w:color w:val="auto"/>
          <w:szCs w:val="22"/>
          <w:highlight w:val="none"/>
          <w:lang w:val="en-US" w:eastAsia="zh-CN"/>
        </w:rPr>
        <w:t>所有货物的价格应包含货物及配置产品的设计、采购、制造、检测、试验、包装、运输、保险、装卸、货款、安装调试、培训、保修维护、技术支持、质保期服务、税费和服务内容的检验、验收、技术服务（包括技术资料、图纸的提供）、质保期保障等的全部费用”</w:t>
      </w:r>
    </w:p>
    <w:p>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3</w:t>
      </w:r>
      <w:r>
        <w:rPr>
          <w:rFonts w:hint="eastAsia" w:ascii="宋体" w:hAnsi="宋体"/>
          <w:color w:val="auto"/>
          <w:szCs w:val="22"/>
          <w:highlight w:val="none"/>
        </w:rPr>
        <w:t>、投标人在编写投标文件时，如果遇到技术参数内的产品名称</w:t>
      </w:r>
      <w:r>
        <w:rPr>
          <w:rFonts w:ascii="宋体" w:hAnsi="宋体"/>
          <w:color w:val="auto"/>
          <w:szCs w:val="22"/>
          <w:highlight w:val="none"/>
        </w:rPr>
        <w:t>/</w:t>
      </w:r>
      <w:r>
        <w:rPr>
          <w:rFonts w:hint="eastAsia" w:ascii="宋体" w:hAnsi="宋体"/>
          <w:color w:val="auto"/>
          <w:szCs w:val="22"/>
          <w:highlight w:val="none"/>
        </w:rPr>
        <w:t>设备名称与投标产品的商品名称不一致的，须在“备注”内写明商品名称。</w:t>
      </w:r>
    </w:p>
    <w:p>
      <w:pPr>
        <w:pStyle w:val="7"/>
        <w:spacing w:before="2" w:line="360" w:lineRule="auto"/>
        <w:rPr>
          <w:color w:val="auto"/>
          <w:sz w:val="19"/>
          <w:highlight w:val="none"/>
        </w:rPr>
      </w:pPr>
    </w:p>
    <w:p>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rPr>
          <w:rFonts w:hint="eastAsia"/>
          <w:color w:val="auto"/>
          <w:highlight w:val="none"/>
        </w:rPr>
      </w:pPr>
      <w:bookmarkStart w:id="516" w:name="_Toc75"/>
    </w:p>
    <w:p>
      <w:pPr>
        <w:spacing w:before="54" w:line="360" w:lineRule="auto"/>
        <w:ind w:left="6"/>
        <w:jc w:val="center"/>
        <w:outlineLvl w:val="1"/>
        <w:rPr>
          <w:b/>
          <w:color w:val="auto"/>
          <w:w w:val="95"/>
          <w:sz w:val="32"/>
          <w:highlight w:val="none"/>
        </w:rPr>
      </w:pPr>
      <w:bookmarkStart w:id="517" w:name="_Toc13887"/>
      <w:bookmarkStart w:id="518" w:name="_Toc9250"/>
      <w:r>
        <w:rPr>
          <w:rFonts w:hint="eastAsia"/>
          <w:b/>
          <w:color w:val="auto"/>
          <w:w w:val="95"/>
          <w:sz w:val="32"/>
          <w:highlight w:val="none"/>
        </w:rPr>
        <w:t>二、法定代表人身份证明</w:t>
      </w:r>
      <w:bookmarkEnd w:id="516"/>
      <w:bookmarkEnd w:id="517"/>
      <w:bookmarkEnd w:id="518"/>
    </w:p>
    <w:p>
      <w:pPr>
        <w:pStyle w:val="7"/>
        <w:spacing w:line="360" w:lineRule="auto"/>
        <w:rPr>
          <w:b/>
          <w:color w:val="auto"/>
          <w:sz w:val="32"/>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pPr>
        <w:adjustRightInd w:val="0"/>
        <w:snapToGrid w:val="0"/>
        <w:spacing w:line="360" w:lineRule="auto"/>
        <w:ind w:right="-82" w:rightChars="-39"/>
        <w:jc w:val="left"/>
        <w:rPr>
          <w:rFonts w:ascii="宋体" w:cs="宋体"/>
          <w:color w:val="auto"/>
          <w:sz w:val="24"/>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spacing w:before="54" w:line="360" w:lineRule="auto"/>
        <w:ind w:left="6"/>
        <w:jc w:val="center"/>
        <w:outlineLvl w:val="1"/>
        <w:rPr>
          <w:b/>
          <w:color w:val="auto"/>
          <w:w w:val="95"/>
          <w:sz w:val="32"/>
          <w:highlight w:val="none"/>
        </w:rPr>
      </w:pPr>
      <w:bookmarkStart w:id="519" w:name="_Toc27272"/>
      <w:bookmarkStart w:id="520" w:name="_Toc30731"/>
      <w:bookmarkStart w:id="521" w:name="_Toc1881"/>
      <w:r>
        <w:rPr>
          <w:rFonts w:hint="eastAsia"/>
          <w:b/>
          <w:color w:val="auto"/>
          <w:w w:val="95"/>
          <w:sz w:val="32"/>
          <w:highlight w:val="none"/>
        </w:rPr>
        <w:t>三、授权委托书</w:t>
      </w:r>
      <w:bookmarkEnd w:id="519"/>
      <w:bookmarkEnd w:id="520"/>
      <w:bookmarkEnd w:id="521"/>
    </w:p>
    <w:p>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（项目名称）（项目编号）（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eastAsia="zh-CN"/>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pPr>
        <w:snapToGrid w:val="0"/>
        <w:spacing w:line="360" w:lineRule="auto"/>
        <w:ind w:firstLine="480" w:firstLineChars="200"/>
        <w:jc w:val="left"/>
        <w:rPr>
          <w:rFonts w:ascii="宋体" w:cs="宋体"/>
          <w:color w:val="auto"/>
          <w:sz w:val="24"/>
          <w:highlight w:val="none"/>
        </w:rPr>
      </w:pP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pStyle w:val="20"/>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1"/>
        <w:jc w:val="center"/>
        <w:rPr>
          <w:b/>
          <w:color w:val="auto"/>
          <w:w w:val="95"/>
          <w:sz w:val="32"/>
          <w:highlight w:val="none"/>
        </w:rPr>
      </w:pPr>
    </w:p>
    <w:p>
      <w:pPr>
        <w:spacing w:before="54" w:line="360" w:lineRule="auto"/>
        <w:ind w:left="1"/>
        <w:jc w:val="center"/>
        <w:rPr>
          <w:b/>
          <w:color w:val="auto"/>
          <w:w w:val="95"/>
          <w:sz w:val="32"/>
          <w:highlight w:val="none"/>
        </w:rPr>
      </w:pPr>
    </w:p>
    <w:p>
      <w:pPr>
        <w:spacing w:before="54" w:line="360" w:lineRule="auto"/>
        <w:ind w:left="1"/>
        <w:jc w:val="center"/>
        <w:rPr>
          <w:b/>
          <w:color w:val="auto"/>
          <w:w w:val="95"/>
          <w:sz w:val="32"/>
          <w:highlight w:val="none"/>
        </w:rPr>
      </w:pPr>
    </w:p>
    <w:p>
      <w:pPr>
        <w:spacing w:before="54" w:line="360" w:lineRule="auto"/>
        <w:ind w:left="1"/>
        <w:jc w:val="center"/>
        <w:rPr>
          <w:b/>
          <w:color w:val="auto"/>
          <w:w w:val="95"/>
          <w:sz w:val="32"/>
          <w:highlight w:val="none"/>
        </w:rPr>
      </w:pPr>
    </w:p>
    <w:p>
      <w:pPr>
        <w:pStyle w:val="10"/>
        <w:spacing w:line="360" w:lineRule="auto"/>
        <w:ind w:left="31680" w:right="31680"/>
        <w:rPr>
          <w:b/>
          <w:color w:val="auto"/>
          <w:w w:val="95"/>
          <w:sz w:val="32"/>
          <w:highlight w:val="none"/>
        </w:rPr>
      </w:pPr>
    </w:p>
    <w:p>
      <w:pPr>
        <w:rPr>
          <w:color w:val="auto"/>
          <w:highlight w:val="none"/>
        </w:rPr>
      </w:pPr>
    </w:p>
    <w:p>
      <w:pPr>
        <w:spacing w:before="54" w:line="360" w:lineRule="auto"/>
        <w:ind w:left="6"/>
        <w:jc w:val="center"/>
        <w:outlineLvl w:val="1"/>
        <w:rPr>
          <w:b/>
          <w:color w:val="auto"/>
          <w:w w:val="95"/>
          <w:sz w:val="32"/>
          <w:highlight w:val="none"/>
        </w:rPr>
      </w:pPr>
      <w:bookmarkStart w:id="522" w:name="_Toc15380"/>
      <w:bookmarkStart w:id="523" w:name="_Toc8474"/>
      <w:bookmarkStart w:id="524" w:name="_Toc15621"/>
      <w:r>
        <w:rPr>
          <w:rFonts w:hint="eastAsia"/>
          <w:b/>
          <w:color w:val="auto"/>
          <w:w w:val="95"/>
          <w:sz w:val="32"/>
          <w:highlight w:val="none"/>
        </w:rPr>
        <w:t>四、投标承诺书</w:t>
      </w:r>
      <w:bookmarkEnd w:id="522"/>
      <w:bookmarkEnd w:id="523"/>
      <w:bookmarkEnd w:id="524"/>
    </w:p>
    <w:p>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525" w:name="_Toc4122"/>
      <w:bookmarkStart w:id="526" w:name="_Toc32164"/>
      <w:bookmarkStart w:id="527" w:name="_Toc15713"/>
      <w:r>
        <w:rPr>
          <w:rFonts w:hint="eastAsia"/>
          <w:b/>
          <w:color w:val="auto"/>
          <w:w w:val="95"/>
          <w:sz w:val="32"/>
          <w:highlight w:val="none"/>
        </w:rPr>
        <w:t>五、技术部分</w:t>
      </w:r>
      <w:bookmarkEnd w:id="525"/>
      <w:bookmarkEnd w:id="526"/>
      <w:bookmarkEnd w:id="527"/>
    </w:p>
    <w:p>
      <w:pPr>
        <w:keepNext w:val="0"/>
        <w:keepLines w:val="0"/>
        <w:pageBreakBefore w:val="0"/>
        <w:widowControl w:val="0"/>
        <w:kinsoku/>
        <w:wordWrap/>
        <w:overflowPunct/>
        <w:topLinePunct w:val="0"/>
        <w:autoSpaceDE/>
        <w:autoSpaceDN/>
        <w:bidi w:val="0"/>
        <w:adjustRightInd/>
        <w:snapToGrid/>
        <w:spacing w:before="212" w:line="360" w:lineRule="auto"/>
        <w:ind w:left="0"/>
        <w:jc w:val="center"/>
        <w:textAlignment w:val="auto"/>
        <w:outlineLvl w:val="2"/>
        <w:rPr>
          <w:b/>
          <w:color w:val="auto"/>
          <w:sz w:val="32"/>
          <w:highlight w:val="none"/>
        </w:rPr>
      </w:pPr>
      <w:bookmarkStart w:id="528" w:name="（一）技术参数偏差表"/>
      <w:bookmarkEnd w:id="528"/>
      <w:r>
        <w:rPr>
          <w:rFonts w:hint="eastAsia"/>
          <w:b/>
          <w:color w:val="auto"/>
          <w:w w:val="95"/>
          <w:sz w:val="32"/>
          <w:highlight w:val="none"/>
        </w:rPr>
        <w:t>（一）技术参数偏差表</w:t>
      </w:r>
    </w:p>
    <w:p>
      <w:pPr>
        <w:pStyle w:val="30"/>
        <w:numPr>
          <w:ilvl w:val="0"/>
          <w:numId w:val="0"/>
        </w:numPr>
        <w:tabs>
          <w:tab w:val="left" w:pos="580"/>
        </w:tabs>
        <w:spacing w:line="360" w:lineRule="auto"/>
        <w:ind w:leftChars="200"/>
        <w:jc w:val="center"/>
        <w:rPr>
          <w:b/>
          <w:color w:val="auto"/>
          <w:sz w:val="12"/>
          <w:highlight w:val="none"/>
        </w:rPr>
      </w:pPr>
      <w:r>
        <w:rPr>
          <w:rFonts w:hint="eastAsia"/>
          <w:b/>
          <w:color w:val="auto"/>
          <w:sz w:val="24"/>
          <w:highlight w:val="none"/>
          <w:lang w:val="en-US" w:eastAsia="zh-CN"/>
        </w:rPr>
        <w:t>1.</w:t>
      </w:r>
      <w:r>
        <w:rPr>
          <w:rFonts w:hint="eastAsia"/>
          <w:b/>
          <w:color w:val="auto"/>
          <w:sz w:val="24"/>
          <w:highlight w:val="none"/>
        </w:rPr>
        <w:t>标注</w:t>
      </w:r>
      <w:r>
        <w:rPr>
          <w:b/>
          <w:color w:val="auto"/>
          <w:sz w:val="24"/>
          <w:highlight w:val="none"/>
        </w:rPr>
        <w:t>“</w:t>
      </w:r>
      <w:r>
        <w:rPr>
          <w:rFonts w:hint="eastAsia" w:ascii="宋体" w:hAnsi="宋体" w:cs="宋体"/>
          <w:color w:val="auto"/>
          <w:sz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2"/>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7"/>
              <w:spacing w:before="4" w:line="360" w:lineRule="auto"/>
              <w:jc w:val="center"/>
              <w:rPr>
                <w:b/>
                <w:color w:val="auto"/>
                <w:sz w:val="18"/>
                <w:highlight w:val="none"/>
              </w:rPr>
            </w:pPr>
          </w:p>
          <w:p>
            <w:pPr>
              <w:pStyle w:val="27"/>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7"/>
              <w:spacing w:before="2" w:line="360" w:lineRule="auto"/>
              <w:ind w:left="22"/>
              <w:jc w:val="center"/>
              <w:rPr>
                <w:b/>
                <w:color w:val="auto"/>
                <w:highlight w:val="none"/>
              </w:rPr>
            </w:pPr>
            <w:r>
              <w:rPr>
                <w:rFonts w:hint="eastAsia"/>
                <w:b/>
                <w:color w:val="auto"/>
                <w:w w:val="99"/>
                <w:highlight w:val="none"/>
              </w:rPr>
              <w:t>名</w:t>
            </w:r>
          </w:p>
          <w:p>
            <w:pPr>
              <w:pStyle w:val="27"/>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7"/>
              <w:spacing w:before="2" w:line="360" w:lineRule="auto"/>
              <w:ind w:left="219" w:right="192"/>
              <w:jc w:val="center"/>
              <w:rPr>
                <w:b/>
                <w:color w:val="auto"/>
                <w:highlight w:val="none"/>
              </w:rPr>
            </w:pPr>
            <w:r>
              <w:rPr>
                <w:rFonts w:hint="eastAsia"/>
                <w:b/>
                <w:color w:val="auto"/>
                <w:highlight w:val="none"/>
              </w:rPr>
              <w:t>招标文件要求的</w:t>
            </w:r>
          </w:p>
          <w:p>
            <w:pPr>
              <w:pStyle w:val="27"/>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7"/>
              <w:spacing w:before="2" w:line="360" w:lineRule="auto"/>
              <w:ind w:left="14"/>
              <w:jc w:val="center"/>
              <w:rPr>
                <w:b/>
                <w:color w:val="auto"/>
                <w:highlight w:val="none"/>
              </w:rPr>
            </w:pPr>
            <w:r>
              <w:rPr>
                <w:rFonts w:hint="eastAsia"/>
                <w:b/>
                <w:color w:val="auto"/>
                <w:highlight w:val="none"/>
              </w:rPr>
              <w:t>投标文件所附</w:t>
            </w:r>
          </w:p>
          <w:p>
            <w:pPr>
              <w:pStyle w:val="27"/>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7"/>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7"/>
              <w:spacing w:before="4" w:line="360" w:lineRule="auto"/>
              <w:jc w:val="center"/>
              <w:rPr>
                <w:b/>
                <w:color w:val="auto"/>
                <w:sz w:val="18"/>
                <w:highlight w:val="none"/>
              </w:rPr>
            </w:pPr>
          </w:p>
          <w:p>
            <w:pPr>
              <w:pStyle w:val="27"/>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15"/>
              <w:jc w:val="center"/>
              <w:rPr>
                <w:color w:val="auto"/>
                <w:highlight w:val="none"/>
              </w:rPr>
            </w:pPr>
            <w:r>
              <w:rPr>
                <w:color w:val="auto"/>
                <w:highlight w:val="none"/>
              </w:rPr>
              <w:t>1</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0" w:line="360" w:lineRule="auto"/>
              <w:ind w:left="15"/>
              <w:jc w:val="center"/>
              <w:rPr>
                <w:color w:val="auto"/>
                <w:highlight w:val="none"/>
              </w:rPr>
            </w:pPr>
            <w:r>
              <w:rPr>
                <w:color w:val="auto"/>
                <w:highlight w:val="none"/>
              </w:rPr>
              <w:t>2</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1" w:line="360" w:lineRule="auto"/>
              <w:ind w:left="15"/>
              <w:jc w:val="center"/>
              <w:rPr>
                <w:color w:val="auto"/>
                <w:highlight w:val="none"/>
              </w:rPr>
            </w:pPr>
            <w:r>
              <w:rPr>
                <w:color w:val="auto"/>
                <w:highlight w:val="none"/>
              </w:rPr>
              <w:t>3</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7"/>
              <w:spacing w:before="161" w:line="360" w:lineRule="auto"/>
              <w:ind w:left="15"/>
              <w:jc w:val="center"/>
              <w:rPr>
                <w:color w:val="auto"/>
                <w:highlight w:val="none"/>
              </w:rPr>
            </w:pPr>
            <w:r>
              <w:rPr>
                <w:color w:val="auto"/>
                <w:highlight w:val="none"/>
              </w:rPr>
              <w:t>4</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7"/>
              <w:spacing w:before="162" w:line="360" w:lineRule="auto"/>
              <w:ind w:left="15"/>
              <w:jc w:val="center"/>
              <w:rPr>
                <w:color w:val="auto"/>
                <w:highlight w:val="none"/>
              </w:rPr>
            </w:pPr>
            <w:r>
              <w:rPr>
                <w:color w:val="auto"/>
                <w:highlight w:val="none"/>
              </w:rPr>
              <w:t>5</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241" w:right="226"/>
              <w:jc w:val="center"/>
              <w:rPr>
                <w:color w:val="auto"/>
                <w:highlight w:val="none"/>
              </w:rPr>
            </w:pPr>
            <w:r>
              <w:rPr>
                <w:color w:val="auto"/>
                <w:highlight w:val="none"/>
              </w:rPr>
              <w:t>...</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pStyle w:val="7"/>
        <w:spacing w:line="360" w:lineRule="auto"/>
        <w:rPr>
          <w:color w:val="auto"/>
          <w:sz w:val="20"/>
          <w:highlight w:val="none"/>
        </w:rPr>
      </w:pPr>
    </w:p>
    <w:p>
      <w:pPr>
        <w:pStyle w:val="25"/>
        <w:spacing w:line="360" w:lineRule="auto"/>
        <w:rPr>
          <w:color w:val="auto"/>
          <w:sz w:val="20"/>
          <w:highlight w:val="none"/>
        </w:rPr>
      </w:pPr>
    </w:p>
    <w:p>
      <w:pPr>
        <w:rPr>
          <w:color w:val="auto"/>
          <w:sz w:val="20"/>
          <w:highlight w:val="none"/>
        </w:rPr>
      </w:pPr>
    </w:p>
    <w:p>
      <w:pPr>
        <w:rPr>
          <w:color w:val="auto"/>
          <w:sz w:val="20"/>
          <w:highlight w:val="none"/>
        </w:rPr>
      </w:pPr>
    </w:p>
    <w:p>
      <w:pPr>
        <w:rPr>
          <w:color w:val="auto"/>
          <w:sz w:val="20"/>
          <w:highlight w:val="none"/>
        </w:rPr>
      </w:pPr>
    </w:p>
    <w:p>
      <w:pPr>
        <w:rPr>
          <w:color w:val="auto"/>
          <w:sz w:val="20"/>
          <w:highlight w:val="none"/>
        </w:rPr>
      </w:pPr>
    </w:p>
    <w:p>
      <w:pPr>
        <w:spacing w:line="360" w:lineRule="auto"/>
        <w:rPr>
          <w:color w:val="auto"/>
          <w:sz w:val="20"/>
          <w:highlight w:val="none"/>
        </w:rPr>
      </w:pPr>
    </w:p>
    <w:p>
      <w:pPr>
        <w:pStyle w:val="20"/>
        <w:spacing w:line="360" w:lineRule="auto"/>
        <w:ind w:firstLine="0"/>
        <w:rPr>
          <w:color w:val="auto"/>
          <w:sz w:val="20"/>
          <w:highlight w:val="none"/>
        </w:rPr>
      </w:pPr>
    </w:p>
    <w:p>
      <w:pPr>
        <w:pStyle w:val="30"/>
        <w:numPr>
          <w:ilvl w:val="0"/>
          <w:numId w:val="0"/>
        </w:numPr>
        <w:tabs>
          <w:tab w:val="left" w:pos="580"/>
        </w:tabs>
        <w:spacing w:before="215" w:line="360" w:lineRule="auto"/>
        <w:ind w:left="335" w:leftChars="0"/>
        <w:jc w:val="center"/>
        <w:rPr>
          <w:b/>
          <w:color w:val="auto"/>
          <w:sz w:val="24"/>
          <w:highlight w:val="none"/>
        </w:rPr>
      </w:pPr>
      <w:r>
        <w:rPr>
          <w:rFonts w:hint="eastAsia"/>
          <w:b/>
          <w:color w:val="auto"/>
          <w:sz w:val="24"/>
          <w:highlight w:val="none"/>
          <w:lang w:val="en-US" w:eastAsia="zh-CN"/>
        </w:rPr>
        <w:t>2.</w:t>
      </w:r>
      <w:r>
        <w:rPr>
          <w:rFonts w:hint="eastAsia"/>
          <w:b/>
          <w:color w:val="auto"/>
          <w:sz w:val="24"/>
          <w:highlight w:val="none"/>
        </w:rPr>
        <w:t>不带标注符号项技术参数偏差表</w:t>
      </w:r>
    </w:p>
    <w:p>
      <w:pPr>
        <w:pStyle w:val="7"/>
        <w:spacing w:before="5" w:line="360" w:lineRule="auto"/>
        <w:rPr>
          <w:b/>
          <w:color w:val="auto"/>
          <w:sz w:val="12"/>
          <w:highlight w:val="none"/>
        </w:rPr>
      </w:pPr>
    </w:p>
    <w:tbl>
      <w:tblPr>
        <w:tblStyle w:val="2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991"/>
        <w:gridCol w:w="2478"/>
        <w:gridCol w:w="2230"/>
        <w:gridCol w:w="908"/>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pPr>
              <w:pStyle w:val="27"/>
              <w:spacing w:before="4" w:line="360" w:lineRule="auto"/>
              <w:jc w:val="center"/>
              <w:rPr>
                <w:b/>
                <w:color w:val="auto"/>
                <w:sz w:val="18"/>
                <w:highlight w:val="none"/>
              </w:rPr>
            </w:pPr>
          </w:p>
          <w:p>
            <w:pPr>
              <w:pStyle w:val="27"/>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pPr>
              <w:pStyle w:val="27"/>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pPr>
              <w:pStyle w:val="27"/>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pPr>
              <w:pStyle w:val="27"/>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pPr>
              <w:pStyle w:val="27"/>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pPr>
              <w:pStyle w:val="27"/>
              <w:spacing w:before="4" w:line="360" w:lineRule="auto"/>
              <w:jc w:val="center"/>
              <w:rPr>
                <w:b/>
                <w:color w:val="auto"/>
                <w:sz w:val="18"/>
                <w:highlight w:val="none"/>
              </w:rPr>
            </w:pPr>
          </w:p>
          <w:p>
            <w:pPr>
              <w:pStyle w:val="27"/>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pPr>
              <w:pStyle w:val="27"/>
              <w:spacing w:before="162" w:line="360" w:lineRule="auto"/>
              <w:ind w:left="15"/>
              <w:jc w:val="center"/>
              <w:rPr>
                <w:color w:val="auto"/>
                <w:highlight w:val="none"/>
              </w:rPr>
            </w:pPr>
            <w:r>
              <w:rPr>
                <w:color w:val="auto"/>
                <w:highlight w:val="none"/>
              </w:rPr>
              <w:t>1</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pPr>
              <w:pStyle w:val="27"/>
              <w:spacing w:before="162" w:line="360" w:lineRule="auto"/>
              <w:ind w:left="15"/>
              <w:jc w:val="center"/>
              <w:rPr>
                <w:color w:val="auto"/>
                <w:highlight w:val="none"/>
              </w:rPr>
            </w:pPr>
            <w:r>
              <w:rPr>
                <w:color w:val="auto"/>
                <w:highlight w:val="none"/>
              </w:rPr>
              <w:t>2</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1" w:line="360" w:lineRule="auto"/>
              <w:ind w:left="15"/>
              <w:jc w:val="center"/>
              <w:rPr>
                <w:color w:val="auto"/>
                <w:highlight w:val="none"/>
              </w:rPr>
            </w:pPr>
            <w:r>
              <w:rPr>
                <w:color w:val="auto"/>
                <w:highlight w:val="none"/>
              </w:rPr>
              <w:t>3</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1" w:line="360" w:lineRule="auto"/>
              <w:ind w:left="15"/>
              <w:jc w:val="center"/>
              <w:rPr>
                <w:color w:val="auto"/>
                <w:highlight w:val="none"/>
              </w:rPr>
            </w:pPr>
            <w:r>
              <w:rPr>
                <w:color w:val="auto"/>
                <w:highlight w:val="none"/>
              </w:rPr>
              <w:t>4</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2" w:line="360" w:lineRule="auto"/>
              <w:ind w:left="15"/>
              <w:jc w:val="center"/>
              <w:rPr>
                <w:color w:val="auto"/>
                <w:highlight w:val="none"/>
              </w:rPr>
            </w:pPr>
            <w:r>
              <w:rPr>
                <w:color w:val="auto"/>
                <w:highlight w:val="none"/>
              </w:rPr>
              <w:t>5</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2" w:line="360" w:lineRule="auto"/>
              <w:ind w:left="241" w:right="226"/>
              <w:jc w:val="center"/>
              <w:rPr>
                <w:color w:val="auto"/>
                <w:highlight w:val="none"/>
              </w:rPr>
            </w:pPr>
            <w:r>
              <w:rPr>
                <w:color w:val="auto"/>
                <w:highlight w:val="none"/>
              </w:rPr>
              <w:t>...</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4"/>
        <w:jc w:val="center"/>
        <w:rPr>
          <w:color w:val="auto"/>
          <w:sz w:val="24"/>
          <w:szCs w:val="24"/>
          <w:highlight w:val="none"/>
        </w:rPr>
      </w:pPr>
      <w:r>
        <w:rPr>
          <w:rFonts w:hint="eastAsia"/>
          <w:color w:val="auto"/>
          <w:sz w:val="24"/>
          <w:szCs w:val="24"/>
          <w:highlight w:val="none"/>
        </w:rPr>
        <w:t>（二）技术参数证明材料</w:t>
      </w:r>
    </w:p>
    <w:p>
      <w:pPr>
        <w:keepNext/>
        <w:keepLines/>
        <w:spacing w:line="360" w:lineRule="auto"/>
        <w:jc w:val="center"/>
        <w:rPr>
          <w:rFonts w:ascii="宋体" w:cs="宋体"/>
          <w:b/>
          <w:bCs/>
          <w:color w:val="auto"/>
          <w:kern w:val="0"/>
          <w:sz w:val="24"/>
          <w:highlight w:val="none"/>
        </w:rPr>
      </w:pPr>
    </w:p>
    <w:p>
      <w:pPr>
        <w:pStyle w:val="10"/>
        <w:spacing w:line="360" w:lineRule="auto"/>
        <w:ind w:left="31680" w:right="31680"/>
        <w:rPr>
          <w:color w:val="auto"/>
          <w:highlight w:val="none"/>
        </w:rPr>
        <w:sectPr>
          <w:footerReference r:id="rId9" w:type="default"/>
          <w:pgSz w:w="11910" w:h="16840"/>
          <w:pgMar w:top="1440" w:right="1803" w:bottom="1440" w:left="1803" w:header="882" w:footer="964" w:gutter="0"/>
          <w:pgBorders>
            <w:top w:val="none" w:sz="0" w:space="0"/>
            <w:left w:val="none" w:sz="0" w:space="0"/>
            <w:bottom w:val="none" w:sz="0" w:space="0"/>
            <w:right w:val="none" w:sz="0" w:space="0"/>
          </w:pgBorders>
          <w:pgNumType w:fmt="decimal"/>
          <w:cols w:space="720" w:num="1"/>
        </w:sectPr>
      </w:pPr>
    </w:p>
    <w:p>
      <w:pPr>
        <w:keepNext/>
        <w:keepLines/>
        <w:spacing w:line="360" w:lineRule="auto"/>
        <w:jc w:val="center"/>
        <w:outlineLvl w:val="2"/>
        <w:rPr>
          <w:rFonts w:ascii="宋体" w:cs="宋体"/>
          <w:b/>
          <w:bCs/>
          <w:color w:val="auto"/>
          <w:kern w:val="0"/>
          <w:sz w:val="32"/>
          <w:szCs w:val="32"/>
          <w:highlight w:val="none"/>
        </w:rPr>
      </w:pPr>
      <w:bookmarkStart w:id="529" w:name="_Toc22795"/>
      <w:bookmarkStart w:id="530" w:name="_Toc22480"/>
      <w:bookmarkStart w:id="531" w:name="_Toc4947"/>
      <w:r>
        <w:rPr>
          <w:rStyle w:val="31"/>
          <w:rFonts w:hint="eastAsia"/>
          <w:color w:val="auto"/>
          <w:highlight w:val="none"/>
        </w:rPr>
        <w:t>（三）备品备件清单报价表</w:t>
      </w:r>
      <w:bookmarkEnd w:id="529"/>
      <w:bookmarkEnd w:id="530"/>
      <w:bookmarkEnd w:id="531"/>
    </w:p>
    <w:p>
      <w:pPr>
        <w:spacing w:line="360" w:lineRule="auto"/>
        <w:jc w:val="center"/>
        <w:rPr>
          <w:rFonts w:ascii="宋体" w:cs="宋体"/>
          <w:color w:val="auto"/>
          <w:sz w:val="32"/>
          <w:szCs w:val="32"/>
          <w:highlight w:val="none"/>
        </w:rPr>
      </w:pPr>
    </w:p>
    <w:p>
      <w:pPr>
        <w:adjustRightInd w:val="0"/>
        <w:snapToGrid w:val="0"/>
        <w:spacing w:line="360" w:lineRule="auto"/>
        <w:ind w:right="-82" w:rightChars="-39"/>
        <w:jc w:val="right"/>
        <w:rPr>
          <w:rFonts w:ascii="宋体" w:cs="宋体"/>
          <w:color w:val="auto"/>
          <w:sz w:val="24"/>
          <w:highlight w:val="none"/>
        </w:rPr>
      </w:pPr>
      <w:r>
        <w:rPr>
          <w:rFonts w:hint="eastAsia" w:ascii="宋体" w:hAnsi="宋体" w:cs="宋体"/>
          <w:color w:val="auto"/>
          <w:sz w:val="24"/>
          <w:highlight w:val="none"/>
        </w:rPr>
        <w:t>金额单位：元</w:t>
      </w:r>
    </w:p>
    <w:tbl>
      <w:tblPr>
        <w:tblStyle w:val="22"/>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590"/>
        <w:gridCol w:w="1021"/>
        <w:gridCol w:w="1021"/>
        <w:gridCol w:w="1349"/>
        <w:gridCol w:w="1510"/>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3" w:type="dxa"/>
            <w:vAlign w:val="center"/>
          </w:tcPr>
          <w:p>
            <w:pPr>
              <w:spacing w:line="360" w:lineRule="auto"/>
              <w:ind w:left="113" w:right="107"/>
              <w:jc w:val="center"/>
              <w:rPr>
                <w:rFonts w:ascii="宋体" w:cs="宋体"/>
                <w:color w:val="auto"/>
                <w:sz w:val="24"/>
                <w:highlight w:val="none"/>
                <w:lang w:val="zh-CN"/>
              </w:rPr>
            </w:pPr>
            <w:r>
              <w:rPr>
                <w:rFonts w:hint="eastAsia" w:ascii="宋体" w:hAnsi="宋体" w:cs="宋体"/>
                <w:color w:val="auto"/>
                <w:sz w:val="24"/>
                <w:highlight w:val="none"/>
                <w:lang w:val="zh-CN"/>
              </w:rPr>
              <w:t>序号</w:t>
            </w:r>
          </w:p>
        </w:tc>
        <w:tc>
          <w:tcPr>
            <w:tcW w:w="2590" w:type="dxa"/>
            <w:vAlign w:val="center"/>
          </w:tcPr>
          <w:p>
            <w:pPr>
              <w:tabs>
                <w:tab w:val="left" w:pos="430"/>
              </w:tabs>
              <w:spacing w:line="360" w:lineRule="auto"/>
              <w:ind w:left="10"/>
              <w:jc w:val="center"/>
              <w:rPr>
                <w:rFonts w:ascii="宋体" w:cs="宋体"/>
                <w:color w:val="auto"/>
                <w:sz w:val="24"/>
                <w:highlight w:val="none"/>
                <w:lang w:val="zh-CN"/>
              </w:rPr>
            </w:pPr>
            <w:r>
              <w:rPr>
                <w:rFonts w:hint="eastAsia" w:ascii="宋体" w:hAnsi="宋体" w:cs="宋体"/>
                <w:color w:val="auto"/>
                <w:sz w:val="24"/>
                <w:highlight w:val="none"/>
                <w:lang w:val="zh-CN"/>
              </w:rPr>
              <w:t>名称</w:t>
            </w:r>
          </w:p>
        </w:tc>
        <w:tc>
          <w:tcPr>
            <w:tcW w:w="1021" w:type="dxa"/>
            <w:vAlign w:val="center"/>
          </w:tcPr>
          <w:p>
            <w:pPr>
              <w:spacing w:line="360" w:lineRule="auto"/>
              <w:ind w:left="212"/>
              <w:rPr>
                <w:rFonts w:ascii="宋体" w:cs="宋体"/>
                <w:color w:val="auto"/>
                <w:sz w:val="24"/>
                <w:highlight w:val="none"/>
                <w:lang w:val="zh-CN"/>
              </w:rPr>
            </w:pPr>
            <w:r>
              <w:rPr>
                <w:rFonts w:hint="eastAsia" w:ascii="宋体" w:hAnsi="宋体" w:cs="宋体"/>
                <w:color w:val="auto"/>
                <w:sz w:val="24"/>
                <w:highlight w:val="none"/>
                <w:lang w:val="zh-CN"/>
              </w:rPr>
              <w:t>制造商</w:t>
            </w:r>
          </w:p>
        </w:tc>
        <w:tc>
          <w:tcPr>
            <w:tcW w:w="1021" w:type="dxa"/>
            <w:vAlign w:val="center"/>
          </w:tcPr>
          <w:p>
            <w:pPr>
              <w:spacing w:line="360" w:lineRule="auto"/>
              <w:ind w:left="316"/>
              <w:rPr>
                <w:rFonts w:ascii="宋体" w:cs="宋体"/>
                <w:color w:val="auto"/>
                <w:sz w:val="24"/>
                <w:highlight w:val="none"/>
                <w:lang w:val="zh-CN"/>
              </w:rPr>
            </w:pPr>
            <w:r>
              <w:rPr>
                <w:rFonts w:hint="eastAsia" w:ascii="宋体" w:hAnsi="宋体" w:cs="宋体"/>
                <w:color w:val="auto"/>
                <w:sz w:val="24"/>
                <w:highlight w:val="none"/>
                <w:lang w:val="zh-CN"/>
              </w:rPr>
              <w:t>品牌</w:t>
            </w:r>
          </w:p>
        </w:tc>
        <w:tc>
          <w:tcPr>
            <w:tcW w:w="1349" w:type="dxa"/>
            <w:vAlign w:val="center"/>
          </w:tcPr>
          <w:p>
            <w:pPr>
              <w:spacing w:line="360" w:lineRule="auto"/>
              <w:ind w:left="152"/>
              <w:rPr>
                <w:rFonts w:ascii="宋体" w:cs="宋体"/>
                <w:color w:val="auto"/>
                <w:sz w:val="24"/>
                <w:highlight w:val="none"/>
                <w:lang w:val="zh-CN"/>
              </w:rPr>
            </w:pPr>
            <w:r>
              <w:rPr>
                <w:rFonts w:hint="eastAsia" w:ascii="宋体" w:hAnsi="宋体" w:cs="宋体"/>
                <w:color w:val="auto"/>
                <w:sz w:val="24"/>
                <w:highlight w:val="none"/>
                <w:lang w:val="zh-CN"/>
              </w:rPr>
              <w:t>规格型号</w:t>
            </w:r>
          </w:p>
        </w:tc>
        <w:tc>
          <w:tcPr>
            <w:tcW w:w="1510" w:type="dxa"/>
            <w:vAlign w:val="center"/>
          </w:tcPr>
          <w:p>
            <w:pPr>
              <w:spacing w:line="360" w:lineRule="auto"/>
              <w:ind w:left="106" w:right="-15"/>
              <w:jc w:val="center"/>
              <w:rPr>
                <w:rFonts w:ascii="宋体" w:cs="宋体"/>
                <w:color w:val="auto"/>
                <w:sz w:val="24"/>
                <w:highlight w:val="none"/>
                <w:lang w:val="zh-CN"/>
              </w:rPr>
            </w:pPr>
            <w:r>
              <w:rPr>
                <w:rFonts w:hint="eastAsia" w:ascii="宋体" w:hAnsi="宋体" w:cs="宋体"/>
                <w:color w:val="auto"/>
                <w:spacing w:val="-11"/>
                <w:sz w:val="24"/>
                <w:highlight w:val="none"/>
                <w:lang w:val="zh-CN"/>
              </w:rPr>
              <w:t>单价</w:t>
            </w:r>
          </w:p>
        </w:tc>
        <w:tc>
          <w:tcPr>
            <w:tcW w:w="772" w:type="dxa"/>
            <w:vAlign w:val="center"/>
          </w:tcPr>
          <w:p>
            <w:pPr>
              <w:spacing w:line="360" w:lineRule="auto"/>
              <w:jc w:val="center"/>
              <w:rPr>
                <w:rFonts w:ascii="宋体" w:cs="宋体"/>
                <w:color w:val="auto"/>
                <w:sz w:val="24"/>
                <w:highlight w:val="none"/>
                <w:lang w:val="zh-CN"/>
              </w:rPr>
            </w:pPr>
            <w:r>
              <w:rPr>
                <w:rFonts w:hint="eastAsia" w:ascii="宋体" w:hAnsi="宋体" w:cs="宋体"/>
                <w:color w:val="auto"/>
                <w:sz w:val="24"/>
                <w:highlight w:val="none"/>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1</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2</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3</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4</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5</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33" w:type="dxa"/>
            <w:vAlign w:val="center"/>
          </w:tcPr>
          <w:p>
            <w:pPr>
              <w:spacing w:line="360" w:lineRule="auto"/>
              <w:ind w:left="113" w:right="104"/>
              <w:jc w:val="center"/>
              <w:rPr>
                <w:rFonts w:ascii="宋体" w:cs="宋体"/>
                <w:color w:val="auto"/>
                <w:sz w:val="24"/>
                <w:highlight w:val="none"/>
              </w:rPr>
            </w:pPr>
            <w:r>
              <w:rPr>
                <w:rFonts w:hint="eastAsia" w:ascii="宋体" w:hAnsi="宋体" w:cs="宋体"/>
                <w:color w:val="auto"/>
                <w:w w:val="99"/>
                <w:sz w:val="24"/>
                <w:highlight w:val="none"/>
                <w:lang w:val="zh-CN"/>
              </w:rPr>
              <w:t>…</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bl>
    <w:p>
      <w:pPr>
        <w:spacing w:line="360" w:lineRule="auto"/>
        <w:ind w:left="107"/>
        <w:jc w:val="left"/>
        <w:rPr>
          <w:rFonts w:ascii="宋体" w:cs="宋体"/>
          <w:bCs/>
          <w:color w:val="auto"/>
          <w:sz w:val="24"/>
          <w:highlight w:val="none"/>
          <w:lang w:val="zh-CN"/>
        </w:rPr>
      </w:pPr>
    </w:p>
    <w:p>
      <w:pPr>
        <w:spacing w:line="360" w:lineRule="auto"/>
        <w:ind w:left="107"/>
        <w:jc w:val="left"/>
        <w:rPr>
          <w:rFonts w:ascii="宋体" w:cs="宋体"/>
          <w:bCs/>
          <w:color w:val="auto"/>
          <w:sz w:val="24"/>
          <w:highlight w:val="none"/>
          <w:lang w:val="zh-CN"/>
        </w:rPr>
      </w:pPr>
      <w:r>
        <w:rPr>
          <w:rFonts w:hint="eastAsia" w:ascii="宋体" w:hAnsi="宋体" w:cs="宋体"/>
          <w:bCs/>
          <w:color w:val="auto"/>
          <w:sz w:val="24"/>
          <w:highlight w:val="none"/>
          <w:lang w:val="zh-CN"/>
        </w:rPr>
        <w:t>备注：</w:t>
      </w:r>
    </w:p>
    <w:p>
      <w:pPr>
        <w:spacing w:line="360" w:lineRule="auto"/>
        <w:ind w:firstLine="480" w:firstLineChars="200"/>
        <w:jc w:val="left"/>
        <w:rPr>
          <w:rFonts w:ascii="宋体" w:cs="宋体"/>
          <w:bCs/>
          <w:color w:val="auto"/>
          <w:sz w:val="24"/>
          <w:highlight w:val="none"/>
          <w:lang w:val="zh-CN"/>
        </w:rPr>
      </w:pPr>
      <w:r>
        <w:rPr>
          <w:rFonts w:ascii="宋体" w:hAnsi="宋体" w:cs="宋体"/>
          <w:bCs/>
          <w:color w:val="auto"/>
          <w:sz w:val="24"/>
          <w:highlight w:val="none"/>
        </w:rPr>
        <w:t>1.</w:t>
      </w:r>
      <w:r>
        <w:rPr>
          <w:rFonts w:hint="eastAsia" w:ascii="宋体" w:hAnsi="宋体" w:cs="宋体"/>
          <w:bCs/>
          <w:color w:val="auto"/>
          <w:sz w:val="24"/>
          <w:highlight w:val="none"/>
          <w:lang w:val="zh-CN"/>
        </w:rPr>
        <w:t>“规格型号”为必填项，如有空白、填写不全或未被查实的视为未报。</w:t>
      </w:r>
    </w:p>
    <w:p>
      <w:pPr>
        <w:spacing w:line="360" w:lineRule="auto"/>
        <w:ind w:firstLine="480" w:firstLineChars="200"/>
        <w:jc w:val="left"/>
        <w:rPr>
          <w:rFonts w:ascii="宋体" w:cs="宋体"/>
          <w:color w:val="auto"/>
          <w:sz w:val="24"/>
          <w:highlight w:val="none"/>
          <w:lang w:val="zh-CN"/>
        </w:rPr>
      </w:pPr>
      <w:r>
        <w:rPr>
          <w:rFonts w:ascii="宋体" w:hAnsi="宋体" w:cs="宋体"/>
          <w:bCs/>
          <w:color w:val="auto"/>
          <w:sz w:val="24"/>
          <w:highlight w:val="none"/>
        </w:rPr>
        <w:t>2.</w:t>
      </w:r>
      <w:r>
        <w:rPr>
          <w:rFonts w:hint="eastAsia" w:ascii="宋体" w:hAnsi="宋体" w:cs="宋体"/>
          <w:bCs/>
          <w:color w:val="auto"/>
          <w:sz w:val="24"/>
          <w:highlight w:val="none"/>
          <w:lang w:val="zh-CN"/>
        </w:rPr>
        <w:t>备品备件价格据实填</w:t>
      </w:r>
      <w:r>
        <w:rPr>
          <w:rFonts w:hint="eastAsia" w:ascii="宋体" w:hAnsi="宋体" w:cs="宋体"/>
          <w:color w:val="auto"/>
          <w:sz w:val="24"/>
          <w:highlight w:val="none"/>
          <w:lang w:val="zh-CN"/>
        </w:rPr>
        <w:t>写，采购人将根据所报价格，向中标供应商零星采购备品备件清单。</w:t>
      </w:r>
    </w:p>
    <w:p>
      <w:pPr>
        <w:spacing w:line="360" w:lineRule="auto"/>
        <w:ind w:firstLine="480" w:firstLineChars="200"/>
        <w:jc w:val="left"/>
        <w:rPr>
          <w:color w:val="auto"/>
          <w:sz w:val="24"/>
          <w:highlight w:val="none"/>
        </w:rPr>
      </w:pPr>
      <w:r>
        <w:rPr>
          <w:rFonts w:ascii="宋体" w:hAnsi="宋体" w:cs="宋体"/>
          <w:color w:val="auto"/>
          <w:sz w:val="24"/>
          <w:highlight w:val="none"/>
        </w:rPr>
        <w:t>3.</w:t>
      </w:r>
      <w:r>
        <w:rPr>
          <w:rFonts w:hint="eastAsia"/>
          <w:color w:val="auto"/>
          <w:sz w:val="24"/>
          <w:highlight w:val="none"/>
        </w:rPr>
        <w:t>所采购货物本身随同配备的备品备件及器材的价格已包含于合同总价，不再额外收取费用。</w:t>
      </w:r>
    </w:p>
    <w:p>
      <w:pPr>
        <w:spacing w:line="360" w:lineRule="auto"/>
        <w:ind w:firstLine="480" w:firstLineChars="200"/>
        <w:jc w:val="left"/>
        <w:rPr>
          <w:color w:val="auto"/>
          <w:highlight w:val="none"/>
          <w:lang w:val="zh-CN"/>
        </w:rPr>
      </w:pPr>
      <w:r>
        <w:rPr>
          <w:rFonts w:ascii="宋体" w:hAnsi="宋体" w:cs="宋体"/>
          <w:color w:val="auto"/>
          <w:sz w:val="24"/>
          <w:highlight w:val="none"/>
        </w:rPr>
        <w:t>4.</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需保证所能够提供使用的备品备件属于经过合法授权的，不存在侵权问题。</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根据所投标包实际情况，据实填写，可自行增加或删减。</w:t>
      </w:r>
    </w:p>
    <w:p>
      <w:pPr>
        <w:spacing w:before="54" w:line="360" w:lineRule="auto"/>
        <w:jc w:val="center"/>
        <w:outlineLvl w:val="1"/>
        <w:rPr>
          <w:b/>
          <w:color w:val="auto"/>
          <w:sz w:val="32"/>
          <w:highlight w:val="none"/>
        </w:rPr>
      </w:pPr>
      <w:r>
        <w:rPr>
          <w:b/>
          <w:color w:val="auto"/>
          <w:w w:val="95"/>
          <w:sz w:val="32"/>
          <w:highlight w:val="none"/>
        </w:rPr>
        <w:br w:type="page"/>
      </w:r>
      <w:bookmarkStart w:id="532" w:name="_Toc26886"/>
      <w:bookmarkStart w:id="533" w:name="_Toc14810"/>
      <w:bookmarkStart w:id="534" w:name="_Toc31940"/>
      <w:r>
        <w:rPr>
          <w:rFonts w:hint="eastAsia"/>
          <w:b/>
          <w:color w:val="auto"/>
          <w:w w:val="95"/>
          <w:sz w:val="32"/>
          <w:highlight w:val="none"/>
        </w:rPr>
        <w:t>六、</w:t>
      </w:r>
      <w:r>
        <w:rPr>
          <w:rFonts w:hint="eastAsia"/>
          <w:b/>
          <w:color w:val="auto"/>
          <w:sz w:val="32"/>
          <w:highlight w:val="none"/>
        </w:rPr>
        <w:t>业绩</w:t>
      </w:r>
      <w:bookmarkEnd w:id="532"/>
      <w:bookmarkEnd w:id="533"/>
      <w:bookmarkEnd w:id="534"/>
    </w:p>
    <w:p>
      <w:pPr>
        <w:pStyle w:val="7"/>
        <w:spacing w:before="12" w:line="360" w:lineRule="auto"/>
        <w:rPr>
          <w:b/>
          <w:color w:val="auto"/>
          <w:sz w:val="19"/>
          <w:highlight w:val="none"/>
        </w:rPr>
      </w:pPr>
    </w:p>
    <w:p>
      <w:pPr>
        <w:pStyle w:val="7"/>
        <w:spacing w:before="66" w:line="360" w:lineRule="auto"/>
        <w:ind w:right="412"/>
        <w:jc w:val="right"/>
        <w:rPr>
          <w:color w:val="auto"/>
          <w:highlight w:val="none"/>
        </w:rPr>
      </w:pPr>
      <w:r>
        <w:rPr>
          <w:rFonts w:hint="eastAsia"/>
          <w:color w:val="auto"/>
          <w:highlight w:val="none"/>
        </w:rPr>
        <w:t>金额单位：元</w:t>
      </w:r>
    </w:p>
    <w:p>
      <w:pPr>
        <w:pStyle w:val="7"/>
        <w:spacing w:before="3" w:line="360" w:lineRule="auto"/>
        <w:rPr>
          <w:color w:val="auto"/>
          <w:sz w:val="12"/>
          <w:highlight w:val="none"/>
        </w:rPr>
      </w:pP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1209"/>
        <w:gridCol w:w="765"/>
        <w:gridCol w:w="1069"/>
        <w:gridCol w:w="1153"/>
        <w:gridCol w:w="988"/>
        <w:gridCol w:w="657"/>
        <w:gridCol w:w="1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95" w:type="pct"/>
          </w:tcPr>
          <w:p>
            <w:pPr>
              <w:pStyle w:val="27"/>
              <w:spacing w:line="360" w:lineRule="auto"/>
              <w:jc w:val="center"/>
              <w:rPr>
                <w:color w:val="auto"/>
                <w:highlight w:val="none"/>
              </w:rPr>
            </w:pPr>
          </w:p>
          <w:p>
            <w:pPr>
              <w:pStyle w:val="27"/>
              <w:spacing w:before="161" w:line="360" w:lineRule="auto"/>
              <w:ind w:right="132"/>
              <w:jc w:val="center"/>
              <w:rPr>
                <w:color w:val="auto"/>
                <w:highlight w:val="none"/>
              </w:rPr>
            </w:pPr>
            <w:r>
              <w:rPr>
                <w:rFonts w:hint="eastAsia"/>
                <w:color w:val="auto"/>
                <w:highlight w:val="none"/>
              </w:rPr>
              <w:t>序号</w:t>
            </w:r>
          </w:p>
        </w:tc>
        <w:tc>
          <w:tcPr>
            <w:tcW w:w="727" w:type="pct"/>
          </w:tcPr>
          <w:p>
            <w:pPr>
              <w:pStyle w:val="27"/>
              <w:spacing w:before="3" w:line="360" w:lineRule="auto"/>
              <w:jc w:val="center"/>
              <w:rPr>
                <w:color w:val="auto"/>
                <w:sz w:val="18"/>
                <w:highlight w:val="none"/>
              </w:rPr>
            </w:pPr>
          </w:p>
          <w:p>
            <w:pPr>
              <w:pStyle w:val="27"/>
              <w:spacing w:line="360" w:lineRule="auto"/>
              <w:ind w:left="138" w:right="128"/>
              <w:jc w:val="center"/>
              <w:rPr>
                <w:color w:val="auto"/>
                <w:spacing w:val="-2"/>
                <w:highlight w:val="none"/>
              </w:rPr>
            </w:pPr>
            <w:r>
              <w:rPr>
                <w:rFonts w:hint="eastAsia"/>
                <w:color w:val="auto"/>
                <w:spacing w:val="-2"/>
                <w:highlight w:val="none"/>
              </w:rPr>
              <w:t>用户单位</w:t>
            </w:r>
          </w:p>
          <w:p>
            <w:pPr>
              <w:pStyle w:val="27"/>
              <w:spacing w:line="360" w:lineRule="auto"/>
              <w:ind w:left="138" w:right="128"/>
              <w:jc w:val="center"/>
              <w:rPr>
                <w:color w:val="auto"/>
                <w:highlight w:val="none"/>
              </w:rPr>
            </w:pPr>
            <w:r>
              <w:rPr>
                <w:rFonts w:hint="eastAsia"/>
                <w:color w:val="auto"/>
                <w:spacing w:val="-2"/>
                <w:highlight w:val="none"/>
              </w:rPr>
              <w:t>名称</w:t>
            </w:r>
          </w:p>
        </w:tc>
        <w:tc>
          <w:tcPr>
            <w:tcW w:w="460" w:type="pct"/>
          </w:tcPr>
          <w:p>
            <w:pPr>
              <w:pStyle w:val="27"/>
              <w:spacing w:before="3" w:line="360" w:lineRule="auto"/>
              <w:jc w:val="center"/>
              <w:rPr>
                <w:color w:val="auto"/>
                <w:sz w:val="18"/>
                <w:highlight w:val="none"/>
              </w:rPr>
            </w:pPr>
          </w:p>
          <w:p>
            <w:pPr>
              <w:pStyle w:val="27"/>
              <w:spacing w:line="360" w:lineRule="auto"/>
              <w:ind w:left="152" w:right="140"/>
              <w:jc w:val="center"/>
              <w:rPr>
                <w:color w:val="auto"/>
                <w:highlight w:val="none"/>
              </w:rPr>
            </w:pPr>
            <w:r>
              <w:rPr>
                <w:rFonts w:hint="eastAsia"/>
                <w:color w:val="auto"/>
                <w:spacing w:val="-2"/>
                <w:highlight w:val="none"/>
              </w:rPr>
              <w:t>项目内容</w:t>
            </w:r>
          </w:p>
        </w:tc>
        <w:tc>
          <w:tcPr>
            <w:tcW w:w="643" w:type="pct"/>
          </w:tcPr>
          <w:p>
            <w:pPr>
              <w:pStyle w:val="27"/>
              <w:spacing w:line="360" w:lineRule="auto"/>
              <w:jc w:val="center"/>
              <w:rPr>
                <w:color w:val="auto"/>
                <w:highlight w:val="none"/>
              </w:rPr>
            </w:pPr>
          </w:p>
          <w:p>
            <w:pPr>
              <w:pStyle w:val="27"/>
              <w:spacing w:before="161" w:line="360" w:lineRule="auto"/>
              <w:ind w:left="147"/>
              <w:jc w:val="center"/>
              <w:rPr>
                <w:color w:val="auto"/>
                <w:highlight w:val="none"/>
              </w:rPr>
            </w:pPr>
            <w:r>
              <w:rPr>
                <w:rFonts w:hint="eastAsia"/>
                <w:color w:val="auto"/>
                <w:highlight w:val="none"/>
              </w:rPr>
              <w:t>实施地点</w:t>
            </w:r>
          </w:p>
        </w:tc>
        <w:tc>
          <w:tcPr>
            <w:tcW w:w="693" w:type="pct"/>
          </w:tcPr>
          <w:p>
            <w:pPr>
              <w:pStyle w:val="27"/>
              <w:spacing w:before="3" w:line="360" w:lineRule="auto"/>
              <w:jc w:val="center"/>
              <w:rPr>
                <w:color w:val="auto"/>
                <w:sz w:val="18"/>
                <w:highlight w:val="none"/>
              </w:rPr>
            </w:pPr>
          </w:p>
          <w:p>
            <w:pPr>
              <w:pStyle w:val="27"/>
              <w:spacing w:line="360" w:lineRule="auto"/>
              <w:ind w:left="136" w:right="128"/>
              <w:jc w:val="center"/>
              <w:rPr>
                <w:color w:val="auto"/>
                <w:spacing w:val="-1"/>
                <w:highlight w:val="none"/>
              </w:rPr>
            </w:pPr>
            <w:r>
              <w:rPr>
                <w:rFonts w:hint="eastAsia"/>
                <w:color w:val="auto"/>
                <w:spacing w:val="-1"/>
                <w:highlight w:val="none"/>
              </w:rPr>
              <w:t>用户联系人</w:t>
            </w:r>
          </w:p>
          <w:p>
            <w:pPr>
              <w:pStyle w:val="27"/>
              <w:spacing w:line="360" w:lineRule="auto"/>
              <w:ind w:left="136" w:right="128"/>
              <w:jc w:val="center"/>
              <w:rPr>
                <w:color w:val="auto"/>
                <w:highlight w:val="none"/>
              </w:rPr>
            </w:pPr>
            <w:r>
              <w:rPr>
                <w:rFonts w:hint="eastAsia"/>
                <w:color w:val="auto"/>
                <w:spacing w:val="-1"/>
                <w:highlight w:val="none"/>
              </w:rPr>
              <w:t>及联系方式</w:t>
            </w:r>
          </w:p>
        </w:tc>
        <w:tc>
          <w:tcPr>
            <w:tcW w:w="594" w:type="pct"/>
          </w:tcPr>
          <w:p>
            <w:pPr>
              <w:pStyle w:val="27"/>
              <w:spacing w:before="3" w:line="360" w:lineRule="auto"/>
              <w:jc w:val="center"/>
              <w:rPr>
                <w:color w:val="auto"/>
                <w:sz w:val="18"/>
                <w:highlight w:val="none"/>
              </w:rPr>
            </w:pPr>
          </w:p>
          <w:p>
            <w:pPr>
              <w:pStyle w:val="27"/>
              <w:spacing w:line="360" w:lineRule="auto"/>
              <w:ind w:left="214" w:right="204"/>
              <w:jc w:val="center"/>
              <w:rPr>
                <w:color w:val="auto"/>
                <w:highlight w:val="none"/>
              </w:rPr>
            </w:pPr>
            <w:r>
              <w:rPr>
                <w:rFonts w:hint="eastAsia"/>
                <w:color w:val="auto"/>
                <w:spacing w:val="-2"/>
                <w:highlight w:val="none"/>
              </w:rPr>
              <w:t>项目起止时间</w:t>
            </w:r>
          </w:p>
        </w:tc>
        <w:tc>
          <w:tcPr>
            <w:tcW w:w="395" w:type="pct"/>
          </w:tcPr>
          <w:p>
            <w:pPr>
              <w:pStyle w:val="27"/>
              <w:spacing w:before="3" w:line="360" w:lineRule="auto"/>
              <w:jc w:val="center"/>
              <w:rPr>
                <w:color w:val="auto"/>
                <w:sz w:val="18"/>
                <w:highlight w:val="none"/>
              </w:rPr>
            </w:pPr>
          </w:p>
          <w:p>
            <w:pPr>
              <w:pStyle w:val="27"/>
              <w:spacing w:line="360" w:lineRule="auto"/>
              <w:ind w:left="148" w:right="140"/>
              <w:jc w:val="center"/>
              <w:rPr>
                <w:color w:val="auto"/>
                <w:spacing w:val="-2"/>
                <w:highlight w:val="none"/>
              </w:rPr>
            </w:pPr>
            <w:r>
              <w:rPr>
                <w:rFonts w:hint="eastAsia"/>
                <w:color w:val="auto"/>
                <w:spacing w:val="-2"/>
                <w:highlight w:val="none"/>
              </w:rPr>
              <w:t>合同</w:t>
            </w:r>
          </w:p>
          <w:p>
            <w:pPr>
              <w:pStyle w:val="27"/>
              <w:spacing w:line="360" w:lineRule="auto"/>
              <w:ind w:left="148" w:right="140"/>
              <w:jc w:val="center"/>
              <w:rPr>
                <w:color w:val="auto"/>
                <w:highlight w:val="none"/>
              </w:rPr>
            </w:pPr>
            <w:r>
              <w:rPr>
                <w:rFonts w:hint="eastAsia"/>
                <w:color w:val="auto"/>
                <w:spacing w:val="-2"/>
                <w:highlight w:val="none"/>
              </w:rPr>
              <w:t>金额</w:t>
            </w:r>
          </w:p>
        </w:tc>
        <w:tc>
          <w:tcPr>
            <w:tcW w:w="1089" w:type="pct"/>
          </w:tcPr>
          <w:p>
            <w:pPr>
              <w:pStyle w:val="27"/>
              <w:spacing w:before="8" w:line="360" w:lineRule="auto"/>
              <w:ind w:left="838" w:right="110" w:hanging="720"/>
              <w:jc w:val="center"/>
              <w:rPr>
                <w:rFonts w:ascii="宋体" w:cs="宋体"/>
                <w:color w:val="auto"/>
                <w:highlight w:val="none"/>
              </w:rPr>
            </w:pPr>
          </w:p>
          <w:p>
            <w:pPr>
              <w:pStyle w:val="27"/>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pPr>
              <w:pStyle w:val="27"/>
              <w:spacing w:before="1" w:line="360" w:lineRule="auto"/>
              <w:ind w:left="9"/>
              <w:jc w:val="center"/>
              <w:rPr>
                <w:color w:val="auto"/>
                <w:highlight w:val="none"/>
              </w:rPr>
            </w:pPr>
            <w:r>
              <w:rPr>
                <w:color w:val="auto"/>
                <w:highlight w:val="none"/>
              </w:rPr>
              <w:t>1</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95" w:type="pct"/>
          </w:tcPr>
          <w:p>
            <w:pPr>
              <w:pStyle w:val="27"/>
              <w:spacing w:before="2" w:line="360" w:lineRule="auto"/>
              <w:ind w:left="9"/>
              <w:jc w:val="center"/>
              <w:rPr>
                <w:color w:val="auto"/>
                <w:highlight w:val="none"/>
              </w:rPr>
            </w:pPr>
            <w:r>
              <w:rPr>
                <w:color w:val="auto"/>
                <w:highlight w:val="none"/>
              </w:rPr>
              <w:t>2</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before="2"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95" w:type="pct"/>
          </w:tcPr>
          <w:p>
            <w:pPr>
              <w:pStyle w:val="27"/>
              <w:spacing w:line="360" w:lineRule="auto"/>
              <w:ind w:left="9"/>
              <w:jc w:val="center"/>
              <w:rPr>
                <w:color w:val="auto"/>
                <w:highlight w:val="none"/>
              </w:rPr>
            </w:pPr>
            <w:r>
              <w:rPr>
                <w:color w:val="auto"/>
                <w:highlight w:val="none"/>
              </w:rPr>
              <w:t>3</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pPr>
              <w:pStyle w:val="27"/>
              <w:spacing w:line="360" w:lineRule="auto"/>
              <w:ind w:left="9"/>
              <w:jc w:val="center"/>
              <w:rPr>
                <w:color w:val="auto"/>
                <w:highlight w:val="none"/>
              </w:rPr>
            </w:pPr>
            <w:r>
              <w:rPr>
                <w:color w:val="auto"/>
                <w:highlight w:val="none"/>
              </w:rPr>
              <w:t>4</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pPr>
              <w:pStyle w:val="27"/>
              <w:spacing w:before="1" w:line="360" w:lineRule="auto"/>
              <w:ind w:left="9"/>
              <w:jc w:val="center"/>
              <w:rPr>
                <w:color w:val="auto"/>
                <w:highlight w:val="none"/>
              </w:rPr>
            </w:pPr>
            <w:r>
              <w:rPr>
                <w:color w:val="auto"/>
                <w:highlight w:val="none"/>
              </w:rPr>
              <w:t>5</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95" w:type="pct"/>
          </w:tcPr>
          <w:p>
            <w:pPr>
              <w:pStyle w:val="27"/>
              <w:spacing w:before="3" w:line="360" w:lineRule="auto"/>
              <w:ind w:right="192"/>
              <w:jc w:val="right"/>
              <w:rPr>
                <w:color w:val="auto"/>
                <w:highlight w:val="none"/>
              </w:rPr>
            </w:pPr>
            <w:r>
              <w:rPr>
                <w:color w:val="auto"/>
                <w:highlight w:val="none"/>
              </w:rPr>
              <w:t>...</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line="360" w:lineRule="auto"/>
              <w:rPr>
                <w:color w:val="auto"/>
                <w:sz w:val="22"/>
                <w:highlight w:val="none"/>
              </w:rPr>
            </w:pPr>
          </w:p>
        </w:tc>
      </w:tr>
    </w:tbl>
    <w:p>
      <w:pPr>
        <w:pStyle w:val="7"/>
        <w:spacing w:line="360" w:lineRule="auto"/>
        <w:rPr>
          <w:color w:val="auto"/>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pPr>
        <w:spacing w:line="360" w:lineRule="auto"/>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pPr>
        <w:spacing w:before="54" w:line="360" w:lineRule="auto"/>
        <w:jc w:val="center"/>
        <w:outlineLvl w:val="1"/>
        <w:rPr>
          <w:b/>
          <w:color w:val="auto"/>
          <w:sz w:val="32"/>
          <w:highlight w:val="none"/>
        </w:rPr>
      </w:pPr>
      <w:bookmarkStart w:id="535" w:name="七、售后服务及优惠条件"/>
      <w:bookmarkEnd w:id="535"/>
      <w:bookmarkStart w:id="536" w:name="_Toc24222"/>
      <w:bookmarkStart w:id="537" w:name="_Toc24889"/>
      <w:bookmarkStart w:id="538" w:name="_Toc8374"/>
      <w:bookmarkStart w:id="539" w:name="_Toc26288"/>
      <w:r>
        <w:rPr>
          <w:rFonts w:hint="eastAsia"/>
          <w:b/>
          <w:color w:val="auto"/>
          <w:sz w:val="32"/>
          <w:highlight w:val="none"/>
        </w:rPr>
        <w:t>七、实施方案</w:t>
      </w:r>
      <w:bookmarkEnd w:id="536"/>
      <w:bookmarkEnd w:id="537"/>
      <w:bookmarkEnd w:id="538"/>
      <w:bookmarkEnd w:id="539"/>
    </w:p>
    <w:p>
      <w:pPr>
        <w:jc w:val="center"/>
        <w:rPr>
          <w:color w:val="auto"/>
          <w:highlight w:val="none"/>
        </w:rPr>
      </w:pPr>
      <w:bookmarkStart w:id="540" w:name="_Toc24558"/>
      <w:bookmarkStart w:id="541" w:name="_Toc16080"/>
      <w:bookmarkStart w:id="542" w:name="_Toc30429"/>
      <w:bookmarkStart w:id="543" w:name="_Toc24813"/>
      <w:r>
        <w:rPr>
          <w:rFonts w:hint="eastAsia"/>
          <w:color w:val="auto"/>
          <w:highlight w:val="none"/>
        </w:rPr>
        <w:t>（格式自拟）</w:t>
      </w:r>
      <w:bookmarkEnd w:id="540"/>
      <w:bookmarkEnd w:id="541"/>
      <w:bookmarkEnd w:id="542"/>
      <w:bookmarkEnd w:id="543"/>
    </w:p>
    <w:p>
      <w:pPr>
        <w:pStyle w:val="20"/>
        <w:spacing w:line="360" w:lineRule="auto"/>
        <w:ind w:left="420" w:leftChars="200" w:firstLine="0"/>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before="54" w:line="360" w:lineRule="auto"/>
        <w:ind w:left="6"/>
        <w:jc w:val="center"/>
        <w:outlineLvl w:val="1"/>
        <w:rPr>
          <w:b/>
          <w:color w:val="auto"/>
          <w:sz w:val="32"/>
          <w:highlight w:val="none"/>
        </w:rPr>
      </w:pPr>
      <w:bookmarkStart w:id="544" w:name="_Toc18939"/>
      <w:bookmarkStart w:id="545" w:name="_Toc25273"/>
      <w:bookmarkStart w:id="546" w:name="_Toc7491"/>
      <w:r>
        <w:rPr>
          <w:rFonts w:hint="eastAsia"/>
          <w:b/>
          <w:color w:val="auto"/>
          <w:sz w:val="32"/>
          <w:highlight w:val="none"/>
        </w:rPr>
        <w:t>八、履约能力</w:t>
      </w:r>
      <w:bookmarkEnd w:id="544"/>
      <w:bookmarkEnd w:id="545"/>
      <w:bookmarkEnd w:id="546"/>
    </w:p>
    <w:p>
      <w:pPr>
        <w:spacing w:before="54" w:line="360" w:lineRule="auto"/>
        <w:ind w:left="6"/>
        <w:jc w:val="center"/>
        <w:rPr>
          <w:bCs/>
          <w:color w:val="auto"/>
          <w:szCs w:val="21"/>
          <w:highlight w:val="none"/>
        </w:rPr>
      </w:pPr>
      <w:r>
        <w:rPr>
          <w:rFonts w:hint="eastAsia"/>
          <w:bCs/>
          <w:color w:val="auto"/>
          <w:szCs w:val="21"/>
          <w:highlight w:val="none"/>
        </w:rPr>
        <w:t>（格式自拟）</w:t>
      </w:r>
    </w:p>
    <w:p>
      <w:pPr>
        <w:jc w:val="left"/>
        <w:rPr>
          <w:b/>
          <w:color w:val="auto"/>
          <w:sz w:val="32"/>
          <w:highlight w:val="none"/>
        </w:rPr>
      </w:pPr>
      <w:r>
        <w:rPr>
          <w:b/>
          <w:color w:val="auto"/>
          <w:sz w:val="32"/>
          <w:highlight w:val="none"/>
        </w:rPr>
        <w:br w:type="page"/>
      </w:r>
    </w:p>
    <w:p>
      <w:pPr>
        <w:spacing w:before="54" w:line="360" w:lineRule="auto"/>
        <w:ind w:left="6"/>
        <w:jc w:val="center"/>
        <w:outlineLvl w:val="1"/>
        <w:rPr>
          <w:b/>
          <w:color w:val="auto"/>
          <w:sz w:val="32"/>
          <w:highlight w:val="none"/>
        </w:rPr>
      </w:pPr>
      <w:bookmarkStart w:id="547" w:name="_Toc21298"/>
      <w:bookmarkStart w:id="548" w:name="_Toc16342"/>
      <w:bookmarkStart w:id="549" w:name="_Toc11938"/>
      <w:r>
        <w:rPr>
          <w:rFonts w:hint="eastAsia"/>
          <w:b/>
          <w:color w:val="auto"/>
          <w:sz w:val="32"/>
          <w:highlight w:val="none"/>
        </w:rPr>
        <w:t>九、售后服务及培训方案</w:t>
      </w:r>
      <w:bookmarkEnd w:id="547"/>
      <w:bookmarkEnd w:id="548"/>
      <w:bookmarkEnd w:id="549"/>
    </w:p>
    <w:p>
      <w:pPr>
        <w:spacing w:before="54" w:line="360" w:lineRule="auto"/>
        <w:ind w:left="6"/>
        <w:jc w:val="center"/>
        <w:rPr>
          <w:b/>
          <w:color w:val="auto"/>
          <w:w w:val="95"/>
          <w:sz w:val="32"/>
          <w:highlight w:val="none"/>
        </w:rPr>
      </w:pPr>
    </w:p>
    <w:p>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pPr>
        <w:pStyle w:val="10"/>
        <w:spacing w:line="360" w:lineRule="auto"/>
        <w:ind w:left="31680" w:right="31680"/>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pPr>
        <w:spacing w:before="54" w:line="360" w:lineRule="auto"/>
        <w:ind w:left="6"/>
        <w:jc w:val="center"/>
        <w:outlineLvl w:val="1"/>
        <w:rPr>
          <w:b/>
          <w:color w:val="auto"/>
          <w:sz w:val="32"/>
          <w:highlight w:val="none"/>
        </w:rPr>
      </w:pPr>
      <w:bookmarkStart w:id="550" w:name="_Toc12316"/>
      <w:bookmarkStart w:id="551" w:name="_Toc29592"/>
      <w:bookmarkStart w:id="552" w:name="_Toc27614"/>
      <w:r>
        <w:rPr>
          <w:rFonts w:hint="eastAsia"/>
          <w:b/>
          <w:color w:val="auto"/>
          <w:sz w:val="32"/>
          <w:highlight w:val="none"/>
        </w:rPr>
        <w:t>十、资格证明文件</w:t>
      </w:r>
      <w:bookmarkEnd w:id="550"/>
      <w:bookmarkEnd w:id="551"/>
      <w:bookmarkEnd w:id="552"/>
    </w:p>
    <w:p>
      <w:pPr>
        <w:spacing w:before="212" w:line="360" w:lineRule="auto"/>
        <w:ind w:left="628" w:right="408"/>
        <w:jc w:val="center"/>
        <w:rPr>
          <w:b/>
          <w:color w:val="auto"/>
          <w:w w:val="95"/>
          <w:sz w:val="32"/>
          <w:highlight w:val="none"/>
        </w:rPr>
      </w:pPr>
      <w:bookmarkStart w:id="553" w:name="（一）资格审查资料"/>
      <w:bookmarkEnd w:id="553"/>
      <w:bookmarkStart w:id="554" w:name="_Toc16240"/>
      <w:bookmarkStart w:id="555" w:name="_Toc12520"/>
      <w:bookmarkStart w:id="556" w:name="_Toc100065839"/>
      <w:bookmarkStart w:id="557" w:name="_Toc25140"/>
      <w:bookmarkStart w:id="558" w:name="_Toc32080"/>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54"/>
      <w:bookmarkEnd w:id="555"/>
      <w:bookmarkEnd w:id="556"/>
      <w:bookmarkEnd w:id="557"/>
      <w:bookmarkEnd w:id="558"/>
    </w:p>
    <w:tbl>
      <w:tblPr>
        <w:tblStyle w:val="2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5"/>
        <w:gridCol w:w="873"/>
        <w:gridCol w:w="708"/>
        <w:gridCol w:w="818"/>
        <w:gridCol w:w="234"/>
        <w:gridCol w:w="166"/>
        <w:gridCol w:w="1027"/>
        <w:gridCol w:w="209"/>
        <w:gridCol w:w="583"/>
        <w:gridCol w:w="1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pPr>
              <w:autoSpaceDE w:val="0"/>
              <w:autoSpaceDN w:val="0"/>
              <w:rPr>
                <w:rFonts w:ascii="宋体" w:cs="宋体"/>
                <w:color w:val="auto"/>
                <w:sz w:val="22"/>
                <w:szCs w:val="22"/>
                <w:highlight w:val="none"/>
                <w:lang w:eastAsia="en-US"/>
              </w:rPr>
            </w:pPr>
          </w:p>
        </w:tc>
        <w:tc>
          <w:tcPr>
            <w:tcW w:w="618" w:type="pct"/>
          </w:tcPr>
          <w:p>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pPr>
              <w:autoSpaceDE w:val="0"/>
              <w:autoSpaceDN w:val="0"/>
              <w:spacing w:before="4"/>
              <w:rPr>
                <w:rFonts w:ascii="宋体" w:cs="宋体"/>
                <w:b/>
                <w:color w:val="auto"/>
                <w:sz w:val="26"/>
                <w:szCs w:val="22"/>
                <w:highlight w:val="none"/>
                <w:lang w:eastAsia="en-US"/>
              </w:rPr>
            </w:pPr>
          </w:p>
          <w:p>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pPr>
              <w:widowControl/>
              <w:jc w:val="left"/>
              <w:rPr>
                <w:rFonts w:ascii="宋体" w:cs="宋体"/>
                <w:color w:val="auto"/>
                <w:sz w:val="24"/>
                <w:szCs w:val="22"/>
                <w:highlight w:val="none"/>
                <w:lang w:eastAsia="en-US"/>
              </w:rPr>
            </w:pPr>
          </w:p>
        </w:tc>
        <w:tc>
          <w:tcPr>
            <w:tcW w:w="525" w:type="pct"/>
          </w:tcPr>
          <w:p>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pPr>
              <w:autoSpaceDE w:val="0"/>
              <w:autoSpaceDN w:val="0"/>
              <w:rPr>
                <w:rFonts w:ascii="宋体" w:cs="宋体"/>
                <w:color w:val="auto"/>
                <w:sz w:val="22"/>
                <w:szCs w:val="22"/>
                <w:highlight w:val="none"/>
                <w:lang w:eastAsia="en-US"/>
              </w:rPr>
            </w:pPr>
          </w:p>
        </w:tc>
        <w:tc>
          <w:tcPr>
            <w:tcW w:w="2985" w:type="pct"/>
            <w:gridSpan w:val="7"/>
          </w:tcPr>
          <w:p>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restart"/>
          </w:tcPr>
          <w:p>
            <w:pPr>
              <w:autoSpaceDE w:val="0"/>
              <w:autoSpaceDN w:val="0"/>
              <w:rPr>
                <w:rFonts w:ascii="宋体" w:cs="宋体"/>
                <w:color w:val="auto"/>
                <w:sz w:val="22"/>
                <w:szCs w:val="22"/>
                <w:highlight w:val="none"/>
                <w:lang w:eastAsia="en-US"/>
              </w:rPr>
            </w:pPr>
          </w:p>
        </w:tc>
        <w:tc>
          <w:tcPr>
            <w:tcW w:w="985" w:type="pct"/>
            <w:gridSpan w:val="4"/>
          </w:tcPr>
          <w:p>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rPr>
                <w:rFonts w:ascii="宋体" w:cs="宋体"/>
                <w:color w:val="auto"/>
                <w:sz w:val="22"/>
                <w:szCs w:val="22"/>
                <w:highlight w:val="none"/>
                <w:lang w:eastAsia="en-US"/>
              </w:rPr>
            </w:pP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pPr>
              <w:autoSpaceDE w:val="0"/>
              <w:autoSpaceDN w:val="0"/>
              <w:spacing w:before="8"/>
              <w:rPr>
                <w:rFonts w:ascii="宋体" w:cs="宋体"/>
                <w:b/>
                <w:color w:val="auto"/>
                <w:sz w:val="33"/>
                <w:szCs w:val="22"/>
                <w:highlight w:val="none"/>
                <w:lang w:eastAsia="en-US"/>
              </w:rPr>
            </w:pPr>
          </w:p>
          <w:p>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pPr>
              <w:autoSpaceDE w:val="0"/>
              <w:autoSpaceDN w:val="0"/>
              <w:rPr>
                <w:rFonts w:ascii="宋体" w:cs="宋体"/>
                <w:color w:val="auto"/>
                <w:sz w:val="22"/>
                <w:szCs w:val="22"/>
                <w:highlight w:val="none"/>
                <w:lang w:eastAsia="en-US"/>
              </w:rPr>
            </w:pPr>
          </w:p>
        </w:tc>
      </w:tr>
    </w:tbl>
    <w:p>
      <w:pPr>
        <w:spacing w:after="120"/>
        <w:rPr>
          <w:rFonts w:ascii="宋体" w:cs="宋体"/>
          <w:b/>
          <w:color w:val="auto"/>
          <w:sz w:val="20"/>
          <w:highlight w:val="none"/>
        </w:rPr>
      </w:pPr>
    </w:p>
    <w:p>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p>
    <w:p>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bookmarkStart w:id="559" w:name="（二）供应商基本情况表"/>
      <w:bookmarkEnd w:id="5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pPr>
        <w:rPr>
          <w:rFonts w:hint="eastAsia" w:ascii="宋体" w:hAnsi="宋体" w:eastAsia="宋体" w:cs="宋体"/>
          <w:b/>
          <w:bCs/>
          <w:color w:val="auto"/>
          <w:sz w:val="28"/>
          <w:szCs w:val="28"/>
          <w:highlight w:val="none"/>
          <w:shd w:val="clear" w:color="FFFFFF" w:fill="auto"/>
          <w:lang w:eastAsia="zh-CN"/>
        </w:rPr>
      </w:pPr>
      <w:r>
        <w:rPr>
          <w:rFonts w:hint="eastAsia" w:ascii="宋体" w:hAnsi="宋体" w:eastAsia="宋体" w:cs="宋体"/>
          <w:b/>
          <w:bCs/>
          <w:color w:val="auto"/>
          <w:sz w:val="28"/>
          <w:szCs w:val="28"/>
          <w:highlight w:val="none"/>
          <w:shd w:val="clear" w:color="FFFFFF" w:fill="auto"/>
          <w:lang w:eastAsia="zh-CN"/>
        </w:rPr>
        <w:br w:type="page"/>
      </w:r>
    </w:p>
    <w:p>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包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采购活动，现郑重承诺：</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 xml:space="preserve">。 </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2、参加本次政府采购活动前三年内在经营活动中没有重大违法记录。 </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单位负责人为同一人或者存在直接控股、管理关系的不同供应商，</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lang w:eastAsia="zh-CN"/>
        </w:rPr>
        <w:t>参加同一合同项下的政府采购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的情形</w:t>
      </w:r>
      <w:r>
        <w:rPr>
          <w:rFonts w:hint="eastAsia" w:ascii="宋体" w:hAnsi="宋体" w:eastAsia="宋体" w:cs="宋体"/>
          <w:color w:val="auto"/>
          <w:sz w:val="24"/>
          <w:szCs w:val="24"/>
          <w:highlight w:val="none"/>
          <w:lang w:eastAsia="zh-CN"/>
        </w:rPr>
        <w:t xml:space="preserve">。 </w:t>
      </w:r>
    </w:p>
    <w:p>
      <w:pPr>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pStyle w:val="20"/>
        <w:spacing w:line="360" w:lineRule="auto"/>
        <w:rPr>
          <w:rFonts w:hint="eastAsia" w:hAnsi="宋体" w:eastAsia="宋体" w:cs="宋体"/>
          <w:color w:val="auto"/>
          <w:szCs w:val="22"/>
          <w:highlight w:val="none"/>
          <w:lang w:eastAsia="zh-CN"/>
        </w:rPr>
      </w:pPr>
    </w:p>
    <w:p>
      <w:pPr>
        <w:spacing w:line="360" w:lineRule="auto"/>
        <w:ind w:left="810" w:leftChars="386" w:right="598" w:rightChars="285" w:firstLine="960"/>
        <w:rPr>
          <w:color w:val="auto"/>
          <w:sz w:val="24"/>
          <w:szCs w:val="24"/>
          <w:highlight w:val="none"/>
          <w:lang w:eastAsia="zh-CN"/>
        </w:rPr>
      </w:pPr>
      <w:r>
        <w:rPr>
          <w:color w:val="auto"/>
          <w:sz w:val="24"/>
          <w:szCs w:val="24"/>
          <w:highlight w:val="none"/>
          <w:lang w:eastAsia="zh-CN"/>
        </w:rPr>
        <w:t>  </w:t>
      </w:r>
    </w:p>
    <w:p>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rFonts w:hint="eastAsia" w:hAnsi="宋体" w:cs="宋体"/>
          <w:color w:val="auto"/>
          <w:highlight w:val="none"/>
          <w:lang w:eastAsia="zh-CN"/>
        </w:rPr>
      </w:pPr>
      <w:r>
        <w:rPr>
          <w:rFonts w:hint="eastAsia" w:hAnsi="宋体" w:cs="宋体"/>
          <w:color w:val="auto"/>
          <w:highlight w:val="none"/>
          <w:lang w:eastAsia="zh-CN"/>
        </w:rPr>
        <w:t xml:space="preserve">        </w:t>
      </w:r>
    </w:p>
    <w:p>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color w:val="auto"/>
          <w:highlight w:val="none"/>
          <w:lang w:eastAsia="zh-CN"/>
        </w:rPr>
      </w:pPr>
      <w:r>
        <w:rPr>
          <w:rFonts w:hint="eastAsia" w:hAnsi="宋体" w:cs="宋体"/>
          <w:color w:val="auto"/>
          <w:highlight w:val="none"/>
          <w:lang w:eastAsia="zh-CN"/>
        </w:rPr>
        <w:t xml:space="preserve"> 投标人：</w:t>
      </w:r>
      <w:r>
        <w:rPr>
          <w:rFonts w:hint="eastAsia" w:hAnsi="宋体" w:cs="宋体"/>
          <w:color w:val="auto"/>
          <w:highlight w:val="none"/>
          <w:u w:val="single"/>
          <w:lang w:eastAsia="zh-CN"/>
        </w:rPr>
        <w:t xml:space="preserve">                                </w:t>
      </w:r>
      <w:r>
        <w:rPr>
          <w:rFonts w:hint="eastAsia" w:hAnsi="宋体" w:cs="宋体"/>
          <w:color w:val="auto"/>
          <w:highlight w:val="none"/>
          <w:lang w:eastAsia="zh-CN"/>
        </w:rPr>
        <w:t>（电子签章）</w:t>
      </w:r>
    </w:p>
    <w:p>
      <w:pPr>
        <w:keepNext w:val="0"/>
        <w:keepLines w:val="0"/>
        <w:pageBreakBefore w:val="0"/>
        <w:widowControl w:val="0"/>
        <w:shd w:val="clear" w:color="FFFFFF" w:fill="auto"/>
        <w:kinsoku/>
        <w:wordWrap/>
        <w:overflowPunct/>
        <w:topLinePunct w:val="0"/>
        <w:autoSpaceDE w:val="0"/>
        <w:autoSpaceDN w:val="0"/>
        <w:bidi w:val="0"/>
        <w:adjustRightInd/>
        <w:snapToGrid w:val="0"/>
        <w:spacing w:line="360" w:lineRule="auto"/>
        <w:ind w:right="598" w:rightChars="285" w:firstLine="1440" w:firstLineChars="600"/>
        <w:jc w:val="both"/>
        <w:textAlignment w:val="auto"/>
        <w:rPr>
          <w:color w:val="auto"/>
          <w:sz w:val="24"/>
          <w:szCs w:val="24"/>
          <w:highlight w:val="none"/>
          <w:lang w:eastAsia="zh-CN"/>
        </w:rPr>
      </w:pPr>
      <w:r>
        <w:rPr>
          <w:rFonts w:hint="eastAsia"/>
          <w:color w:val="auto"/>
          <w:sz w:val="24"/>
          <w:szCs w:val="24"/>
          <w:highlight w:val="none"/>
          <w:lang w:eastAsia="zh-CN"/>
        </w:rPr>
        <w:t>法定代表人或委托代理人：</w:t>
      </w:r>
      <w:r>
        <w:rPr>
          <w:rFonts w:hint="eastAsia" w:hAnsi="宋体" w:cs="宋体"/>
          <w:color w:val="auto"/>
          <w:highlight w:val="none"/>
          <w:u w:val="single"/>
          <w:lang w:eastAsia="zh-CN"/>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lang w:eastAsia="zh-CN"/>
        </w:rPr>
        <w:t xml:space="preserve">   </w:t>
      </w:r>
      <w:r>
        <w:rPr>
          <w:rFonts w:hint="eastAsia"/>
          <w:color w:val="auto"/>
          <w:spacing w:val="-1"/>
          <w:sz w:val="24"/>
          <w:szCs w:val="24"/>
          <w:highlight w:val="none"/>
          <w:lang w:eastAsia="zh-CN"/>
        </w:rPr>
        <w:t>（电</w:t>
      </w:r>
      <w:r>
        <w:rPr>
          <w:rFonts w:hint="eastAsia"/>
          <w:color w:val="auto"/>
          <w:sz w:val="24"/>
          <w:szCs w:val="24"/>
          <w:highlight w:val="none"/>
          <w:lang w:eastAsia="zh-CN"/>
        </w:rPr>
        <w:t>子签章或签字）</w:t>
      </w:r>
    </w:p>
    <w:p>
      <w:pPr>
        <w:rPr>
          <w:color w:val="auto"/>
          <w:highlight w:val="none"/>
        </w:rPr>
      </w:pP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日</w:t>
      </w:r>
      <w:r>
        <w:rPr>
          <w:color w:val="auto"/>
          <w:sz w:val="24"/>
          <w:szCs w:val="24"/>
          <w:highlight w:val="none"/>
          <w:lang w:eastAsia="zh-CN"/>
        </w:rPr>
        <w:tab/>
      </w:r>
      <w:r>
        <w:rPr>
          <w:rFonts w:hint="eastAsia"/>
          <w:color w:val="auto"/>
          <w:sz w:val="24"/>
          <w:szCs w:val="24"/>
          <w:highlight w:val="none"/>
          <w:lang w:eastAsia="zh-CN"/>
        </w:rPr>
        <w:t>期：</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年</w:t>
      </w:r>
      <w:r>
        <w:rPr>
          <w:color w:val="auto"/>
          <w:sz w:val="24"/>
          <w:szCs w:val="24"/>
          <w:highlight w:val="none"/>
          <w:lang w:eastAsia="zh-CN"/>
        </w:rPr>
        <w:tab/>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月</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20"/>
        <w:rPr>
          <w:color w:val="auto"/>
          <w:highlight w:val="none"/>
        </w:rPr>
      </w:pPr>
    </w:p>
    <w:p>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60" w:name="_Toc13247"/>
      <w:bookmarkStart w:id="561" w:name="_Toc16445"/>
      <w:bookmarkStart w:id="562" w:name="_Toc29503"/>
      <w:bookmarkStart w:id="563" w:name="_Toc1425"/>
      <w:bookmarkStart w:id="564" w:name="_Toc30714"/>
      <w:bookmarkStart w:id="565" w:name="_Toc9291"/>
      <w:bookmarkStart w:id="566" w:name="_Toc8965"/>
      <w:bookmarkStart w:id="567" w:name="_Toc17484"/>
      <w:r>
        <w:rPr>
          <w:rFonts w:hint="eastAsia"/>
          <w:b/>
          <w:color w:val="auto"/>
          <w:sz w:val="32"/>
          <w:highlight w:val="none"/>
        </w:rPr>
        <w:t>十一、</w:t>
      </w:r>
      <w:bookmarkEnd w:id="560"/>
      <w:bookmarkEnd w:id="561"/>
      <w:bookmarkEnd w:id="562"/>
      <w:r>
        <w:rPr>
          <w:rFonts w:hint="eastAsia"/>
          <w:b/>
          <w:color w:val="auto"/>
          <w:sz w:val="32"/>
          <w:highlight w:val="none"/>
        </w:rPr>
        <w:t>其他资料</w:t>
      </w:r>
      <w:bookmarkEnd w:id="563"/>
      <w:bookmarkEnd w:id="564"/>
      <w:bookmarkEnd w:id="565"/>
      <w:bookmarkEnd w:id="566"/>
      <w:bookmarkEnd w:id="567"/>
    </w:p>
    <w:p>
      <w:pPr>
        <w:pStyle w:val="4"/>
        <w:jc w:val="center"/>
        <w:rPr>
          <w:color w:val="auto"/>
          <w:highlight w:val="none"/>
        </w:rPr>
      </w:pPr>
      <w:bookmarkStart w:id="568" w:name="_Toc31476"/>
      <w:bookmarkStart w:id="569" w:name="_Toc20383"/>
      <w:bookmarkStart w:id="570" w:name="_Toc14926"/>
      <w:bookmarkStart w:id="571" w:name="_Toc4468"/>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68"/>
      <w:bookmarkEnd w:id="569"/>
      <w:bookmarkEnd w:id="570"/>
      <w:bookmarkEnd w:id="571"/>
    </w:p>
    <w:p>
      <w:pPr>
        <w:spacing w:line="360" w:lineRule="auto"/>
        <w:jc w:val="center"/>
        <w:rPr>
          <w:rFonts w:ascii="宋体" w:cs="宋体"/>
          <w:color w:val="auto"/>
          <w:sz w:val="32"/>
          <w:szCs w:val="32"/>
          <w:highlight w:val="none"/>
        </w:rPr>
      </w:pPr>
    </w:p>
    <w:p>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jc w:val="left"/>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pPr>
        <w:spacing w:line="360" w:lineRule="auto"/>
        <w:rPr>
          <w:rFonts w:ascii="宋体" w:cs="宋体"/>
          <w:color w:val="auto"/>
          <w:sz w:val="24"/>
          <w:highlight w:val="none"/>
        </w:rPr>
      </w:pPr>
    </w:p>
    <w:p>
      <w:pPr>
        <w:spacing w:line="360" w:lineRule="auto"/>
        <w:ind w:firstLine="2640" w:firstLineChars="11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1920" w:firstLineChars="8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4"/>
        <w:jc w:val="center"/>
        <w:rPr>
          <w:color w:val="auto"/>
          <w:highlight w:val="none"/>
        </w:rPr>
      </w:pPr>
      <w:bookmarkStart w:id="572" w:name="_Toc10731"/>
      <w:bookmarkStart w:id="573" w:name="_Toc13340"/>
      <w:bookmarkStart w:id="574" w:name="_Toc10490"/>
      <w:r>
        <w:rPr>
          <w:color w:val="auto"/>
          <w:highlight w:val="none"/>
        </w:rPr>
        <w:br w:type="page"/>
      </w:r>
      <w:bookmarkStart w:id="575" w:name="_Toc28969"/>
      <w:r>
        <w:rPr>
          <w:rFonts w:hint="eastAsia"/>
          <w:color w:val="auto"/>
          <w:highlight w:val="none"/>
        </w:rPr>
        <w:t>（二）反商业贿赂承诺书</w:t>
      </w:r>
      <w:bookmarkEnd w:id="572"/>
      <w:bookmarkEnd w:id="573"/>
      <w:bookmarkEnd w:id="574"/>
      <w:bookmarkEnd w:id="575"/>
    </w:p>
    <w:p>
      <w:pPr>
        <w:spacing w:line="360" w:lineRule="auto"/>
        <w:jc w:val="center"/>
        <w:rPr>
          <w:rFonts w:ascii="宋体" w:cs="宋体"/>
          <w:color w:val="auto"/>
          <w:sz w:val="32"/>
          <w:szCs w:val="32"/>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pPr>
        <w:spacing w:line="360" w:lineRule="auto"/>
        <w:ind w:firstLine="480" w:firstLineChars="200"/>
        <w:jc w:val="left"/>
        <w:rPr>
          <w:rFonts w:ascii="宋体" w:cs="宋体"/>
          <w:color w:val="auto"/>
          <w:sz w:val="24"/>
          <w:highlight w:val="none"/>
        </w:rPr>
      </w:pPr>
    </w:p>
    <w:p>
      <w:pPr>
        <w:adjustRightInd w:val="0"/>
        <w:snapToGrid w:val="0"/>
        <w:spacing w:line="360" w:lineRule="auto"/>
        <w:ind w:right="-81" w:rightChars="-39"/>
        <w:jc w:val="left"/>
        <w:rPr>
          <w:rFonts w:ascii="宋体" w:cs="宋体"/>
          <w:color w:val="auto"/>
          <w:sz w:val="24"/>
          <w:highlight w:val="none"/>
        </w:rPr>
      </w:pP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pStyle w:val="4"/>
        <w:numPr>
          <w:ilvl w:val="0"/>
          <w:numId w:val="14"/>
        </w:numPr>
        <w:ind w:left="3"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bookmarkStart w:id="576" w:name="_Toc7741"/>
      <w:bookmarkStart w:id="577" w:name="_Toc1453"/>
      <w:bookmarkStart w:id="578" w:name="_Toc6109"/>
      <w:r>
        <w:rPr>
          <w:rFonts w:ascii="宋体" w:cs="宋体"/>
          <w:color w:val="auto"/>
          <w:sz w:val="24"/>
          <w:highlight w:val="none"/>
        </w:rPr>
        <w:br w:type="page"/>
      </w:r>
      <w:r>
        <w:rPr>
          <w:rFonts w:hint="eastAsia" w:eastAsia="宋体"/>
          <w:color w:val="auto"/>
          <w:highlight w:val="none"/>
        </w:rPr>
        <w:t>合同主要条款内容</w:t>
      </w:r>
    </w:p>
    <w:p>
      <w:pPr>
        <w:rPr>
          <w:rFonts w:hint="eastAsia"/>
          <w:color w:val="auto"/>
          <w:highlight w:val="none"/>
          <w:lang w:eastAsia="zh-CN"/>
        </w:rPr>
      </w:pPr>
    </w:p>
    <w:p>
      <w:pPr>
        <w:rPr>
          <w:rFonts w:hint="eastAsia"/>
          <w:color w:val="auto"/>
          <w:highlight w:val="none"/>
          <w:lang w:eastAsia="zh-CN"/>
        </w:rPr>
      </w:pPr>
    </w:p>
    <w:p>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合同主要条款内容</w:t>
      </w:r>
    </w:p>
    <w:p>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乙方开通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小时服务热线，提供</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小时技术服务。产品出现问题，故障响应时间为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，到达现场时间不超过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小时无法排除故障，乙方应</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小时内提供同款设备供用户使用，直至送修设备修好后换回为止。</w:t>
      </w:r>
    </w:p>
    <w:p>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乙方应按照招标文件、投标文件及本合同的要求，对出售给甲方的货物进行有效跟踪服务，定期巡检，每年不少于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次。</w:t>
      </w:r>
    </w:p>
    <w:p>
      <w:pPr>
        <w:rPr>
          <w:rFonts w:hint="eastAsia"/>
          <w:color w:val="auto"/>
          <w:highlight w:val="none"/>
        </w:rPr>
      </w:pPr>
    </w:p>
    <w:p>
      <w:pPr>
        <w:spacing w:line="360" w:lineRule="auto"/>
        <w:jc w:val="righ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righ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jc w:val="right"/>
        <w:rPr>
          <w:color w:val="auto"/>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rPr>
          <w:rFonts w:hint="eastAsia" w:eastAsia="宋体"/>
          <w:color w:val="auto"/>
          <w:highlight w:val="none"/>
        </w:rPr>
      </w:pPr>
    </w:p>
    <w:p>
      <w:pPr>
        <w:rPr>
          <w:rFonts w:hint="eastAsia" w:eastAsia="宋体"/>
          <w:color w:val="auto"/>
          <w:highlight w:val="none"/>
        </w:rPr>
      </w:pPr>
      <w:r>
        <w:rPr>
          <w:rFonts w:hint="eastAsia" w:eastAsia="宋体"/>
          <w:color w:val="auto"/>
          <w:highlight w:val="none"/>
        </w:rPr>
        <w:br w:type="page"/>
      </w:r>
    </w:p>
    <w:p>
      <w:pPr>
        <w:pStyle w:val="4"/>
        <w:jc w:val="center"/>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四</w:t>
      </w:r>
      <w:r>
        <w:rPr>
          <w:rFonts w:hint="eastAsia" w:eastAsia="宋体"/>
          <w:color w:val="auto"/>
          <w:highlight w:val="none"/>
        </w:rPr>
        <w:t>）</w:t>
      </w:r>
      <w:r>
        <w:rPr>
          <w:rFonts w:hint="eastAsia" w:eastAsia="宋体"/>
          <w:color w:val="auto"/>
          <w:highlight w:val="none"/>
          <w:lang w:eastAsia="zh-CN"/>
        </w:rPr>
        <w:t>投标人</w:t>
      </w:r>
      <w:r>
        <w:rPr>
          <w:rFonts w:hint="eastAsia" w:eastAsia="宋体"/>
          <w:color w:val="auto"/>
          <w:highlight w:val="none"/>
        </w:rPr>
        <w:t>认为需提供的其他材料</w:t>
      </w:r>
      <w:bookmarkEnd w:id="576"/>
      <w:bookmarkEnd w:id="577"/>
      <w:bookmarkEnd w:id="578"/>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rPr>
      </w:pPr>
      <w:r>
        <w:rPr>
          <w:rFonts w:hint="eastAsia" w:ascii="宋体" w:cs="宋体"/>
          <w:color w:val="auto"/>
          <w:sz w:val="24"/>
          <w:szCs w:val="24"/>
          <w:highlight w:val="none"/>
          <w:lang w:val="en-US" w:eastAsia="zh-CN"/>
        </w:rPr>
        <w:t>1.</w:t>
      </w:r>
      <w:r>
        <w:rPr>
          <w:rFonts w:hint="eastAsia" w:ascii="宋体" w:cs="宋体"/>
          <w:color w:val="auto"/>
          <w:sz w:val="24"/>
          <w:szCs w:val="24"/>
          <w:highlight w:val="none"/>
        </w:rPr>
        <w:t>产品选型(整体设计)</w:t>
      </w:r>
    </w:p>
    <w:p>
      <w:pPr>
        <w:spacing w:line="360" w:lineRule="auto"/>
        <w:rPr>
          <w:rFonts w:hint="eastAsia" w:ascii="宋体" w:cs="宋体"/>
          <w:color w:val="auto"/>
          <w:sz w:val="24"/>
          <w:szCs w:val="24"/>
          <w:highlight w:val="none"/>
        </w:rPr>
      </w:pPr>
    </w:p>
    <w:p>
      <w:pPr>
        <w:spacing w:line="360" w:lineRule="auto"/>
        <w:rPr>
          <w:rFonts w:hint="eastAsia" w:ascii="宋体" w:cs="宋体"/>
          <w:color w:val="auto"/>
          <w:sz w:val="24"/>
          <w:szCs w:val="24"/>
          <w:highlight w:val="none"/>
        </w:rPr>
      </w:pPr>
    </w:p>
    <w:p>
      <w:pPr>
        <w:spacing w:line="360" w:lineRule="auto"/>
        <w:rPr>
          <w:rFonts w:hint="eastAsia" w:ascii="宋体" w:cs="宋体"/>
          <w:color w:val="auto"/>
          <w:sz w:val="24"/>
          <w:szCs w:val="24"/>
          <w:highlight w:val="none"/>
        </w:rPr>
      </w:pPr>
      <w:r>
        <w:rPr>
          <w:rFonts w:hint="eastAsia" w:ascii="宋体" w:cs="宋体"/>
          <w:color w:val="auto"/>
          <w:sz w:val="24"/>
          <w:szCs w:val="24"/>
          <w:highlight w:val="none"/>
        </w:rPr>
        <w:t>2.专业技术生产能力</w:t>
      </w:r>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p>
    <w:p>
      <w:pPr>
        <w:spacing w:line="360" w:lineRule="auto"/>
        <w:rPr>
          <w:rFonts w:ascii="宋体" w:cs="宋体"/>
          <w:b/>
          <w:color w:val="auto"/>
          <w:sz w:val="28"/>
          <w:szCs w:val="28"/>
          <w:highlight w:val="none"/>
        </w:rPr>
      </w:pPr>
      <w:r>
        <w:rPr>
          <w:rFonts w:hint="eastAsia" w:ascii="宋体" w:cs="宋体"/>
          <w:color w:val="auto"/>
          <w:sz w:val="24"/>
          <w:szCs w:val="24"/>
          <w:highlight w:val="none"/>
          <w:lang w:val="en-US" w:eastAsia="zh-CN"/>
        </w:rPr>
        <w:t>3.</w:t>
      </w:r>
      <w:r>
        <w:rPr>
          <w:rFonts w:hint="eastAsia" w:ascii="宋体" w:cs="宋体"/>
          <w:color w:val="auto"/>
          <w:sz w:val="24"/>
          <w:szCs w:val="24"/>
          <w:highlight w:val="none"/>
        </w:rPr>
        <w:t>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pPr>
        <w:keepNext/>
        <w:keepLines/>
        <w:spacing w:line="360" w:lineRule="auto"/>
        <w:jc w:val="center"/>
        <w:outlineLvl w:val="2"/>
        <w:rPr>
          <w:rFonts w:ascii="宋体" w:cs="宋体"/>
          <w:b/>
          <w:bCs/>
          <w:color w:val="auto"/>
          <w:kern w:val="0"/>
          <w:sz w:val="32"/>
          <w:szCs w:val="32"/>
          <w:highlight w:val="none"/>
        </w:rPr>
      </w:pPr>
      <w:bookmarkStart w:id="579" w:name="_Toc15503"/>
      <w:bookmarkStart w:id="580" w:name="_Toc26116"/>
      <w:bookmarkStart w:id="581" w:name="_Toc131"/>
      <w:r>
        <w:rPr>
          <w:rFonts w:hint="eastAsia" w:ascii="宋体" w:hAnsi="宋体" w:cs="宋体"/>
          <w:b/>
          <w:bCs/>
          <w:color w:val="auto"/>
          <w:kern w:val="0"/>
          <w:sz w:val="32"/>
          <w:szCs w:val="32"/>
          <w:highlight w:val="none"/>
        </w:rPr>
        <w:t>中小企业声明函（货物）</w:t>
      </w:r>
      <w:bookmarkEnd w:id="579"/>
      <w:bookmarkEnd w:id="580"/>
      <w:bookmarkEnd w:id="581"/>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pPr>
        <w:adjustRightInd w:val="0"/>
        <w:snapToGrid w:val="0"/>
        <w:spacing w:line="360" w:lineRule="auto"/>
        <w:ind w:right="-81" w:rightChars="-39"/>
        <w:jc w:val="left"/>
        <w:rPr>
          <w:rFonts w:ascii="宋体" w:cs="宋体"/>
          <w:color w:val="auto"/>
          <w:sz w:val="24"/>
          <w:highlight w:val="none"/>
        </w:rPr>
      </w:pPr>
    </w:p>
    <w:p>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pPr>
        <w:spacing w:line="360" w:lineRule="auto"/>
        <w:jc w:val="left"/>
        <w:rPr>
          <w:rFonts w:ascii="宋体" w:cs="宋体"/>
          <w:color w:val="auto"/>
          <w:sz w:val="24"/>
          <w:highlight w:val="none"/>
        </w:rPr>
      </w:pPr>
    </w:p>
    <w:p>
      <w:pPr>
        <w:spacing w:line="360" w:lineRule="auto"/>
        <w:ind w:firstLine="480"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pPr>
        <w:spacing w:line="360" w:lineRule="auto"/>
        <w:rPr>
          <w:rFonts w:asci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keepNext/>
        <w:keepLines/>
        <w:spacing w:line="360" w:lineRule="auto"/>
        <w:jc w:val="center"/>
        <w:outlineLvl w:val="2"/>
        <w:rPr>
          <w:rFonts w:ascii="宋体" w:cs="宋体"/>
          <w:b/>
          <w:bCs/>
          <w:color w:val="auto"/>
          <w:kern w:val="0"/>
          <w:sz w:val="32"/>
          <w:szCs w:val="32"/>
          <w:highlight w:val="none"/>
        </w:rPr>
      </w:pPr>
      <w:bookmarkStart w:id="582" w:name="_Toc27929"/>
      <w:bookmarkStart w:id="583" w:name="_Toc16860"/>
      <w:r>
        <w:rPr>
          <w:rFonts w:hint="eastAsia" w:ascii="宋体" w:hAnsi="宋体" w:cs="宋体"/>
          <w:b/>
          <w:bCs/>
          <w:color w:val="auto"/>
          <w:kern w:val="0"/>
          <w:sz w:val="32"/>
          <w:szCs w:val="32"/>
          <w:highlight w:val="none"/>
        </w:rPr>
        <w:t>监狱企业的证明文件</w:t>
      </w:r>
      <w:bookmarkEnd w:id="582"/>
      <w:bookmarkEnd w:id="583"/>
    </w:p>
    <w:p>
      <w:pPr>
        <w:spacing w:line="360" w:lineRule="auto"/>
        <w:jc w:val="center"/>
        <w:rPr>
          <w:rFonts w:ascii="宋体" w:cs="宋体"/>
          <w:color w:val="auto"/>
          <w:kern w:val="0"/>
          <w:sz w:val="32"/>
          <w:szCs w:val="32"/>
          <w:highlight w:val="none"/>
        </w:rPr>
      </w:pPr>
    </w:p>
    <w:p>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84" w:name="_Toc5950"/>
      <w:bookmarkStart w:id="585" w:name="_Toc5146"/>
      <w:r>
        <w:rPr>
          <w:rFonts w:hint="eastAsia" w:ascii="宋体" w:hAnsi="宋体" w:cs="宋体"/>
          <w:b/>
          <w:bCs/>
          <w:color w:val="auto"/>
          <w:kern w:val="0"/>
          <w:sz w:val="32"/>
          <w:szCs w:val="32"/>
          <w:highlight w:val="none"/>
        </w:rPr>
        <w:t>残疾人福利性单位声明函</w:t>
      </w:r>
      <w:bookmarkEnd w:id="584"/>
      <w:bookmarkEnd w:id="585"/>
    </w:p>
    <w:p>
      <w:pPr>
        <w:spacing w:line="360" w:lineRule="auto"/>
        <w:jc w:val="center"/>
        <w:rPr>
          <w:rFonts w:ascii="宋体" w:cs="宋体"/>
          <w:b/>
          <w:color w:val="auto"/>
          <w:spacing w:val="6"/>
          <w:sz w:val="32"/>
          <w:szCs w:val="32"/>
          <w:highlight w:val="none"/>
        </w:rPr>
      </w:pP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pPr>
        <w:spacing w:line="360" w:lineRule="auto"/>
        <w:ind w:firstLine="504" w:firstLineChars="200"/>
        <w:jc w:val="left"/>
        <w:rPr>
          <w:rFonts w:ascii="宋体" w:cs="宋体"/>
          <w:color w:val="auto"/>
          <w:spacing w:val="6"/>
          <w:sz w:val="24"/>
          <w:szCs w:val="21"/>
          <w:highlight w:val="none"/>
        </w:rPr>
      </w:pPr>
    </w:p>
    <w:p>
      <w:pPr>
        <w:spacing w:line="360" w:lineRule="auto"/>
        <w:ind w:firstLine="504" w:firstLineChars="200"/>
        <w:jc w:val="left"/>
        <w:rPr>
          <w:rFonts w:ascii="宋体" w:cs="宋体"/>
          <w:color w:val="auto"/>
          <w:spacing w:val="6"/>
          <w:sz w:val="24"/>
          <w:szCs w:val="21"/>
          <w:highlight w:val="none"/>
        </w:rPr>
      </w:pPr>
    </w:p>
    <w:p>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pPr>
        <w:widowControl/>
        <w:spacing w:line="360" w:lineRule="auto"/>
        <w:ind w:firstLine="560" w:firstLineChars="200"/>
        <w:jc w:val="left"/>
        <w:rPr>
          <w:rFonts w:ascii="宋体" w:cs="宋体"/>
          <w:bCs/>
          <w:color w:val="auto"/>
          <w:sz w:val="24"/>
          <w:highlight w:val="none"/>
        </w:rPr>
      </w:pPr>
      <w:r>
        <w:rPr>
          <w:rFonts w:ascii="宋体" w:cs="宋体"/>
          <w:b/>
          <w:color w:val="auto"/>
          <w:sz w:val="28"/>
          <w:szCs w:val="28"/>
          <w:highlight w:val="none"/>
        </w:rPr>
        <w:br w:type="page"/>
      </w:r>
    </w:p>
    <w:p>
      <w:pPr>
        <w:widowControl/>
        <w:spacing w:line="360" w:lineRule="auto"/>
        <w:jc w:val="center"/>
        <w:outlineLvl w:val="2"/>
        <w:rPr>
          <w:rFonts w:ascii="微软雅黑" w:hAnsi="微软雅黑" w:eastAsia="微软雅黑" w:cs="宋体"/>
          <w:b/>
          <w:bCs/>
          <w:color w:val="auto"/>
          <w:kern w:val="36"/>
          <w:sz w:val="28"/>
          <w:szCs w:val="28"/>
          <w:highlight w:val="none"/>
        </w:rPr>
      </w:pPr>
      <w:bookmarkStart w:id="586" w:name="_Toc5378"/>
      <w:r>
        <w:rPr>
          <w:rFonts w:hint="eastAsia" w:ascii="宋体" w:hAnsi="宋体" w:cs="宋体"/>
          <w:b/>
          <w:bCs/>
          <w:color w:val="auto"/>
          <w:sz w:val="24"/>
          <w:szCs w:val="21"/>
          <w:highlight w:val="none"/>
        </w:rPr>
        <w:t>关于印发节能产品政府采购品目清单的通知</w:t>
      </w:r>
      <w:bookmarkEnd w:id="586"/>
    </w:p>
    <w:p>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pPr>
        <w:autoSpaceDE w:val="0"/>
        <w:autoSpaceDN w:val="0"/>
        <w:adjustRightInd w:val="0"/>
        <w:spacing w:line="360" w:lineRule="auto"/>
        <w:jc w:val="left"/>
        <w:rPr>
          <w:rFonts w:ascii="宋体" w:cs="宋体"/>
          <w:color w:val="auto"/>
          <w:kern w:val="0"/>
          <w:sz w:val="24"/>
          <w:highlight w:val="none"/>
        </w:rPr>
      </w:pP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pPr>
        <w:spacing w:line="360" w:lineRule="auto"/>
        <w:jc w:val="righ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pStyle w:val="20"/>
        <w:spacing w:line="360" w:lineRule="auto"/>
        <w:rPr>
          <w:color w:val="auto"/>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widowControl/>
        <w:spacing w:line="360" w:lineRule="auto"/>
        <w:jc w:val="center"/>
        <w:outlineLvl w:val="2"/>
        <w:rPr>
          <w:rFonts w:ascii="宋体" w:cs="宋体"/>
          <w:b/>
          <w:bCs/>
          <w:color w:val="auto"/>
          <w:sz w:val="24"/>
          <w:szCs w:val="21"/>
          <w:highlight w:val="none"/>
        </w:rPr>
      </w:pPr>
      <w:bookmarkStart w:id="587" w:name="_Toc873"/>
      <w:r>
        <w:rPr>
          <w:rFonts w:hint="eastAsia" w:ascii="宋体" w:hAnsi="宋体" w:cs="宋体"/>
          <w:b/>
          <w:bCs/>
          <w:color w:val="auto"/>
          <w:sz w:val="24"/>
          <w:szCs w:val="21"/>
          <w:highlight w:val="none"/>
        </w:rPr>
        <w:t>节能产品政府采购品目清单</w:t>
      </w:r>
      <w:bookmarkEnd w:id="587"/>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5"/>
        <w:gridCol w:w="1824"/>
        <w:gridCol w:w="159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vMerge w:val="restart"/>
          </w:tcPr>
          <w:p>
            <w:pPr>
              <w:spacing w:line="360" w:lineRule="auto"/>
              <w:jc w:val="left"/>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pPr>
              <w:spacing w:line="360" w:lineRule="auto"/>
              <w:rPr>
                <w:rFonts w:ascii="宋体" w:cs="宋体"/>
                <w:color w:val="auto"/>
                <w:szCs w:val="21"/>
                <w:highlight w:val="none"/>
              </w:rPr>
            </w:pPr>
          </w:p>
        </w:tc>
        <w:tc>
          <w:tcPr>
            <w:tcW w:w="1743" w:type="pct"/>
          </w:tcPr>
          <w:p>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kern w:val="0"/>
                <w:szCs w:val="21"/>
                <w:highlight w:val="none"/>
              </w:rPr>
            </w:pPr>
          </w:p>
          <w:p>
            <w:pPr>
              <w:spacing w:line="360" w:lineRule="auto"/>
              <w:rPr>
                <w:color w:val="auto"/>
                <w:sz w:val="24"/>
                <w:highlight w:val="none"/>
              </w:rPr>
            </w:pPr>
          </w:p>
          <w:p>
            <w:pPr>
              <w:autoSpaceDE w:val="0"/>
              <w:autoSpaceDN w:val="0"/>
              <w:adjustRightInd w:val="0"/>
              <w:spacing w:line="360" w:lineRule="auto"/>
              <w:rPr>
                <w:rFonts w:ascii="宋体" w:cs="宋体"/>
                <w:color w:val="auto"/>
                <w:kern w:val="0"/>
                <w:sz w:val="24"/>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普通照明用双瑞荧光灯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pPr>
        <w:spacing w:line="360" w:lineRule="auto"/>
        <w:jc w:val="left"/>
        <w:rPr>
          <w:rFonts w:ascii="宋体" w:cs="宋体"/>
          <w:color w:val="auto"/>
          <w:szCs w:val="21"/>
          <w:highlight w:val="none"/>
        </w:rPr>
      </w:pPr>
    </w:p>
    <w:p>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w:t>
      </w: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”标注的为政府强制采购产品。</w:t>
      </w:r>
    </w:p>
    <w:p>
      <w:pPr>
        <w:pStyle w:val="13"/>
        <w:spacing w:line="360" w:lineRule="auto"/>
        <w:ind w:left="0" w:leftChars="0"/>
        <w:jc w:val="center"/>
        <w:outlineLvl w:val="2"/>
        <w:rPr>
          <w:color w:val="auto"/>
          <w:highlight w:val="none"/>
        </w:rPr>
      </w:pPr>
      <w:r>
        <w:rPr>
          <w:color w:val="auto"/>
          <w:highlight w:val="none"/>
        </w:rPr>
        <w:br w:type="page"/>
      </w:r>
      <w:bookmarkStart w:id="588" w:name="_Toc7371"/>
      <w:r>
        <w:rPr>
          <w:rStyle w:val="31"/>
          <w:rFonts w:hint="eastAsia"/>
          <w:color w:val="auto"/>
          <w:highlight w:val="none"/>
        </w:rPr>
        <w:t>关于印发环境标志产品政府采购品目清单的通知</w:t>
      </w:r>
      <w:bookmarkEnd w:id="588"/>
    </w:p>
    <w:p>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pPr>
        <w:spacing w:line="360" w:lineRule="auto"/>
        <w:rPr>
          <w:color w:val="auto"/>
          <w:highlight w:val="none"/>
        </w:rPr>
      </w:pPr>
    </w:p>
    <w:p>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pPr>
        <w:spacing w:line="360" w:lineRule="auto"/>
        <w:rPr>
          <w:color w:val="auto"/>
          <w:highlight w:val="none"/>
        </w:rPr>
      </w:pPr>
    </w:p>
    <w:p>
      <w:pPr>
        <w:spacing w:line="360" w:lineRule="auto"/>
        <w:rPr>
          <w:color w:val="auto"/>
          <w:highlight w:val="none"/>
        </w:rPr>
      </w:pPr>
      <w:r>
        <w:rPr>
          <w:rFonts w:hint="eastAsia"/>
          <w:color w:val="auto"/>
          <w:highlight w:val="none"/>
        </w:rPr>
        <w:t>　　附件：环境标志产品政府采购品目清单</w:t>
      </w:r>
    </w:p>
    <w:p>
      <w:pPr>
        <w:spacing w:line="360" w:lineRule="auto"/>
        <w:rPr>
          <w:color w:val="auto"/>
          <w:highlight w:val="none"/>
        </w:rPr>
      </w:pPr>
    </w:p>
    <w:p>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pPr>
        <w:pStyle w:val="4"/>
        <w:jc w:val="center"/>
        <w:rPr>
          <w:color w:val="auto"/>
          <w:highlight w:val="none"/>
        </w:rPr>
      </w:pPr>
      <w:r>
        <w:rPr>
          <w:color w:val="auto"/>
          <w:highlight w:val="none"/>
        </w:rPr>
        <w:br w:type="page"/>
      </w:r>
      <w:bookmarkStart w:id="589" w:name="_Toc4050"/>
      <w:r>
        <w:rPr>
          <w:rFonts w:hint="eastAsia"/>
          <w:color w:val="auto"/>
          <w:highlight w:val="none"/>
        </w:rPr>
        <w:t>环境标志产品政府采购品目清单</w:t>
      </w:r>
      <w:bookmarkEnd w:id="589"/>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6"/>
        <w:gridCol w:w="2347"/>
        <w:gridCol w:w="1666"/>
        <w:gridCol w:w="2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pPr>
              <w:spacing w:line="360" w:lineRule="auto"/>
              <w:jc w:val="center"/>
              <w:rPr>
                <w:color w:val="auto"/>
                <w:highlight w:val="none"/>
              </w:rPr>
            </w:pPr>
            <w:r>
              <w:rPr>
                <w:rFonts w:hint="eastAsia"/>
                <w:color w:val="auto"/>
                <w:highlight w:val="none"/>
              </w:rPr>
              <w:t>名称</w:t>
            </w:r>
          </w:p>
        </w:tc>
        <w:tc>
          <w:tcPr>
            <w:tcW w:w="1460" w:type="pct"/>
            <w:vAlign w:val="center"/>
          </w:tcPr>
          <w:p>
            <w:pPr>
              <w:spacing w:line="360" w:lineRule="auto"/>
              <w:jc w:val="center"/>
              <w:rPr>
                <w:color w:val="auto"/>
                <w:highlight w:val="none"/>
              </w:rPr>
            </w:pPr>
            <w:r>
              <w:rPr>
                <w:rFonts w:hint="eastAsia"/>
                <w:color w:val="auto"/>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pPr>
              <w:spacing w:line="360" w:lineRule="auto"/>
              <w:jc w:val="center"/>
              <w:rPr>
                <w:color w:val="auto"/>
                <w:highlight w:val="none"/>
              </w:rPr>
            </w:pPr>
            <w:r>
              <w:rPr>
                <w:color w:val="auto"/>
                <w:highlight w:val="none"/>
              </w:rPr>
              <w:t>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3</w:t>
            </w:r>
          </w:p>
        </w:tc>
        <w:tc>
          <w:tcPr>
            <w:tcW w:w="702" w:type="pct"/>
          </w:tcPr>
          <w:p>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pPr>
              <w:spacing w:line="360" w:lineRule="auto"/>
              <w:jc w:val="center"/>
              <w:rPr>
                <w:color w:val="auto"/>
                <w:highlight w:val="none"/>
              </w:rPr>
            </w:pPr>
            <w:r>
              <w:rPr>
                <w:color w:val="auto"/>
                <w:highlight w:val="none"/>
              </w:rPr>
              <w:t>4</w:t>
            </w:r>
          </w:p>
        </w:tc>
        <w:tc>
          <w:tcPr>
            <w:tcW w:w="702" w:type="pct"/>
          </w:tcPr>
          <w:p>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5</w:t>
            </w:r>
          </w:p>
        </w:tc>
        <w:tc>
          <w:tcPr>
            <w:tcW w:w="702" w:type="pct"/>
          </w:tcPr>
          <w:p>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6</w:t>
            </w:r>
          </w:p>
        </w:tc>
        <w:tc>
          <w:tcPr>
            <w:tcW w:w="702" w:type="pct"/>
          </w:tcPr>
          <w:p>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pPr>
              <w:spacing w:line="360" w:lineRule="auto"/>
              <w:jc w:val="center"/>
              <w:rPr>
                <w:color w:val="auto"/>
                <w:highlight w:val="none"/>
              </w:rPr>
            </w:pPr>
            <w:r>
              <w:rPr>
                <w:color w:val="auto"/>
                <w:highlight w:val="none"/>
              </w:rPr>
              <w:t>7</w:t>
            </w:r>
          </w:p>
        </w:tc>
        <w:tc>
          <w:tcPr>
            <w:tcW w:w="702" w:type="pct"/>
          </w:tcPr>
          <w:p>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pPr>
              <w:spacing w:line="360" w:lineRule="auto"/>
              <w:jc w:val="center"/>
              <w:rPr>
                <w:color w:val="auto"/>
                <w:highlight w:val="none"/>
              </w:rPr>
            </w:pPr>
            <w:r>
              <w:rPr>
                <w:color w:val="auto"/>
                <w:highlight w:val="none"/>
              </w:rPr>
              <w:t>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9</w:t>
            </w:r>
          </w:p>
        </w:tc>
        <w:tc>
          <w:tcPr>
            <w:tcW w:w="702" w:type="pct"/>
          </w:tcPr>
          <w:p>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10</w:t>
            </w:r>
          </w:p>
        </w:tc>
        <w:tc>
          <w:tcPr>
            <w:tcW w:w="702" w:type="pct"/>
          </w:tcPr>
          <w:p>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pPr>
              <w:spacing w:line="360" w:lineRule="auto"/>
              <w:jc w:val="center"/>
              <w:rPr>
                <w:color w:val="auto"/>
                <w:highlight w:val="none"/>
              </w:rPr>
            </w:pPr>
            <w:r>
              <w:rPr>
                <w:color w:val="auto"/>
                <w:highlight w:val="none"/>
              </w:rPr>
              <w:t>11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13</w:t>
            </w:r>
          </w:p>
        </w:tc>
        <w:tc>
          <w:tcPr>
            <w:tcW w:w="702" w:type="pct"/>
          </w:tcPr>
          <w:p>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center"/>
              <w:rPr>
                <w:color w:val="auto"/>
                <w:highlight w:val="none"/>
              </w:rPr>
            </w:pPr>
            <w:r>
              <w:rPr>
                <w:color w:val="auto"/>
                <w:highlight w:val="none"/>
              </w:rPr>
              <w:t>14</w:t>
            </w:r>
          </w:p>
        </w:tc>
        <w:tc>
          <w:tcPr>
            <w:tcW w:w="702" w:type="pct"/>
          </w:tcPr>
          <w:p>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center"/>
              <w:rPr>
                <w:color w:val="auto"/>
                <w:highlight w:val="none"/>
              </w:rPr>
            </w:pPr>
            <w:r>
              <w:rPr>
                <w:color w:val="auto"/>
                <w:highlight w:val="none"/>
              </w:rPr>
              <w:t>15</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pPr>
              <w:spacing w:line="360" w:lineRule="auto"/>
              <w:jc w:val="center"/>
              <w:rPr>
                <w:color w:val="auto"/>
                <w:highlight w:val="none"/>
              </w:rPr>
            </w:pPr>
            <w:r>
              <w:rPr>
                <w:color w:val="auto"/>
                <w:highlight w:val="none"/>
              </w:rPr>
              <w:t>16</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17</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19</w:t>
            </w:r>
          </w:p>
        </w:tc>
        <w:tc>
          <w:tcPr>
            <w:tcW w:w="702" w:type="pct"/>
          </w:tcPr>
          <w:p>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20</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23</w:t>
            </w:r>
          </w:p>
        </w:tc>
        <w:tc>
          <w:tcPr>
            <w:tcW w:w="702" w:type="pct"/>
          </w:tcPr>
          <w:p>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24</w:t>
            </w:r>
          </w:p>
        </w:tc>
        <w:tc>
          <w:tcPr>
            <w:tcW w:w="702" w:type="pct"/>
          </w:tcPr>
          <w:p>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25</w:t>
            </w:r>
          </w:p>
        </w:tc>
        <w:tc>
          <w:tcPr>
            <w:tcW w:w="702" w:type="pct"/>
          </w:tcPr>
          <w:p>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26</w:t>
            </w:r>
          </w:p>
        </w:tc>
        <w:tc>
          <w:tcPr>
            <w:tcW w:w="702" w:type="pct"/>
          </w:tcPr>
          <w:p>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27</w:t>
            </w:r>
          </w:p>
        </w:tc>
        <w:tc>
          <w:tcPr>
            <w:tcW w:w="702" w:type="pct"/>
          </w:tcPr>
          <w:p>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pPr>
              <w:spacing w:line="360" w:lineRule="auto"/>
              <w:jc w:val="center"/>
              <w:rPr>
                <w:color w:val="auto"/>
                <w:highlight w:val="none"/>
              </w:rPr>
            </w:pPr>
            <w:r>
              <w:rPr>
                <w:color w:val="auto"/>
                <w:highlight w:val="none"/>
              </w:rPr>
              <w:t>28</w:t>
            </w:r>
          </w:p>
        </w:tc>
        <w:tc>
          <w:tcPr>
            <w:tcW w:w="702" w:type="pct"/>
          </w:tcPr>
          <w:p>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29</w:t>
            </w:r>
          </w:p>
        </w:tc>
        <w:tc>
          <w:tcPr>
            <w:tcW w:w="702" w:type="pct"/>
          </w:tcPr>
          <w:p>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pPr>
              <w:spacing w:line="360" w:lineRule="auto"/>
              <w:jc w:val="left"/>
              <w:rPr>
                <w:color w:val="auto"/>
                <w:highlight w:val="none"/>
              </w:rPr>
            </w:pPr>
            <w:r>
              <w:rPr>
                <w:color w:val="auto"/>
                <w:highlight w:val="none"/>
              </w:rPr>
              <w:t>30</w:t>
            </w:r>
          </w:p>
        </w:tc>
        <w:tc>
          <w:tcPr>
            <w:tcW w:w="702" w:type="pct"/>
          </w:tcPr>
          <w:p>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left"/>
              <w:rPr>
                <w:color w:val="auto"/>
                <w:highlight w:val="none"/>
              </w:rPr>
            </w:pPr>
            <w:r>
              <w:rPr>
                <w:color w:val="auto"/>
                <w:highlight w:val="none"/>
              </w:rPr>
              <w:t>31</w:t>
            </w:r>
          </w:p>
        </w:tc>
        <w:tc>
          <w:tcPr>
            <w:tcW w:w="702" w:type="pct"/>
          </w:tcPr>
          <w:p>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pPr>
              <w:spacing w:line="360" w:lineRule="auto"/>
              <w:jc w:val="left"/>
              <w:rPr>
                <w:color w:val="auto"/>
                <w:highlight w:val="none"/>
              </w:rPr>
            </w:pPr>
            <w:r>
              <w:rPr>
                <w:color w:val="auto"/>
                <w:highlight w:val="none"/>
              </w:rPr>
              <w:t>32</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pPr>
              <w:spacing w:line="360" w:lineRule="auto"/>
              <w:jc w:val="left"/>
              <w:rPr>
                <w:color w:val="auto"/>
                <w:highlight w:val="none"/>
              </w:rPr>
            </w:pPr>
            <w:r>
              <w:rPr>
                <w:color w:val="auto"/>
                <w:highlight w:val="none"/>
              </w:rPr>
              <w:t>33</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A100204 </w:t>
            </w:r>
            <w:r>
              <w:rPr>
                <w:rFonts w:hint="eastAsia"/>
                <w:color w:val="auto"/>
                <w:highlight w:val="none"/>
              </w:rPr>
              <w:t>二次加</w:t>
            </w:r>
            <w:r>
              <w:rPr>
                <w:color w:val="auto"/>
                <w:highlight w:val="none"/>
              </w:rPr>
              <w:t xml:space="preserve"> </w:t>
            </w:r>
            <w:r>
              <w:rPr>
                <w:rFonts w:hint="eastAsia"/>
                <w:color w:val="auto"/>
                <w:highlight w:val="none"/>
              </w:rPr>
              <w:t>工材，相关板材</w:t>
            </w: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34</w:t>
            </w:r>
          </w:p>
        </w:tc>
        <w:tc>
          <w:tcPr>
            <w:tcW w:w="702" w:type="pct"/>
          </w:tcPr>
          <w:p>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35</w:t>
            </w:r>
          </w:p>
        </w:tc>
        <w:tc>
          <w:tcPr>
            <w:tcW w:w="702" w:type="pct"/>
          </w:tcPr>
          <w:p>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36</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37</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38</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39</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40</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41</w:t>
            </w:r>
          </w:p>
        </w:tc>
        <w:tc>
          <w:tcPr>
            <w:tcW w:w="702" w:type="pct"/>
          </w:tcPr>
          <w:p>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left"/>
              <w:rPr>
                <w:color w:val="auto"/>
                <w:highlight w:val="none"/>
              </w:rPr>
            </w:pPr>
            <w:r>
              <w:rPr>
                <w:color w:val="auto"/>
                <w:highlight w:val="none"/>
              </w:rPr>
              <w:t>42</w:t>
            </w:r>
          </w:p>
        </w:tc>
        <w:tc>
          <w:tcPr>
            <w:tcW w:w="702" w:type="pct"/>
          </w:tcPr>
          <w:p>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pPr>
        <w:spacing w:line="360" w:lineRule="auto"/>
        <w:jc w:val="left"/>
        <w:rPr>
          <w:color w:val="auto"/>
          <w:highlight w:val="none"/>
        </w:rPr>
      </w:pPr>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7"/>
        <w:gridCol w:w="2543"/>
        <w:gridCol w:w="1802"/>
        <w:gridCol w:w="19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pPr>
              <w:spacing w:line="360" w:lineRule="auto"/>
              <w:jc w:val="left"/>
              <w:rPr>
                <w:color w:val="auto"/>
                <w:highlight w:val="none"/>
              </w:rPr>
            </w:pPr>
            <w:r>
              <w:rPr>
                <w:color w:val="auto"/>
                <w:highlight w:val="none"/>
              </w:rPr>
              <w:t>43</w:t>
            </w:r>
          </w:p>
        </w:tc>
        <w:tc>
          <w:tcPr>
            <w:tcW w:w="883" w:type="pct"/>
            <w:vMerge w:val="restart"/>
            <w:tcBorders>
              <w:bottom w:val="nil"/>
            </w:tcBorders>
          </w:tcPr>
          <w:p>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pPr>
              <w:spacing w:line="360" w:lineRule="auto"/>
              <w:jc w:val="left"/>
              <w:rPr>
                <w:color w:val="auto"/>
                <w:highlight w:val="none"/>
              </w:rPr>
            </w:pPr>
          </w:p>
        </w:tc>
        <w:tc>
          <w:tcPr>
            <w:tcW w:w="883" w:type="pct"/>
            <w:vMerge w:val="continue"/>
            <w:tcBorders>
              <w:top w:val="nil"/>
              <w:bottom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pPr>
              <w:spacing w:line="360" w:lineRule="auto"/>
              <w:jc w:val="left"/>
              <w:rPr>
                <w:color w:val="auto"/>
                <w:highlight w:val="none"/>
              </w:rPr>
            </w:pPr>
          </w:p>
        </w:tc>
        <w:tc>
          <w:tcPr>
            <w:tcW w:w="883" w:type="pct"/>
            <w:vMerge w:val="continue"/>
            <w:tcBorders>
              <w:top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44</w:t>
            </w:r>
          </w:p>
        </w:tc>
        <w:tc>
          <w:tcPr>
            <w:tcW w:w="883" w:type="pct"/>
          </w:tcPr>
          <w:p>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pPr>
              <w:spacing w:line="360" w:lineRule="auto"/>
              <w:jc w:val="left"/>
              <w:rPr>
                <w:color w:val="auto"/>
                <w:highlight w:val="none"/>
              </w:rPr>
            </w:pPr>
            <w:r>
              <w:rPr>
                <w:color w:val="auto"/>
                <w:highlight w:val="none"/>
              </w:rPr>
              <w:t>45</w:t>
            </w:r>
          </w:p>
        </w:tc>
        <w:tc>
          <w:tcPr>
            <w:tcW w:w="883" w:type="pct"/>
          </w:tcPr>
          <w:p>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pPr>
              <w:spacing w:line="360" w:lineRule="auto"/>
              <w:jc w:val="left"/>
              <w:rPr>
                <w:color w:val="auto"/>
                <w:highlight w:val="none"/>
              </w:rPr>
            </w:pPr>
            <w:r>
              <w:rPr>
                <w:color w:val="auto"/>
                <w:highlight w:val="none"/>
              </w:rPr>
              <w:t>46</w:t>
            </w:r>
          </w:p>
        </w:tc>
        <w:tc>
          <w:tcPr>
            <w:tcW w:w="883" w:type="pct"/>
          </w:tcPr>
          <w:p>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pPr>
              <w:spacing w:line="360" w:lineRule="auto"/>
              <w:jc w:val="left"/>
              <w:rPr>
                <w:color w:val="auto"/>
                <w:highlight w:val="none"/>
              </w:rPr>
            </w:pPr>
            <w:r>
              <w:rPr>
                <w:color w:val="auto"/>
                <w:highlight w:val="none"/>
              </w:rPr>
              <w:t>47</w:t>
            </w:r>
          </w:p>
        </w:tc>
        <w:tc>
          <w:tcPr>
            <w:tcW w:w="883" w:type="pct"/>
          </w:tcPr>
          <w:p>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pPr>
              <w:spacing w:line="360" w:lineRule="auto"/>
              <w:jc w:val="left"/>
              <w:rPr>
                <w:color w:val="auto"/>
                <w:highlight w:val="none"/>
              </w:rPr>
            </w:pPr>
            <w:r>
              <w:rPr>
                <w:color w:val="auto"/>
                <w:highlight w:val="none"/>
              </w:rPr>
              <w:t>48</w:t>
            </w:r>
          </w:p>
        </w:tc>
        <w:tc>
          <w:tcPr>
            <w:tcW w:w="883" w:type="pct"/>
          </w:tcPr>
          <w:p>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49</w:t>
            </w:r>
          </w:p>
        </w:tc>
        <w:tc>
          <w:tcPr>
            <w:tcW w:w="883" w:type="pct"/>
          </w:tcPr>
          <w:p>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pPr>
              <w:spacing w:line="360" w:lineRule="auto"/>
              <w:jc w:val="left"/>
              <w:rPr>
                <w:color w:val="auto"/>
                <w:highlight w:val="none"/>
              </w:rPr>
            </w:pPr>
            <w:r>
              <w:rPr>
                <w:color w:val="auto"/>
                <w:highlight w:val="none"/>
              </w:rPr>
              <w:t>50</w:t>
            </w:r>
          </w:p>
        </w:tc>
        <w:tc>
          <w:tcPr>
            <w:tcW w:w="883" w:type="pct"/>
          </w:tcPr>
          <w:p>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pPr>
        <w:rPr>
          <w:color w:val="auto"/>
          <w:highlight w:val="none"/>
        </w:rPr>
      </w:pPr>
    </w:p>
    <w:p>
      <w:pPr>
        <w:rPr>
          <w:color w:val="auto"/>
          <w:highlight w:val="none"/>
        </w:rPr>
      </w:pPr>
    </w:p>
    <w:sectPr>
      <w:headerReference r:id="rId10" w:type="default"/>
      <w:pgSz w:w="11906" w:h="16838"/>
      <w:pgMar w:top="1440" w:right="1803" w:bottom="1440" w:left="1803" w:header="851" w:footer="96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1"/>
        <w:left w:val="none" w:color="auto" w:sz="0" w:space="0"/>
        <w:bottom w:val="none" w:color="auto" w:sz="0" w:space="0"/>
        <w:right w:val="none" w:color="auto" w:sz="0" w:space="0"/>
        <w:between w:val="none" w:color="auto" w:sz="0" w:space="0"/>
      </w:pBdr>
      <w:ind w:right="359" w:rightChars="171" w:firstLine="270" w:firstLineChars="150"/>
      <w:jc w:val="right"/>
      <w:rPr>
        <w:sz w:val="20"/>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68</w:t>
                    </w:r>
                    <w:r>
                      <w:fldChar w:fldCharType="end"/>
                    </w:r>
                  </w:p>
                </w:txbxContent>
              </v:textbox>
            </v:shape>
          </w:pict>
        </mc:Fallback>
      </mc:AlternateConten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74DC"/>
    <w:multiLevelType w:val="singleLevel"/>
    <w:tmpl w:val="80F774DC"/>
    <w:lvl w:ilvl="0" w:tentative="0">
      <w:start w:val="1"/>
      <w:numFmt w:val="decimal"/>
      <w:suff w:val="nothing"/>
      <w:lvlText w:val="%1、"/>
      <w:lvlJc w:val="left"/>
    </w:lvl>
  </w:abstractNum>
  <w:abstractNum w:abstractNumId="1">
    <w:nsid w:val="85AD1EC8"/>
    <w:multiLevelType w:val="singleLevel"/>
    <w:tmpl w:val="85AD1EC8"/>
    <w:lvl w:ilvl="0" w:tentative="0">
      <w:start w:val="1"/>
      <w:numFmt w:val="decimal"/>
      <w:suff w:val="nothing"/>
      <w:lvlText w:val="%1、"/>
      <w:lvlJc w:val="left"/>
    </w:lvl>
  </w:abstractNum>
  <w:abstractNum w:abstractNumId="2">
    <w:nsid w:val="872BBFAF"/>
    <w:multiLevelType w:val="singleLevel"/>
    <w:tmpl w:val="872BBFAF"/>
    <w:lvl w:ilvl="0" w:tentative="0">
      <w:start w:val="1"/>
      <w:numFmt w:val="decimal"/>
      <w:suff w:val="nothing"/>
      <w:lvlText w:val="%1、"/>
      <w:lvlJc w:val="left"/>
    </w:lvl>
  </w:abstractNum>
  <w:abstractNum w:abstractNumId="3">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4">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5">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6">
    <w:nsid w:val="D1A0E820"/>
    <w:multiLevelType w:val="singleLevel"/>
    <w:tmpl w:val="D1A0E820"/>
    <w:lvl w:ilvl="0" w:tentative="0">
      <w:start w:val="1"/>
      <w:numFmt w:val="decimal"/>
      <w:suff w:val="nothing"/>
      <w:lvlText w:val="%1、"/>
      <w:lvlJc w:val="left"/>
    </w:lvl>
  </w:abstractNum>
  <w:abstractNum w:abstractNumId="7">
    <w:nsid w:val="DB36F16C"/>
    <w:multiLevelType w:val="singleLevel"/>
    <w:tmpl w:val="DB36F16C"/>
    <w:lvl w:ilvl="0" w:tentative="0">
      <w:start w:val="5"/>
      <w:numFmt w:val="decimal"/>
      <w:suff w:val="nothing"/>
      <w:lvlText w:val="%1、"/>
      <w:lvlJc w:val="left"/>
    </w:lvl>
  </w:abstractNum>
  <w:abstractNum w:abstractNumId="8">
    <w:nsid w:val="FD7C45CA"/>
    <w:multiLevelType w:val="singleLevel"/>
    <w:tmpl w:val="FD7C45CA"/>
    <w:lvl w:ilvl="0" w:tentative="0">
      <w:start w:val="11"/>
      <w:numFmt w:val="decimal"/>
      <w:suff w:val="nothing"/>
      <w:lvlText w:val="%1、"/>
      <w:lvlJc w:val="left"/>
    </w:lvl>
  </w:abstractNum>
  <w:abstractNum w:abstractNumId="9">
    <w:nsid w:val="1068C811"/>
    <w:multiLevelType w:val="singleLevel"/>
    <w:tmpl w:val="1068C811"/>
    <w:lvl w:ilvl="0" w:tentative="0">
      <w:start w:val="1"/>
      <w:numFmt w:val="decimal"/>
      <w:suff w:val="space"/>
      <w:lvlText w:val="%1."/>
      <w:lvlJc w:val="left"/>
      <w:rPr>
        <w:rFonts w:cs="Times New Roman"/>
      </w:rPr>
    </w:lvl>
  </w:abstractNum>
  <w:abstractNum w:abstractNumId="10">
    <w:nsid w:val="2F542411"/>
    <w:multiLevelType w:val="singleLevel"/>
    <w:tmpl w:val="2F542411"/>
    <w:lvl w:ilvl="0" w:tentative="0">
      <w:start w:val="1"/>
      <w:numFmt w:val="upperLetter"/>
      <w:suff w:val="nothing"/>
      <w:lvlText w:val="%1、"/>
      <w:lvlJc w:val="left"/>
    </w:lvl>
  </w:abstractNum>
  <w:abstractNum w:abstractNumId="11">
    <w:nsid w:val="3486C138"/>
    <w:multiLevelType w:val="singleLevel"/>
    <w:tmpl w:val="3486C138"/>
    <w:lvl w:ilvl="0" w:tentative="0">
      <w:start w:val="1"/>
      <w:numFmt w:val="decimal"/>
      <w:suff w:val="nothing"/>
      <w:lvlText w:val="（%1）"/>
      <w:lvlJc w:val="left"/>
      <w:rPr>
        <w:rFonts w:cs="Times New Roman"/>
      </w:rPr>
    </w:lvl>
  </w:abstractNum>
  <w:abstractNum w:abstractNumId="12">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3">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12"/>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
  </w:num>
  <w:num w:numId="9">
    <w:abstractNumId w:val="6"/>
  </w:num>
  <w:num w:numId="10">
    <w:abstractNumId w:val="2"/>
  </w:num>
  <w:num w:numId="11">
    <w:abstractNumId w:val="8"/>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DM1Zjk3MWYzYTc0ODE5NGMwMDFjMGQwOTU1ZDAifQ=="/>
  </w:docVars>
  <w:rsids>
    <w:rsidRoot w:val="6CCC1D1B"/>
    <w:rsid w:val="001B223C"/>
    <w:rsid w:val="00237A6E"/>
    <w:rsid w:val="003550AC"/>
    <w:rsid w:val="00417EF4"/>
    <w:rsid w:val="00641FAE"/>
    <w:rsid w:val="0078143C"/>
    <w:rsid w:val="009C337D"/>
    <w:rsid w:val="00AA3CEC"/>
    <w:rsid w:val="00B22BA0"/>
    <w:rsid w:val="00F431B9"/>
    <w:rsid w:val="00F50CDF"/>
    <w:rsid w:val="010D7DD7"/>
    <w:rsid w:val="012375FA"/>
    <w:rsid w:val="015E6884"/>
    <w:rsid w:val="01B71398"/>
    <w:rsid w:val="01C64E69"/>
    <w:rsid w:val="01C761D7"/>
    <w:rsid w:val="01E90844"/>
    <w:rsid w:val="02075396"/>
    <w:rsid w:val="02160F0D"/>
    <w:rsid w:val="022A6766"/>
    <w:rsid w:val="024261A6"/>
    <w:rsid w:val="025103CB"/>
    <w:rsid w:val="02671768"/>
    <w:rsid w:val="02854DA6"/>
    <w:rsid w:val="02C10E79"/>
    <w:rsid w:val="02EE6F29"/>
    <w:rsid w:val="02F36145"/>
    <w:rsid w:val="02FA12FD"/>
    <w:rsid w:val="033B6E7D"/>
    <w:rsid w:val="033F6241"/>
    <w:rsid w:val="035F4B09"/>
    <w:rsid w:val="03600D99"/>
    <w:rsid w:val="03A7507A"/>
    <w:rsid w:val="03CA1FAF"/>
    <w:rsid w:val="03ED5FC9"/>
    <w:rsid w:val="0402799B"/>
    <w:rsid w:val="040F20B8"/>
    <w:rsid w:val="041B0A5C"/>
    <w:rsid w:val="041D42E4"/>
    <w:rsid w:val="04223B99"/>
    <w:rsid w:val="043F31AA"/>
    <w:rsid w:val="04657F2A"/>
    <w:rsid w:val="0482288A"/>
    <w:rsid w:val="0488132A"/>
    <w:rsid w:val="0490144A"/>
    <w:rsid w:val="051C2E67"/>
    <w:rsid w:val="05343A62"/>
    <w:rsid w:val="05544226"/>
    <w:rsid w:val="057846CC"/>
    <w:rsid w:val="057D0931"/>
    <w:rsid w:val="060F2843"/>
    <w:rsid w:val="06107CC7"/>
    <w:rsid w:val="063A5262"/>
    <w:rsid w:val="063B6813"/>
    <w:rsid w:val="064918B1"/>
    <w:rsid w:val="065B15E4"/>
    <w:rsid w:val="06736DB3"/>
    <w:rsid w:val="06897EFF"/>
    <w:rsid w:val="06913258"/>
    <w:rsid w:val="069841F4"/>
    <w:rsid w:val="069A3EBB"/>
    <w:rsid w:val="069C40D7"/>
    <w:rsid w:val="06B64A6C"/>
    <w:rsid w:val="06CF1455"/>
    <w:rsid w:val="06DF7DA1"/>
    <w:rsid w:val="06E710CA"/>
    <w:rsid w:val="06E90B86"/>
    <w:rsid w:val="06EB6E0C"/>
    <w:rsid w:val="06F537E7"/>
    <w:rsid w:val="06F53E3D"/>
    <w:rsid w:val="07351E35"/>
    <w:rsid w:val="07373DFF"/>
    <w:rsid w:val="074676D6"/>
    <w:rsid w:val="075E591E"/>
    <w:rsid w:val="07666493"/>
    <w:rsid w:val="076A2FDB"/>
    <w:rsid w:val="07750484"/>
    <w:rsid w:val="07761BD8"/>
    <w:rsid w:val="078132CC"/>
    <w:rsid w:val="079254DA"/>
    <w:rsid w:val="07DA01B9"/>
    <w:rsid w:val="07ED2710"/>
    <w:rsid w:val="08275C22"/>
    <w:rsid w:val="0858402D"/>
    <w:rsid w:val="085A0584"/>
    <w:rsid w:val="085F360E"/>
    <w:rsid w:val="088D424B"/>
    <w:rsid w:val="089F1C5C"/>
    <w:rsid w:val="08C276F9"/>
    <w:rsid w:val="08D00E36"/>
    <w:rsid w:val="090D50E8"/>
    <w:rsid w:val="0911242E"/>
    <w:rsid w:val="092C1016"/>
    <w:rsid w:val="09322E4D"/>
    <w:rsid w:val="095A5B83"/>
    <w:rsid w:val="099C718D"/>
    <w:rsid w:val="09AC5DD3"/>
    <w:rsid w:val="09C000DC"/>
    <w:rsid w:val="09C15C02"/>
    <w:rsid w:val="0A014251"/>
    <w:rsid w:val="0A0856C6"/>
    <w:rsid w:val="0A2A7C4B"/>
    <w:rsid w:val="0A6F3300"/>
    <w:rsid w:val="0A911A78"/>
    <w:rsid w:val="0A960E3D"/>
    <w:rsid w:val="0A9D666F"/>
    <w:rsid w:val="0AAA2B3A"/>
    <w:rsid w:val="0ACE430C"/>
    <w:rsid w:val="0AF81AF7"/>
    <w:rsid w:val="0AFD0EBC"/>
    <w:rsid w:val="0B16508E"/>
    <w:rsid w:val="0B3B3792"/>
    <w:rsid w:val="0B6121D2"/>
    <w:rsid w:val="0B705B32"/>
    <w:rsid w:val="0B9A44B2"/>
    <w:rsid w:val="0BB91287"/>
    <w:rsid w:val="0BC02051"/>
    <w:rsid w:val="0BC96FF0"/>
    <w:rsid w:val="0BD50F79"/>
    <w:rsid w:val="0BD63AB0"/>
    <w:rsid w:val="0BE36304"/>
    <w:rsid w:val="0C1069CD"/>
    <w:rsid w:val="0C372408"/>
    <w:rsid w:val="0C411576"/>
    <w:rsid w:val="0C607954"/>
    <w:rsid w:val="0CB346D1"/>
    <w:rsid w:val="0CC673BF"/>
    <w:rsid w:val="0CF34325"/>
    <w:rsid w:val="0CFA1B57"/>
    <w:rsid w:val="0D066349"/>
    <w:rsid w:val="0D0C3638"/>
    <w:rsid w:val="0D1D75F3"/>
    <w:rsid w:val="0D42705A"/>
    <w:rsid w:val="0D725B91"/>
    <w:rsid w:val="0D86163D"/>
    <w:rsid w:val="0D9C676A"/>
    <w:rsid w:val="0D9F5046"/>
    <w:rsid w:val="0DB112E7"/>
    <w:rsid w:val="0DDE4FD5"/>
    <w:rsid w:val="0E03420E"/>
    <w:rsid w:val="0E1E1875"/>
    <w:rsid w:val="0E567261"/>
    <w:rsid w:val="0E5A03D3"/>
    <w:rsid w:val="0E6F20D1"/>
    <w:rsid w:val="0E7E2314"/>
    <w:rsid w:val="0E7F6B23"/>
    <w:rsid w:val="0EA7186A"/>
    <w:rsid w:val="0EAE115F"/>
    <w:rsid w:val="0EBB0830"/>
    <w:rsid w:val="0F0F11BE"/>
    <w:rsid w:val="0F4731AF"/>
    <w:rsid w:val="0F5B4403"/>
    <w:rsid w:val="0F64150A"/>
    <w:rsid w:val="0F7647C4"/>
    <w:rsid w:val="0F9D4A1B"/>
    <w:rsid w:val="100B7BD7"/>
    <w:rsid w:val="10156493"/>
    <w:rsid w:val="103C2A4B"/>
    <w:rsid w:val="10675755"/>
    <w:rsid w:val="108D2CE2"/>
    <w:rsid w:val="10947BCD"/>
    <w:rsid w:val="109B20B7"/>
    <w:rsid w:val="10AB3168"/>
    <w:rsid w:val="10DC1574"/>
    <w:rsid w:val="10EA72E2"/>
    <w:rsid w:val="10F60887"/>
    <w:rsid w:val="111156C1"/>
    <w:rsid w:val="112F0B80"/>
    <w:rsid w:val="115C36A2"/>
    <w:rsid w:val="1178129C"/>
    <w:rsid w:val="119114EB"/>
    <w:rsid w:val="11C23123"/>
    <w:rsid w:val="11CE7EC5"/>
    <w:rsid w:val="11D02E86"/>
    <w:rsid w:val="11DD37F5"/>
    <w:rsid w:val="11F0177A"/>
    <w:rsid w:val="12011292"/>
    <w:rsid w:val="121723F3"/>
    <w:rsid w:val="123E49F3"/>
    <w:rsid w:val="124D2289"/>
    <w:rsid w:val="12635AA8"/>
    <w:rsid w:val="12647A72"/>
    <w:rsid w:val="12665599"/>
    <w:rsid w:val="12696E37"/>
    <w:rsid w:val="126B0E01"/>
    <w:rsid w:val="12955E7E"/>
    <w:rsid w:val="12FB2185"/>
    <w:rsid w:val="130D28F8"/>
    <w:rsid w:val="132A4818"/>
    <w:rsid w:val="132C6C0E"/>
    <w:rsid w:val="137D703E"/>
    <w:rsid w:val="138403CC"/>
    <w:rsid w:val="13BD7286"/>
    <w:rsid w:val="13C00A21"/>
    <w:rsid w:val="13D824C6"/>
    <w:rsid w:val="13DD5D2E"/>
    <w:rsid w:val="13F07810"/>
    <w:rsid w:val="141A7667"/>
    <w:rsid w:val="144B0B25"/>
    <w:rsid w:val="14534676"/>
    <w:rsid w:val="145F4995"/>
    <w:rsid w:val="146B50E8"/>
    <w:rsid w:val="14746827"/>
    <w:rsid w:val="148F527B"/>
    <w:rsid w:val="149E563B"/>
    <w:rsid w:val="14AB7BDB"/>
    <w:rsid w:val="14B7032D"/>
    <w:rsid w:val="14C76DBB"/>
    <w:rsid w:val="14DA34ED"/>
    <w:rsid w:val="14F72E20"/>
    <w:rsid w:val="150E00E1"/>
    <w:rsid w:val="151439D2"/>
    <w:rsid w:val="152715FF"/>
    <w:rsid w:val="153B4ABB"/>
    <w:rsid w:val="15634011"/>
    <w:rsid w:val="15891CCA"/>
    <w:rsid w:val="15962639"/>
    <w:rsid w:val="15B36528"/>
    <w:rsid w:val="15D37529"/>
    <w:rsid w:val="15DD3DC4"/>
    <w:rsid w:val="15F5110D"/>
    <w:rsid w:val="15FF1F8C"/>
    <w:rsid w:val="16007AB2"/>
    <w:rsid w:val="16027CCE"/>
    <w:rsid w:val="16116348"/>
    <w:rsid w:val="16304602"/>
    <w:rsid w:val="16382C98"/>
    <w:rsid w:val="164717FA"/>
    <w:rsid w:val="167669E7"/>
    <w:rsid w:val="167748C5"/>
    <w:rsid w:val="169365A0"/>
    <w:rsid w:val="16BF171B"/>
    <w:rsid w:val="16D52CED"/>
    <w:rsid w:val="16E64EFA"/>
    <w:rsid w:val="16F94C2D"/>
    <w:rsid w:val="17033CFE"/>
    <w:rsid w:val="17084E70"/>
    <w:rsid w:val="172300A2"/>
    <w:rsid w:val="17342109"/>
    <w:rsid w:val="174F0CF1"/>
    <w:rsid w:val="17710C68"/>
    <w:rsid w:val="17A76437"/>
    <w:rsid w:val="17CB4B30"/>
    <w:rsid w:val="17D905BB"/>
    <w:rsid w:val="17E51656"/>
    <w:rsid w:val="17F94E68"/>
    <w:rsid w:val="18814EDA"/>
    <w:rsid w:val="18891FE1"/>
    <w:rsid w:val="1896721E"/>
    <w:rsid w:val="189B47D1"/>
    <w:rsid w:val="18B64865"/>
    <w:rsid w:val="18C82B09"/>
    <w:rsid w:val="18ED3323"/>
    <w:rsid w:val="19131002"/>
    <w:rsid w:val="19306900"/>
    <w:rsid w:val="19547064"/>
    <w:rsid w:val="19575C3B"/>
    <w:rsid w:val="1962557A"/>
    <w:rsid w:val="19635C84"/>
    <w:rsid w:val="196F11D7"/>
    <w:rsid w:val="19744A3F"/>
    <w:rsid w:val="197D694C"/>
    <w:rsid w:val="197E066E"/>
    <w:rsid w:val="198742F4"/>
    <w:rsid w:val="198A7DBF"/>
    <w:rsid w:val="198C600F"/>
    <w:rsid w:val="19960E59"/>
    <w:rsid w:val="199E1ABC"/>
    <w:rsid w:val="19C95FDB"/>
    <w:rsid w:val="19E25E4D"/>
    <w:rsid w:val="19EB628B"/>
    <w:rsid w:val="1A0E09F0"/>
    <w:rsid w:val="1A1400CE"/>
    <w:rsid w:val="1A193636"/>
    <w:rsid w:val="1A6320AD"/>
    <w:rsid w:val="1A6920CA"/>
    <w:rsid w:val="1A7D2F5A"/>
    <w:rsid w:val="1A815B98"/>
    <w:rsid w:val="1AB217D3"/>
    <w:rsid w:val="1AC13CB4"/>
    <w:rsid w:val="1AD27C6F"/>
    <w:rsid w:val="1AD5150D"/>
    <w:rsid w:val="1AF5570C"/>
    <w:rsid w:val="1AF75928"/>
    <w:rsid w:val="1AFF47DC"/>
    <w:rsid w:val="1B010952"/>
    <w:rsid w:val="1B0E2C71"/>
    <w:rsid w:val="1B122762"/>
    <w:rsid w:val="1B440441"/>
    <w:rsid w:val="1B45234C"/>
    <w:rsid w:val="1B701236"/>
    <w:rsid w:val="1B740D26"/>
    <w:rsid w:val="1B7900EB"/>
    <w:rsid w:val="1BA333BA"/>
    <w:rsid w:val="1BCC1517"/>
    <w:rsid w:val="1BD512CB"/>
    <w:rsid w:val="1BE147BB"/>
    <w:rsid w:val="1BED0AD9"/>
    <w:rsid w:val="1BF81957"/>
    <w:rsid w:val="1BFE618F"/>
    <w:rsid w:val="1C071B9A"/>
    <w:rsid w:val="1C146065"/>
    <w:rsid w:val="1C177904"/>
    <w:rsid w:val="1C41355E"/>
    <w:rsid w:val="1C5B3C94"/>
    <w:rsid w:val="1C6B037B"/>
    <w:rsid w:val="1CBA6C0D"/>
    <w:rsid w:val="1CBB2985"/>
    <w:rsid w:val="1CBD494F"/>
    <w:rsid w:val="1CC63804"/>
    <w:rsid w:val="1CCE4466"/>
    <w:rsid w:val="1CE17808"/>
    <w:rsid w:val="1CFB015B"/>
    <w:rsid w:val="1D0337E5"/>
    <w:rsid w:val="1D0D31E0"/>
    <w:rsid w:val="1D3A1AFC"/>
    <w:rsid w:val="1D424635"/>
    <w:rsid w:val="1DB91C7D"/>
    <w:rsid w:val="1DC53ABB"/>
    <w:rsid w:val="1DDB48FA"/>
    <w:rsid w:val="1DE33F41"/>
    <w:rsid w:val="1DF12B02"/>
    <w:rsid w:val="1E036392"/>
    <w:rsid w:val="1E0F36AA"/>
    <w:rsid w:val="1E4470D6"/>
    <w:rsid w:val="1E7159F1"/>
    <w:rsid w:val="1E764DB5"/>
    <w:rsid w:val="1E7933B9"/>
    <w:rsid w:val="1E870D71"/>
    <w:rsid w:val="1EBC3110"/>
    <w:rsid w:val="1EC5130A"/>
    <w:rsid w:val="1EC73863"/>
    <w:rsid w:val="1EE1313C"/>
    <w:rsid w:val="1EF70D44"/>
    <w:rsid w:val="1F152820"/>
    <w:rsid w:val="1F374545"/>
    <w:rsid w:val="1F43738D"/>
    <w:rsid w:val="1F533349"/>
    <w:rsid w:val="1FAC1675"/>
    <w:rsid w:val="1FC20797"/>
    <w:rsid w:val="1FC55FF4"/>
    <w:rsid w:val="1FCF6E73"/>
    <w:rsid w:val="1FF51574"/>
    <w:rsid w:val="1FFC753C"/>
    <w:rsid w:val="20016901"/>
    <w:rsid w:val="20037464"/>
    <w:rsid w:val="203C0598"/>
    <w:rsid w:val="20407429"/>
    <w:rsid w:val="207672EF"/>
    <w:rsid w:val="207E43F5"/>
    <w:rsid w:val="20931C4F"/>
    <w:rsid w:val="21611D4D"/>
    <w:rsid w:val="21621621"/>
    <w:rsid w:val="219A525F"/>
    <w:rsid w:val="21A77AE0"/>
    <w:rsid w:val="21B07443"/>
    <w:rsid w:val="22141307"/>
    <w:rsid w:val="225F78FB"/>
    <w:rsid w:val="22765384"/>
    <w:rsid w:val="22BA2C18"/>
    <w:rsid w:val="22D20CB4"/>
    <w:rsid w:val="22D70080"/>
    <w:rsid w:val="22E5250A"/>
    <w:rsid w:val="23057216"/>
    <w:rsid w:val="23142EF2"/>
    <w:rsid w:val="23360FB7"/>
    <w:rsid w:val="23492A98"/>
    <w:rsid w:val="23503E27"/>
    <w:rsid w:val="23694EE9"/>
    <w:rsid w:val="23922691"/>
    <w:rsid w:val="23C50720"/>
    <w:rsid w:val="23C640E9"/>
    <w:rsid w:val="23EE53EE"/>
    <w:rsid w:val="23F52C20"/>
    <w:rsid w:val="23F85E37"/>
    <w:rsid w:val="24335F37"/>
    <w:rsid w:val="246A716A"/>
    <w:rsid w:val="247509BC"/>
    <w:rsid w:val="248A0C32"/>
    <w:rsid w:val="249917FE"/>
    <w:rsid w:val="24BC729A"/>
    <w:rsid w:val="24BE1264"/>
    <w:rsid w:val="24CA7C09"/>
    <w:rsid w:val="24E707BB"/>
    <w:rsid w:val="24F46A34"/>
    <w:rsid w:val="250F4166"/>
    <w:rsid w:val="254F10C5"/>
    <w:rsid w:val="255676EF"/>
    <w:rsid w:val="259D531E"/>
    <w:rsid w:val="25CD0B0A"/>
    <w:rsid w:val="25E1520A"/>
    <w:rsid w:val="25FD5DBC"/>
    <w:rsid w:val="260F65E4"/>
    <w:rsid w:val="2628235B"/>
    <w:rsid w:val="262D68AA"/>
    <w:rsid w:val="265C0D35"/>
    <w:rsid w:val="26667E05"/>
    <w:rsid w:val="26946721"/>
    <w:rsid w:val="26B305BE"/>
    <w:rsid w:val="26D829E9"/>
    <w:rsid w:val="26DE5BEE"/>
    <w:rsid w:val="26E57ABA"/>
    <w:rsid w:val="26FC6074"/>
    <w:rsid w:val="27091470"/>
    <w:rsid w:val="272950BB"/>
    <w:rsid w:val="273B094A"/>
    <w:rsid w:val="274A5031"/>
    <w:rsid w:val="276E51C4"/>
    <w:rsid w:val="27764F99"/>
    <w:rsid w:val="27816AAD"/>
    <w:rsid w:val="27965F66"/>
    <w:rsid w:val="27A84A9C"/>
    <w:rsid w:val="27B01338"/>
    <w:rsid w:val="27B27801"/>
    <w:rsid w:val="27D24A23"/>
    <w:rsid w:val="27E50C16"/>
    <w:rsid w:val="27FD02F5"/>
    <w:rsid w:val="280678EA"/>
    <w:rsid w:val="28133675"/>
    <w:rsid w:val="282E04AF"/>
    <w:rsid w:val="2835183D"/>
    <w:rsid w:val="28377363"/>
    <w:rsid w:val="28467C7D"/>
    <w:rsid w:val="285C501C"/>
    <w:rsid w:val="289724F8"/>
    <w:rsid w:val="28984501"/>
    <w:rsid w:val="28A013AD"/>
    <w:rsid w:val="28A15125"/>
    <w:rsid w:val="28E84D68"/>
    <w:rsid w:val="28EF7CD3"/>
    <w:rsid w:val="29051210"/>
    <w:rsid w:val="294855A0"/>
    <w:rsid w:val="296315D6"/>
    <w:rsid w:val="29653E68"/>
    <w:rsid w:val="2976035F"/>
    <w:rsid w:val="29826D04"/>
    <w:rsid w:val="299D756B"/>
    <w:rsid w:val="29C349B7"/>
    <w:rsid w:val="29C70BBB"/>
    <w:rsid w:val="29C72969"/>
    <w:rsid w:val="2A000BE0"/>
    <w:rsid w:val="2A24600D"/>
    <w:rsid w:val="2A3B4E26"/>
    <w:rsid w:val="2A4D31D6"/>
    <w:rsid w:val="2A510485"/>
    <w:rsid w:val="2A5F5127"/>
    <w:rsid w:val="2A66495F"/>
    <w:rsid w:val="2A7B76E8"/>
    <w:rsid w:val="2A9C3DF6"/>
    <w:rsid w:val="2AB06457"/>
    <w:rsid w:val="2AE337D3"/>
    <w:rsid w:val="2B067A32"/>
    <w:rsid w:val="2B4E44EE"/>
    <w:rsid w:val="2B551AD6"/>
    <w:rsid w:val="2B634913"/>
    <w:rsid w:val="2B6761B2"/>
    <w:rsid w:val="2BA32F62"/>
    <w:rsid w:val="2BA57BA0"/>
    <w:rsid w:val="2BAA609E"/>
    <w:rsid w:val="2BAF7B59"/>
    <w:rsid w:val="2BC2163A"/>
    <w:rsid w:val="2BD001FB"/>
    <w:rsid w:val="2BD12CFE"/>
    <w:rsid w:val="2BD355F5"/>
    <w:rsid w:val="2C091017"/>
    <w:rsid w:val="2C183950"/>
    <w:rsid w:val="2C2422F5"/>
    <w:rsid w:val="2C2965E5"/>
    <w:rsid w:val="2C385DA0"/>
    <w:rsid w:val="2C4B7881"/>
    <w:rsid w:val="2C6721E1"/>
    <w:rsid w:val="2C956D4E"/>
    <w:rsid w:val="2CC87124"/>
    <w:rsid w:val="2CF77A09"/>
    <w:rsid w:val="2CF81446"/>
    <w:rsid w:val="2D030F68"/>
    <w:rsid w:val="2D122982"/>
    <w:rsid w:val="2D8079FF"/>
    <w:rsid w:val="2DA07759"/>
    <w:rsid w:val="2DAF7176"/>
    <w:rsid w:val="2DD12008"/>
    <w:rsid w:val="2DDB2E87"/>
    <w:rsid w:val="2DDC57AF"/>
    <w:rsid w:val="2DF06932"/>
    <w:rsid w:val="2E291043"/>
    <w:rsid w:val="2E4A4A48"/>
    <w:rsid w:val="2E7A26A0"/>
    <w:rsid w:val="2E976DAE"/>
    <w:rsid w:val="2EA339A5"/>
    <w:rsid w:val="2EC27BA3"/>
    <w:rsid w:val="2EC97183"/>
    <w:rsid w:val="2EEE5640"/>
    <w:rsid w:val="2EFF376B"/>
    <w:rsid w:val="2F166DB0"/>
    <w:rsid w:val="2F324D29"/>
    <w:rsid w:val="2F407445"/>
    <w:rsid w:val="2F540DBC"/>
    <w:rsid w:val="2F8D1F5F"/>
    <w:rsid w:val="2F915C86"/>
    <w:rsid w:val="2FC35981"/>
    <w:rsid w:val="2FC5794B"/>
    <w:rsid w:val="2FF131D4"/>
    <w:rsid w:val="2FF7387C"/>
    <w:rsid w:val="2FF81704"/>
    <w:rsid w:val="300C557A"/>
    <w:rsid w:val="30393E95"/>
    <w:rsid w:val="304E7940"/>
    <w:rsid w:val="30B11C7D"/>
    <w:rsid w:val="30FA7AC8"/>
    <w:rsid w:val="310149B3"/>
    <w:rsid w:val="31105529"/>
    <w:rsid w:val="311F12DD"/>
    <w:rsid w:val="313308E4"/>
    <w:rsid w:val="315C608D"/>
    <w:rsid w:val="318B6972"/>
    <w:rsid w:val="31BB4B77"/>
    <w:rsid w:val="31C003CA"/>
    <w:rsid w:val="31D2634F"/>
    <w:rsid w:val="31FC33CC"/>
    <w:rsid w:val="321D3A6E"/>
    <w:rsid w:val="321E0D93"/>
    <w:rsid w:val="321E77E6"/>
    <w:rsid w:val="3227669B"/>
    <w:rsid w:val="322A5FA3"/>
    <w:rsid w:val="322F2A2C"/>
    <w:rsid w:val="32335040"/>
    <w:rsid w:val="3239017C"/>
    <w:rsid w:val="32610E20"/>
    <w:rsid w:val="328622EF"/>
    <w:rsid w:val="32A74A1C"/>
    <w:rsid w:val="33010C9A"/>
    <w:rsid w:val="330255A7"/>
    <w:rsid w:val="33517D85"/>
    <w:rsid w:val="33525999"/>
    <w:rsid w:val="335D7E9A"/>
    <w:rsid w:val="336F6858"/>
    <w:rsid w:val="337B2837"/>
    <w:rsid w:val="337D5E54"/>
    <w:rsid w:val="339E5B16"/>
    <w:rsid w:val="33AA1331"/>
    <w:rsid w:val="33B65F28"/>
    <w:rsid w:val="33BB6DF6"/>
    <w:rsid w:val="33F7209D"/>
    <w:rsid w:val="33FF78B0"/>
    <w:rsid w:val="3417273F"/>
    <w:rsid w:val="341B3FDD"/>
    <w:rsid w:val="342F7A89"/>
    <w:rsid w:val="34337579"/>
    <w:rsid w:val="343706EB"/>
    <w:rsid w:val="344A2B14"/>
    <w:rsid w:val="34684A32"/>
    <w:rsid w:val="34B61F58"/>
    <w:rsid w:val="34BE15C4"/>
    <w:rsid w:val="34DD5737"/>
    <w:rsid w:val="34ED71D7"/>
    <w:rsid w:val="34FB5BBD"/>
    <w:rsid w:val="35124730"/>
    <w:rsid w:val="3521598C"/>
    <w:rsid w:val="35303AB8"/>
    <w:rsid w:val="35425726"/>
    <w:rsid w:val="354C1812"/>
    <w:rsid w:val="35582BB7"/>
    <w:rsid w:val="35610116"/>
    <w:rsid w:val="356279EA"/>
    <w:rsid w:val="3579545F"/>
    <w:rsid w:val="359E6F87"/>
    <w:rsid w:val="35C83CF1"/>
    <w:rsid w:val="35CF32D1"/>
    <w:rsid w:val="35ED19A9"/>
    <w:rsid w:val="36140CE4"/>
    <w:rsid w:val="3618279F"/>
    <w:rsid w:val="36290E3C"/>
    <w:rsid w:val="362F5B1E"/>
    <w:rsid w:val="36483084"/>
    <w:rsid w:val="36590DED"/>
    <w:rsid w:val="36752CC6"/>
    <w:rsid w:val="367B37B8"/>
    <w:rsid w:val="3699568D"/>
    <w:rsid w:val="36DF7544"/>
    <w:rsid w:val="37131FFA"/>
    <w:rsid w:val="371A057C"/>
    <w:rsid w:val="372F06AE"/>
    <w:rsid w:val="37307DA0"/>
    <w:rsid w:val="373158C6"/>
    <w:rsid w:val="377E4CA4"/>
    <w:rsid w:val="378974B0"/>
    <w:rsid w:val="37AB6B28"/>
    <w:rsid w:val="37B02C8E"/>
    <w:rsid w:val="37D42E21"/>
    <w:rsid w:val="37DC1CD5"/>
    <w:rsid w:val="37E62B54"/>
    <w:rsid w:val="37FA215C"/>
    <w:rsid w:val="37FE7E9E"/>
    <w:rsid w:val="383872D8"/>
    <w:rsid w:val="3867746A"/>
    <w:rsid w:val="38A722E3"/>
    <w:rsid w:val="38D96215"/>
    <w:rsid w:val="38F4304F"/>
    <w:rsid w:val="39113C01"/>
    <w:rsid w:val="39122192"/>
    <w:rsid w:val="391601B4"/>
    <w:rsid w:val="39186D3D"/>
    <w:rsid w:val="39730417"/>
    <w:rsid w:val="39812B34"/>
    <w:rsid w:val="398A407C"/>
    <w:rsid w:val="39B4295D"/>
    <w:rsid w:val="39BB2E8F"/>
    <w:rsid w:val="3A0948D8"/>
    <w:rsid w:val="3A2D368A"/>
    <w:rsid w:val="3A2D6818"/>
    <w:rsid w:val="3A2F2590"/>
    <w:rsid w:val="3A667F7C"/>
    <w:rsid w:val="3A8749E5"/>
    <w:rsid w:val="3A8A5A19"/>
    <w:rsid w:val="3AC10958"/>
    <w:rsid w:val="3ADB6274"/>
    <w:rsid w:val="3AE214AE"/>
    <w:rsid w:val="3B1B2B15"/>
    <w:rsid w:val="3B467CD8"/>
    <w:rsid w:val="3B4D02BA"/>
    <w:rsid w:val="3B6E533A"/>
    <w:rsid w:val="3BB0325D"/>
    <w:rsid w:val="3BB645EB"/>
    <w:rsid w:val="3BD33BCA"/>
    <w:rsid w:val="3C0637C5"/>
    <w:rsid w:val="3C0D6901"/>
    <w:rsid w:val="3C131A3E"/>
    <w:rsid w:val="3C1557B6"/>
    <w:rsid w:val="3C35255E"/>
    <w:rsid w:val="3C4E0CC8"/>
    <w:rsid w:val="3CB90F2D"/>
    <w:rsid w:val="3CD1792F"/>
    <w:rsid w:val="3CD94A35"/>
    <w:rsid w:val="3D2A703F"/>
    <w:rsid w:val="3D6469F5"/>
    <w:rsid w:val="3D9168F3"/>
    <w:rsid w:val="3DBD3EC7"/>
    <w:rsid w:val="3DDD21FA"/>
    <w:rsid w:val="3DEC0798"/>
    <w:rsid w:val="3DFA1607"/>
    <w:rsid w:val="3E0C2BE9"/>
    <w:rsid w:val="3E0C4997"/>
    <w:rsid w:val="3E1D4DF6"/>
    <w:rsid w:val="3E1F0B6E"/>
    <w:rsid w:val="3E676AB1"/>
    <w:rsid w:val="3E88226F"/>
    <w:rsid w:val="3E8D3D29"/>
    <w:rsid w:val="3E8D412D"/>
    <w:rsid w:val="3E907DE5"/>
    <w:rsid w:val="3EAC7694"/>
    <w:rsid w:val="3EBE7765"/>
    <w:rsid w:val="3F06588A"/>
    <w:rsid w:val="3F4E1A1F"/>
    <w:rsid w:val="3F512FA9"/>
    <w:rsid w:val="3F606D53"/>
    <w:rsid w:val="3F841B37"/>
    <w:rsid w:val="3F95226A"/>
    <w:rsid w:val="3F9A4C64"/>
    <w:rsid w:val="3F9F4F42"/>
    <w:rsid w:val="3FA94B93"/>
    <w:rsid w:val="3FB654CC"/>
    <w:rsid w:val="3FE21E53"/>
    <w:rsid w:val="3FEE07F8"/>
    <w:rsid w:val="3FF51313"/>
    <w:rsid w:val="40183AC7"/>
    <w:rsid w:val="40296BE7"/>
    <w:rsid w:val="402B55A8"/>
    <w:rsid w:val="403703F1"/>
    <w:rsid w:val="40876CB2"/>
    <w:rsid w:val="40923879"/>
    <w:rsid w:val="40A77433"/>
    <w:rsid w:val="40CD665F"/>
    <w:rsid w:val="40D94CFF"/>
    <w:rsid w:val="41032227"/>
    <w:rsid w:val="41344930"/>
    <w:rsid w:val="41432DC5"/>
    <w:rsid w:val="414621B9"/>
    <w:rsid w:val="415E7BFF"/>
    <w:rsid w:val="418F7DB9"/>
    <w:rsid w:val="41950CE5"/>
    <w:rsid w:val="41B15F81"/>
    <w:rsid w:val="41C51A2C"/>
    <w:rsid w:val="41E225DE"/>
    <w:rsid w:val="41EF0857"/>
    <w:rsid w:val="420267DC"/>
    <w:rsid w:val="42114C71"/>
    <w:rsid w:val="42381D17"/>
    <w:rsid w:val="42500FB3"/>
    <w:rsid w:val="426254CD"/>
    <w:rsid w:val="426A2D2C"/>
    <w:rsid w:val="426E4935"/>
    <w:rsid w:val="42935147"/>
    <w:rsid w:val="42C13A57"/>
    <w:rsid w:val="42DA493A"/>
    <w:rsid w:val="42FF2D1C"/>
    <w:rsid w:val="43052B25"/>
    <w:rsid w:val="430F51D8"/>
    <w:rsid w:val="4339622E"/>
    <w:rsid w:val="434F77FF"/>
    <w:rsid w:val="43525522"/>
    <w:rsid w:val="43635059"/>
    <w:rsid w:val="436F7EA2"/>
    <w:rsid w:val="43963680"/>
    <w:rsid w:val="43A23DD3"/>
    <w:rsid w:val="43AD1BA4"/>
    <w:rsid w:val="43AF64F0"/>
    <w:rsid w:val="43B35FE0"/>
    <w:rsid w:val="43C57AC2"/>
    <w:rsid w:val="43C95804"/>
    <w:rsid w:val="43CA3BDE"/>
    <w:rsid w:val="43CE2E1A"/>
    <w:rsid w:val="43DB72E5"/>
    <w:rsid w:val="44337121"/>
    <w:rsid w:val="4436451B"/>
    <w:rsid w:val="44476729"/>
    <w:rsid w:val="444E7AB7"/>
    <w:rsid w:val="447C0AC8"/>
    <w:rsid w:val="4482112A"/>
    <w:rsid w:val="44C05764"/>
    <w:rsid w:val="44CC6C2E"/>
    <w:rsid w:val="44D51F86"/>
    <w:rsid w:val="44E74AF7"/>
    <w:rsid w:val="4508410A"/>
    <w:rsid w:val="45552068"/>
    <w:rsid w:val="455E1F7C"/>
    <w:rsid w:val="457E617A"/>
    <w:rsid w:val="45927E77"/>
    <w:rsid w:val="45943BEF"/>
    <w:rsid w:val="45AD4CB1"/>
    <w:rsid w:val="45B61DB8"/>
    <w:rsid w:val="45BA309E"/>
    <w:rsid w:val="45BE6EBE"/>
    <w:rsid w:val="45C85647"/>
    <w:rsid w:val="45CF2E79"/>
    <w:rsid w:val="45D958B6"/>
    <w:rsid w:val="45E32481"/>
    <w:rsid w:val="463B22BD"/>
    <w:rsid w:val="465670F7"/>
    <w:rsid w:val="467D28D5"/>
    <w:rsid w:val="467F03FC"/>
    <w:rsid w:val="46927C50"/>
    <w:rsid w:val="469A3487"/>
    <w:rsid w:val="46AB11F1"/>
    <w:rsid w:val="46CE4EDF"/>
    <w:rsid w:val="46F34946"/>
    <w:rsid w:val="47064679"/>
    <w:rsid w:val="4707219F"/>
    <w:rsid w:val="471636A5"/>
    <w:rsid w:val="47385407"/>
    <w:rsid w:val="4745776D"/>
    <w:rsid w:val="47546662"/>
    <w:rsid w:val="476D294A"/>
    <w:rsid w:val="47775577"/>
    <w:rsid w:val="4783216D"/>
    <w:rsid w:val="47857C94"/>
    <w:rsid w:val="47C666DA"/>
    <w:rsid w:val="47E10C42"/>
    <w:rsid w:val="4800556C"/>
    <w:rsid w:val="4812704D"/>
    <w:rsid w:val="48276F9D"/>
    <w:rsid w:val="485B09F4"/>
    <w:rsid w:val="4881663E"/>
    <w:rsid w:val="48867B33"/>
    <w:rsid w:val="48912668"/>
    <w:rsid w:val="489172C2"/>
    <w:rsid w:val="48967C7F"/>
    <w:rsid w:val="48ED455A"/>
    <w:rsid w:val="493B5CD7"/>
    <w:rsid w:val="49663AF5"/>
    <w:rsid w:val="498E6BA8"/>
    <w:rsid w:val="49AF43A5"/>
    <w:rsid w:val="49B2476E"/>
    <w:rsid w:val="49B91E77"/>
    <w:rsid w:val="49BC1967"/>
    <w:rsid w:val="49BE123B"/>
    <w:rsid w:val="49CB1BAA"/>
    <w:rsid w:val="4A0D23DC"/>
    <w:rsid w:val="4A3D2AA8"/>
    <w:rsid w:val="4A413C1A"/>
    <w:rsid w:val="4A6F2535"/>
    <w:rsid w:val="4A954692"/>
    <w:rsid w:val="4A995804"/>
    <w:rsid w:val="4AAC3F14"/>
    <w:rsid w:val="4AB97C54"/>
    <w:rsid w:val="4ABD5996"/>
    <w:rsid w:val="4B0E1D4E"/>
    <w:rsid w:val="4B104882"/>
    <w:rsid w:val="4B2E23F0"/>
    <w:rsid w:val="4B3E33A3"/>
    <w:rsid w:val="4B871B00"/>
    <w:rsid w:val="4BA33C6C"/>
    <w:rsid w:val="4BB02E05"/>
    <w:rsid w:val="4BC170D5"/>
    <w:rsid w:val="4BD51861"/>
    <w:rsid w:val="4BD905AE"/>
    <w:rsid w:val="4BDE5BC4"/>
    <w:rsid w:val="4BE13907"/>
    <w:rsid w:val="4BE34F89"/>
    <w:rsid w:val="4BE807F1"/>
    <w:rsid w:val="4C6A7458"/>
    <w:rsid w:val="4C8C3872"/>
    <w:rsid w:val="4CA344B5"/>
    <w:rsid w:val="4CD80866"/>
    <w:rsid w:val="4CDD7C2A"/>
    <w:rsid w:val="4D445EFB"/>
    <w:rsid w:val="4D61085B"/>
    <w:rsid w:val="4D714FE2"/>
    <w:rsid w:val="4D7A7B6F"/>
    <w:rsid w:val="4D862070"/>
    <w:rsid w:val="4D9B335B"/>
    <w:rsid w:val="4DA64B6C"/>
    <w:rsid w:val="4DAE020B"/>
    <w:rsid w:val="4DB12E65"/>
    <w:rsid w:val="4DD74506"/>
    <w:rsid w:val="4DEC66C1"/>
    <w:rsid w:val="4E075509"/>
    <w:rsid w:val="4E0A0EF3"/>
    <w:rsid w:val="4E1C29D4"/>
    <w:rsid w:val="4E2F6BAB"/>
    <w:rsid w:val="4E345F70"/>
    <w:rsid w:val="4E6C395B"/>
    <w:rsid w:val="4EA57EB3"/>
    <w:rsid w:val="4EA75C5A"/>
    <w:rsid w:val="4ECD1F20"/>
    <w:rsid w:val="4EF676C9"/>
    <w:rsid w:val="4F427B3C"/>
    <w:rsid w:val="4F506DD9"/>
    <w:rsid w:val="4F5543EF"/>
    <w:rsid w:val="4F6A1303"/>
    <w:rsid w:val="4F974A08"/>
    <w:rsid w:val="4FB83EA8"/>
    <w:rsid w:val="4FC568A1"/>
    <w:rsid w:val="4FE03A2B"/>
    <w:rsid w:val="4FF84D7B"/>
    <w:rsid w:val="502913D8"/>
    <w:rsid w:val="506348EA"/>
    <w:rsid w:val="50783C60"/>
    <w:rsid w:val="50834F8C"/>
    <w:rsid w:val="50884351"/>
    <w:rsid w:val="508A00C9"/>
    <w:rsid w:val="509C1BAA"/>
    <w:rsid w:val="509E3B74"/>
    <w:rsid w:val="50BF452A"/>
    <w:rsid w:val="50CD4459"/>
    <w:rsid w:val="50CF1F80"/>
    <w:rsid w:val="50E6470E"/>
    <w:rsid w:val="50F6575E"/>
    <w:rsid w:val="51061ADC"/>
    <w:rsid w:val="510933B4"/>
    <w:rsid w:val="512322CB"/>
    <w:rsid w:val="51312C3A"/>
    <w:rsid w:val="51624BA2"/>
    <w:rsid w:val="517B2107"/>
    <w:rsid w:val="51957441"/>
    <w:rsid w:val="51A11C58"/>
    <w:rsid w:val="51B56722"/>
    <w:rsid w:val="521560B8"/>
    <w:rsid w:val="52473A04"/>
    <w:rsid w:val="52500E9E"/>
    <w:rsid w:val="52734B8D"/>
    <w:rsid w:val="527E5A0B"/>
    <w:rsid w:val="52BE30EA"/>
    <w:rsid w:val="52CD1A94"/>
    <w:rsid w:val="52D25D57"/>
    <w:rsid w:val="52E33AC0"/>
    <w:rsid w:val="52ED287F"/>
    <w:rsid w:val="535E583D"/>
    <w:rsid w:val="53634C01"/>
    <w:rsid w:val="53654E1D"/>
    <w:rsid w:val="536C1ECE"/>
    <w:rsid w:val="5376752B"/>
    <w:rsid w:val="538708F0"/>
    <w:rsid w:val="539325D1"/>
    <w:rsid w:val="53964FD7"/>
    <w:rsid w:val="53AC0BFD"/>
    <w:rsid w:val="53D770DA"/>
    <w:rsid w:val="53E16F99"/>
    <w:rsid w:val="54260108"/>
    <w:rsid w:val="543A3BB4"/>
    <w:rsid w:val="544100EE"/>
    <w:rsid w:val="54680721"/>
    <w:rsid w:val="546F1A89"/>
    <w:rsid w:val="54745318"/>
    <w:rsid w:val="54A43723"/>
    <w:rsid w:val="54BB581D"/>
    <w:rsid w:val="54C55B73"/>
    <w:rsid w:val="54CF07A0"/>
    <w:rsid w:val="54F87FC7"/>
    <w:rsid w:val="550541C2"/>
    <w:rsid w:val="55287EB0"/>
    <w:rsid w:val="55674E7D"/>
    <w:rsid w:val="55826B5A"/>
    <w:rsid w:val="55850574"/>
    <w:rsid w:val="558C043F"/>
    <w:rsid w:val="559B2D78"/>
    <w:rsid w:val="559B4B26"/>
    <w:rsid w:val="55AB1085"/>
    <w:rsid w:val="55CB0FAC"/>
    <w:rsid w:val="55D219FA"/>
    <w:rsid w:val="55DC388A"/>
    <w:rsid w:val="560921BB"/>
    <w:rsid w:val="563F3703"/>
    <w:rsid w:val="56521689"/>
    <w:rsid w:val="569C0B56"/>
    <w:rsid w:val="56A9624D"/>
    <w:rsid w:val="56B37C4E"/>
    <w:rsid w:val="56BC4D54"/>
    <w:rsid w:val="56C02A96"/>
    <w:rsid w:val="56E11C93"/>
    <w:rsid w:val="57127095"/>
    <w:rsid w:val="57144B90"/>
    <w:rsid w:val="572A6162"/>
    <w:rsid w:val="57460AC2"/>
    <w:rsid w:val="5778511F"/>
    <w:rsid w:val="57897640"/>
    <w:rsid w:val="57A579F3"/>
    <w:rsid w:val="57CE2EBC"/>
    <w:rsid w:val="57D31D9D"/>
    <w:rsid w:val="57DD0952"/>
    <w:rsid w:val="57E411DB"/>
    <w:rsid w:val="57F222CC"/>
    <w:rsid w:val="58022C3B"/>
    <w:rsid w:val="5805272B"/>
    <w:rsid w:val="581A4D75"/>
    <w:rsid w:val="58366D88"/>
    <w:rsid w:val="58392E14"/>
    <w:rsid w:val="585F008D"/>
    <w:rsid w:val="58A921CB"/>
    <w:rsid w:val="58CB74D0"/>
    <w:rsid w:val="58D72319"/>
    <w:rsid w:val="58F509F1"/>
    <w:rsid w:val="59017426"/>
    <w:rsid w:val="59050C34"/>
    <w:rsid w:val="59301CEC"/>
    <w:rsid w:val="593C217C"/>
    <w:rsid w:val="59510812"/>
    <w:rsid w:val="596C0FC7"/>
    <w:rsid w:val="59747B68"/>
    <w:rsid w:val="59772113"/>
    <w:rsid w:val="59B32B3D"/>
    <w:rsid w:val="59CA59DA"/>
    <w:rsid w:val="59CC52AE"/>
    <w:rsid w:val="5A132EDD"/>
    <w:rsid w:val="5A184997"/>
    <w:rsid w:val="5A1C52D3"/>
    <w:rsid w:val="5A421A14"/>
    <w:rsid w:val="5A517EA9"/>
    <w:rsid w:val="5A6C62B6"/>
    <w:rsid w:val="5A7A08CE"/>
    <w:rsid w:val="5AA04A12"/>
    <w:rsid w:val="5ABC3575"/>
    <w:rsid w:val="5AD7215D"/>
    <w:rsid w:val="5AF2343A"/>
    <w:rsid w:val="5B1C7B22"/>
    <w:rsid w:val="5B4517BC"/>
    <w:rsid w:val="5B6A7475"/>
    <w:rsid w:val="5BD448EE"/>
    <w:rsid w:val="5BE80399"/>
    <w:rsid w:val="5BE91A17"/>
    <w:rsid w:val="5C313AEE"/>
    <w:rsid w:val="5C62014C"/>
    <w:rsid w:val="5C735EB5"/>
    <w:rsid w:val="5C761E49"/>
    <w:rsid w:val="5C967DF5"/>
    <w:rsid w:val="5CA00C74"/>
    <w:rsid w:val="5CA12E24"/>
    <w:rsid w:val="5CA73DB1"/>
    <w:rsid w:val="5CB62246"/>
    <w:rsid w:val="5CD56B70"/>
    <w:rsid w:val="5CE768A3"/>
    <w:rsid w:val="5CF214D0"/>
    <w:rsid w:val="5D05319C"/>
    <w:rsid w:val="5D1C654D"/>
    <w:rsid w:val="5D485594"/>
    <w:rsid w:val="5D6D1C91"/>
    <w:rsid w:val="5D7A5AE4"/>
    <w:rsid w:val="5D891708"/>
    <w:rsid w:val="5D902A97"/>
    <w:rsid w:val="5D944335"/>
    <w:rsid w:val="5DD07337"/>
    <w:rsid w:val="5E203E1A"/>
    <w:rsid w:val="5E3E24F3"/>
    <w:rsid w:val="5E483371"/>
    <w:rsid w:val="5E6463FD"/>
    <w:rsid w:val="5E671A49"/>
    <w:rsid w:val="5E6A153A"/>
    <w:rsid w:val="5E864BBA"/>
    <w:rsid w:val="5EAA0DD3"/>
    <w:rsid w:val="5EAC56AE"/>
    <w:rsid w:val="5EE4309A"/>
    <w:rsid w:val="5F13265F"/>
    <w:rsid w:val="5F1A4D0E"/>
    <w:rsid w:val="5F387044"/>
    <w:rsid w:val="5F6441DB"/>
    <w:rsid w:val="5F702B80"/>
    <w:rsid w:val="5F7268F8"/>
    <w:rsid w:val="5F750196"/>
    <w:rsid w:val="5F955985"/>
    <w:rsid w:val="5FAF36A8"/>
    <w:rsid w:val="5FC37153"/>
    <w:rsid w:val="5FCE4BE3"/>
    <w:rsid w:val="60172FFB"/>
    <w:rsid w:val="60174CA1"/>
    <w:rsid w:val="60201FF3"/>
    <w:rsid w:val="60335542"/>
    <w:rsid w:val="6044017F"/>
    <w:rsid w:val="60485D7E"/>
    <w:rsid w:val="604E2987"/>
    <w:rsid w:val="604F17B0"/>
    <w:rsid w:val="605E0C2A"/>
    <w:rsid w:val="607246D5"/>
    <w:rsid w:val="60830691"/>
    <w:rsid w:val="6098413C"/>
    <w:rsid w:val="609C06B7"/>
    <w:rsid w:val="609E371C"/>
    <w:rsid w:val="60B62814"/>
    <w:rsid w:val="60D158A0"/>
    <w:rsid w:val="6106379C"/>
    <w:rsid w:val="612F62AF"/>
    <w:rsid w:val="613025C6"/>
    <w:rsid w:val="614442C4"/>
    <w:rsid w:val="614E6EF1"/>
    <w:rsid w:val="61554209"/>
    <w:rsid w:val="618966AB"/>
    <w:rsid w:val="61A46B11"/>
    <w:rsid w:val="61B76844"/>
    <w:rsid w:val="61E6570C"/>
    <w:rsid w:val="61F061FA"/>
    <w:rsid w:val="6232236E"/>
    <w:rsid w:val="623E0D13"/>
    <w:rsid w:val="62403327"/>
    <w:rsid w:val="62404A8B"/>
    <w:rsid w:val="63185A08"/>
    <w:rsid w:val="63213671"/>
    <w:rsid w:val="63247F09"/>
    <w:rsid w:val="633914DA"/>
    <w:rsid w:val="633A597E"/>
    <w:rsid w:val="635F401F"/>
    <w:rsid w:val="636218B0"/>
    <w:rsid w:val="63C9479B"/>
    <w:rsid w:val="63CB5574"/>
    <w:rsid w:val="63D92749"/>
    <w:rsid w:val="63E31B72"/>
    <w:rsid w:val="644F12EF"/>
    <w:rsid w:val="64630F05"/>
    <w:rsid w:val="646F486F"/>
    <w:rsid w:val="648352CF"/>
    <w:rsid w:val="64CF0348"/>
    <w:rsid w:val="64D67929"/>
    <w:rsid w:val="64DD4813"/>
    <w:rsid w:val="6525440C"/>
    <w:rsid w:val="6535464F"/>
    <w:rsid w:val="6537335E"/>
    <w:rsid w:val="653F727C"/>
    <w:rsid w:val="65660CAD"/>
    <w:rsid w:val="656D6898"/>
    <w:rsid w:val="65984BDE"/>
    <w:rsid w:val="659A6BA8"/>
    <w:rsid w:val="65A25A5D"/>
    <w:rsid w:val="65AE61B0"/>
    <w:rsid w:val="65B8702E"/>
    <w:rsid w:val="65EE0CA2"/>
    <w:rsid w:val="65FE2944"/>
    <w:rsid w:val="662A2B19"/>
    <w:rsid w:val="665E7B6C"/>
    <w:rsid w:val="6675770D"/>
    <w:rsid w:val="66C760DE"/>
    <w:rsid w:val="66DE2AC5"/>
    <w:rsid w:val="66EC51E2"/>
    <w:rsid w:val="66F80730"/>
    <w:rsid w:val="67050051"/>
    <w:rsid w:val="67144738"/>
    <w:rsid w:val="67193AFD"/>
    <w:rsid w:val="67226E55"/>
    <w:rsid w:val="677D5E3A"/>
    <w:rsid w:val="67A54D96"/>
    <w:rsid w:val="67D6379C"/>
    <w:rsid w:val="67D87764"/>
    <w:rsid w:val="67E4235D"/>
    <w:rsid w:val="680D74D2"/>
    <w:rsid w:val="682C160E"/>
    <w:rsid w:val="68686AEA"/>
    <w:rsid w:val="686B65DA"/>
    <w:rsid w:val="6881195A"/>
    <w:rsid w:val="68914293"/>
    <w:rsid w:val="689C2C37"/>
    <w:rsid w:val="68A37B22"/>
    <w:rsid w:val="68AD274F"/>
    <w:rsid w:val="68AF57DF"/>
    <w:rsid w:val="68FF427E"/>
    <w:rsid w:val="694A2693"/>
    <w:rsid w:val="695A2928"/>
    <w:rsid w:val="698C6808"/>
    <w:rsid w:val="699D598E"/>
    <w:rsid w:val="69BE3C72"/>
    <w:rsid w:val="69D106BF"/>
    <w:rsid w:val="69D1246D"/>
    <w:rsid w:val="69D52819"/>
    <w:rsid w:val="6A10568B"/>
    <w:rsid w:val="6A15302C"/>
    <w:rsid w:val="6A2C3B47"/>
    <w:rsid w:val="6A585D0E"/>
    <w:rsid w:val="6A6E5F0E"/>
    <w:rsid w:val="6A717020"/>
    <w:rsid w:val="6A9C35C2"/>
    <w:rsid w:val="6ABB660F"/>
    <w:rsid w:val="6ACF10A2"/>
    <w:rsid w:val="6AD00976"/>
    <w:rsid w:val="6AED1528"/>
    <w:rsid w:val="6B080110"/>
    <w:rsid w:val="6B3233DF"/>
    <w:rsid w:val="6B431148"/>
    <w:rsid w:val="6B647ABE"/>
    <w:rsid w:val="6B841E8D"/>
    <w:rsid w:val="6B853A16"/>
    <w:rsid w:val="6B99520C"/>
    <w:rsid w:val="6BBF1117"/>
    <w:rsid w:val="6BE01F8A"/>
    <w:rsid w:val="6BE8387E"/>
    <w:rsid w:val="6BF012D0"/>
    <w:rsid w:val="6C07661A"/>
    <w:rsid w:val="6C117498"/>
    <w:rsid w:val="6C25027B"/>
    <w:rsid w:val="6C47110C"/>
    <w:rsid w:val="6C4C4ACD"/>
    <w:rsid w:val="6C663340"/>
    <w:rsid w:val="6C7C646E"/>
    <w:rsid w:val="6C9D2ADA"/>
    <w:rsid w:val="6CC14A1B"/>
    <w:rsid w:val="6CCC1D1B"/>
    <w:rsid w:val="6CD01102"/>
    <w:rsid w:val="6CE97995"/>
    <w:rsid w:val="6CEA21C3"/>
    <w:rsid w:val="6CF46B9E"/>
    <w:rsid w:val="6D464F20"/>
    <w:rsid w:val="6D800432"/>
    <w:rsid w:val="6D852242"/>
    <w:rsid w:val="6DCC23B7"/>
    <w:rsid w:val="6DD95D94"/>
    <w:rsid w:val="6DE04A04"/>
    <w:rsid w:val="6DE50BDD"/>
    <w:rsid w:val="6E1D46BB"/>
    <w:rsid w:val="6E2A4841"/>
    <w:rsid w:val="6E3C2DF9"/>
    <w:rsid w:val="6E70494A"/>
    <w:rsid w:val="6E8126B3"/>
    <w:rsid w:val="6EA37EDF"/>
    <w:rsid w:val="6EC66318"/>
    <w:rsid w:val="6ED07197"/>
    <w:rsid w:val="6ED6234A"/>
    <w:rsid w:val="6EDC0332"/>
    <w:rsid w:val="6EE449F0"/>
    <w:rsid w:val="6EF015E7"/>
    <w:rsid w:val="6F0118FB"/>
    <w:rsid w:val="6F2913D9"/>
    <w:rsid w:val="6F345978"/>
    <w:rsid w:val="6F395FEB"/>
    <w:rsid w:val="6F6124E5"/>
    <w:rsid w:val="6F63000B"/>
    <w:rsid w:val="6F630325"/>
    <w:rsid w:val="6F6F69B0"/>
    <w:rsid w:val="6F7264A0"/>
    <w:rsid w:val="6F881820"/>
    <w:rsid w:val="6FA973ED"/>
    <w:rsid w:val="6FAB550E"/>
    <w:rsid w:val="6FAC7C04"/>
    <w:rsid w:val="6FEA26CB"/>
    <w:rsid w:val="70115CB9"/>
    <w:rsid w:val="7036127C"/>
    <w:rsid w:val="7040659E"/>
    <w:rsid w:val="704A2F79"/>
    <w:rsid w:val="705B5186"/>
    <w:rsid w:val="705D4A5A"/>
    <w:rsid w:val="706E310B"/>
    <w:rsid w:val="7085617A"/>
    <w:rsid w:val="70C525FF"/>
    <w:rsid w:val="70D70CB1"/>
    <w:rsid w:val="70EE5F27"/>
    <w:rsid w:val="70F97E5D"/>
    <w:rsid w:val="710E12C0"/>
    <w:rsid w:val="71175551"/>
    <w:rsid w:val="711A294B"/>
    <w:rsid w:val="71883D59"/>
    <w:rsid w:val="719E357C"/>
    <w:rsid w:val="71A55100"/>
    <w:rsid w:val="71C70D25"/>
    <w:rsid w:val="71ED62B2"/>
    <w:rsid w:val="71F97227"/>
    <w:rsid w:val="72053532"/>
    <w:rsid w:val="721B4BCD"/>
    <w:rsid w:val="723E79C0"/>
    <w:rsid w:val="727268E0"/>
    <w:rsid w:val="728C7879"/>
    <w:rsid w:val="72D1172F"/>
    <w:rsid w:val="72D8486C"/>
    <w:rsid w:val="72EB0713"/>
    <w:rsid w:val="72EC7CF0"/>
    <w:rsid w:val="73041B05"/>
    <w:rsid w:val="731C0BFD"/>
    <w:rsid w:val="73685BF0"/>
    <w:rsid w:val="7374041D"/>
    <w:rsid w:val="73A34E7A"/>
    <w:rsid w:val="73AB1BCC"/>
    <w:rsid w:val="73BF77DA"/>
    <w:rsid w:val="73DE4104"/>
    <w:rsid w:val="73E86D31"/>
    <w:rsid w:val="73F138BD"/>
    <w:rsid w:val="73F13E37"/>
    <w:rsid w:val="74133875"/>
    <w:rsid w:val="741C69DA"/>
    <w:rsid w:val="7428727A"/>
    <w:rsid w:val="74455F31"/>
    <w:rsid w:val="746740F9"/>
    <w:rsid w:val="746F3611"/>
    <w:rsid w:val="749D668F"/>
    <w:rsid w:val="74B11819"/>
    <w:rsid w:val="74BD01BD"/>
    <w:rsid w:val="74DD0860"/>
    <w:rsid w:val="7513602F"/>
    <w:rsid w:val="75137DDD"/>
    <w:rsid w:val="752B3379"/>
    <w:rsid w:val="7568637B"/>
    <w:rsid w:val="756B7C19"/>
    <w:rsid w:val="75874327"/>
    <w:rsid w:val="75956A44"/>
    <w:rsid w:val="759A22AD"/>
    <w:rsid w:val="75A153E9"/>
    <w:rsid w:val="75D92DD5"/>
    <w:rsid w:val="75E023B5"/>
    <w:rsid w:val="75F1279F"/>
    <w:rsid w:val="75F61BD9"/>
    <w:rsid w:val="75F776FF"/>
    <w:rsid w:val="76243572"/>
    <w:rsid w:val="762D7933"/>
    <w:rsid w:val="765C6FAE"/>
    <w:rsid w:val="769B62DC"/>
    <w:rsid w:val="76A72ED3"/>
    <w:rsid w:val="76CA730F"/>
    <w:rsid w:val="76F97E6D"/>
    <w:rsid w:val="77444BC6"/>
    <w:rsid w:val="77500F02"/>
    <w:rsid w:val="77505319"/>
    <w:rsid w:val="775546DD"/>
    <w:rsid w:val="77732F67"/>
    <w:rsid w:val="777C7EBC"/>
    <w:rsid w:val="77934D7E"/>
    <w:rsid w:val="779D7E32"/>
    <w:rsid w:val="77B80A62"/>
    <w:rsid w:val="77BC475C"/>
    <w:rsid w:val="77C10E5A"/>
    <w:rsid w:val="77C33D3D"/>
    <w:rsid w:val="77E141C3"/>
    <w:rsid w:val="781F7B88"/>
    <w:rsid w:val="783267CC"/>
    <w:rsid w:val="783469E8"/>
    <w:rsid w:val="7840495F"/>
    <w:rsid w:val="785227EC"/>
    <w:rsid w:val="78571D5C"/>
    <w:rsid w:val="787C3EEC"/>
    <w:rsid w:val="78A7404A"/>
    <w:rsid w:val="78F41CD4"/>
    <w:rsid w:val="79074832"/>
    <w:rsid w:val="791660EE"/>
    <w:rsid w:val="7942201C"/>
    <w:rsid w:val="79817D4A"/>
    <w:rsid w:val="7993773F"/>
    <w:rsid w:val="79D51B05"/>
    <w:rsid w:val="7A025FF7"/>
    <w:rsid w:val="7A1749E1"/>
    <w:rsid w:val="7A6A1F9F"/>
    <w:rsid w:val="7AD46261"/>
    <w:rsid w:val="7B152B01"/>
    <w:rsid w:val="7B195B51"/>
    <w:rsid w:val="7B1E74DC"/>
    <w:rsid w:val="7B476A33"/>
    <w:rsid w:val="7B5F3D7C"/>
    <w:rsid w:val="7B6C6499"/>
    <w:rsid w:val="7B792A7B"/>
    <w:rsid w:val="7B827A6B"/>
    <w:rsid w:val="7BAC2D3A"/>
    <w:rsid w:val="7BCF78A0"/>
    <w:rsid w:val="7BD5403F"/>
    <w:rsid w:val="7BDC53CD"/>
    <w:rsid w:val="7C1E1D84"/>
    <w:rsid w:val="7C2154D6"/>
    <w:rsid w:val="7C702B07"/>
    <w:rsid w:val="7C7F39E8"/>
    <w:rsid w:val="7C87766B"/>
    <w:rsid w:val="7C8D3F62"/>
    <w:rsid w:val="7CBE2D25"/>
    <w:rsid w:val="7CCC14D9"/>
    <w:rsid w:val="7CF27D4C"/>
    <w:rsid w:val="7D3C49C8"/>
    <w:rsid w:val="7D456FA2"/>
    <w:rsid w:val="7D5470E9"/>
    <w:rsid w:val="7D9D0B8C"/>
    <w:rsid w:val="7DF74740"/>
    <w:rsid w:val="7DFF1847"/>
    <w:rsid w:val="7E130E4E"/>
    <w:rsid w:val="7E3468D5"/>
    <w:rsid w:val="7E5F22E5"/>
    <w:rsid w:val="7E691F7C"/>
    <w:rsid w:val="7E924469"/>
    <w:rsid w:val="7F111831"/>
    <w:rsid w:val="7F463BFE"/>
    <w:rsid w:val="7F482D79"/>
    <w:rsid w:val="7F4E65E2"/>
    <w:rsid w:val="7F504AFE"/>
    <w:rsid w:val="7FB90128"/>
    <w:rsid w:val="7FBD72C3"/>
    <w:rsid w:val="7FEA3E31"/>
    <w:rsid w:val="7FF6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99"/>
    <w:pPr>
      <w:keepNext/>
      <w:keepLines/>
      <w:spacing w:line="360" w:lineRule="auto"/>
      <w:jc w:val="center"/>
      <w:outlineLvl w:val="0"/>
    </w:pPr>
    <w:rPr>
      <w:b/>
      <w:kern w:val="44"/>
      <w:sz w:val="32"/>
      <w:szCs w:val="20"/>
    </w:rPr>
  </w:style>
  <w:style w:type="paragraph" w:styleId="3">
    <w:name w:val="heading 2"/>
    <w:basedOn w:val="1"/>
    <w:next w:val="1"/>
    <w:link w:val="28"/>
    <w:autoRedefine/>
    <w:qFormat/>
    <w:uiPriority w:val="99"/>
    <w:pPr>
      <w:keepNext/>
      <w:keepLines/>
      <w:spacing w:line="360" w:lineRule="auto"/>
      <w:jc w:val="left"/>
      <w:outlineLvl w:val="1"/>
    </w:pPr>
    <w:rPr>
      <w:rFonts w:ascii="Arial" w:hAnsi="Arial"/>
      <w:b/>
      <w:sz w:val="24"/>
      <w:szCs w:val="20"/>
    </w:rPr>
  </w:style>
  <w:style w:type="paragraph" w:styleId="4">
    <w:name w:val="heading 3"/>
    <w:basedOn w:val="1"/>
    <w:next w:val="1"/>
    <w:autoRedefine/>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autoRedefine/>
    <w:qFormat/>
    <w:uiPriority w:val="99"/>
    <w:pPr>
      <w:spacing w:after="120"/>
    </w:pPr>
    <w:rPr>
      <w:sz w:val="24"/>
      <w:szCs w:val="20"/>
    </w:rPr>
  </w:style>
  <w:style w:type="paragraph" w:styleId="8">
    <w:name w:val="Body Text Indent"/>
    <w:basedOn w:val="1"/>
    <w:autoRedefine/>
    <w:qFormat/>
    <w:uiPriority w:val="99"/>
    <w:pPr>
      <w:spacing w:after="120"/>
      <w:ind w:left="420" w:leftChars="200"/>
    </w:pPr>
    <w:rPr>
      <w:sz w:val="24"/>
      <w:szCs w:val="20"/>
    </w:rPr>
  </w:style>
  <w:style w:type="paragraph" w:styleId="9">
    <w:name w:val="List 2"/>
    <w:basedOn w:val="1"/>
    <w:autoRedefine/>
    <w:qFormat/>
    <w:uiPriority w:val="99"/>
    <w:pPr>
      <w:ind w:left="100" w:leftChars="200" w:hanging="200" w:hangingChars="200"/>
    </w:pPr>
  </w:style>
  <w:style w:type="paragraph" w:styleId="10">
    <w:name w:val="Block Text"/>
    <w:basedOn w:val="1"/>
    <w:autoRedefine/>
    <w:qFormat/>
    <w:uiPriority w:val="99"/>
    <w:pPr>
      <w:spacing w:after="120"/>
      <w:ind w:left="1440" w:leftChars="700" w:right="1440" w:rightChars="700"/>
    </w:pPr>
  </w:style>
  <w:style w:type="paragraph" w:styleId="11">
    <w:name w:val="Plain Text"/>
    <w:basedOn w:val="1"/>
    <w:autoRedefine/>
    <w:qFormat/>
    <w:uiPriority w:val="99"/>
    <w:rPr>
      <w:rFonts w:ascii="宋体" w:hAnsi="Courier New"/>
      <w:szCs w:val="20"/>
    </w:rPr>
  </w:style>
  <w:style w:type="paragraph" w:styleId="12">
    <w:name w:val="Date"/>
    <w:basedOn w:val="1"/>
    <w:next w:val="1"/>
    <w:autoRedefine/>
    <w:unhideWhenUsed/>
    <w:qFormat/>
    <w:uiPriority w:val="99"/>
    <w:pPr>
      <w:tabs>
        <w:tab w:val="left" w:pos="420"/>
      </w:tabs>
      <w:ind w:left="100" w:leftChars="2500"/>
    </w:pPr>
  </w:style>
  <w:style w:type="paragraph" w:styleId="13">
    <w:name w:val="Body Text Indent 2"/>
    <w:basedOn w:val="1"/>
    <w:autoRedefine/>
    <w:qFormat/>
    <w:uiPriority w:val="99"/>
    <w:pPr>
      <w:spacing w:after="120" w:line="480" w:lineRule="auto"/>
      <w:ind w:left="420" w:leftChars="200"/>
    </w:pPr>
    <w:rPr>
      <w:sz w:val="24"/>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envelope return"/>
    <w:basedOn w:val="1"/>
    <w:autoRedefine/>
    <w:qFormat/>
    <w:uiPriority w:val="99"/>
    <w:pPr>
      <w:snapToGrid w:val="0"/>
      <w:jc w:val="left"/>
    </w:pPr>
    <w:rPr>
      <w:rFonts w:ascii="Arial" w:hAnsi="Arial" w:cs="黑体"/>
      <w:kern w:val="0"/>
      <w:sz w:val="22"/>
      <w:szCs w:val="22"/>
      <w:lang w:eastAsia="en-US"/>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99"/>
    <w:pPr>
      <w:spacing w:line="360" w:lineRule="auto"/>
    </w:pPr>
    <w:rPr>
      <w:b/>
      <w:sz w:val="28"/>
    </w:rPr>
  </w:style>
  <w:style w:type="paragraph" w:styleId="18">
    <w:name w:val="List 5"/>
    <w:basedOn w:val="1"/>
    <w:autoRedefine/>
    <w:qFormat/>
    <w:uiPriority w:val="99"/>
    <w:pPr>
      <w:ind w:left="2100" w:hanging="420"/>
    </w:pPr>
    <w:rPr>
      <w:rFonts w:eastAsia="楷体_GB2312"/>
      <w:sz w:val="32"/>
      <w:szCs w:val="20"/>
    </w:rPr>
  </w:style>
  <w:style w:type="paragraph" w:styleId="19">
    <w:name w:val="toc 2"/>
    <w:basedOn w:val="1"/>
    <w:next w:val="1"/>
    <w:autoRedefine/>
    <w:qFormat/>
    <w:uiPriority w:val="99"/>
    <w:pPr>
      <w:spacing w:line="360" w:lineRule="auto"/>
    </w:pPr>
    <w:rPr>
      <w:sz w:val="28"/>
    </w:rPr>
  </w:style>
  <w:style w:type="paragraph" w:styleId="20">
    <w:name w:val="Body Text First Indent"/>
    <w:basedOn w:val="7"/>
    <w:next w:val="1"/>
    <w:autoRedefine/>
    <w:qFormat/>
    <w:uiPriority w:val="99"/>
    <w:pPr>
      <w:ind w:firstLine="420"/>
    </w:pPr>
    <w:rPr>
      <w:rFonts w:eastAsia="楷体_GB2312"/>
      <w:sz w:val="32"/>
    </w:rPr>
  </w:style>
  <w:style w:type="paragraph" w:styleId="21">
    <w:name w:val="Body Text First Indent 2"/>
    <w:basedOn w:val="8"/>
    <w:next w:val="7"/>
    <w:autoRedefine/>
    <w:qFormat/>
    <w:uiPriority w:val="99"/>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6">
    <w:name w:val="Heading 1 Char"/>
    <w:basedOn w:val="24"/>
    <w:link w:val="2"/>
    <w:autoRedefine/>
    <w:qFormat/>
    <w:locked/>
    <w:uiPriority w:val="99"/>
    <w:rPr>
      <w:b/>
      <w:kern w:val="44"/>
      <w:sz w:val="32"/>
      <w:szCs w:val="20"/>
    </w:rPr>
  </w:style>
  <w:style w:type="paragraph" w:customStyle="1" w:styleId="27">
    <w:name w:val="Table Paragraph"/>
    <w:basedOn w:val="1"/>
    <w:autoRedefine/>
    <w:qFormat/>
    <w:uiPriority w:val="99"/>
    <w:rPr>
      <w:sz w:val="24"/>
    </w:rPr>
  </w:style>
  <w:style w:type="character" w:customStyle="1" w:styleId="28">
    <w:name w:val="Heading 2 Char"/>
    <w:basedOn w:val="24"/>
    <w:link w:val="3"/>
    <w:autoRedefine/>
    <w:qFormat/>
    <w:locked/>
    <w:uiPriority w:val="99"/>
    <w:rPr>
      <w:rFonts w:ascii="Arial" w:hAnsi="Arial"/>
      <w:b/>
      <w:sz w:val="24"/>
      <w:szCs w:val="20"/>
    </w:rPr>
  </w:style>
  <w:style w:type="character" w:customStyle="1" w:styleId="29">
    <w:name w:val="Char Char11"/>
    <w:autoRedefine/>
    <w:qFormat/>
    <w:uiPriority w:val="99"/>
    <w:rPr>
      <w:kern w:val="2"/>
      <w:sz w:val="18"/>
    </w:rPr>
  </w:style>
  <w:style w:type="paragraph" w:styleId="30">
    <w:name w:val="List Paragraph"/>
    <w:basedOn w:val="1"/>
    <w:autoRedefine/>
    <w:qFormat/>
    <w:uiPriority w:val="99"/>
    <w:pPr>
      <w:ind w:firstLine="420" w:firstLineChars="200"/>
    </w:pPr>
    <w:rPr>
      <w:rFonts w:ascii="Calibri" w:hAnsi="Calibri"/>
      <w:szCs w:val="22"/>
    </w:rPr>
  </w:style>
  <w:style w:type="character" w:customStyle="1" w:styleId="31">
    <w:name w:val="标题 3 Char1"/>
    <w:autoRedefine/>
    <w:qFormat/>
    <w:locked/>
    <w:uiPriority w:val="99"/>
    <w:rPr>
      <w:rFonts w:ascii="Times New Roman" w:hAnsi="Times New Roman" w:eastAsia="宋体"/>
      <w:b/>
      <w:kern w:val="2"/>
      <w:sz w:val="28"/>
    </w:rPr>
  </w:style>
  <w:style w:type="paragraph" w:customStyle="1" w:styleId="32">
    <w:name w:val="Table Text"/>
    <w:basedOn w:val="1"/>
    <w:autoRedefine/>
    <w:semiHidden/>
    <w:qFormat/>
    <w:uiPriority w:val="0"/>
    <w:rPr>
      <w:rFonts w:ascii="宋体" w:hAnsi="宋体" w:eastAsia="宋体" w:cs="宋体"/>
      <w:sz w:val="24"/>
      <w:szCs w:val="24"/>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31"/>
    <w:basedOn w:val="24"/>
    <w:qFormat/>
    <w:uiPriority w:val="0"/>
    <w:rPr>
      <w:rFonts w:hint="eastAsia" w:ascii="宋体" w:hAnsi="宋体" w:eastAsia="宋体" w:cs="宋体"/>
      <w:b/>
      <w:bCs/>
      <w:color w:val="000000"/>
      <w:sz w:val="21"/>
      <w:szCs w:val="21"/>
      <w:u w:val="none"/>
    </w:rPr>
  </w:style>
  <w:style w:type="character" w:customStyle="1" w:styleId="35">
    <w:name w:val="font21"/>
    <w:basedOn w:val="2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61793</Words>
  <Characters>68726</Characters>
  <Lines>0</Lines>
  <Paragraphs>0</Paragraphs>
  <TotalTime>0</TotalTime>
  <ScaleCrop>false</ScaleCrop>
  <LinksUpToDate>false</LinksUpToDate>
  <CharactersWithSpaces>72535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申连鹤</cp:lastModifiedBy>
  <dcterms:modified xsi:type="dcterms:W3CDTF">2024-07-15T04:28:57Z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BF095136F63244D1AFF09017EC2B7CDC_13</vt:lpwstr>
  </property>
</Properties>
</file>