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0CA5BB">
      <w:pPr>
        <w:jc w:val="left"/>
        <w:rPr>
          <w:rFonts w:hint="eastAsia" w:ascii="宋体" w:hAnsi="宋体"/>
          <w:color w:val="000000" w:themeColor="text1"/>
          <w:highlight w:val="none"/>
          <w14:textFill>
            <w14:solidFill>
              <w14:schemeClr w14:val="tx1"/>
            </w14:solidFill>
          </w14:textFill>
        </w:rPr>
      </w:pPr>
    </w:p>
    <w:p w14:paraId="459573D6">
      <w:pPr>
        <w:jc w:val="center"/>
        <w:rPr>
          <w:rFonts w:hint="eastAsia" w:ascii="宋体" w:hAnsi="宋体" w:eastAsia="宋体"/>
          <w:b/>
          <w:bCs/>
          <w:color w:val="000000" w:themeColor="text1"/>
          <w:sz w:val="44"/>
          <w:szCs w:val="44"/>
          <w:highlight w:val="none"/>
          <w:lang w:eastAsia="zh-CN"/>
          <w14:textFill>
            <w14:solidFill>
              <w14:schemeClr w14:val="tx1"/>
            </w14:solidFill>
          </w14:textFill>
        </w:rPr>
        <w:sectPr>
          <w:headerReference r:id="rId4" w:type="first"/>
          <w:footerReference r:id="rId6" w:type="first"/>
          <w:headerReference r:id="rId3" w:type="default"/>
          <w:footerReference r:id="rId5" w:type="default"/>
          <w:pgSz w:w="11906" w:h="16838"/>
          <w:pgMar w:top="1440" w:right="1440" w:bottom="1440" w:left="1440" w:header="851" w:footer="992" w:gutter="0"/>
          <w:pgNumType w:start="1"/>
          <w:cols w:space="720" w:num="1"/>
          <w:titlePg/>
          <w:docGrid w:type="linesAndChars" w:linePitch="312" w:charSpace="0"/>
        </w:sectPr>
      </w:pPr>
      <w:r>
        <w:rPr>
          <w:rFonts w:hint="eastAsia" w:ascii="宋体" w:hAnsi="宋体" w:eastAsia="宋体"/>
          <w:b/>
          <w:bCs/>
          <w:color w:val="000000" w:themeColor="text1"/>
          <w:sz w:val="44"/>
          <w:szCs w:val="44"/>
          <w:highlight w:val="none"/>
          <w:lang w:eastAsia="zh-CN"/>
          <w14:textFill>
            <w14:solidFill>
              <w14:schemeClr w14:val="tx1"/>
            </w14:solidFill>
          </w14:textFill>
        </w:rPr>
        <w:drawing>
          <wp:inline distT="0" distB="0" distL="114300" distR="114300">
            <wp:extent cx="5724525" cy="8098790"/>
            <wp:effectExtent l="0" t="0" r="9525" b="16510"/>
            <wp:docPr id="21" name="图片 21" descr="2025051605012363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50516050123638_0001"/>
                    <pic:cNvPicPr>
                      <a:picLocks noChangeAspect="1"/>
                    </pic:cNvPicPr>
                  </pic:nvPicPr>
                  <pic:blipFill>
                    <a:blip r:embed="rId14"/>
                    <a:stretch>
                      <a:fillRect/>
                    </a:stretch>
                  </pic:blipFill>
                  <pic:spPr>
                    <a:xfrm>
                      <a:off x="0" y="0"/>
                      <a:ext cx="5724525" cy="8098790"/>
                    </a:xfrm>
                    <a:prstGeom prst="rect">
                      <a:avLst/>
                    </a:prstGeom>
                  </pic:spPr>
                </pic:pic>
              </a:graphicData>
            </a:graphic>
          </wp:inline>
        </w:drawing>
      </w:r>
      <w:bookmarkStart w:id="200" w:name="_GoBack"/>
      <w:bookmarkEnd w:id="200"/>
    </w:p>
    <w:p w14:paraId="19322A0E">
      <w:pPr>
        <w:jc w:val="center"/>
        <w:rPr>
          <w:rFonts w:hint="eastAsia" w:ascii="宋体" w:hAnsi="宋体"/>
          <w:color w:val="000000" w:themeColor="text1"/>
          <w:highlight w:val="none"/>
          <w14:textFill>
            <w14:solidFill>
              <w14:schemeClr w14:val="tx1"/>
            </w14:solidFill>
          </w14:textFill>
        </w:rPr>
      </w:pPr>
      <w:r>
        <w:rPr>
          <w:rFonts w:hint="eastAsia" w:ascii="宋体" w:hAnsi="宋体"/>
          <w:b/>
          <w:bCs/>
          <w:color w:val="000000" w:themeColor="text1"/>
          <w:sz w:val="44"/>
          <w:szCs w:val="44"/>
          <w:highlight w:val="none"/>
          <w14:textFill>
            <w14:solidFill>
              <w14:schemeClr w14:val="tx1"/>
            </w14:solidFill>
          </w14:textFill>
        </w:rPr>
        <w:t>目  录</w:t>
      </w:r>
    </w:p>
    <w:p w14:paraId="07378EF5">
      <w:pPr>
        <w:pStyle w:val="13"/>
        <w:tabs>
          <w:tab w:val="right" w:leader="dot" w:pos="9026"/>
        </w:tabs>
        <w:spacing w:line="600" w:lineRule="auto"/>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fldChar w:fldCharType="begin"/>
      </w:r>
      <w:r>
        <w:rPr>
          <w:rFonts w:hint="eastAsia" w:ascii="宋体" w:hAnsi="宋体" w:cs="宋体"/>
          <w:color w:val="000000" w:themeColor="text1"/>
          <w:sz w:val="32"/>
          <w:szCs w:val="32"/>
          <w:highlight w:val="none"/>
          <w14:textFill>
            <w14:solidFill>
              <w14:schemeClr w14:val="tx1"/>
            </w14:solidFill>
          </w14:textFill>
        </w:rPr>
        <w:instrText xml:space="preserve">TOC \o "1-3" \h \u </w:instrText>
      </w:r>
      <w:r>
        <w:rPr>
          <w:rFonts w:hint="eastAsia" w:ascii="宋体" w:hAnsi="宋体" w:cs="宋体"/>
          <w:color w:val="000000" w:themeColor="text1"/>
          <w:sz w:val="32"/>
          <w:szCs w:val="32"/>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"_Toc20953"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第一章 招标公告</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_Toc20953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2</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fldChar w:fldCharType="end"/>
      </w:r>
    </w:p>
    <w:p w14:paraId="3CF04774">
      <w:pPr>
        <w:pStyle w:val="13"/>
        <w:tabs>
          <w:tab w:val="right" w:leader="dot" w:pos="9026"/>
        </w:tabs>
        <w:spacing w:line="600" w:lineRule="auto"/>
        <w:rPr>
          <w:rFonts w:hint="eastAsia"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"_Toc22436"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kern w:val="44"/>
          <w:sz w:val="28"/>
          <w:szCs w:val="28"/>
          <w:highlight w:val="none"/>
          <w14:textFill>
            <w14:solidFill>
              <w14:schemeClr w14:val="tx1"/>
            </w14:solidFill>
          </w14:textFill>
        </w:rPr>
        <w:t>第二章 投标人须知</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_Toc22436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8</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fldChar w:fldCharType="end"/>
      </w:r>
    </w:p>
    <w:p w14:paraId="09460C51">
      <w:pPr>
        <w:pStyle w:val="13"/>
        <w:tabs>
          <w:tab w:val="right" w:leader="dot" w:pos="9026"/>
        </w:tabs>
        <w:spacing w:line="600" w:lineRule="auto"/>
        <w:rPr>
          <w:rFonts w:hint="eastAsia"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"_Toc29838"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第三章 评标办法</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_Toc29838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26</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fldChar w:fldCharType="end"/>
      </w:r>
    </w:p>
    <w:p w14:paraId="593A2B35">
      <w:pPr>
        <w:pStyle w:val="13"/>
        <w:tabs>
          <w:tab w:val="right" w:leader="dot" w:pos="9026"/>
        </w:tabs>
        <w:spacing w:line="600" w:lineRule="auto"/>
        <w:rPr>
          <w:rFonts w:hint="eastAsia"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"_Toc14014"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kern w:val="44"/>
          <w:sz w:val="28"/>
          <w:szCs w:val="28"/>
          <w:highlight w:val="none"/>
          <w14:textFill>
            <w14:solidFill>
              <w14:schemeClr w14:val="tx1"/>
            </w14:solidFill>
          </w14:textFill>
        </w:rPr>
        <w:t>第四章 合同条款及格式</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_Toc14014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32</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fldChar w:fldCharType="end"/>
      </w:r>
    </w:p>
    <w:p w14:paraId="6CCFED10">
      <w:pPr>
        <w:pStyle w:val="13"/>
        <w:tabs>
          <w:tab w:val="right" w:leader="dot" w:pos="9026"/>
        </w:tabs>
        <w:spacing w:line="600" w:lineRule="auto"/>
        <w:rPr>
          <w:rFonts w:hint="eastAsia"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"_Toc31208"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sz w:val="28"/>
          <w:szCs w:val="28"/>
          <w:highlight w:val="none"/>
          <w14:textFill>
            <w14:solidFill>
              <w14:schemeClr w14:val="tx1"/>
            </w14:solidFill>
          </w14:textFill>
        </w:rPr>
        <w:t>第五章 采购需求</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_Toc31208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38</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fldChar w:fldCharType="end"/>
      </w:r>
    </w:p>
    <w:p w14:paraId="235CFEF7">
      <w:pPr>
        <w:pStyle w:val="13"/>
        <w:tabs>
          <w:tab w:val="right" w:leader="dot" w:pos="9026"/>
        </w:tabs>
        <w:spacing w:line="60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"_Toc19501"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第六章 投标文件格式</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_Toc19501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66</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fldChar w:fldCharType="end"/>
      </w:r>
    </w:p>
    <w:p w14:paraId="58A8351C">
      <w:pPr>
        <w:spacing w:line="720" w:lineRule="auto"/>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Cs w:val="32"/>
          <w:highlight w:val="none"/>
          <w14:textFill>
            <w14:solidFill>
              <w14:schemeClr w14:val="tx1"/>
            </w14:solidFill>
          </w14:textFill>
        </w:rPr>
        <w:fldChar w:fldCharType="end"/>
      </w:r>
    </w:p>
    <w:p w14:paraId="3819C83A">
      <w:pPr>
        <w:jc w:val="center"/>
        <w:rPr>
          <w:rFonts w:hint="eastAsia" w:ascii="宋体" w:hAnsi="宋体"/>
          <w:color w:val="000000" w:themeColor="text1"/>
          <w:sz w:val="32"/>
          <w:szCs w:val="32"/>
          <w:highlight w:val="none"/>
          <w14:textFill>
            <w14:solidFill>
              <w14:schemeClr w14:val="tx1"/>
            </w14:solidFill>
          </w14:textFill>
        </w:rPr>
      </w:pPr>
    </w:p>
    <w:p w14:paraId="2F0B9593">
      <w:pPr>
        <w:jc w:val="center"/>
        <w:rPr>
          <w:rFonts w:hint="eastAsia" w:ascii="宋体" w:hAnsi="宋体"/>
          <w:color w:val="000000" w:themeColor="text1"/>
          <w:sz w:val="32"/>
          <w:szCs w:val="32"/>
          <w:highlight w:val="none"/>
          <w14:textFill>
            <w14:solidFill>
              <w14:schemeClr w14:val="tx1"/>
            </w14:solidFill>
          </w14:textFill>
        </w:rPr>
      </w:pPr>
    </w:p>
    <w:p w14:paraId="1BDC8B16">
      <w:pPr>
        <w:jc w:val="center"/>
        <w:rPr>
          <w:rFonts w:hint="eastAsia" w:ascii="宋体" w:hAnsi="宋体"/>
          <w:color w:val="000000" w:themeColor="text1"/>
          <w:sz w:val="32"/>
          <w:szCs w:val="32"/>
          <w:highlight w:val="none"/>
          <w14:textFill>
            <w14:solidFill>
              <w14:schemeClr w14:val="tx1"/>
            </w14:solidFill>
          </w14:textFill>
        </w:rPr>
      </w:pPr>
    </w:p>
    <w:p w14:paraId="241DD153">
      <w:pPr>
        <w:jc w:val="center"/>
        <w:rPr>
          <w:rFonts w:hint="eastAsia" w:ascii="宋体" w:hAnsi="宋体"/>
          <w:color w:val="000000" w:themeColor="text1"/>
          <w:sz w:val="32"/>
          <w:szCs w:val="32"/>
          <w:highlight w:val="none"/>
          <w14:textFill>
            <w14:solidFill>
              <w14:schemeClr w14:val="tx1"/>
            </w14:solidFill>
          </w14:textFill>
        </w:rPr>
      </w:pPr>
    </w:p>
    <w:p w14:paraId="2A2908ED">
      <w:pPr>
        <w:jc w:val="center"/>
        <w:rPr>
          <w:rFonts w:hint="eastAsia" w:ascii="宋体" w:hAnsi="宋体"/>
          <w:color w:val="000000" w:themeColor="text1"/>
          <w:sz w:val="32"/>
          <w:szCs w:val="32"/>
          <w:highlight w:val="none"/>
          <w14:textFill>
            <w14:solidFill>
              <w14:schemeClr w14:val="tx1"/>
            </w14:solidFill>
          </w14:textFill>
        </w:rPr>
      </w:pPr>
    </w:p>
    <w:p w14:paraId="6F1C22B7">
      <w:pPr>
        <w:jc w:val="center"/>
        <w:rPr>
          <w:rFonts w:hint="eastAsia" w:ascii="宋体" w:hAnsi="宋体"/>
          <w:color w:val="000000" w:themeColor="text1"/>
          <w:sz w:val="32"/>
          <w:szCs w:val="32"/>
          <w:highlight w:val="none"/>
          <w14:textFill>
            <w14:solidFill>
              <w14:schemeClr w14:val="tx1"/>
            </w14:solidFill>
          </w14:textFill>
        </w:rPr>
      </w:pPr>
    </w:p>
    <w:p w14:paraId="6BCE283E">
      <w:pPr>
        <w:numPr>
          <w:ilvl w:val="0"/>
          <w:numId w:val="2"/>
        </w:numPr>
        <w:shd w:val="solid" w:color="FFFFFF" w:fill="auto"/>
        <w:autoSpaceDN w:val="0"/>
        <w:spacing w:line="360" w:lineRule="auto"/>
        <w:jc w:val="center"/>
        <w:rPr>
          <w:rFonts w:hint="eastAsia" w:ascii="宋体" w:hAnsi="宋体"/>
          <w:b/>
          <w:bCs/>
          <w:color w:val="000000" w:themeColor="text1"/>
          <w:kern w:val="44"/>
          <w:sz w:val="36"/>
          <w:szCs w:val="36"/>
          <w:highlight w:val="none"/>
          <w14:textFill>
            <w14:solidFill>
              <w14:schemeClr w14:val="tx1"/>
            </w14:solidFill>
          </w14:textFill>
        </w:rPr>
        <w:sectPr>
          <w:footerReference r:id="rId7" w:type="default"/>
          <w:pgSz w:w="11906" w:h="16838"/>
          <w:pgMar w:top="1440" w:right="1440" w:bottom="1440" w:left="1440" w:header="851" w:footer="992" w:gutter="0"/>
          <w:pgNumType w:start="1"/>
          <w:cols w:space="720" w:num="1"/>
          <w:docGrid w:type="linesAndChars" w:linePitch="312" w:charSpace="0"/>
        </w:sectPr>
      </w:pPr>
    </w:p>
    <w:p w14:paraId="39CA5A63">
      <w:pPr>
        <w:pStyle w:val="29"/>
        <w:spacing w:before="100" w:after="100" w:line="360" w:lineRule="auto"/>
        <w:jc w:val="center"/>
        <w:rPr>
          <w:rFonts w:hint="eastAsia" w:ascii="宋体" w:hAnsi="宋体"/>
          <w:color w:val="000000" w:themeColor="text1"/>
          <w:sz w:val="36"/>
          <w:szCs w:val="36"/>
          <w:highlight w:val="none"/>
          <w14:textFill>
            <w14:solidFill>
              <w14:schemeClr w14:val="tx1"/>
            </w14:solidFill>
          </w14:textFill>
        </w:rPr>
      </w:pPr>
      <w:bookmarkStart w:id="0" w:name="_Toc29177"/>
      <w:bookmarkEnd w:id="0"/>
      <w:bookmarkStart w:id="1" w:name="_Toc20953"/>
      <w:r>
        <w:rPr>
          <w:rFonts w:hint="eastAsia" w:ascii="宋体" w:hAnsi="宋体"/>
          <w:color w:val="000000" w:themeColor="text1"/>
          <w:sz w:val="36"/>
          <w:szCs w:val="36"/>
          <w:highlight w:val="none"/>
          <w14:textFill>
            <w14:solidFill>
              <w14:schemeClr w14:val="tx1"/>
            </w14:solidFill>
          </w14:textFill>
        </w:rPr>
        <w:t>第一章  招标公告</w:t>
      </w:r>
      <w:bookmarkEnd w:id="1"/>
    </w:p>
    <w:p w14:paraId="2C3D33C3">
      <w:pPr>
        <w:pStyle w:val="17"/>
        <w:ind w:left="0" w:leftChars="0" w:firstLine="0" w:firstLineChars="0"/>
        <w:jc w:val="center"/>
        <w:rPr>
          <w:rFonts w:hint="eastAsia" w:ascii="宋体" w:hAnsi="宋体"/>
          <w:b/>
          <w:color w:val="000000" w:themeColor="text1"/>
          <w:sz w:val="30"/>
          <w:szCs w:val="32"/>
          <w:highlight w:val="none"/>
          <w14:textFill>
            <w14:solidFill>
              <w14:schemeClr w14:val="tx1"/>
            </w14:solidFill>
          </w14:textFill>
        </w:rPr>
      </w:pPr>
      <w:bookmarkStart w:id="2" w:name="_Toc19234"/>
      <w:bookmarkStart w:id="3" w:name="_Toc515899551"/>
      <w:bookmarkStart w:id="4" w:name="_Toc435272774"/>
      <w:bookmarkStart w:id="5" w:name="_Toc411857595"/>
      <w:r>
        <w:rPr>
          <w:rFonts w:hint="eastAsia" w:ascii="宋体" w:hAnsi="宋体"/>
          <w:b/>
          <w:color w:val="000000" w:themeColor="text1"/>
          <w:sz w:val="30"/>
          <w:szCs w:val="32"/>
          <w:highlight w:val="none"/>
          <w14:textFill>
            <w14:solidFill>
              <w14:schemeClr w14:val="tx1"/>
            </w14:solidFill>
          </w14:textFill>
        </w:rPr>
        <w:t>【平公资采2025379号】平顶山职业技术学院非常规水源利用项目</w:t>
      </w:r>
      <w:r>
        <w:rPr>
          <w:rFonts w:hint="eastAsia" w:ascii="宋体" w:hAnsi="宋体"/>
          <w:b/>
          <w:color w:val="000000" w:themeColor="text1"/>
          <w:sz w:val="30"/>
          <w:szCs w:val="32"/>
          <w:highlight w:val="none"/>
          <w:lang w:val="en-US" w:eastAsia="zh-CN"/>
          <w14:textFill>
            <w14:solidFill>
              <w14:schemeClr w14:val="tx1"/>
            </w14:solidFill>
          </w14:textFill>
        </w:rPr>
        <w:t>-公开招标</w:t>
      </w:r>
      <w:r>
        <w:rPr>
          <w:rFonts w:hint="eastAsia" w:ascii="宋体" w:hAnsi="宋体"/>
          <w:b/>
          <w:color w:val="000000" w:themeColor="text1"/>
          <w:sz w:val="30"/>
          <w:szCs w:val="32"/>
          <w:highlight w:val="none"/>
          <w14:textFill>
            <w14:solidFill>
              <w14:schemeClr w14:val="tx1"/>
            </w14:solidFill>
          </w14:textFill>
        </w:rPr>
        <w:t>公告</w:t>
      </w:r>
    </w:p>
    <w:bookmarkEnd w:id="2"/>
    <w:bookmarkEnd w:id="3"/>
    <w:bookmarkEnd w:id="4"/>
    <w:bookmarkEnd w:id="5"/>
    <w:p w14:paraId="773B8229">
      <w:pPr>
        <w:pStyle w:val="17"/>
        <w:spacing w:line="440" w:lineRule="exact"/>
        <w:ind w:left="0" w:leftChars="0" w:firstLine="480"/>
        <w:rPr>
          <w:rFonts w:hint="eastAsia" w:ascii="宋体" w:hAnsi="宋体" w:cs="宋体"/>
          <w:color w:val="000000"/>
          <w:sz w:val="24"/>
          <w:szCs w:val="24"/>
          <w:highlight w:val="none"/>
        </w:rPr>
      </w:pPr>
      <w:bookmarkStart w:id="6" w:name="_Toc18646"/>
      <w:r>
        <w:rPr>
          <w:rFonts w:hint="eastAsia" w:ascii="宋体" w:hAnsi="宋体" w:cs="宋体"/>
          <w:color w:val="000000"/>
          <w:sz w:val="24"/>
          <w:szCs w:val="24"/>
          <w:highlight w:val="none"/>
        </w:rPr>
        <w:t>项目概况</w:t>
      </w:r>
    </w:p>
    <w:p w14:paraId="449C78FD">
      <w:pPr>
        <w:pStyle w:val="17"/>
        <w:spacing w:line="440" w:lineRule="exact"/>
        <w:ind w:left="0" w:leftChars="0" w:firstLine="496"/>
        <w:rPr>
          <w:rFonts w:hint="eastAsia" w:ascii="宋体" w:hAnsi="宋体" w:cs="宋体"/>
          <w:b/>
          <w:color w:val="000000"/>
          <w:sz w:val="24"/>
          <w:szCs w:val="24"/>
          <w:highlight w:val="none"/>
        </w:rPr>
      </w:pPr>
      <w:r>
        <w:rPr>
          <w:rFonts w:hint="eastAsia" w:ascii="宋体" w:hAnsi="宋体" w:cs="宋体"/>
          <w:color w:val="000000"/>
          <w:spacing w:val="4"/>
          <w:kern w:val="2"/>
          <w:sz w:val="24"/>
          <w:szCs w:val="24"/>
          <w:highlight w:val="none"/>
        </w:rPr>
        <w:t>平顶山职业技术学院非常规水源利用项目招标项目的潜在投标人应在平顶山市公共资源交易</w:t>
      </w:r>
      <w:r>
        <w:rPr>
          <w:rFonts w:hint="eastAsia" w:ascii="宋体" w:hAnsi="宋体" w:cs="宋体"/>
          <w:color w:val="000000"/>
          <w:spacing w:val="4"/>
          <w:kern w:val="2"/>
          <w:sz w:val="24"/>
          <w:szCs w:val="24"/>
          <w:highlight w:val="none"/>
          <w:lang w:eastAsia="zh-CN"/>
        </w:rPr>
        <w:t>中心</w:t>
      </w:r>
      <w:r>
        <w:rPr>
          <w:rFonts w:hint="eastAsia" w:ascii="宋体" w:hAnsi="宋体" w:cs="宋体"/>
          <w:color w:val="000000"/>
          <w:spacing w:val="4"/>
          <w:kern w:val="2"/>
          <w:sz w:val="24"/>
          <w:szCs w:val="24"/>
          <w:highlight w:val="none"/>
        </w:rPr>
        <w:t>系统</w:t>
      </w:r>
      <w:r>
        <w:rPr>
          <w:rFonts w:hint="eastAsia" w:ascii="宋体" w:hAnsi="宋体" w:cs="宋体"/>
          <w:color w:val="000000"/>
          <w:spacing w:val="4"/>
          <w:kern w:val="2"/>
          <w:sz w:val="24"/>
          <w:szCs w:val="24"/>
          <w:highlight w:val="none"/>
          <w:lang w:eastAsia="zh-CN"/>
        </w:rPr>
        <w:t>获取</w:t>
      </w:r>
      <w:r>
        <w:rPr>
          <w:rFonts w:hint="eastAsia" w:ascii="宋体" w:hAnsi="宋体" w:cs="宋体"/>
          <w:color w:val="000000"/>
          <w:spacing w:val="4"/>
          <w:kern w:val="2"/>
          <w:sz w:val="24"/>
          <w:szCs w:val="24"/>
          <w:highlight w:val="none"/>
        </w:rPr>
        <w:t>招标文件</w:t>
      </w:r>
      <w:r>
        <w:rPr>
          <w:rFonts w:hint="eastAsia" w:ascii="宋体" w:hAnsi="宋体" w:cs="宋体"/>
          <w:color w:val="000000"/>
          <w:spacing w:val="4"/>
          <w:kern w:val="2"/>
          <w:sz w:val="24"/>
          <w:szCs w:val="24"/>
          <w:highlight w:val="none"/>
          <w:lang w:eastAsia="zh-CN"/>
        </w:rPr>
        <w:t>，</w:t>
      </w:r>
      <w:r>
        <w:rPr>
          <w:rFonts w:hint="eastAsia" w:ascii="宋体" w:hAnsi="宋体" w:cs="宋体"/>
          <w:color w:val="000000"/>
          <w:spacing w:val="4"/>
          <w:kern w:val="2"/>
          <w:sz w:val="24"/>
          <w:szCs w:val="24"/>
          <w:highlight w:val="none"/>
        </w:rPr>
        <w:t>并于2025年</w:t>
      </w:r>
      <w:r>
        <w:rPr>
          <w:rFonts w:hint="eastAsia" w:ascii="宋体" w:hAnsi="宋体" w:cs="宋体"/>
          <w:color w:val="000000"/>
          <w:spacing w:val="4"/>
          <w:kern w:val="2"/>
          <w:sz w:val="24"/>
          <w:szCs w:val="24"/>
          <w:highlight w:val="none"/>
          <w:lang w:val="en-US" w:eastAsia="zh-CN"/>
        </w:rPr>
        <w:t>06</w:t>
      </w:r>
      <w:r>
        <w:rPr>
          <w:rFonts w:hint="eastAsia" w:ascii="宋体" w:hAnsi="宋体" w:cs="宋体"/>
          <w:color w:val="000000"/>
          <w:spacing w:val="4"/>
          <w:kern w:val="2"/>
          <w:sz w:val="24"/>
          <w:szCs w:val="24"/>
          <w:highlight w:val="none"/>
        </w:rPr>
        <w:t>月</w:t>
      </w:r>
      <w:r>
        <w:rPr>
          <w:rFonts w:hint="eastAsia" w:ascii="宋体" w:hAnsi="宋体" w:cs="宋体"/>
          <w:color w:val="000000"/>
          <w:spacing w:val="4"/>
          <w:kern w:val="2"/>
          <w:sz w:val="24"/>
          <w:szCs w:val="24"/>
          <w:highlight w:val="none"/>
          <w:lang w:val="en-US" w:eastAsia="zh-CN"/>
        </w:rPr>
        <w:t>09</w:t>
      </w:r>
      <w:r>
        <w:rPr>
          <w:rFonts w:hint="eastAsia" w:ascii="宋体" w:hAnsi="宋体" w:cs="宋体"/>
          <w:color w:val="000000"/>
          <w:spacing w:val="4"/>
          <w:kern w:val="2"/>
          <w:sz w:val="24"/>
          <w:szCs w:val="24"/>
          <w:highlight w:val="none"/>
        </w:rPr>
        <w:t>日</w:t>
      </w:r>
      <w:r>
        <w:rPr>
          <w:rFonts w:hint="eastAsia" w:ascii="宋体" w:hAnsi="宋体" w:cs="宋体"/>
          <w:color w:val="000000"/>
          <w:spacing w:val="4"/>
          <w:kern w:val="2"/>
          <w:sz w:val="24"/>
          <w:szCs w:val="24"/>
          <w:highlight w:val="none"/>
          <w:lang w:val="en-US" w:eastAsia="zh-CN"/>
        </w:rPr>
        <w:t>09</w:t>
      </w:r>
      <w:r>
        <w:rPr>
          <w:rFonts w:hint="eastAsia" w:ascii="宋体" w:hAnsi="宋体" w:cs="宋体"/>
          <w:color w:val="000000"/>
          <w:spacing w:val="4"/>
          <w:kern w:val="2"/>
          <w:sz w:val="24"/>
          <w:szCs w:val="24"/>
          <w:highlight w:val="none"/>
        </w:rPr>
        <w:t>时</w:t>
      </w:r>
      <w:r>
        <w:rPr>
          <w:rFonts w:hint="eastAsia" w:ascii="宋体" w:hAnsi="宋体" w:cs="宋体"/>
          <w:color w:val="000000"/>
          <w:spacing w:val="4"/>
          <w:kern w:val="2"/>
          <w:sz w:val="24"/>
          <w:szCs w:val="24"/>
          <w:highlight w:val="none"/>
          <w:lang w:val="en-US" w:eastAsia="zh-CN"/>
        </w:rPr>
        <w:t>00</w:t>
      </w:r>
      <w:r>
        <w:rPr>
          <w:rFonts w:hint="eastAsia" w:ascii="宋体" w:hAnsi="宋体" w:cs="宋体"/>
          <w:color w:val="000000"/>
          <w:spacing w:val="4"/>
          <w:kern w:val="2"/>
          <w:sz w:val="24"/>
          <w:szCs w:val="24"/>
          <w:highlight w:val="none"/>
        </w:rPr>
        <w:t>分（北京时间）前递交投标文件。</w:t>
      </w:r>
    </w:p>
    <w:p w14:paraId="7A2149EF">
      <w:pPr>
        <w:spacing w:line="440" w:lineRule="exac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一、项目基本情况</w:t>
      </w:r>
    </w:p>
    <w:p w14:paraId="7DD6C6A8">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1、项目编号：平采招标-2025-33</w:t>
      </w:r>
    </w:p>
    <w:p w14:paraId="40007E63">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2、项目名称：平顶山职业技术学院非常规水源利用项目</w:t>
      </w:r>
    </w:p>
    <w:p w14:paraId="34CF0282">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3、采购方式：公开招标</w:t>
      </w:r>
    </w:p>
    <w:p w14:paraId="28B719DA">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 xml:space="preserve">4、预算金额：965579.54 元 </w:t>
      </w:r>
    </w:p>
    <w:p w14:paraId="3EB50AA6">
      <w:pPr>
        <w:spacing w:line="440" w:lineRule="exact"/>
        <w:ind w:firstLine="960" w:firstLineChars="4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 xml:space="preserve">最高限价：965579.54元 </w:t>
      </w:r>
    </w:p>
    <w:tbl>
      <w:tblPr>
        <w:tblStyle w:val="18"/>
        <w:tblW w:w="10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750"/>
        <w:gridCol w:w="1895"/>
        <w:gridCol w:w="1830"/>
        <w:gridCol w:w="1860"/>
        <w:gridCol w:w="1353"/>
        <w:gridCol w:w="1353"/>
      </w:tblGrid>
      <w:tr w14:paraId="4C13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0" w:type="dxa"/>
            <w:noWrap w:val="0"/>
            <w:vAlign w:val="center"/>
          </w:tcPr>
          <w:p w14:paraId="64BAA73F">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序号</w:t>
            </w:r>
          </w:p>
        </w:tc>
        <w:tc>
          <w:tcPr>
            <w:tcW w:w="1750" w:type="dxa"/>
            <w:noWrap w:val="0"/>
            <w:vAlign w:val="center"/>
          </w:tcPr>
          <w:p w14:paraId="0F0BF2EE">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包号</w:t>
            </w:r>
          </w:p>
        </w:tc>
        <w:tc>
          <w:tcPr>
            <w:tcW w:w="1895" w:type="dxa"/>
            <w:noWrap w:val="0"/>
            <w:vAlign w:val="center"/>
          </w:tcPr>
          <w:p w14:paraId="55BD0BA5">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包名称</w:t>
            </w:r>
          </w:p>
        </w:tc>
        <w:tc>
          <w:tcPr>
            <w:tcW w:w="1830" w:type="dxa"/>
            <w:noWrap w:val="0"/>
            <w:vAlign w:val="center"/>
          </w:tcPr>
          <w:p w14:paraId="029FABAC">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包预算（元）</w:t>
            </w:r>
          </w:p>
        </w:tc>
        <w:tc>
          <w:tcPr>
            <w:tcW w:w="1860" w:type="dxa"/>
            <w:noWrap w:val="0"/>
            <w:vAlign w:val="center"/>
          </w:tcPr>
          <w:p w14:paraId="4FC5515C">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包最高限价（元）</w:t>
            </w:r>
          </w:p>
        </w:tc>
        <w:tc>
          <w:tcPr>
            <w:tcW w:w="1353" w:type="dxa"/>
            <w:noWrap w:val="0"/>
            <w:vAlign w:val="center"/>
          </w:tcPr>
          <w:p w14:paraId="0195D5EF">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是否专门面向中小企业</w:t>
            </w:r>
          </w:p>
        </w:tc>
        <w:tc>
          <w:tcPr>
            <w:tcW w:w="1353" w:type="dxa"/>
            <w:noWrap w:val="0"/>
            <w:vAlign w:val="center"/>
          </w:tcPr>
          <w:p w14:paraId="5A47F6C0">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采购预留金额（元）</w:t>
            </w:r>
          </w:p>
        </w:tc>
      </w:tr>
      <w:tr w14:paraId="59D5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50" w:type="dxa"/>
            <w:noWrap w:val="0"/>
            <w:vAlign w:val="center"/>
          </w:tcPr>
          <w:p w14:paraId="3C7DD1ED">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1</w:t>
            </w:r>
          </w:p>
        </w:tc>
        <w:tc>
          <w:tcPr>
            <w:tcW w:w="1750" w:type="dxa"/>
            <w:noWrap w:val="0"/>
            <w:vAlign w:val="center"/>
          </w:tcPr>
          <w:p w14:paraId="7D1E70A9">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平公资采2025379号-1</w:t>
            </w:r>
          </w:p>
        </w:tc>
        <w:tc>
          <w:tcPr>
            <w:tcW w:w="1895" w:type="dxa"/>
            <w:noWrap w:val="0"/>
            <w:vAlign w:val="center"/>
          </w:tcPr>
          <w:p w14:paraId="2DF5098B">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平顶山职业技术学院非常规水源利用项目</w:t>
            </w:r>
          </w:p>
        </w:tc>
        <w:tc>
          <w:tcPr>
            <w:tcW w:w="1830" w:type="dxa"/>
            <w:noWrap w:val="0"/>
            <w:vAlign w:val="center"/>
          </w:tcPr>
          <w:p w14:paraId="23BFACCC">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965579.54</w:t>
            </w:r>
          </w:p>
        </w:tc>
        <w:tc>
          <w:tcPr>
            <w:tcW w:w="1860" w:type="dxa"/>
            <w:noWrap w:val="0"/>
            <w:vAlign w:val="center"/>
          </w:tcPr>
          <w:p w14:paraId="1407BD98">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965579.54</w:t>
            </w:r>
          </w:p>
        </w:tc>
        <w:tc>
          <w:tcPr>
            <w:tcW w:w="1353" w:type="dxa"/>
            <w:noWrap w:val="0"/>
            <w:vAlign w:val="center"/>
          </w:tcPr>
          <w:p w14:paraId="57D446AA">
            <w:pPr>
              <w:spacing w:line="440" w:lineRule="exact"/>
              <w:jc w:val="center"/>
              <w:rPr>
                <w:rFonts w:hint="eastAsia" w:ascii="宋体" w:hAnsi="宋体" w:eastAsia="宋体" w:cs="宋体"/>
                <w:bCs/>
                <w:color w:val="000000"/>
                <w:kern w:val="0"/>
                <w:highlight w:val="none"/>
                <w:lang w:eastAsia="zh-CN" w:bidi="ar"/>
              </w:rPr>
            </w:pPr>
            <w:r>
              <w:rPr>
                <w:rFonts w:hint="eastAsia" w:ascii="宋体" w:hAnsi="宋体" w:cs="宋体"/>
                <w:bCs/>
                <w:color w:val="000000"/>
                <w:kern w:val="0"/>
                <w:highlight w:val="none"/>
                <w:lang w:eastAsia="zh-CN" w:bidi="ar"/>
              </w:rPr>
              <w:t>是</w:t>
            </w:r>
          </w:p>
        </w:tc>
        <w:tc>
          <w:tcPr>
            <w:tcW w:w="1353" w:type="dxa"/>
            <w:noWrap w:val="0"/>
            <w:vAlign w:val="center"/>
          </w:tcPr>
          <w:p w14:paraId="532B5E6E">
            <w:pPr>
              <w:spacing w:line="440" w:lineRule="exact"/>
              <w:jc w:val="center"/>
              <w:rPr>
                <w:rFonts w:hint="eastAsia" w:ascii="宋体" w:hAnsi="宋体" w:cs="宋体"/>
                <w:bCs/>
                <w:color w:val="000000"/>
                <w:kern w:val="0"/>
                <w:highlight w:val="none"/>
                <w:lang w:eastAsia="zh-CN" w:bidi="ar"/>
              </w:rPr>
            </w:pPr>
            <w:r>
              <w:rPr>
                <w:rFonts w:hint="eastAsia" w:ascii="宋体" w:hAnsi="宋体" w:cs="宋体"/>
                <w:bCs/>
                <w:color w:val="000000"/>
                <w:kern w:val="0"/>
                <w:highlight w:val="none"/>
                <w:lang w:eastAsia="zh-CN" w:bidi="ar"/>
              </w:rPr>
              <w:t>965579.54</w:t>
            </w:r>
          </w:p>
        </w:tc>
      </w:tr>
    </w:tbl>
    <w:p w14:paraId="6B59A0B0">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5、采购需求（包括但不限于标的的名称、数量、简要技术需求或</w:t>
      </w:r>
      <w:r>
        <w:rPr>
          <w:rFonts w:hint="eastAsia" w:ascii="宋体" w:hAnsi="宋体" w:cs="宋体"/>
          <w:bCs/>
          <w:color w:val="000000"/>
          <w:kern w:val="0"/>
          <w:sz w:val="24"/>
          <w:szCs w:val="24"/>
          <w:highlight w:val="none"/>
          <w:lang w:eastAsia="zh-CN" w:bidi="ar"/>
        </w:rPr>
        <w:t>服务</w:t>
      </w:r>
      <w:r>
        <w:rPr>
          <w:rFonts w:hint="eastAsia" w:ascii="宋体" w:hAnsi="宋体" w:cs="宋体"/>
          <w:bCs/>
          <w:color w:val="000000"/>
          <w:kern w:val="0"/>
          <w:sz w:val="24"/>
          <w:szCs w:val="24"/>
          <w:highlight w:val="none"/>
          <w:lang w:bidi="ar"/>
        </w:rPr>
        <w:t>要求等）</w:t>
      </w:r>
    </w:p>
    <w:p w14:paraId="586EC351">
      <w:pPr>
        <w:spacing w:line="440" w:lineRule="exact"/>
        <w:ind w:firstLine="480" w:firstLineChars="200"/>
        <w:rPr>
          <w:rFonts w:hint="eastAsia" w:ascii="宋体" w:hAnsi="宋体" w:cs="宋体"/>
          <w:color w:val="000000"/>
          <w:sz w:val="24"/>
          <w:szCs w:val="24"/>
          <w:highlight w:val="none"/>
          <w:lang w:bidi="ar"/>
        </w:rPr>
      </w:pPr>
      <w:r>
        <w:rPr>
          <w:rFonts w:hint="eastAsia" w:ascii="宋体" w:hAnsi="宋体" w:cs="宋体"/>
          <w:color w:val="000000"/>
          <w:sz w:val="24"/>
          <w:szCs w:val="24"/>
          <w:highlight w:val="none"/>
          <w:lang w:bidi="ar"/>
        </w:rPr>
        <w:t>5.1、采购内容：平顶山职业技术学院采购设备一批</w:t>
      </w:r>
      <w:r>
        <w:rPr>
          <w:rFonts w:hint="eastAsia" w:ascii="宋体" w:hAnsi="宋体" w:cs="宋体"/>
          <w:color w:val="000000"/>
          <w:sz w:val="24"/>
          <w:szCs w:val="24"/>
          <w:highlight w:val="none"/>
        </w:rPr>
        <w:t>。具体要求详见招标文件</w:t>
      </w:r>
      <w:r>
        <w:rPr>
          <w:rFonts w:hint="eastAsia" w:ascii="宋体" w:hAnsi="宋体" w:cs="宋体"/>
          <w:color w:val="000000"/>
          <w:sz w:val="24"/>
          <w:szCs w:val="24"/>
          <w:highlight w:val="none"/>
          <w:lang w:bidi="ar"/>
        </w:rPr>
        <w:t>；</w:t>
      </w:r>
    </w:p>
    <w:p w14:paraId="207E3C01">
      <w:pPr>
        <w:spacing w:line="440" w:lineRule="exact"/>
        <w:ind w:firstLine="480" w:firstLineChars="200"/>
        <w:rPr>
          <w:rFonts w:hint="eastAsia" w:ascii="宋体" w:hAnsi="宋体" w:cs="宋体"/>
          <w:color w:val="000000"/>
          <w:sz w:val="24"/>
          <w:szCs w:val="24"/>
          <w:highlight w:val="none"/>
          <w:lang w:bidi="ar"/>
        </w:rPr>
      </w:pPr>
      <w:r>
        <w:rPr>
          <w:rFonts w:hint="eastAsia" w:ascii="宋体" w:hAnsi="宋体" w:cs="宋体"/>
          <w:color w:val="000000"/>
          <w:sz w:val="24"/>
          <w:szCs w:val="24"/>
          <w:highlight w:val="none"/>
          <w:lang w:bidi="ar"/>
        </w:rPr>
        <w:t>5.2、资金来源：财政资金，已落实；</w:t>
      </w:r>
    </w:p>
    <w:p w14:paraId="2D119620">
      <w:pPr>
        <w:spacing w:line="440" w:lineRule="exact"/>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bidi="ar"/>
        </w:rPr>
        <w:t>5.3、</w:t>
      </w:r>
      <w:r>
        <w:rPr>
          <w:rFonts w:hint="eastAsia" w:ascii="宋体" w:hAnsi="宋体" w:cs="宋体"/>
          <w:color w:val="000000"/>
          <w:sz w:val="24"/>
          <w:szCs w:val="24"/>
          <w:highlight w:val="none"/>
        </w:rPr>
        <w:t>交货及安装期：合同签订之日起40日历天内安装调试完毕、交付使用；</w:t>
      </w:r>
    </w:p>
    <w:p w14:paraId="7E45786C">
      <w:pPr>
        <w:spacing w:line="440" w:lineRule="exact"/>
        <w:ind w:firstLine="480" w:firstLineChars="200"/>
        <w:rPr>
          <w:rFonts w:hint="eastAsia" w:ascii="宋体" w:hAnsi="宋体" w:cs="宋体"/>
          <w:color w:val="000000"/>
          <w:sz w:val="24"/>
          <w:szCs w:val="24"/>
          <w:highlight w:val="none"/>
          <w:lang w:bidi="ar"/>
        </w:rPr>
      </w:pPr>
      <w:r>
        <w:rPr>
          <w:rFonts w:hint="eastAsia" w:ascii="宋体" w:hAnsi="宋体" w:cs="宋体"/>
          <w:color w:val="000000"/>
          <w:sz w:val="24"/>
          <w:szCs w:val="24"/>
          <w:highlight w:val="none"/>
          <w:lang w:bidi="ar"/>
        </w:rPr>
        <w:t>5.4、交货及安装地点：采购人指定地点；</w:t>
      </w:r>
    </w:p>
    <w:p w14:paraId="089D2B8D">
      <w:pPr>
        <w:spacing w:line="440" w:lineRule="exact"/>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bidi="ar"/>
        </w:rPr>
        <w:t>5.5、质量要求：合格；符合图纸要求、符合国家通用质量标准及国家现行相关行业标准，回用水标准执行《城市污水再生利用城市杂用水水质标准》(GB/T18920-2020)城市绿化和道路清扫水质标准。</w:t>
      </w:r>
    </w:p>
    <w:p w14:paraId="24EC24BE">
      <w:pPr>
        <w:spacing w:line="440" w:lineRule="exact"/>
        <w:ind w:firstLine="480" w:firstLineChars="200"/>
        <w:jc w:val="left"/>
        <w:rPr>
          <w:rFonts w:hint="eastAsia" w:ascii="宋体" w:hAnsi="宋体" w:cs="宋体"/>
          <w:color w:val="000000"/>
          <w:sz w:val="24"/>
          <w:szCs w:val="24"/>
          <w:highlight w:val="none"/>
          <w:lang w:bidi="ar"/>
        </w:rPr>
      </w:pPr>
      <w:r>
        <w:rPr>
          <w:rFonts w:hint="eastAsia" w:ascii="宋体" w:hAnsi="宋体" w:cs="宋体"/>
          <w:color w:val="000000"/>
          <w:sz w:val="24"/>
          <w:szCs w:val="24"/>
          <w:highlight w:val="none"/>
          <w:lang w:bidi="ar"/>
        </w:rPr>
        <w:t>5.6、质保期：产品验收合格后 3 年保修期，保修期间如产品有质量问题，乙方无条件负责退换整改。</w:t>
      </w:r>
    </w:p>
    <w:p w14:paraId="2179608D">
      <w:pPr>
        <w:spacing w:line="440" w:lineRule="exact"/>
        <w:ind w:firstLine="480" w:firstLineChars="200"/>
        <w:jc w:val="left"/>
        <w:rPr>
          <w:rFonts w:hint="eastAsia" w:ascii="宋体" w:hAnsi="宋体" w:cs="宋体"/>
          <w:color w:val="000000"/>
          <w:sz w:val="24"/>
          <w:szCs w:val="24"/>
          <w:highlight w:val="none"/>
          <w:lang w:bidi="ar"/>
        </w:rPr>
      </w:pPr>
      <w:r>
        <w:rPr>
          <w:rFonts w:hint="eastAsia" w:ascii="宋体" w:hAnsi="宋体" w:cs="宋体"/>
          <w:color w:val="000000"/>
          <w:sz w:val="24"/>
          <w:szCs w:val="24"/>
          <w:highlight w:val="none"/>
          <w:lang w:bidi="ar"/>
        </w:rPr>
        <w:t>质保期内每年提供1次第三方出具的合格水质检测报告，处理后的水源不合格的，需整改处理再提供合格检测报告。</w:t>
      </w:r>
    </w:p>
    <w:p w14:paraId="36D47FC5">
      <w:pPr>
        <w:spacing w:line="440" w:lineRule="exact"/>
        <w:ind w:firstLine="480" w:firstLineChars="200"/>
        <w:jc w:val="left"/>
        <w:rPr>
          <w:rFonts w:hint="eastAsia" w:ascii="宋体" w:hAnsi="宋体" w:cs="宋体"/>
          <w:color w:val="000000"/>
          <w:sz w:val="24"/>
          <w:szCs w:val="24"/>
          <w:highlight w:val="none"/>
          <w:lang w:bidi="ar"/>
        </w:rPr>
      </w:pPr>
      <w:r>
        <w:rPr>
          <w:rFonts w:hint="eastAsia" w:ascii="宋体" w:hAnsi="宋体" w:cs="宋体"/>
          <w:color w:val="000000"/>
          <w:sz w:val="24"/>
          <w:szCs w:val="24"/>
          <w:highlight w:val="none"/>
          <w:lang w:bidi="ar"/>
        </w:rPr>
        <w:t>质保期内1年至少免费上门维保2次。包括检查设备、管道清洁、生物复合菌种的培养调试等服务；质保期内备品、备件免费更换。</w:t>
      </w:r>
    </w:p>
    <w:p w14:paraId="211ED60C">
      <w:pPr>
        <w:spacing w:line="440" w:lineRule="exact"/>
        <w:ind w:firstLine="480" w:firstLineChars="200"/>
        <w:jc w:val="left"/>
        <w:rPr>
          <w:rFonts w:hint="eastAsia" w:ascii="宋体" w:hAnsi="宋体" w:cs="宋体"/>
          <w:color w:val="000000"/>
          <w:sz w:val="24"/>
          <w:szCs w:val="24"/>
          <w:highlight w:val="none"/>
          <w:lang w:bidi="ar"/>
        </w:rPr>
      </w:pPr>
      <w:r>
        <w:rPr>
          <w:rFonts w:hint="eastAsia" w:ascii="宋体" w:hAnsi="宋体" w:cs="宋体"/>
          <w:color w:val="000000"/>
          <w:sz w:val="24"/>
          <w:szCs w:val="24"/>
          <w:highlight w:val="none"/>
          <w:lang w:bidi="ar"/>
        </w:rPr>
        <w:t>响应时间：乙方负责对其提供的产品上门进行硬件维修、软件维护和升级等服务，服务免费。自接到甲方报修后，2小时内响应，48小时内到达现场并解决问题。如期限内无法修复，乙方应当提供备机供甲方使用。</w:t>
      </w:r>
    </w:p>
    <w:p w14:paraId="24D0234B">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6、合同履行期限：同</w:t>
      </w:r>
      <w:r>
        <w:rPr>
          <w:rFonts w:hint="eastAsia" w:ascii="宋体" w:hAnsi="宋体" w:cs="宋体"/>
          <w:color w:val="000000"/>
          <w:sz w:val="24"/>
          <w:szCs w:val="24"/>
          <w:highlight w:val="none"/>
        </w:rPr>
        <w:t>交货及安装期</w:t>
      </w:r>
      <w:r>
        <w:rPr>
          <w:rFonts w:hint="eastAsia" w:ascii="宋体" w:hAnsi="宋体" w:cs="宋体"/>
          <w:color w:val="000000"/>
          <w:sz w:val="24"/>
          <w:szCs w:val="24"/>
          <w:highlight w:val="none"/>
          <w:lang w:bidi="ar"/>
        </w:rPr>
        <w:t>；</w:t>
      </w:r>
    </w:p>
    <w:p w14:paraId="28C28786">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7、本项目是否接受联合体投标：否</w:t>
      </w:r>
    </w:p>
    <w:p w14:paraId="291BD4FA">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8、是否接受进口产品：否</w:t>
      </w:r>
    </w:p>
    <w:p w14:paraId="3450D1A7">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9、是否专门面向中小企业：是</w:t>
      </w:r>
    </w:p>
    <w:p w14:paraId="45AEE75C">
      <w:pPr>
        <w:spacing w:line="440" w:lineRule="exac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二、申请人资格要求：</w:t>
      </w:r>
    </w:p>
    <w:p w14:paraId="57653320">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1、满足《中华人民共和国政府采购法》第二十二条规定；</w:t>
      </w:r>
    </w:p>
    <w:p w14:paraId="560EEF2A">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2、落实政府采购政策满足的资格要求：根据《政府采购促进中小企业发展管理办法》（财库[2020]46号）的规定，本项目专门面向中小企业采购。供应商应为中小微企业、监狱企业、残疾人福利性单位，须提供相关有效声明材料；中小企业划型标准请依据工信部联企业【2011】300号文件之规定。</w:t>
      </w:r>
    </w:p>
    <w:p w14:paraId="53B93036">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3、本项目的特定资格要求</w:t>
      </w:r>
    </w:p>
    <w:p w14:paraId="5C23B2D3">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3.1、供应商具有独立法人资格，（持有有效的营业执照、税务登记证、组织机构代码证等或三证合一营业执照，也可提供电子营业执照）；</w:t>
      </w:r>
    </w:p>
    <w:p w14:paraId="688DFDA3">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3.2、供应商具有良好的商业信誉和健全的财务会计制度（供应商自行承诺，格式自拟）；</w:t>
      </w:r>
    </w:p>
    <w:p w14:paraId="175F6872">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3.3、供应商具有履行合同所必需的设备和专业技术能力（供应商自行承诺，格式自拟）；</w:t>
      </w:r>
    </w:p>
    <w:p w14:paraId="4E989FEE">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3.4、供应商具有依法缴纳税收和社会保障资金的良好记录（供应商自行承诺，格式自拟）；</w:t>
      </w:r>
    </w:p>
    <w:p w14:paraId="64EF5713">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3.5、参加政府采购活动近三年内，在经营活动中没有重大的违法记录和质量安全事故（供应商自行承诺，格式自拟）；</w:t>
      </w:r>
    </w:p>
    <w:p w14:paraId="7455570C">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3.6、供应商须提供“中国执行信息公开网”网站的“失信被执行人”、“信用中国”网站的“重大税收违法失信主体”、“中国政府采购”网站的“政府采购严重违法失信行为记录名单”查询结果页面，若未按要求提供或有不良记录，资格审查不予通过（执行财库【2016】125号文），查询时间应为开标前7日内；</w:t>
      </w:r>
    </w:p>
    <w:p w14:paraId="464E3DC6">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3.7、单位负责人为同一人或者存在控股、管理关系的不同单位，不得同时参加本项目的投标；</w:t>
      </w:r>
    </w:p>
    <w:p w14:paraId="062B6C1C">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3.8、本项目不接受联合体投标，资格审查方式为资格后审。</w:t>
      </w:r>
    </w:p>
    <w:p w14:paraId="5918BC5C">
      <w:pPr>
        <w:spacing w:line="440" w:lineRule="exac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三、获取采购文件</w:t>
      </w:r>
    </w:p>
    <w:p w14:paraId="3CC84C31">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1、时间：2025年</w:t>
      </w:r>
      <w:r>
        <w:rPr>
          <w:rFonts w:hint="eastAsia" w:ascii="宋体" w:hAnsi="宋体" w:cs="宋体"/>
          <w:bCs/>
          <w:color w:val="000000"/>
          <w:kern w:val="0"/>
          <w:sz w:val="24"/>
          <w:szCs w:val="24"/>
          <w:highlight w:val="none"/>
          <w:lang w:val="en-US" w:eastAsia="zh-CN" w:bidi="ar"/>
        </w:rPr>
        <w:t>5</w:t>
      </w:r>
      <w:r>
        <w:rPr>
          <w:rFonts w:hint="eastAsia" w:ascii="宋体" w:hAnsi="宋体" w:cs="宋体"/>
          <w:bCs/>
          <w:color w:val="000000"/>
          <w:kern w:val="0"/>
          <w:sz w:val="24"/>
          <w:szCs w:val="24"/>
          <w:highlight w:val="none"/>
          <w:lang w:bidi="ar"/>
        </w:rPr>
        <w:t>月</w:t>
      </w:r>
      <w:r>
        <w:rPr>
          <w:rFonts w:hint="eastAsia" w:ascii="宋体" w:hAnsi="宋体" w:cs="宋体"/>
          <w:bCs/>
          <w:color w:val="000000"/>
          <w:kern w:val="0"/>
          <w:sz w:val="24"/>
          <w:szCs w:val="24"/>
          <w:highlight w:val="none"/>
          <w:lang w:val="en-US" w:eastAsia="zh-CN" w:bidi="ar"/>
        </w:rPr>
        <w:t>19</w:t>
      </w:r>
      <w:r>
        <w:rPr>
          <w:rFonts w:hint="eastAsia" w:ascii="宋体" w:hAnsi="宋体" w:cs="宋体"/>
          <w:bCs/>
          <w:color w:val="000000"/>
          <w:kern w:val="0"/>
          <w:sz w:val="24"/>
          <w:szCs w:val="24"/>
          <w:highlight w:val="none"/>
          <w:lang w:bidi="ar"/>
        </w:rPr>
        <w:t>日至2025年</w:t>
      </w:r>
      <w:r>
        <w:rPr>
          <w:rFonts w:hint="eastAsia" w:ascii="宋体" w:hAnsi="宋体" w:cs="宋体"/>
          <w:bCs/>
          <w:color w:val="000000"/>
          <w:kern w:val="0"/>
          <w:sz w:val="24"/>
          <w:szCs w:val="24"/>
          <w:highlight w:val="none"/>
          <w:lang w:val="en-US" w:eastAsia="zh-CN" w:bidi="ar"/>
        </w:rPr>
        <w:t>6</w:t>
      </w:r>
      <w:r>
        <w:rPr>
          <w:rFonts w:hint="eastAsia" w:ascii="宋体" w:hAnsi="宋体" w:cs="宋体"/>
          <w:bCs/>
          <w:color w:val="000000"/>
          <w:kern w:val="0"/>
          <w:sz w:val="24"/>
          <w:szCs w:val="24"/>
          <w:highlight w:val="none"/>
          <w:lang w:bidi="ar"/>
        </w:rPr>
        <w:t>月</w:t>
      </w:r>
      <w:r>
        <w:rPr>
          <w:rFonts w:hint="eastAsia" w:ascii="宋体" w:hAnsi="宋体" w:cs="宋体"/>
          <w:bCs/>
          <w:color w:val="000000"/>
          <w:kern w:val="0"/>
          <w:sz w:val="24"/>
          <w:szCs w:val="24"/>
          <w:highlight w:val="none"/>
          <w:lang w:val="en-US" w:eastAsia="zh-CN" w:bidi="ar"/>
        </w:rPr>
        <w:t>8</w:t>
      </w:r>
      <w:r>
        <w:rPr>
          <w:rFonts w:hint="eastAsia" w:ascii="宋体" w:hAnsi="宋体" w:cs="宋体"/>
          <w:bCs/>
          <w:color w:val="000000"/>
          <w:kern w:val="0"/>
          <w:sz w:val="24"/>
          <w:szCs w:val="24"/>
          <w:highlight w:val="none"/>
          <w:lang w:bidi="ar"/>
        </w:rPr>
        <w:t>日，每天上午00:00至12:00，下午12:00至23:59（北京时间，法定节假日除外。）。</w:t>
      </w:r>
    </w:p>
    <w:p w14:paraId="7009DFE7">
      <w:pPr>
        <w:spacing w:line="440" w:lineRule="exact"/>
        <w:ind w:right="395" w:firstLine="480" w:firstLineChars="200"/>
        <w:jc w:val="left"/>
        <w:rPr>
          <w:rFonts w:hint="eastAsia" w:ascii="宋体" w:hAnsi="宋体" w:cs="宋体"/>
          <w:color w:val="000000"/>
          <w:spacing w:val="-2"/>
          <w:sz w:val="24"/>
          <w:szCs w:val="24"/>
          <w:highlight w:val="none"/>
        </w:rPr>
      </w:pPr>
      <w:r>
        <w:rPr>
          <w:rFonts w:hint="eastAsia" w:ascii="宋体" w:hAnsi="宋体" w:cs="宋体"/>
          <w:bCs/>
          <w:color w:val="000000"/>
          <w:kern w:val="0"/>
          <w:sz w:val="24"/>
          <w:szCs w:val="24"/>
          <w:highlight w:val="none"/>
          <w:lang w:bidi="ar"/>
        </w:rPr>
        <w:t>2、地点：</w:t>
      </w:r>
      <w:r>
        <w:rPr>
          <w:rFonts w:hint="eastAsia" w:ascii="宋体" w:hAnsi="宋体" w:cs="宋体"/>
          <w:color w:val="000000"/>
          <w:spacing w:val="-2"/>
          <w:sz w:val="24"/>
          <w:szCs w:val="24"/>
          <w:highlight w:val="none"/>
        </w:rPr>
        <w:t>平顶山市公共资源交易中心系统</w:t>
      </w:r>
    </w:p>
    <w:p w14:paraId="0DDA14D9">
      <w:pPr>
        <w:spacing w:line="440" w:lineRule="exact"/>
        <w:ind w:right="395" w:firstLine="472" w:firstLineChars="200"/>
        <w:jc w:val="left"/>
        <w:rPr>
          <w:rFonts w:hint="eastAsia" w:ascii="宋体" w:hAnsi="宋体" w:cs="宋体"/>
          <w:color w:val="000000"/>
          <w:spacing w:val="-2"/>
          <w:sz w:val="24"/>
          <w:szCs w:val="24"/>
          <w:highlight w:val="none"/>
        </w:rPr>
      </w:pPr>
      <w:r>
        <w:rPr>
          <w:rFonts w:hint="eastAsia" w:ascii="宋体" w:hAnsi="宋体" w:cs="宋体"/>
          <w:color w:val="000000"/>
          <w:spacing w:val="-2"/>
          <w:sz w:val="24"/>
          <w:szCs w:val="24"/>
          <w:highlight w:val="none"/>
        </w:rPr>
        <w:t>3</w:t>
      </w:r>
      <w:r>
        <w:rPr>
          <w:rFonts w:hint="eastAsia" w:ascii="宋体" w:hAnsi="宋体" w:cs="宋体"/>
          <w:bCs/>
          <w:color w:val="000000"/>
          <w:kern w:val="0"/>
          <w:sz w:val="24"/>
          <w:szCs w:val="24"/>
          <w:highlight w:val="none"/>
          <w:lang w:bidi="ar"/>
        </w:rPr>
        <w:t>、</w:t>
      </w:r>
      <w:r>
        <w:rPr>
          <w:rFonts w:hint="eastAsia" w:ascii="宋体" w:hAnsi="宋体" w:cs="宋体"/>
          <w:color w:val="000000"/>
          <w:spacing w:val="-2"/>
          <w:sz w:val="24"/>
          <w:szCs w:val="24"/>
          <w:highlight w:val="none"/>
        </w:rPr>
        <w:t>方式：潜在供应商报名需凭CA数字证书通过平顶山市公共资源交易中心网（网址：http://ggzy.pds.gov.cn/）“供应商登录”入口进入交易系统进行报名。具体操作请查看以下链接：</w:t>
      </w:r>
    </w:p>
    <w:p w14:paraId="19371DDB">
      <w:pPr>
        <w:spacing w:line="440" w:lineRule="exact"/>
        <w:ind w:left="478" w:leftChars="228"/>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链接地址：http://ggzy.pds.gov.cn/fwzn/11020.jhtml</w:t>
      </w:r>
      <w:r>
        <w:rPr>
          <w:rFonts w:hint="eastAsia" w:ascii="宋体" w:hAnsi="宋体" w:cs="宋体"/>
          <w:bCs/>
          <w:color w:val="000000"/>
          <w:kern w:val="0"/>
          <w:sz w:val="24"/>
          <w:szCs w:val="24"/>
          <w:highlight w:val="none"/>
          <w:lang w:bidi="ar"/>
        </w:rPr>
        <w:br w:type="textWrapping"/>
      </w:r>
      <w:r>
        <w:rPr>
          <w:rFonts w:hint="eastAsia" w:ascii="宋体" w:hAnsi="宋体" w:cs="宋体"/>
          <w:bCs/>
          <w:color w:val="000000"/>
          <w:kern w:val="0"/>
          <w:sz w:val="24"/>
          <w:szCs w:val="24"/>
          <w:highlight w:val="none"/>
          <w:lang w:bidi="ar"/>
        </w:rPr>
        <w:t>办理CA证书：</w:t>
      </w:r>
      <w:r>
        <w:rPr>
          <w:color w:val="000000"/>
          <w:highlight w:val="none"/>
        </w:rPr>
        <w:fldChar w:fldCharType="begin"/>
      </w:r>
      <w:r>
        <w:rPr>
          <w:color w:val="000000"/>
          <w:highlight w:val="none"/>
        </w:rPr>
        <w:instrText xml:space="preserve"> HYPERLINK "http://ggzy.pds.gov.cn/tzgg/10814.jhtml" </w:instrText>
      </w:r>
      <w:r>
        <w:rPr>
          <w:color w:val="000000"/>
          <w:highlight w:val="none"/>
        </w:rPr>
        <w:fldChar w:fldCharType="separate"/>
      </w:r>
      <w:r>
        <w:rPr>
          <w:rFonts w:hint="eastAsia" w:ascii="宋体" w:hAnsi="宋体" w:cs="宋体"/>
          <w:bCs/>
          <w:color w:val="000000"/>
          <w:kern w:val="0"/>
          <w:sz w:val="24"/>
          <w:szCs w:val="24"/>
          <w:highlight w:val="none"/>
          <w:lang w:bidi="ar"/>
        </w:rPr>
        <w:t>http://ggzy.pds.gov.cn/tzgg/10814.jhtml</w:t>
      </w:r>
      <w:r>
        <w:rPr>
          <w:rFonts w:hint="eastAsia" w:ascii="宋体" w:hAnsi="宋体" w:cs="宋体"/>
          <w:bCs/>
          <w:color w:val="000000"/>
          <w:kern w:val="0"/>
          <w:sz w:val="24"/>
          <w:szCs w:val="24"/>
          <w:highlight w:val="none"/>
          <w:lang w:bidi="ar"/>
        </w:rPr>
        <w:fldChar w:fldCharType="end"/>
      </w:r>
      <w:r>
        <w:rPr>
          <w:rFonts w:hint="eastAsia" w:ascii="宋体" w:hAnsi="宋体" w:cs="宋体"/>
          <w:bCs/>
          <w:color w:val="000000"/>
          <w:kern w:val="0"/>
          <w:sz w:val="24"/>
          <w:szCs w:val="24"/>
          <w:highlight w:val="none"/>
          <w:lang w:bidi="ar"/>
        </w:rPr>
        <w:t xml:space="preserve"> </w:t>
      </w:r>
    </w:p>
    <w:p w14:paraId="3C48E706">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4、售价：0元。</w:t>
      </w:r>
    </w:p>
    <w:p w14:paraId="2941B160">
      <w:pPr>
        <w:spacing w:line="440" w:lineRule="exac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四、投标截止时间及地点</w:t>
      </w:r>
    </w:p>
    <w:p w14:paraId="6D17B333">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1、时间：</w:t>
      </w:r>
      <w:r>
        <w:rPr>
          <w:rFonts w:hint="eastAsia" w:ascii="宋体" w:hAnsi="宋体" w:cs="宋体"/>
          <w:color w:val="000000"/>
          <w:spacing w:val="4"/>
          <w:kern w:val="2"/>
          <w:sz w:val="24"/>
          <w:szCs w:val="24"/>
          <w:highlight w:val="none"/>
        </w:rPr>
        <w:t>2025年</w:t>
      </w:r>
      <w:r>
        <w:rPr>
          <w:rFonts w:hint="eastAsia" w:ascii="宋体" w:hAnsi="宋体" w:cs="宋体"/>
          <w:color w:val="000000"/>
          <w:spacing w:val="4"/>
          <w:kern w:val="2"/>
          <w:sz w:val="24"/>
          <w:szCs w:val="24"/>
          <w:highlight w:val="none"/>
          <w:lang w:val="en-US" w:eastAsia="zh-CN"/>
        </w:rPr>
        <w:t>06</w:t>
      </w:r>
      <w:r>
        <w:rPr>
          <w:rFonts w:hint="eastAsia" w:ascii="宋体" w:hAnsi="宋体" w:cs="宋体"/>
          <w:color w:val="000000"/>
          <w:spacing w:val="4"/>
          <w:kern w:val="2"/>
          <w:sz w:val="24"/>
          <w:szCs w:val="24"/>
          <w:highlight w:val="none"/>
        </w:rPr>
        <w:t>月</w:t>
      </w:r>
      <w:r>
        <w:rPr>
          <w:rFonts w:hint="eastAsia" w:ascii="宋体" w:hAnsi="宋体" w:cs="宋体"/>
          <w:color w:val="000000"/>
          <w:spacing w:val="4"/>
          <w:kern w:val="2"/>
          <w:sz w:val="24"/>
          <w:szCs w:val="24"/>
          <w:highlight w:val="none"/>
          <w:lang w:val="en-US" w:eastAsia="zh-CN"/>
        </w:rPr>
        <w:t>09</w:t>
      </w:r>
      <w:r>
        <w:rPr>
          <w:rFonts w:hint="eastAsia" w:ascii="宋体" w:hAnsi="宋体" w:cs="宋体"/>
          <w:color w:val="000000"/>
          <w:spacing w:val="4"/>
          <w:kern w:val="2"/>
          <w:sz w:val="24"/>
          <w:szCs w:val="24"/>
          <w:highlight w:val="none"/>
        </w:rPr>
        <w:t>日</w:t>
      </w:r>
      <w:r>
        <w:rPr>
          <w:rFonts w:hint="eastAsia" w:ascii="宋体" w:hAnsi="宋体" w:cs="宋体"/>
          <w:color w:val="000000"/>
          <w:spacing w:val="4"/>
          <w:kern w:val="2"/>
          <w:sz w:val="24"/>
          <w:szCs w:val="24"/>
          <w:highlight w:val="none"/>
          <w:lang w:val="en-US" w:eastAsia="zh-CN"/>
        </w:rPr>
        <w:t>09</w:t>
      </w:r>
      <w:r>
        <w:rPr>
          <w:rFonts w:hint="eastAsia" w:ascii="宋体" w:hAnsi="宋体" w:cs="宋体"/>
          <w:color w:val="000000"/>
          <w:spacing w:val="4"/>
          <w:kern w:val="2"/>
          <w:sz w:val="24"/>
          <w:szCs w:val="24"/>
          <w:highlight w:val="none"/>
        </w:rPr>
        <w:t>时</w:t>
      </w:r>
      <w:r>
        <w:rPr>
          <w:rFonts w:hint="eastAsia" w:ascii="宋体" w:hAnsi="宋体" w:cs="宋体"/>
          <w:color w:val="000000"/>
          <w:spacing w:val="4"/>
          <w:kern w:val="2"/>
          <w:sz w:val="24"/>
          <w:szCs w:val="24"/>
          <w:highlight w:val="none"/>
          <w:lang w:val="en-US" w:eastAsia="zh-CN"/>
        </w:rPr>
        <w:t>00</w:t>
      </w:r>
      <w:r>
        <w:rPr>
          <w:rFonts w:hint="eastAsia" w:ascii="宋体" w:hAnsi="宋体" w:cs="宋体"/>
          <w:color w:val="000000"/>
          <w:spacing w:val="4"/>
          <w:kern w:val="2"/>
          <w:sz w:val="24"/>
          <w:szCs w:val="24"/>
          <w:highlight w:val="none"/>
        </w:rPr>
        <w:t>分</w:t>
      </w:r>
      <w:r>
        <w:rPr>
          <w:rFonts w:hint="eastAsia" w:ascii="宋体" w:hAnsi="宋体" w:cs="宋体"/>
          <w:bCs/>
          <w:color w:val="000000"/>
          <w:kern w:val="0"/>
          <w:sz w:val="24"/>
          <w:szCs w:val="24"/>
          <w:highlight w:val="none"/>
          <w:lang w:bidi="ar"/>
        </w:rPr>
        <w:t>（北京时间）</w:t>
      </w:r>
    </w:p>
    <w:p w14:paraId="0C09ABC3">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2、地点：平顶山市公共资源交易中心系统</w:t>
      </w:r>
    </w:p>
    <w:p w14:paraId="1D6148CE">
      <w:pPr>
        <w:spacing w:line="440" w:lineRule="exact"/>
        <w:ind w:right="395"/>
        <w:jc w:val="lef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五、开标时间及地点</w:t>
      </w:r>
    </w:p>
    <w:p w14:paraId="5DDA955C">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1、时间：</w:t>
      </w:r>
      <w:r>
        <w:rPr>
          <w:rFonts w:hint="eastAsia" w:ascii="宋体" w:hAnsi="宋体" w:cs="宋体"/>
          <w:color w:val="000000"/>
          <w:spacing w:val="4"/>
          <w:kern w:val="2"/>
          <w:sz w:val="24"/>
          <w:szCs w:val="24"/>
          <w:highlight w:val="none"/>
        </w:rPr>
        <w:t>2025年</w:t>
      </w:r>
      <w:r>
        <w:rPr>
          <w:rFonts w:hint="eastAsia" w:ascii="宋体" w:hAnsi="宋体" w:cs="宋体"/>
          <w:color w:val="000000"/>
          <w:spacing w:val="4"/>
          <w:kern w:val="2"/>
          <w:sz w:val="24"/>
          <w:szCs w:val="24"/>
          <w:highlight w:val="none"/>
          <w:lang w:val="en-US" w:eastAsia="zh-CN"/>
        </w:rPr>
        <w:t>06</w:t>
      </w:r>
      <w:r>
        <w:rPr>
          <w:rFonts w:hint="eastAsia" w:ascii="宋体" w:hAnsi="宋体" w:cs="宋体"/>
          <w:color w:val="000000"/>
          <w:spacing w:val="4"/>
          <w:kern w:val="2"/>
          <w:sz w:val="24"/>
          <w:szCs w:val="24"/>
          <w:highlight w:val="none"/>
        </w:rPr>
        <w:t>月</w:t>
      </w:r>
      <w:r>
        <w:rPr>
          <w:rFonts w:hint="eastAsia" w:ascii="宋体" w:hAnsi="宋体" w:cs="宋体"/>
          <w:color w:val="000000"/>
          <w:spacing w:val="4"/>
          <w:kern w:val="2"/>
          <w:sz w:val="24"/>
          <w:szCs w:val="24"/>
          <w:highlight w:val="none"/>
          <w:lang w:val="en-US" w:eastAsia="zh-CN"/>
        </w:rPr>
        <w:t>09</w:t>
      </w:r>
      <w:r>
        <w:rPr>
          <w:rFonts w:hint="eastAsia" w:ascii="宋体" w:hAnsi="宋体" w:cs="宋体"/>
          <w:color w:val="000000"/>
          <w:spacing w:val="4"/>
          <w:kern w:val="2"/>
          <w:sz w:val="24"/>
          <w:szCs w:val="24"/>
          <w:highlight w:val="none"/>
        </w:rPr>
        <w:t>日</w:t>
      </w:r>
      <w:r>
        <w:rPr>
          <w:rFonts w:hint="eastAsia" w:ascii="宋体" w:hAnsi="宋体" w:cs="宋体"/>
          <w:color w:val="000000"/>
          <w:spacing w:val="4"/>
          <w:kern w:val="2"/>
          <w:sz w:val="24"/>
          <w:szCs w:val="24"/>
          <w:highlight w:val="none"/>
          <w:lang w:val="en-US" w:eastAsia="zh-CN"/>
        </w:rPr>
        <w:t>09</w:t>
      </w:r>
      <w:r>
        <w:rPr>
          <w:rFonts w:hint="eastAsia" w:ascii="宋体" w:hAnsi="宋体" w:cs="宋体"/>
          <w:color w:val="000000"/>
          <w:spacing w:val="4"/>
          <w:kern w:val="2"/>
          <w:sz w:val="24"/>
          <w:szCs w:val="24"/>
          <w:highlight w:val="none"/>
        </w:rPr>
        <w:t>时</w:t>
      </w:r>
      <w:r>
        <w:rPr>
          <w:rFonts w:hint="eastAsia" w:ascii="宋体" w:hAnsi="宋体" w:cs="宋体"/>
          <w:color w:val="000000"/>
          <w:spacing w:val="4"/>
          <w:kern w:val="2"/>
          <w:sz w:val="24"/>
          <w:szCs w:val="24"/>
          <w:highlight w:val="none"/>
          <w:lang w:val="en-US" w:eastAsia="zh-CN"/>
        </w:rPr>
        <w:t>00</w:t>
      </w:r>
      <w:r>
        <w:rPr>
          <w:rFonts w:hint="eastAsia" w:ascii="宋体" w:hAnsi="宋体" w:cs="宋体"/>
          <w:color w:val="000000"/>
          <w:spacing w:val="4"/>
          <w:kern w:val="2"/>
          <w:sz w:val="24"/>
          <w:szCs w:val="24"/>
          <w:highlight w:val="none"/>
        </w:rPr>
        <w:t>分</w:t>
      </w:r>
      <w:r>
        <w:rPr>
          <w:rFonts w:hint="eastAsia" w:ascii="宋体" w:hAnsi="宋体" w:cs="宋体"/>
          <w:bCs/>
          <w:color w:val="000000"/>
          <w:kern w:val="0"/>
          <w:sz w:val="24"/>
          <w:szCs w:val="24"/>
          <w:highlight w:val="none"/>
          <w:lang w:bidi="ar"/>
        </w:rPr>
        <w:t>（北京时间）</w:t>
      </w:r>
    </w:p>
    <w:p w14:paraId="39900C97">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2、地点：平顶山市公共资源交易中心系统</w:t>
      </w:r>
    </w:p>
    <w:p w14:paraId="25AACA0B">
      <w:pPr>
        <w:spacing w:line="440" w:lineRule="exact"/>
        <w:ind w:right="395"/>
        <w:jc w:val="lef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六、发布公告的媒介及招标公告期限</w:t>
      </w:r>
    </w:p>
    <w:p w14:paraId="2911E7A1">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本次招标公告在</w:t>
      </w:r>
      <w:r>
        <w:rPr>
          <w:rFonts w:hint="eastAsia" w:ascii="宋体" w:hAnsi="宋体" w:cs="宋体"/>
          <w:color w:val="000000"/>
          <w:sz w:val="24"/>
          <w:szCs w:val="24"/>
          <w:highlight w:val="none"/>
        </w:rPr>
        <w:t>《河南省政府采购网》、《中国采购与招标网》、《平顶山市政府采购网》及《全国公共资源交易平台（河南省·平顶山市）》、《河南省公共资源交易公共服务平台》及《平顶山职业技术学院》</w:t>
      </w:r>
      <w:r>
        <w:rPr>
          <w:rFonts w:hint="eastAsia" w:ascii="宋体" w:hAnsi="宋体" w:cs="宋体"/>
          <w:bCs/>
          <w:color w:val="000000"/>
          <w:kern w:val="0"/>
          <w:sz w:val="24"/>
          <w:szCs w:val="24"/>
          <w:highlight w:val="none"/>
          <w:lang w:bidi="ar"/>
        </w:rPr>
        <w:t>上发布。</w:t>
      </w:r>
      <w:r>
        <w:rPr>
          <w:rFonts w:hint="eastAsia" w:ascii="宋体" w:hAnsi="宋体" w:cs="宋体"/>
          <w:bCs/>
          <w:color w:val="000000"/>
          <w:kern w:val="0"/>
          <w:sz w:val="24"/>
          <w:szCs w:val="24"/>
          <w:highlight w:val="none"/>
          <w:lang w:eastAsia="zh-CN" w:bidi="ar"/>
        </w:rPr>
        <w:t>招标</w:t>
      </w:r>
      <w:r>
        <w:rPr>
          <w:rFonts w:hint="eastAsia" w:ascii="宋体" w:hAnsi="宋体" w:cs="宋体"/>
          <w:bCs/>
          <w:color w:val="000000"/>
          <w:kern w:val="0"/>
          <w:sz w:val="24"/>
          <w:szCs w:val="24"/>
          <w:highlight w:val="none"/>
          <w:lang w:bidi="ar"/>
        </w:rPr>
        <w:t>公告期限为五个工作日。</w:t>
      </w:r>
    </w:p>
    <w:p w14:paraId="7C1F0C1C">
      <w:pPr>
        <w:spacing w:line="440" w:lineRule="exac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七、其他补充事宜</w:t>
      </w:r>
    </w:p>
    <w:p w14:paraId="6EAB3F1B">
      <w:pPr>
        <w:spacing w:line="440" w:lineRule="exact"/>
        <w:ind w:firstLine="480" w:firstLineChars="200"/>
        <w:jc w:val="left"/>
        <w:rPr>
          <w:rFonts w:hint="eastAsia" w:ascii="宋体" w:hAnsi="宋体" w:cs="宋体"/>
          <w:color w:val="000000"/>
          <w:sz w:val="24"/>
          <w:szCs w:val="24"/>
          <w:highlight w:val="none"/>
        </w:rPr>
      </w:pPr>
      <w:r>
        <w:rPr>
          <w:rFonts w:hint="eastAsia" w:ascii="宋体" w:hAnsi="宋体" w:cs="宋体"/>
          <w:color w:val="000000"/>
          <w:sz w:val="24"/>
          <w:szCs w:val="24"/>
          <w:highlight w:val="none"/>
        </w:rPr>
        <w:t>1.本项目全面实行在线“不见面”开标，供应商远程在线解密响应文件，不再到开标现场，供应商开标前应仔细阅读《“不见面”开标注意事项及操作流程》。</w:t>
      </w:r>
    </w:p>
    <w:p w14:paraId="0D5440EE">
      <w:pPr>
        <w:spacing w:line="440" w:lineRule="exact"/>
        <w:ind w:right="395" w:firstLine="472" w:firstLineChars="200"/>
        <w:jc w:val="left"/>
        <w:rPr>
          <w:rFonts w:hint="eastAsia" w:ascii="宋体" w:hAnsi="宋体" w:cs="宋体"/>
          <w:color w:val="000000"/>
          <w:spacing w:val="-2"/>
          <w:sz w:val="24"/>
          <w:szCs w:val="24"/>
          <w:highlight w:val="none"/>
        </w:rPr>
      </w:pPr>
      <w:r>
        <w:rPr>
          <w:rFonts w:hint="eastAsia" w:ascii="宋体" w:hAnsi="宋体" w:cs="宋体"/>
          <w:color w:val="000000"/>
          <w:spacing w:val="-2"/>
          <w:sz w:val="24"/>
          <w:szCs w:val="24"/>
          <w:highlight w:val="none"/>
        </w:rPr>
        <w:t>2.监督部门：平顶山市政府采购服务中心</w:t>
      </w:r>
    </w:p>
    <w:p w14:paraId="2C019390">
      <w:pPr>
        <w:spacing w:line="440" w:lineRule="exact"/>
        <w:ind w:right="395" w:firstLine="472" w:firstLineChars="200"/>
        <w:jc w:val="left"/>
        <w:rPr>
          <w:rFonts w:hint="eastAsia" w:ascii="宋体" w:hAnsi="宋体" w:cs="宋体"/>
          <w:color w:val="000000"/>
          <w:spacing w:val="-2"/>
          <w:sz w:val="24"/>
          <w:szCs w:val="24"/>
          <w:highlight w:val="none"/>
        </w:rPr>
      </w:pPr>
      <w:r>
        <w:rPr>
          <w:rFonts w:hint="eastAsia" w:ascii="宋体" w:hAnsi="宋体" w:cs="宋体"/>
          <w:color w:val="000000"/>
          <w:spacing w:val="-2"/>
          <w:sz w:val="24"/>
          <w:szCs w:val="24"/>
          <w:highlight w:val="none"/>
        </w:rPr>
        <w:t>联系方式：0375-2627596</w:t>
      </w:r>
    </w:p>
    <w:p w14:paraId="5C38C80A">
      <w:pPr>
        <w:spacing w:line="440" w:lineRule="exact"/>
        <w:ind w:firstLine="480" w:firstLineChars="200"/>
        <w:jc w:val="left"/>
        <w:rPr>
          <w:rFonts w:hint="eastAsia" w:ascii="宋体" w:hAnsi="宋体" w:cs="宋体"/>
          <w:color w:val="000000"/>
          <w:sz w:val="24"/>
          <w:szCs w:val="24"/>
          <w:highlight w:val="none"/>
        </w:rPr>
      </w:pPr>
      <w:r>
        <w:rPr>
          <w:rFonts w:hint="eastAsia" w:ascii="宋体" w:hAnsi="宋体" w:cs="宋体"/>
          <w:color w:val="000000"/>
          <w:sz w:val="24"/>
          <w:szCs w:val="24"/>
          <w:highlight w:val="none"/>
        </w:rPr>
        <w:t>3.若有投诉，可通过平顶山市公共资源交易平台向采购人（代理机构）、行政监督部门提出在线质疑（异议）、投诉。</w:t>
      </w:r>
    </w:p>
    <w:p w14:paraId="087DAD7D">
      <w:pPr>
        <w:spacing w:line="440" w:lineRule="exact"/>
        <w:ind w:firstLine="480" w:firstLineChars="200"/>
        <w:jc w:val="left"/>
        <w:rPr>
          <w:rFonts w:hint="eastAsia" w:ascii="宋体" w:hAnsi="宋体" w:cs="宋体"/>
          <w:color w:val="000000"/>
          <w:sz w:val="24"/>
          <w:szCs w:val="24"/>
          <w:highlight w:val="none"/>
        </w:rPr>
      </w:pPr>
      <w:r>
        <w:rPr>
          <w:rFonts w:hint="eastAsia" w:ascii="宋体" w:hAnsi="宋体" w:cs="宋体"/>
          <w:color w:val="000000"/>
          <w:sz w:val="24"/>
          <w:szCs w:val="24"/>
          <w:highlight w:val="none"/>
        </w:rPr>
        <w:t>4.该公告已同步至“平顶山市公共资源交易中心微信公众号”，可通过公众号中的服务栏目进行查阅”。</w:t>
      </w:r>
    </w:p>
    <w:p w14:paraId="4A8477CE">
      <w:pPr>
        <w:spacing w:line="440" w:lineRule="exac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八、凡对本次招标提出询问，请按照以下方式联系</w:t>
      </w:r>
    </w:p>
    <w:p w14:paraId="2E8A763A">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1.采购人信息</w:t>
      </w:r>
    </w:p>
    <w:p w14:paraId="76B13543">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名称：平顶山职业技术学院</w:t>
      </w:r>
    </w:p>
    <w:p w14:paraId="77659FB8">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地址：平顶山市城乡一体化示范区长安大道西段</w:t>
      </w:r>
    </w:p>
    <w:p w14:paraId="6E90E8EC">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联系人：陈女士</w:t>
      </w:r>
    </w:p>
    <w:p w14:paraId="62944063">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联系方式：0375-7066937</w:t>
      </w:r>
    </w:p>
    <w:p w14:paraId="59D73645">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2.采购代理机构信息</w:t>
      </w:r>
    </w:p>
    <w:p w14:paraId="7A09FC4F">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名称：河南荣之鑫工程管理有限公司</w:t>
      </w:r>
    </w:p>
    <w:p w14:paraId="01714AC4">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地址:平顶山市和顺路公园南门嘉荷天城0326003号</w:t>
      </w:r>
    </w:p>
    <w:p w14:paraId="6EE8BEE8">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联系人：张先生</w:t>
      </w:r>
    </w:p>
    <w:p w14:paraId="0CFC677D">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联系方式：17737565013</w:t>
      </w:r>
    </w:p>
    <w:p w14:paraId="3BDD3515">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3.项目联系方式</w:t>
      </w:r>
    </w:p>
    <w:p w14:paraId="62952A22">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项目联系人：张先生</w:t>
      </w:r>
    </w:p>
    <w:p w14:paraId="5525BF78">
      <w:pPr>
        <w:spacing w:line="440" w:lineRule="exact"/>
        <w:ind w:firstLine="480" w:firstLineChars="200"/>
        <w:rPr>
          <w:rFonts w:hint="eastAsia" w:ascii="宋体" w:hAnsi="宋体" w:cs="宋体"/>
          <w:color w:val="000000"/>
          <w:kern w:val="0"/>
          <w:sz w:val="24"/>
          <w:szCs w:val="24"/>
          <w:highlight w:val="none"/>
        </w:rPr>
      </w:pPr>
      <w:r>
        <w:rPr>
          <w:rFonts w:hint="eastAsia" w:ascii="宋体" w:hAnsi="宋体" w:cs="宋体"/>
          <w:color w:val="000000"/>
          <w:sz w:val="24"/>
          <w:szCs w:val="24"/>
          <w:highlight w:val="none"/>
          <w:shd w:val="clear" w:color="auto" w:fill="FFFFFF"/>
        </w:rPr>
        <w:t>联系方式：17737565013</w:t>
      </w:r>
    </w:p>
    <w:p w14:paraId="37CD9427"/>
    <w:p w14:paraId="58E8B80F">
      <w:pPr>
        <w:spacing w:line="440" w:lineRule="exact"/>
        <w:jc w:val="center"/>
        <w:rPr>
          <w:rFonts w:hint="eastAsia" w:ascii="宋体" w:hAnsi="宋体"/>
          <w:b/>
          <w:bCs/>
          <w:color w:val="000000" w:themeColor="text1"/>
          <w:sz w:val="30"/>
          <w:szCs w:val="30"/>
          <w:highlight w:val="none"/>
          <w14:textFill>
            <w14:solidFill>
              <w14:schemeClr w14:val="tx1"/>
            </w14:solidFill>
          </w14:textFill>
        </w:rPr>
      </w:pPr>
      <w:r>
        <w:rPr>
          <w:rFonts w:hint="eastAsia" w:ascii="宋体" w:hAnsi="宋体"/>
          <w:b/>
          <w:bCs/>
          <w:color w:val="000000" w:themeColor="text1"/>
          <w:sz w:val="30"/>
          <w:szCs w:val="30"/>
          <w:highlight w:val="none"/>
          <w14:textFill>
            <w14:solidFill>
              <w14:schemeClr w14:val="tx1"/>
            </w14:solidFill>
          </w14:textFill>
        </w:rPr>
        <w:br w:type="page"/>
      </w:r>
      <w:r>
        <w:rPr>
          <w:rFonts w:hint="eastAsia" w:ascii="宋体" w:hAnsi="宋体"/>
          <w:b/>
          <w:color w:val="000000" w:themeColor="text1"/>
          <w:kern w:val="0"/>
          <w:sz w:val="30"/>
          <w:szCs w:val="30"/>
          <w:highlight w:val="none"/>
          <w:shd w:val="clear" w:color="auto" w:fill="FFFFFF"/>
          <w:lang w:bidi="ar"/>
          <w14:textFill>
            <w14:solidFill>
              <w14:schemeClr w14:val="tx1"/>
            </w14:solidFill>
          </w14:textFill>
        </w:rPr>
        <w:t>温馨提示：</w:t>
      </w:r>
    </w:p>
    <w:p w14:paraId="50E6FDE9">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本项目为全流程电子化交易项目，请认真阅读采购文件，并注意以下事项。</w:t>
      </w:r>
    </w:p>
    <w:p w14:paraId="716E9CB4">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1.供应商应按采购文件规定编制、提交电子投标文件。</w:t>
      </w:r>
    </w:p>
    <w:p w14:paraId="4DE7071F">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2.本项目供应商不用再提供纸质投标文件。</w:t>
      </w:r>
    </w:p>
    <w:p w14:paraId="73B60FA5">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3.电子文件下载、制作、提交期间和开标（电子投标文件的解密）环节，供应商须使用CA数字证书（证书须在有效期内）。</w:t>
      </w:r>
    </w:p>
    <w:p w14:paraId="6C41A882">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4.电子投标文件的制作</w:t>
      </w:r>
    </w:p>
    <w:p w14:paraId="12E88AD7">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4.1供应商登录《全国公共资源交易平台(河南省▪平顶山市)》公共资源交易系统（http://ggzy.pds.gov.cn/dbgxz/72277.jhtml）下载“平顶山投标文件制作系统”，按采购文件要求制作电子投标文件。</w:t>
      </w:r>
    </w:p>
    <w:p w14:paraId="77CC2CDA">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电子投标文件的制作，参考《全国公共资源交易平台(河南省▪平顶山市)》公共资源交易系统——组件下载——交易系统操作手册（投标人、供应商）。</w:t>
      </w:r>
    </w:p>
    <w:p w14:paraId="19E2D182">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4.2供应商须将采购文件要求的资质、业绩、荣誉及相关人员证明材料等资料原件扫描件（或图片）制作到所提交的电子投标文件中。</w:t>
      </w:r>
    </w:p>
    <w:p w14:paraId="4D2564DC">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4.3供应商对同一项目多个标段进行投标的，应分别下载所投标段的采购文件，按标段制作电子投标文件，并按采购文件要求在相应位置加盖供应商电子印章和法人电子印章。</w:t>
      </w:r>
    </w:p>
    <w:p w14:paraId="0B591338">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一个标段对应生成一个文件夹（xxxx项目xx标段）, 其中包含2个文件和1个文件夹。后缀名为“.file”的文件用于电子投标使用，名称为“备份”的文件夹使用电子介质存储，供开标现场备用。</w:t>
      </w:r>
    </w:p>
    <w:p w14:paraId="5E2DCFD6">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5.加密电子投标文件的提交</w:t>
      </w:r>
    </w:p>
    <w:p w14:paraId="1CC99D43">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5.1加密电子投标文件应在采购文件规定的投标截止时间（开标时间）之前成功提交至《全国公共资源交易平台(河南省▪平顶山市)》公共资源交易系统（http://ggzy.pds.gov.cn/）。</w:t>
      </w:r>
    </w:p>
    <w:p w14:paraId="1FCB28A3">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供应商应充分考虑并预留技术处理和上传数据所需时间。</w:t>
      </w:r>
    </w:p>
    <w:p w14:paraId="27D464C0">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5.2供应商对同一项目多个标段进行投标的，加密电子投标文件应按标段分别提交。</w:t>
      </w:r>
    </w:p>
    <w:p w14:paraId="086896B6">
      <w:pPr>
        <w:spacing w:before="226" w:line="357" w:lineRule="auto"/>
        <w:jc w:val="center"/>
        <w:rPr>
          <w:rFonts w:hint="eastAsia" w:ascii="宋体" w:hAnsi="宋体"/>
          <w:b/>
          <w:color w:val="000000" w:themeColor="text1"/>
          <w:kern w:val="0"/>
          <w:sz w:val="24"/>
          <w:szCs w:val="24"/>
          <w:highlight w:val="none"/>
          <w:shd w:val="clear" w:color="auto" w:fill="FFFFFF"/>
          <w:lang w:bidi="ar"/>
          <w14:textFill>
            <w14:solidFill>
              <w14:schemeClr w14:val="tx1"/>
            </w14:solidFill>
          </w14:textFill>
        </w:rPr>
      </w:pPr>
      <w:r>
        <w:rPr>
          <w:rFonts w:hint="eastAsia" w:ascii="宋体" w:hAnsi="宋体"/>
          <w:b/>
          <w:color w:val="000000" w:themeColor="text1"/>
          <w:kern w:val="0"/>
          <w:sz w:val="24"/>
          <w:szCs w:val="24"/>
          <w:highlight w:val="none"/>
          <w:shd w:val="clear" w:color="auto" w:fill="FFFFFF"/>
          <w:lang w:bidi="ar"/>
          <w14:textFill>
            <w14:solidFill>
              <w14:schemeClr w14:val="tx1"/>
            </w14:solidFill>
          </w14:textFill>
        </w:rPr>
        <w:br w:type="page"/>
      </w:r>
      <w:r>
        <w:rPr>
          <w:rFonts w:hint="eastAsia" w:ascii="宋体" w:hAnsi="宋体"/>
          <w:b/>
          <w:color w:val="000000" w:themeColor="text1"/>
          <w:kern w:val="0"/>
          <w:sz w:val="30"/>
          <w:szCs w:val="30"/>
          <w:highlight w:val="none"/>
          <w:shd w:val="clear" w:color="auto" w:fill="FFFFFF"/>
          <w:lang w:bidi="ar"/>
          <w14:textFill>
            <w14:solidFill>
              <w14:schemeClr w14:val="tx1"/>
            </w14:solidFill>
          </w14:textFill>
        </w:rPr>
        <w:t>“不见面”开标注意事项</w:t>
      </w:r>
    </w:p>
    <w:p w14:paraId="1D007299">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550B4768">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2、如出现投标人的电子投标文件无法解密的情况，投标人应及时联系采购人（代理机构）进行说明。投标文件解密异常，按以下步骤进行处理：</w:t>
      </w:r>
    </w:p>
    <w:p w14:paraId="6D4BA5AF">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（1）如果是投标文件自身问题导致投标文件无法解密的，该投标文件将不予接收、解密。</w:t>
      </w:r>
    </w:p>
    <w:p w14:paraId="51BC17A8">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（2）如果是电子化交易系统问题造成投标文件无法解密的，将由技术人员进行排查处理。如短时间内问题无法解决的，将由采购人（代理机构）联系监督部门申请暂停开标，待问题解决后继续开标。</w:t>
      </w:r>
    </w:p>
    <w:p w14:paraId="0123B46B">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3、所有投标文件解密完成后，由采购人（代理机构）操作，对开标结果进行公示。</w:t>
      </w:r>
    </w:p>
    <w:p w14:paraId="0C82E9D9">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4、投标人应保证在开标期间电话、电脑、网络等能够正常使用，投标人因停电、电脑病毒、网络堵塞等原因，未在规定的解密时间内对投标文件进行解密的，其投标文件不予接收。</w:t>
      </w:r>
    </w:p>
    <w:p w14:paraId="313459A2">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解密完成后，投标人可登录到交易系统查看自己的投标报价。如对自己的报价内容有异议的，应在报价内容显示后20分钟内联系采购人（代理机构）进行质疑，投标人未在规定时间内提出质疑的，视为认可开标结果显示内容。</w:t>
      </w:r>
    </w:p>
    <w:p w14:paraId="023026C8">
      <w:pPr>
        <w:spacing w:line="440" w:lineRule="exact"/>
        <w:ind w:firstLine="420" w:firstLineChars="200"/>
        <w:rPr>
          <w:rFonts w:hint="eastAsia" w:ascii="宋体" w:hAnsi="宋体"/>
          <w:color w:val="000000" w:themeColor="text1"/>
          <w:highlight w:val="none"/>
          <w14:textFill>
            <w14:solidFill>
              <w14:schemeClr w14:val="tx1"/>
            </w14:solidFill>
          </w14:textFill>
        </w:rPr>
      </w:pPr>
    </w:p>
    <w:p w14:paraId="5BB456A1">
      <w:pPr>
        <w:spacing w:line="440" w:lineRule="exact"/>
        <w:ind w:firstLine="480" w:firstLineChars="200"/>
        <w:jc w:val="left"/>
        <w:rPr>
          <w:rFonts w:hint="eastAsia" w:ascii="宋体" w:hAnsi="宋体"/>
          <w:color w:val="000000" w:themeColor="text1"/>
          <w:kern w:val="0"/>
          <w:sz w:val="24"/>
          <w:highlight w:val="none"/>
          <w14:textFill>
            <w14:solidFill>
              <w14:schemeClr w14:val="tx1"/>
            </w14:solidFill>
          </w14:textFill>
        </w:rPr>
      </w:pPr>
    </w:p>
    <w:p w14:paraId="2912E8FA">
      <w:pPr>
        <w:rPr>
          <w:color w:val="000000" w:themeColor="text1"/>
          <w:highlight w:val="none"/>
          <w14:textFill>
            <w14:solidFill>
              <w14:schemeClr w14:val="tx1"/>
            </w14:solidFill>
          </w14:textFill>
        </w:rPr>
      </w:pPr>
    </w:p>
    <w:p w14:paraId="2DFD8200">
      <w:pPr>
        <w:rPr>
          <w:color w:val="000000" w:themeColor="text1"/>
          <w:highlight w:val="none"/>
          <w14:textFill>
            <w14:solidFill>
              <w14:schemeClr w14:val="tx1"/>
            </w14:solidFill>
          </w14:textFill>
        </w:rPr>
      </w:pPr>
    </w:p>
    <w:p w14:paraId="201DA929">
      <w:pPr>
        <w:rPr>
          <w:color w:val="000000" w:themeColor="text1"/>
          <w:highlight w:val="none"/>
          <w14:textFill>
            <w14:solidFill>
              <w14:schemeClr w14:val="tx1"/>
            </w14:solidFill>
          </w14:textFill>
        </w:rPr>
      </w:pPr>
    </w:p>
    <w:p w14:paraId="5B8F2BAD">
      <w:pPr>
        <w:rPr>
          <w:color w:val="000000" w:themeColor="text1"/>
          <w:highlight w:val="none"/>
          <w14:textFill>
            <w14:solidFill>
              <w14:schemeClr w14:val="tx1"/>
            </w14:solidFill>
          </w14:textFill>
        </w:rPr>
      </w:pPr>
    </w:p>
    <w:p w14:paraId="51A8E845">
      <w:pPr>
        <w:rPr>
          <w:color w:val="000000" w:themeColor="text1"/>
          <w:highlight w:val="none"/>
          <w14:textFill>
            <w14:solidFill>
              <w14:schemeClr w14:val="tx1"/>
            </w14:solidFill>
          </w14:textFill>
        </w:rPr>
      </w:pPr>
    </w:p>
    <w:p w14:paraId="45D55A48">
      <w:pPr>
        <w:rPr>
          <w:color w:val="000000" w:themeColor="text1"/>
          <w:highlight w:val="none"/>
          <w14:textFill>
            <w14:solidFill>
              <w14:schemeClr w14:val="tx1"/>
            </w14:solidFill>
          </w14:textFill>
        </w:rPr>
      </w:pPr>
    </w:p>
    <w:bookmarkEnd w:id="6"/>
    <w:p w14:paraId="5DF3FC67">
      <w:pPr>
        <w:jc w:val="center"/>
        <w:outlineLvl w:val="0"/>
        <w:rPr>
          <w:rFonts w:hint="eastAsia" w:ascii="宋体" w:hAnsi="宋体"/>
          <w:b/>
          <w:bCs/>
          <w:color w:val="000000" w:themeColor="text1"/>
          <w:kern w:val="44"/>
          <w:sz w:val="36"/>
          <w:szCs w:val="36"/>
          <w:highlight w:val="none"/>
          <w14:textFill>
            <w14:solidFill>
              <w14:schemeClr w14:val="tx1"/>
            </w14:solidFill>
          </w14:textFill>
        </w:rPr>
      </w:pPr>
      <w:bookmarkStart w:id="7" w:name="_Toc26011"/>
      <w:bookmarkStart w:id="8" w:name="_Toc318932192"/>
      <w:bookmarkStart w:id="9" w:name="_Toc294794565"/>
      <w:r>
        <w:rPr>
          <w:rFonts w:hint="eastAsia" w:ascii="宋体" w:hAnsi="宋体"/>
          <w:b/>
          <w:bCs/>
          <w:color w:val="000000" w:themeColor="text1"/>
          <w:kern w:val="44"/>
          <w:sz w:val="36"/>
          <w:szCs w:val="36"/>
          <w:highlight w:val="none"/>
          <w14:textFill>
            <w14:solidFill>
              <w14:schemeClr w14:val="tx1"/>
            </w14:solidFill>
          </w14:textFill>
        </w:rPr>
        <w:br w:type="page"/>
      </w:r>
      <w:bookmarkStart w:id="10" w:name="_Toc22436"/>
      <w:r>
        <w:rPr>
          <w:rFonts w:hint="eastAsia" w:ascii="宋体" w:hAnsi="宋体"/>
          <w:b/>
          <w:bCs/>
          <w:color w:val="000000" w:themeColor="text1"/>
          <w:kern w:val="44"/>
          <w:sz w:val="36"/>
          <w:szCs w:val="36"/>
          <w:highlight w:val="none"/>
          <w14:textFill>
            <w14:solidFill>
              <w14:schemeClr w14:val="tx1"/>
            </w14:solidFill>
          </w14:textFill>
        </w:rPr>
        <w:t>第二章  投标人须知</w:t>
      </w:r>
      <w:bookmarkEnd w:id="10"/>
    </w:p>
    <w:bookmarkEnd w:id="7"/>
    <w:bookmarkEnd w:id="8"/>
    <w:bookmarkEnd w:id="9"/>
    <w:p w14:paraId="571F1B50">
      <w:pPr>
        <w:jc w:val="center"/>
        <w:outlineLvl w:val="1"/>
        <w:rPr>
          <w:rStyle w:val="35"/>
          <w:rFonts w:hint="eastAsia" w:ascii="宋体" w:hAnsi="宋体" w:eastAsia="宋体"/>
          <w:color w:val="000000" w:themeColor="text1"/>
          <w:highlight w:val="none"/>
          <w14:textFill>
            <w14:solidFill>
              <w14:schemeClr w14:val="tx1"/>
            </w14:solidFill>
          </w14:textFill>
        </w:rPr>
      </w:pPr>
      <w:bookmarkStart w:id="11" w:name="_Toc17311"/>
      <w:bookmarkStart w:id="12" w:name="_Toc20373"/>
      <w:r>
        <w:rPr>
          <w:rStyle w:val="35"/>
          <w:rFonts w:hint="eastAsia" w:ascii="宋体" w:hAnsi="宋体" w:eastAsia="宋体"/>
          <w:color w:val="000000" w:themeColor="text1"/>
          <w:highlight w:val="none"/>
          <w14:textFill>
            <w14:solidFill>
              <w14:schemeClr w14:val="tx1"/>
            </w14:solidFill>
          </w14:textFill>
        </w:rPr>
        <w:t>一．投标人须知前附表</w:t>
      </w:r>
      <w:bookmarkEnd w:id="11"/>
      <w:bookmarkEnd w:id="12"/>
    </w:p>
    <w:tbl>
      <w:tblPr>
        <w:tblStyle w:val="18"/>
        <w:tblW w:w="924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62"/>
        <w:gridCol w:w="2155"/>
        <w:gridCol w:w="6131"/>
      </w:tblGrid>
      <w:tr w14:paraId="74CBD3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962" w:type="dxa"/>
            <w:vAlign w:val="center"/>
          </w:tcPr>
          <w:p w14:paraId="52EF5978">
            <w:pPr>
              <w:widowControl w:val="0"/>
              <w:autoSpaceDE w:val="0"/>
              <w:autoSpaceDN w:val="0"/>
              <w:spacing w:before="50" w:line="440" w:lineRule="exact"/>
              <w:ind w:right="35"/>
              <w:jc w:val="center"/>
              <w:rPr>
                <w:rFonts w:hint="eastAsia" w:ascii="宋体" w:hAnsi="宋体" w:cs="宋体"/>
                <w:b/>
                <w:color w:val="000000" w:themeColor="text1"/>
                <w:spacing w:val="1"/>
                <w:kern w:val="0"/>
                <w:highlight w:val="none"/>
                <w14:textFill>
                  <w14:solidFill>
                    <w14:schemeClr w14:val="tx1"/>
                  </w14:solidFill>
                </w14:textFill>
              </w:rPr>
            </w:pPr>
            <w:r>
              <w:rPr>
                <w:rFonts w:hint="eastAsia" w:ascii="宋体" w:hAnsi="宋体" w:cs="宋体"/>
                <w:b/>
                <w:color w:val="000000" w:themeColor="text1"/>
                <w:spacing w:val="1"/>
                <w:kern w:val="0"/>
                <w:highlight w:val="none"/>
                <w14:textFill>
                  <w14:solidFill>
                    <w14:schemeClr w14:val="tx1"/>
                  </w14:solidFill>
                </w14:textFill>
              </w:rPr>
              <w:t>条款号</w:t>
            </w:r>
          </w:p>
        </w:tc>
        <w:tc>
          <w:tcPr>
            <w:tcW w:w="2155" w:type="dxa"/>
            <w:vAlign w:val="center"/>
          </w:tcPr>
          <w:p w14:paraId="04C47061">
            <w:pPr>
              <w:widowControl w:val="0"/>
              <w:autoSpaceDE w:val="0"/>
              <w:autoSpaceDN w:val="0"/>
              <w:spacing w:before="50" w:line="440" w:lineRule="exact"/>
              <w:ind w:right="35"/>
              <w:jc w:val="center"/>
              <w:rPr>
                <w:rFonts w:hint="eastAsia" w:ascii="宋体" w:hAnsi="宋体" w:cs="宋体"/>
                <w:b/>
                <w:color w:val="000000" w:themeColor="text1"/>
                <w:spacing w:val="1"/>
                <w:kern w:val="0"/>
                <w:highlight w:val="none"/>
                <w14:textFill>
                  <w14:solidFill>
                    <w14:schemeClr w14:val="tx1"/>
                  </w14:solidFill>
                </w14:textFill>
              </w:rPr>
            </w:pPr>
            <w:r>
              <w:rPr>
                <w:rFonts w:hint="eastAsia" w:ascii="宋体" w:hAnsi="宋体" w:cs="宋体"/>
                <w:b/>
                <w:color w:val="000000" w:themeColor="text1"/>
                <w:spacing w:val="1"/>
                <w:kern w:val="0"/>
                <w:highlight w:val="none"/>
                <w14:textFill>
                  <w14:solidFill>
                    <w14:schemeClr w14:val="tx1"/>
                  </w14:solidFill>
                </w14:textFill>
              </w:rPr>
              <w:t>条款名称</w:t>
            </w:r>
          </w:p>
        </w:tc>
        <w:tc>
          <w:tcPr>
            <w:tcW w:w="6131" w:type="dxa"/>
            <w:vAlign w:val="center"/>
          </w:tcPr>
          <w:p w14:paraId="17EC87D0">
            <w:pPr>
              <w:widowControl w:val="0"/>
              <w:autoSpaceDE w:val="0"/>
              <w:autoSpaceDN w:val="0"/>
              <w:spacing w:before="50" w:line="440" w:lineRule="exact"/>
              <w:ind w:right="35"/>
              <w:jc w:val="center"/>
              <w:rPr>
                <w:rFonts w:hint="eastAsia" w:ascii="宋体" w:hAnsi="宋体" w:cs="宋体"/>
                <w:b/>
                <w:color w:val="000000" w:themeColor="text1"/>
                <w:spacing w:val="1"/>
                <w:kern w:val="0"/>
                <w:highlight w:val="none"/>
                <w14:textFill>
                  <w14:solidFill>
                    <w14:schemeClr w14:val="tx1"/>
                  </w14:solidFill>
                </w14:textFill>
              </w:rPr>
            </w:pPr>
            <w:r>
              <w:rPr>
                <w:rFonts w:hint="eastAsia" w:ascii="宋体" w:hAnsi="宋体" w:cs="宋体"/>
                <w:b/>
                <w:color w:val="000000" w:themeColor="text1"/>
                <w:spacing w:val="1"/>
                <w:kern w:val="0"/>
                <w:highlight w:val="none"/>
                <w14:textFill>
                  <w14:solidFill>
                    <w14:schemeClr w14:val="tx1"/>
                  </w14:solidFill>
                </w14:textFill>
              </w:rPr>
              <w:t>编 列 内 容</w:t>
            </w:r>
          </w:p>
        </w:tc>
      </w:tr>
      <w:tr w14:paraId="1C0380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43B49A1F">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w:t>
            </w:r>
          </w:p>
        </w:tc>
        <w:tc>
          <w:tcPr>
            <w:tcW w:w="2155" w:type="dxa"/>
            <w:vAlign w:val="center"/>
          </w:tcPr>
          <w:p w14:paraId="38A4539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w:t>
            </w:r>
          </w:p>
        </w:tc>
        <w:tc>
          <w:tcPr>
            <w:tcW w:w="6131" w:type="dxa"/>
            <w:vAlign w:val="center"/>
          </w:tcPr>
          <w:p w14:paraId="30C0EEB8">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名称：平顶山职业技术学院</w:t>
            </w:r>
          </w:p>
          <w:p w14:paraId="1FC8991E">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地址：平顶山市城乡一体化示范区长安大道西段</w:t>
            </w:r>
          </w:p>
          <w:p w14:paraId="275B9EE9">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联系人：陈女士</w:t>
            </w:r>
          </w:p>
          <w:p w14:paraId="7ED7DD7D">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联系方式：0375-7066937</w:t>
            </w:r>
          </w:p>
        </w:tc>
      </w:tr>
      <w:tr w14:paraId="33DCF5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962" w:type="dxa"/>
            <w:vAlign w:val="center"/>
          </w:tcPr>
          <w:p w14:paraId="7DB2C545">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2</w:t>
            </w:r>
          </w:p>
        </w:tc>
        <w:tc>
          <w:tcPr>
            <w:tcW w:w="2155" w:type="dxa"/>
            <w:vAlign w:val="center"/>
          </w:tcPr>
          <w:p w14:paraId="21F2386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代理机构</w:t>
            </w:r>
          </w:p>
        </w:tc>
        <w:tc>
          <w:tcPr>
            <w:tcW w:w="6131" w:type="dxa"/>
            <w:vAlign w:val="center"/>
          </w:tcPr>
          <w:p w14:paraId="53A4CF3D">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名称：河南荣之鑫工程管理有限公司</w:t>
            </w:r>
          </w:p>
          <w:p w14:paraId="68ACE11B">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地址:平顶山市和顺路公园南门嘉荷天城0326003号</w:t>
            </w:r>
          </w:p>
          <w:p w14:paraId="24E38BC6">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联系人：张先生</w:t>
            </w:r>
          </w:p>
          <w:p w14:paraId="1A792CB0">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联系方式：17737565013</w:t>
            </w:r>
          </w:p>
        </w:tc>
      </w:tr>
      <w:tr w14:paraId="0E4D4F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5" w:hRule="exact"/>
          <w:jc w:val="center"/>
        </w:trPr>
        <w:tc>
          <w:tcPr>
            <w:tcW w:w="962" w:type="dxa"/>
            <w:vAlign w:val="center"/>
          </w:tcPr>
          <w:p w14:paraId="662E36F8">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3</w:t>
            </w:r>
          </w:p>
        </w:tc>
        <w:tc>
          <w:tcPr>
            <w:tcW w:w="2155" w:type="dxa"/>
            <w:vAlign w:val="center"/>
          </w:tcPr>
          <w:p w14:paraId="6551E40D">
            <w:pPr>
              <w:spacing w:line="440" w:lineRule="exact"/>
              <w:jc w:val="center"/>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项目名称</w:t>
            </w:r>
          </w:p>
        </w:tc>
        <w:tc>
          <w:tcPr>
            <w:tcW w:w="6131" w:type="dxa"/>
            <w:vAlign w:val="center"/>
          </w:tcPr>
          <w:p w14:paraId="7D878022">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平顶山职业技术学院非常规水源利用项目</w:t>
            </w:r>
          </w:p>
        </w:tc>
      </w:tr>
      <w:tr w14:paraId="2D7B78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7" w:hRule="exact"/>
          <w:jc w:val="center"/>
        </w:trPr>
        <w:tc>
          <w:tcPr>
            <w:tcW w:w="962" w:type="dxa"/>
            <w:vAlign w:val="center"/>
          </w:tcPr>
          <w:p w14:paraId="6B58A1AB">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w:t>
            </w:r>
          </w:p>
        </w:tc>
        <w:tc>
          <w:tcPr>
            <w:tcW w:w="2155" w:type="dxa"/>
            <w:vAlign w:val="center"/>
          </w:tcPr>
          <w:p w14:paraId="5FAA2185">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资金来源及落实情况</w:t>
            </w:r>
          </w:p>
        </w:tc>
        <w:tc>
          <w:tcPr>
            <w:tcW w:w="6131" w:type="dxa"/>
            <w:vAlign w:val="center"/>
          </w:tcPr>
          <w:p w14:paraId="5A0FB338">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财政资金，已落实。</w:t>
            </w:r>
          </w:p>
        </w:tc>
      </w:tr>
      <w:tr w14:paraId="7684DA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6" w:hRule="exact"/>
          <w:jc w:val="center"/>
        </w:trPr>
        <w:tc>
          <w:tcPr>
            <w:tcW w:w="962" w:type="dxa"/>
            <w:vAlign w:val="center"/>
          </w:tcPr>
          <w:p w14:paraId="287E6E22">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5</w:t>
            </w:r>
          </w:p>
        </w:tc>
        <w:tc>
          <w:tcPr>
            <w:tcW w:w="2155" w:type="dxa"/>
            <w:vAlign w:val="center"/>
          </w:tcPr>
          <w:p w14:paraId="61273122">
            <w:pPr>
              <w:spacing w:line="44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采购内容</w:t>
            </w:r>
          </w:p>
        </w:tc>
        <w:tc>
          <w:tcPr>
            <w:tcW w:w="6131" w:type="dxa"/>
            <w:vAlign w:val="center"/>
          </w:tcPr>
          <w:p w14:paraId="1251CFCD">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平顶山职业技术学院采购设备一批。</w:t>
            </w:r>
          </w:p>
        </w:tc>
      </w:tr>
      <w:tr w14:paraId="20966F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0" w:hRule="exact"/>
          <w:jc w:val="center"/>
        </w:trPr>
        <w:tc>
          <w:tcPr>
            <w:tcW w:w="962" w:type="dxa"/>
            <w:vAlign w:val="center"/>
          </w:tcPr>
          <w:p w14:paraId="75ABEE64">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6</w:t>
            </w:r>
          </w:p>
        </w:tc>
        <w:tc>
          <w:tcPr>
            <w:tcW w:w="2155" w:type="dxa"/>
            <w:vAlign w:val="center"/>
          </w:tcPr>
          <w:p w14:paraId="594DF841">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采购方式</w:t>
            </w:r>
          </w:p>
        </w:tc>
        <w:tc>
          <w:tcPr>
            <w:tcW w:w="6131" w:type="dxa"/>
            <w:vAlign w:val="center"/>
          </w:tcPr>
          <w:p w14:paraId="34A5BFDD">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公开招标</w:t>
            </w:r>
          </w:p>
        </w:tc>
      </w:tr>
      <w:tr w14:paraId="0FFB8E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0" w:hRule="exact"/>
          <w:jc w:val="center"/>
        </w:trPr>
        <w:tc>
          <w:tcPr>
            <w:tcW w:w="962" w:type="dxa"/>
            <w:vAlign w:val="center"/>
          </w:tcPr>
          <w:p w14:paraId="00F39B3B">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7</w:t>
            </w:r>
          </w:p>
        </w:tc>
        <w:tc>
          <w:tcPr>
            <w:tcW w:w="2155" w:type="dxa"/>
            <w:vAlign w:val="center"/>
          </w:tcPr>
          <w:p w14:paraId="3FC60622">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采购项目属性</w:t>
            </w:r>
          </w:p>
        </w:tc>
        <w:tc>
          <w:tcPr>
            <w:tcW w:w="6131" w:type="dxa"/>
            <w:vAlign w:val="center"/>
          </w:tcPr>
          <w:p w14:paraId="148CAF3A">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sym w:font="Wingdings 2" w:char="0052"/>
            </w:r>
            <w:r>
              <w:rPr>
                <w:rFonts w:hint="eastAsia" w:ascii="宋体" w:hAnsi="宋体" w:cs="宋体"/>
                <w:color w:val="000000" w:themeColor="text1"/>
                <w:highlight w:val="none"/>
                <w14:textFill>
                  <w14:solidFill>
                    <w14:schemeClr w14:val="tx1"/>
                  </w14:solidFill>
                </w14:textFill>
              </w:rPr>
              <w:t>货物      □服务       □工程</w:t>
            </w:r>
          </w:p>
        </w:tc>
      </w:tr>
      <w:tr w14:paraId="38F305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0" w:hRule="exact"/>
          <w:jc w:val="center"/>
        </w:trPr>
        <w:tc>
          <w:tcPr>
            <w:tcW w:w="962" w:type="dxa"/>
            <w:vAlign w:val="center"/>
          </w:tcPr>
          <w:p w14:paraId="72AAF8A2">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w:t>
            </w:r>
          </w:p>
        </w:tc>
        <w:tc>
          <w:tcPr>
            <w:tcW w:w="2155" w:type="dxa"/>
            <w:vAlign w:val="center"/>
          </w:tcPr>
          <w:p w14:paraId="415C960E">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合同履行期限</w:t>
            </w:r>
          </w:p>
        </w:tc>
        <w:tc>
          <w:tcPr>
            <w:tcW w:w="6131" w:type="dxa"/>
            <w:vAlign w:val="center"/>
          </w:tcPr>
          <w:p w14:paraId="7472622D">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同交货及安装期</w:t>
            </w:r>
          </w:p>
        </w:tc>
      </w:tr>
      <w:tr w14:paraId="6F6C3D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3" w:hRule="exact"/>
          <w:jc w:val="center"/>
        </w:trPr>
        <w:tc>
          <w:tcPr>
            <w:tcW w:w="962" w:type="dxa"/>
            <w:vAlign w:val="center"/>
          </w:tcPr>
          <w:p w14:paraId="733DC9D6">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w:t>
            </w:r>
          </w:p>
        </w:tc>
        <w:tc>
          <w:tcPr>
            <w:tcW w:w="2155" w:type="dxa"/>
            <w:vAlign w:val="center"/>
          </w:tcPr>
          <w:p w14:paraId="59198FD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交货及安装期</w:t>
            </w:r>
          </w:p>
        </w:tc>
        <w:tc>
          <w:tcPr>
            <w:tcW w:w="6131" w:type="dxa"/>
            <w:vAlign w:val="center"/>
          </w:tcPr>
          <w:p w14:paraId="50548AED">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合同签订之日起40日历天内安装调试完毕、交付使用</w:t>
            </w:r>
          </w:p>
        </w:tc>
      </w:tr>
      <w:tr w14:paraId="0EE1EF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62" w:type="dxa"/>
            <w:vAlign w:val="center"/>
          </w:tcPr>
          <w:p w14:paraId="5BD9B7AB">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10</w:t>
            </w:r>
          </w:p>
        </w:tc>
        <w:tc>
          <w:tcPr>
            <w:tcW w:w="2155" w:type="dxa"/>
            <w:vAlign w:val="center"/>
          </w:tcPr>
          <w:p w14:paraId="307E519A">
            <w:pPr>
              <w:spacing w:line="440" w:lineRule="exact"/>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交货地点</w:t>
            </w:r>
          </w:p>
        </w:tc>
        <w:tc>
          <w:tcPr>
            <w:tcW w:w="6131" w:type="dxa"/>
            <w:vAlign w:val="center"/>
          </w:tcPr>
          <w:p w14:paraId="71A4FBBB">
            <w:pPr>
              <w:spacing w:line="440" w:lineRule="exact"/>
              <w:rPr>
                <w:rFonts w:hint="eastAsia" w:ascii="宋体" w:hAnsi="宋体" w:cs="宋体"/>
                <w:color w:val="000000" w:themeColor="text1"/>
                <w:spacing w:val="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采购人指定地点</w:t>
            </w:r>
          </w:p>
        </w:tc>
      </w:tr>
      <w:tr w14:paraId="105D26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1" w:hRule="atLeast"/>
          <w:jc w:val="center"/>
        </w:trPr>
        <w:tc>
          <w:tcPr>
            <w:tcW w:w="962" w:type="dxa"/>
            <w:vAlign w:val="center"/>
          </w:tcPr>
          <w:p w14:paraId="18789CBD">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11</w:t>
            </w:r>
          </w:p>
        </w:tc>
        <w:tc>
          <w:tcPr>
            <w:tcW w:w="2155" w:type="dxa"/>
            <w:vAlign w:val="center"/>
          </w:tcPr>
          <w:p w14:paraId="1DACD4F8">
            <w:pPr>
              <w:spacing w:line="44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质量要求</w:t>
            </w:r>
          </w:p>
        </w:tc>
        <w:tc>
          <w:tcPr>
            <w:tcW w:w="6131" w:type="dxa"/>
            <w:vAlign w:val="center"/>
          </w:tcPr>
          <w:p w14:paraId="2863C1C6">
            <w:pPr>
              <w:spacing w:line="440" w:lineRule="exact"/>
              <w:jc w:val="left"/>
              <w:rPr>
                <w:rFonts w:hint="eastAsia" w:ascii="宋体" w:hAnsi="宋体" w:cs="宋体"/>
                <w:color w:val="000000" w:themeColor="text1"/>
                <w:spacing w:val="1"/>
                <w:highlight w:val="none"/>
                <w14:textFill>
                  <w14:solidFill>
                    <w14:schemeClr w14:val="tx1"/>
                  </w14:solidFill>
                </w14:textFill>
              </w:rPr>
            </w:pPr>
            <w:r>
              <w:rPr>
                <w:rFonts w:hint="eastAsia" w:ascii="宋体" w:hAnsi="宋体" w:cs="宋体"/>
                <w:color w:val="000000" w:themeColor="text1"/>
                <w:spacing w:val="1"/>
                <w:highlight w:val="none"/>
                <w14:textFill>
                  <w14:solidFill>
                    <w14:schemeClr w14:val="tx1"/>
                  </w14:solidFill>
                </w14:textFill>
              </w:rPr>
              <w:t>合格；符合图纸要求、符合国家通用质量标准及国家现行相关行业标准，回用水标准执行《城市污水再生利用城市杂用水水质标准》(GB/T18920-2020)城市绿化和道路清扫水质标准。</w:t>
            </w:r>
          </w:p>
        </w:tc>
      </w:tr>
      <w:tr w14:paraId="1A0980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6B27ED28">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12</w:t>
            </w:r>
          </w:p>
        </w:tc>
        <w:tc>
          <w:tcPr>
            <w:tcW w:w="2155" w:type="dxa"/>
            <w:vAlign w:val="center"/>
          </w:tcPr>
          <w:p w14:paraId="3E23FDDF">
            <w:pPr>
              <w:widowControl w:val="0"/>
              <w:autoSpaceDE w:val="0"/>
              <w:autoSpaceDN w:val="0"/>
              <w:snapToGrid w:val="0"/>
              <w:spacing w:before="50" w:line="440" w:lineRule="exact"/>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投标人资格要求</w:t>
            </w:r>
          </w:p>
        </w:tc>
        <w:tc>
          <w:tcPr>
            <w:tcW w:w="6131" w:type="dxa"/>
            <w:vAlign w:val="center"/>
          </w:tcPr>
          <w:p w14:paraId="735BAE33">
            <w:pPr>
              <w:widowControl w:val="0"/>
              <w:snapToGrid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合格供应商：具备招标公告“二、申请人的资格要求”规定的条件。</w:t>
            </w:r>
          </w:p>
        </w:tc>
      </w:tr>
      <w:tr w14:paraId="33F481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617883E1">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13</w:t>
            </w:r>
          </w:p>
        </w:tc>
        <w:tc>
          <w:tcPr>
            <w:tcW w:w="2155" w:type="dxa"/>
            <w:vAlign w:val="center"/>
          </w:tcPr>
          <w:p w14:paraId="0800346B">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是否接受联合体</w:t>
            </w:r>
          </w:p>
          <w:p w14:paraId="13889A15">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w:t>
            </w:r>
          </w:p>
        </w:tc>
        <w:tc>
          <w:tcPr>
            <w:tcW w:w="6131" w:type="dxa"/>
            <w:vAlign w:val="center"/>
          </w:tcPr>
          <w:p w14:paraId="778EC237">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sym w:font="Wingdings 2" w:char="0052"/>
            </w:r>
            <w:r>
              <w:rPr>
                <w:rFonts w:hint="eastAsia" w:ascii="宋体" w:hAnsi="宋体" w:cs="宋体"/>
                <w:color w:val="000000" w:themeColor="text1"/>
                <w:highlight w:val="none"/>
                <w14:textFill>
                  <w14:solidFill>
                    <w14:schemeClr w14:val="tx1"/>
                  </w14:solidFill>
                </w14:textFill>
              </w:rPr>
              <w:t>不接受</w:t>
            </w:r>
          </w:p>
          <w:p w14:paraId="653F0F90">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□接受</w:t>
            </w:r>
          </w:p>
        </w:tc>
      </w:tr>
      <w:tr w14:paraId="2AE909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189D8C57">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14</w:t>
            </w:r>
          </w:p>
        </w:tc>
        <w:tc>
          <w:tcPr>
            <w:tcW w:w="2155" w:type="dxa"/>
            <w:vAlign w:val="center"/>
          </w:tcPr>
          <w:p w14:paraId="3AEC0480">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踏勘现场及答疑</w:t>
            </w:r>
          </w:p>
        </w:tc>
        <w:tc>
          <w:tcPr>
            <w:tcW w:w="6131" w:type="dxa"/>
            <w:vAlign w:val="center"/>
          </w:tcPr>
          <w:p w14:paraId="195F99B5">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sym w:font="Wingdings 2" w:char="0052"/>
            </w:r>
            <w:r>
              <w:rPr>
                <w:rFonts w:hint="eastAsia" w:ascii="宋体" w:hAnsi="宋体" w:cs="宋体"/>
                <w:color w:val="000000" w:themeColor="text1"/>
                <w:highlight w:val="none"/>
                <w14:textFill>
                  <w14:solidFill>
                    <w14:schemeClr w14:val="tx1"/>
                  </w14:solidFill>
                </w14:textFill>
              </w:rPr>
              <w:t>不组织 可自行勘察，相关费用自理。</w:t>
            </w:r>
          </w:p>
          <w:p w14:paraId="52798689">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□组织</w:t>
            </w:r>
          </w:p>
        </w:tc>
      </w:tr>
      <w:tr w14:paraId="0CE5CA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52ABD295">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15</w:t>
            </w:r>
          </w:p>
        </w:tc>
        <w:tc>
          <w:tcPr>
            <w:tcW w:w="2155" w:type="dxa"/>
            <w:vAlign w:val="center"/>
          </w:tcPr>
          <w:p w14:paraId="78CCB625">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投标预备会</w:t>
            </w:r>
          </w:p>
        </w:tc>
        <w:tc>
          <w:tcPr>
            <w:tcW w:w="6131" w:type="dxa"/>
            <w:vAlign w:val="center"/>
          </w:tcPr>
          <w:p w14:paraId="60580577">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sym w:font="Wingdings 2" w:char="0052"/>
            </w:r>
            <w:r>
              <w:rPr>
                <w:rFonts w:hint="eastAsia" w:ascii="宋体" w:hAnsi="宋体" w:cs="宋体"/>
                <w:color w:val="000000" w:themeColor="text1"/>
                <w:highlight w:val="none"/>
                <w14:textFill>
                  <w14:solidFill>
                    <w14:schemeClr w14:val="tx1"/>
                  </w14:solidFill>
                </w14:textFill>
              </w:rPr>
              <w:t>不召开</w:t>
            </w:r>
          </w:p>
          <w:p w14:paraId="29F74893">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□召开</w:t>
            </w:r>
          </w:p>
        </w:tc>
      </w:tr>
      <w:tr w14:paraId="0CB648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6EA44881">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16</w:t>
            </w:r>
          </w:p>
        </w:tc>
        <w:tc>
          <w:tcPr>
            <w:tcW w:w="2155" w:type="dxa"/>
            <w:vAlign w:val="center"/>
          </w:tcPr>
          <w:p w14:paraId="126FE3BD">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技术偏离</w:t>
            </w:r>
          </w:p>
        </w:tc>
        <w:tc>
          <w:tcPr>
            <w:tcW w:w="6131" w:type="dxa"/>
            <w:vAlign w:val="center"/>
          </w:tcPr>
          <w:p w14:paraId="4004A451">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□不允许负偏差</w:t>
            </w:r>
          </w:p>
          <w:p w14:paraId="2AF9F8C5">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sym w:font="Wingdings 2" w:char="0052"/>
            </w:r>
            <w:r>
              <w:rPr>
                <w:rFonts w:hint="eastAsia" w:ascii="宋体" w:hAnsi="宋体" w:cs="宋体"/>
                <w:color w:val="000000" w:themeColor="text1"/>
                <w:highlight w:val="none"/>
                <w14:textFill>
                  <w14:solidFill>
                    <w14:schemeClr w14:val="tx1"/>
                  </w14:solidFill>
                </w14:textFill>
              </w:rPr>
              <w:t>允许</w:t>
            </w:r>
          </w:p>
        </w:tc>
      </w:tr>
      <w:tr w14:paraId="2AB47E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35A777A8">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17</w:t>
            </w:r>
          </w:p>
        </w:tc>
        <w:tc>
          <w:tcPr>
            <w:tcW w:w="2155" w:type="dxa"/>
            <w:vAlign w:val="center"/>
          </w:tcPr>
          <w:p w14:paraId="0833A0DB">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构成招标文件的</w:t>
            </w:r>
          </w:p>
          <w:p w14:paraId="40B18AFB">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其他材料</w:t>
            </w:r>
          </w:p>
        </w:tc>
        <w:tc>
          <w:tcPr>
            <w:tcW w:w="6131" w:type="dxa"/>
            <w:vAlign w:val="center"/>
          </w:tcPr>
          <w:p w14:paraId="0C964B23">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与本项目有关的解答、澄清、修改与补充等。当招标文件的答疑、澄清、补充或解释等文件的内容在同一内容的表述上不一致时，以最后发出的文件为准。</w:t>
            </w:r>
          </w:p>
        </w:tc>
      </w:tr>
      <w:tr w14:paraId="54BAD9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7D154D24">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18</w:t>
            </w:r>
          </w:p>
        </w:tc>
        <w:tc>
          <w:tcPr>
            <w:tcW w:w="2155" w:type="dxa"/>
            <w:vAlign w:val="center"/>
          </w:tcPr>
          <w:p w14:paraId="215C2B3C">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投标人要求澄清招标文件的截止时间</w:t>
            </w:r>
          </w:p>
        </w:tc>
        <w:tc>
          <w:tcPr>
            <w:tcW w:w="6131" w:type="dxa"/>
            <w:vAlign w:val="center"/>
          </w:tcPr>
          <w:p w14:paraId="1C69A948">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按招标文件规定的投标文件截止前 15 日前</w:t>
            </w:r>
          </w:p>
        </w:tc>
      </w:tr>
      <w:tr w14:paraId="50F96D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962" w:type="dxa"/>
            <w:vAlign w:val="center"/>
          </w:tcPr>
          <w:p w14:paraId="26FD4313">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19</w:t>
            </w:r>
          </w:p>
        </w:tc>
        <w:tc>
          <w:tcPr>
            <w:tcW w:w="2155" w:type="dxa"/>
            <w:vAlign w:val="center"/>
          </w:tcPr>
          <w:p w14:paraId="3463D183">
            <w:pPr>
              <w:widowControl w:val="0"/>
              <w:autoSpaceDE w:val="0"/>
              <w:autoSpaceDN w:val="0"/>
              <w:snapToGrid w:val="0"/>
              <w:spacing w:before="50" w:line="440" w:lineRule="exact"/>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投标截止时间</w:t>
            </w:r>
          </w:p>
        </w:tc>
        <w:tc>
          <w:tcPr>
            <w:tcW w:w="6131" w:type="dxa"/>
            <w:vAlign w:val="center"/>
          </w:tcPr>
          <w:p w14:paraId="724BAAB3">
            <w:pPr>
              <w:widowControl w:val="0"/>
              <w:snapToGrid w:val="0"/>
              <w:spacing w:line="440" w:lineRule="exact"/>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2025年</w:t>
            </w:r>
            <w:r>
              <w:rPr>
                <w:rFonts w:hint="eastAsia" w:ascii="宋体" w:hAnsi="宋体" w:cs="宋体"/>
                <w:b/>
                <w:bCs/>
                <w:color w:val="000000" w:themeColor="text1"/>
                <w:highlight w:val="none"/>
                <w:lang w:val="en-US" w:eastAsia="zh-CN"/>
                <w14:textFill>
                  <w14:solidFill>
                    <w14:schemeClr w14:val="tx1"/>
                  </w14:solidFill>
                </w14:textFill>
              </w:rPr>
              <w:t>06</w:t>
            </w:r>
            <w:r>
              <w:rPr>
                <w:rFonts w:hint="eastAsia" w:ascii="宋体" w:hAnsi="宋体" w:cs="宋体"/>
                <w:b/>
                <w:bCs/>
                <w:color w:val="000000" w:themeColor="text1"/>
                <w:highlight w:val="none"/>
                <w14:textFill>
                  <w14:solidFill>
                    <w14:schemeClr w14:val="tx1"/>
                  </w14:solidFill>
                </w14:textFill>
              </w:rPr>
              <w:t>月</w:t>
            </w:r>
            <w:r>
              <w:rPr>
                <w:rFonts w:hint="eastAsia" w:ascii="宋体" w:hAnsi="宋体" w:cs="宋体"/>
                <w:b/>
                <w:bCs/>
                <w:color w:val="000000" w:themeColor="text1"/>
                <w:highlight w:val="none"/>
                <w:lang w:val="en-US" w:eastAsia="zh-CN"/>
                <w14:textFill>
                  <w14:solidFill>
                    <w14:schemeClr w14:val="tx1"/>
                  </w14:solidFill>
                </w14:textFill>
              </w:rPr>
              <w:t>09</w:t>
            </w:r>
            <w:r>
              <w:rPr>
                <w:rFonts w:hint="eastAsia" w:ascii="宋体" w:hAnsi="宋体" w:cs="宋体"/>
                <w:b/>
                <w:bCs/>
                <w:color w:val="000000" w:themeColor="text1"/>
                <w:highlight w:val="none"/>
                <w14:textFill>
                  <w14:solidFill>
                    <w14:schemeClr w14:val="tx1"/>
                  </w14:solidFill>
                </w14:textFill>
              </w:rPr>
              <w:t>日</w:t>
            </w:r>
            <w:r>
              <w:rPr>
                <w:rFonts w:hint="eastAsia" w:ascii="宋体" w:hAnsi="宋体" w:cs="宋体"/>
                <w:b/>
                <w:bCs/>
                <w:color w:val="000000" w:themeColor="text1"/>
                <w:highlight w:val="none"/>
                <w:lang w:val="en-US" w:eastAsia="zh-CN"/>
                <w14:textFill>
                  <w14:solidFill>
                    <w14:schemeClr w14:val="tx1"/>
                  </w14:solidFill>
                </w14:textFill>
              </w:rPr>
              <w:t>09</w:t>
            </w:r>
            <w:r>
              <w:rPr>
                <w:rFonts w:hint="eastAsia" w:ascii="宋体" w:hAnsi="宋体" w:cs="宋体"/>
                <w:b/>
                <w:bCs/>
                <w:color w:val="000000" w:themeColor="text1"/>
                <w:highlight w:val="none"/>
                <w14:textFill>
                  <w14:solidFill>
                    <w14:schemeClr w14:val="tx1"/>
                  </w14:solidFill>
                </w14:textFill>
              </w:rPr>
              <w:t>时</w:t>
            </w:r>
            <w:r>
              <w:rPr>
                <w:rFonts w:hint="eastAsia" w:ascii="宋体" w:hAnsi="宋体" w:cs="宋体"/>
                <w:b/>
                <w:bCs/>
                <w:color w:val="000000" w:themeColor="text1"/>
                <w:highlight w:val="none"/>
                <w:lang w:val="en-US" w:eastAsia="zh-CN"/>
                <w14:textFill>
                  <w14:solidFill>
                    <w14:schemeClr w14:val="tx1"/>
                  </w14:solidFill>
                </w14:textFill>
              </w:rPr>
              <w:t>00</w:t>
            </w:r>
            <w:r>
              <w:rPr>
                <w:rFonts w:hint="eastAsia" w:ascii="宋体" w:hAnsi="宋体" w:cs="宋体"/>
                <w:b/>
                <w:bCs/>
                <w:color w:val="000000" w:themeColor="text1"/>
                <w:highlight w:val="none"/>
                <w14:textFill>
                  <w14:solidFill>
                    <w14:schemeClr w14:val="tx1"/>
                  </w14:solidFill>
                </w14:textFill>
              </w:rPr>
              <w:t>分(北京时间）</w:t>
            </w:r>
            <w:r>
              <w:rPr>
                <w:rFonts w:hint="eastAsia" w:ascii="宋体" w:hAnsi="宋体" w:cs="宋体"/>
                <w:color w:val="000000" w:themeColor="text1"/>
                <w:highlight w:val="none"/>
                <w14:textFill>
                  <w14:solidFill>
                    <w14:schemeClr w14:val="tx1"/>
                  </w14:solidFill>
                </w14:textFill>
              </w:rPr>
              <w:t>注：全面实行在线“不见面”开标，投标人远程在线解密投标文件，不再到开标现场，投标人开标前应仔细阅读《“不见面”开标注意事项及操作流程》。</w:t>
            </w:r>
          </w:p>
        </w:tc>
      </w:tr>
      <w:tr w14:paraId="118853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962" w:type="dxa"/>
            <w:vAlign w:val="center"/>
          </w:tcPr>
          <w:p w14:paraId="3B13897C">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20</w:t>
            </w:r>
          </w:p>
        </w:tc>
        <w:tc>
          <w:tcPr>
            <w:tcW w:w="2155" w:type="dxa"/>
            <w:vAlign w:val="center"/>
          </w:tcPr>
          <w:p w14:paraId="1AEB0FB5">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投标文件电子版</w:t>
            </w:r>
          </w:p>
        </w:tc>
        <w:tc>
          <w:tcPr>
            <w:tcW w:w="6131" w:type="dxa"/>
            <w:vAlign w:val="center"/>
          </w:tcPr>
          <w:p w14:paraId="2C785F61">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加密版投标文件1份（.file格式），并按规定进行上传。</w:t>
            </w:r>
          </w:p>
        </w:tc>
      </w:tr>
      <w:tr w14:paraId="504FF6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544859BA">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21</w:t>
            </w:r>
          </w:p>
        </w:tc>
        <w:tc>
          <w:tcPr>
            <w:tcW w:w="2155" w:type="dxa"/>
            <w:vAlign w:val="center"/>
          </w:tcPr>
          <w:p w14:paraId="6C5E1B0C">
            <w:pPr>
              <w:widowControl w:val="0"/>
              <w:autoSpaceDE w:val="0"/>
              <w:autoSpaceDN w:val="0"/>
              <w:snapToGrid w:val="0"/>
              <w:spacing w:before="50" w:line="440" w:lineRule="exact"/>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投标有效期</w:t>
            </w:r>
          </w:p>
        </w:tc>
        <w:tc>
          <w:tcPr>
            <w:tcW w:w="6131" w:type="dxa"/>
            <w:vAlign w:val="center"/>
          </w:tcPr>
          <w:p w14:paraId="6C0042DC">
            <w:pPr>
              <w:widowControl w:val="0"/>
              <w:snapToGrid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从投标截止之日起90日历天</w:t>
            </w:r>
          </w:p>
        </w:tc>
      </w:tr>
      <w:tr w14:paraId="230D8D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62" w:type="dxa"/>
            <w:vMerge w:val="restart"/>
            <w:vAlign w:val="center"/>
          </w:tcPr>
          <w:p w14:paraId="73678D2F">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22</w:t>
            </w:r>
          </w:p>
        </w:tc>
        <w:tc>
          <w:tcPr>
            <w:tcW w:w="2155" w:type="dxa"/>
          </w:tcPr>
          <w:p w14:paraId="5A1A36C4">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投标保证金</w:t>
            </w:r>
          </w:p>
        </w:tc>
        <w:tc>
          <w:tcPr>
            <w:tcW w:w="6131" w:type="dxa"/>
          </w:tcPr>
          <w:p w14:paraId="2B8534C5">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不收取</w:t>
            </w:r>
          </w:p>
        </w:tc>
      </w:tr>
      <w:tr w14:paraId="131595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62" w:type="dxa"/>
            <w:vMerge w:val="continue"/>
            <w:vAlign w:val="center"/>
          </w:tcPr>
          <w:p w14:paraId="5C58FDD4">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p>
        </w:tc>
        <w:tc>
          <w:tcPr>
            <w:tcW w:w="2155" w:type="dxa"/>
            <w:vAlign w:val="center"/>
          </w:tcPr>
          <w:p w14:paraId="6A6C5A93">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履约保证金</w:t>
            </w:r>
          </w:p>
        </w:tc>
        <w:tc>
          <w:tcPr>
            <w:tcW w:w="6131" w:type="dxa"/>
          </w:tcPr>
          <w:p w14:paraId="034F38A2">
            <w:pPr>
              <w:spacing w:line="400" w:lineRule="exact"/>
              <w:jc w:val="both"/>
              <w:rPr>
                <w:rFonts w:hint="default"/>
                <w:color w:val="000000" w:themeColor="text1"/>
                <w:highlight w:val="none"/>
                <w:lang w:val="en-US"/>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不收取</w:t>
            </w:r>
          </w:p>
        </w:tc>
      </w:tr>
      <w:tr w14:paraId="379D69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62" w:type="dxa"/>
            <w:vMerge w:val="continue"/>
            <w:vAlign w:val="center"/>
          </w:tcPr>
          <w:p w14:paraId="4026E05B">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p>
        </w:tc>
        <w:tc>
          <w:tcPr>
            <w:tcW w:w="2155" w:type="dxa"/>
          </w:tcPr>
          <w:p w14:paraId="0EFB95DA">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质量保证金</w:t>
            </w:r>
          </w:p>
        </w:tc>
        <w:tc>
          <w:tcPr>
            <w:tcW w:w="6131" w:type="dxa"/>
          </w:tcPr>
          <w:p w14:paraId="6C85EF78">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不收取</w:t>
            </w:r>
          </w:p>
        </w:tc>
      </w:tr>
      <w:tr w14:paraId="03ED1D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62" w:type="dxa"/>
            <w:vMerge w:val="continue"/>
            <w:vAlign w:val="center"/>
          </w:tcPr>
          <w:p w14:paraId="0D68ABE6">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p>
        </w:tc>
        <w:tc>
          <w:tcPr>
            <w:tcW w:w="2155" w:type="dxa"/>
          </w:tcPr>
          <w:p w14:paraId="332DD8A4">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招标文件费用</w:t>
            </w:r>
          </w:p>
        </w:tc>
        <w:tc>
          <w:tcPr>
            <w:tcW w:w="6131" w:type="dxa"/>
          </w:tcPr>
          <w:p w14:paraId="759B3026">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不收取</w:t>
            </w:r>
          </w:p>
        </w:tc>
      </w:tr>
      <w:tr w14:paraId="2A9B63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62" w:type="dxa"/>
            <w:vAlign w:val="center"/>
          </w:tcPr>
          <w:p w14:paraId="533BE23D">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23</w:t>
            </w:r>
          </w:p>
        </w:tc>
        <w:tc>
          <w:tcPr>
            <w:tcW w:w="2155" w:type="dxa"/>
            <w:vAlign w:val="center"/>
          </w:tcPr>
          <w:p w14:paraId="0E0DA61A">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签字或盖章要求</w:t>
            </w:r>
          </w:p>
        </w:tc>
        <w:tc>
          <w:tcPr>
            <w:tcW w:w="6131" w:type="dxa"/>
            <w:vAlign w:val="center"/>
          </w:tcPr>
          <w:p w14:paraId="18B8F2E6">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投标文件应按招标文件要求加盖单位公章、签字、盖章。投标文件中的各类证书及企业相关证明资料复印件须加盖投标人电子印章。若被授权代理人签字或盖章的，投标文件中应附法定代表人有效授权委托书。</w:t>
            </w:r>
          </w:p>
        </w:tc>
      </w:tr>
      <w:tr w14:paraId="0476A5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62" w:type="dxa"/>
            <w:vAlign w:val="center"/>
          </w:tcPr>
          <w:p w14:paraId="29A02D8D">
            <w:pPr>
              <w:widowControl w:val="0"/>
              <w:autoSpaceDE w:val="0"/>
              <w:autoSpaceDN w:val="0"/>
              <w:spacing w:before="50" w:line="440" w:lineRule="exact"/>
              <w:ind w:right="35"/>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24</w:t>
            </w:r>
          </w:p>
        </w:tc>
        <w:tc>
          <w:tcPr>
            <w:tcW w:w="2155" w:type="dxa"/>
            <w:vAlign w:val="center"/>
          </w:tcPr>
          <w:p w14:paraId="12188829">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递交投标文件地点</w:t>
            </w:r>
          </w:p>
        </w:tc>
        <w:tc>
          <w:tcPr>
            <w:tcW w:w="6131" w:type="dxa"/>
            <w:vAlign w:val="center"/>
          </w:tcPr>
          <w:p w14:paraId="16CF450D">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平顶山市公共资源交易中心电子交易系统</w:t>
            </w:r>
          </w:p>
        </w:tc>
      </w:tr>
      <w:tr w14:paraId="108AB4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62" w:type="dxa"/>
            <w:vAlign w:val="center"/>
          </w:tcPr>
          <w:p w14:paraId="0888EADA">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w:t>
            </w:r>
          </w:p>
        </w:tc>
        <w:tc>
          <w:tcPr>
            <w:tcW w:w="2155" w:type="dxa"/>
            <w:vAlign w:val="center"/>
          </w:tcPr>
          <w:p w14:paraId="5A473259">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开标时间和地点</w:t>
            </w:r>
          </w:p>
        </w:tc>
        <w:tc>
          <w:tcPr>
            <w:tcW w:w="6131" w:type="dxa"/>
            <w:vAlign w:val="center"/>
          </w:tcPr>
          <w:p w14:paraId="74326C00">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开标时间：同投标截止时间；</w:t>
            </w:r>
          </w:p>
          <w:p w14:paraId="1F54D207">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开标地点：平顶山市公共资源交易中心</w:t>
            </w:r>
          </w:p>
        </w:tc>
      </w:tr>
      <w:tr w14:paraId="66F97E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62" w:type="dxa"/>
            <w:vAlign w:val="center"/>
          </w:tcPr>
          <w:p w14:paraId="667E4694">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26</w:t>
            </w:r>
          </w:p>
        </w:tc>
        <w:tc>
          <w:tcPr>
            <w:tcW w:w="2155" w:type="dxa"/>
            <w:vAlign w:val="center"/>
          </w:tcPr>
          <w:p w14:paraId="0295B9EE">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开标程序</w:t>
            </w:r>
          </w:p>
        </w:tc>
        <w:tc>
          <w:tcPr>
            <w:tcW w:w="6131" w:type="dxa"/>
            <w:vAlign w:val="center"/>
          </w:tcPr>
          <w:p w14:paraId="770F78CF">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（1）电子化投标文件采用双重加密方式。开标时，首先由投标人使用 CA 证书，在规定时间内对其电子化投标文件进行首次解密，投标人解密完成后，再由中介服务机构使用 CA 证书对投标文件进行再次解密。</w:t>
            </w:r>
          </w:p>
          <w:p w14:paraId="4E100DBA">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（2）待所有投标人投标文件解密完成后，由中介服务机构操作，对所有已解密投标文件进行唱标。</w:t>
            </w:r>
          </w:p>
        </w:tc>
      </w:tr>
      <w:tr w14:paraId="2F8B7F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962" w:type="dxa"/>
            <w:vAlign w:val="center"/>
          </w:tcPr>
          <w:p w14:paraId="4598927F">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27</w:t>
            </w:r>
          </w:p>
        </w:tc>
        <w:tc>
          <w:tcPr>
            <w:tcW w:w="2155" w:type="dxa"/>
            <w:vAlign w:val="center"/>
          </w:tcPr>
          <w:p w14:paraId="3C4EC3C5">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评标委员会的组建</w:t>
            </w:r>
          </w:p>
        </w:tc>
        <w:tc>
          <w:tcPr>
            <w:tcW w:w="6131" w:type="dxa"/>
            <w:vAlign w:val="center"/>
          </w:tcPr>
          <w:p w14:paraId="235EF035">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评标委员会确定方式：评标委员会由采购人代表和评审专家组成，成员人数应当为5人以上单数，其中评审专家不得少于成员总人数的三分之二。</w:t>
            </w:r>
          </w:p>
          <w:p w14:paraId="643A3313">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评标专家确定方式：在专家库中随机抽取</w:t>
            </w:r>
          </w:p>
          <w:p w14:paraId="1B735490">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注：“上述规定为一组评标专家委员会组成方式，根据项目标段数量和评标工作量，可由多组专家委员会完成评审，但一个标段只能由一组评标专家委员会评审。”</w:t>
            </w:r>
          </w:p>
        </w:tc>
      </w:tr>
      <w:tr w14:paraId="705C74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962" w:type="dxa"/>
            <w:vAlign w:val="center"/>
          </w:tcPr>
          <w:p w14:paraId="5E0927D2">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28</w:t>
            </w:r>
          </w:p>
        </w:tc>
        <w:tc>
          <w:tcPr>
            <w:tcW w:w="2155" w:type="dxa"/>
            <w:vAlign w:val="center"/>
          </w:tcPr>
          <w:p w14:paraId="6AEE9071">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是否授权评标委会</w:t>
            </w:r>
          </w:p>
          <w:p w14:paraId="0A870202">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确定中标人</w:t>
            </w:r>
          </w:p>
        </w:tc>
        <w:tc>
          <w:tcPr>
            <w:tcW w:w="6131" w:type="dxa"/>
            <w:vAlign w:val="center"/>
          </w:tcPr>
          <w:p w14:paraId="46E43572">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否，由评标委员会按投标人最后得分高低推荐前1-3名为中标候选人。若排名第一的中标候选人放弃中标、因不可抗力提出不能履行合同，采购人可以确定第二中标候选人为中标人；依此类推，或重新招标。当所有中标候选人因上述原因不能签订合同的，采购人将依法重新招标。</w:t>
            </w:r>
          </w:p>
        </w:tc>
      </w:tr>
      <w:tr w14:paraId="429DD5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962" w:type="dxa"/>
            <w:vAlign w:val="center"/>
          </w:tcPr>
          <w:p w14:paraId="26D870E0">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29</w:t>
            </w:r>
          </w:p>
        </w:tc>
        <w:tc>
          <w:tcPr>
            <w:tcW w:w="2155" w:type="dxa"/>
            <w:vAlign w:val="center"/>
          </w:tcPr>
          <w:p w14:paraId="79E6E953">
            <w:pPr>
              <w:widowControl w:val="0"/>
              <w:spacing w:line="44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接收质疑函的方式和联系方式</w:t>
            </w:r>
          </w:p>
        </w:tc>
        <w:tc>
          <w:tcPr>
            <w:tcW w:w="6131" w:type="dxa"/>
            <w:vAlign w:val="center"/>
          </w:tcPr>
          <w:p w14:paraId="1FFCB898">
            <w:pPr>
              <w:widowControl w:val="0"/>
              <w:spacing w:line="440" w:lineRule="exact"/>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质疑函应在平顶山市公共资源交易系统中接收，质疑函的格式和内容应当符合相关法律法规的要求。联系方式如下：</w:t>
            </w:r>
          </w:p>
          <w:p w14:paraId="607DD666">
            <w:pPr>
              <w:widowControl w:val="0"/>
              <w:spacing w:line="440" w:lineRule="exact"/>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联系人：张先生    联系电话：17737565013</w:t>
            </w:r>
          </w:p>
          <w:p w14:paraId="44003CE7">
            <w:pPr>
              <w:widowControl w:val="0"/>
              <w:spacing w:line="440" w:lineRule="exact"/>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对供应商提出的质疑，采购人、采购代理机构应当依法及时答复和处理，不得推诿扯皮故意刁难，须进行实质性回应。</w:t>
            </w:r>
          </w:p>
        </w:tc>
      </w:tr>
      <w:tr w14:paraId="589037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962" w:type="dxa"/>
            <w:vAlign w:val="center"/>
          </w:tcPr>
          <w:p w14:paraId="6824ABD8">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30</w:t>
            </w:r>
          </w:p>
        </w:tc>
        <w:tc>
          <w:tcPr>
            <w:tcW w:w="2155" w:type="dxa"/>
            <w:vAlign w:val="center"/>
          </w:tcPr>
          <w:p w14:paraId="293A814C">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最高投标限价</w:t>
            </w:r>
          </w:p>
        </w:tc>
        <w:tc>
          <w:tcPr>
            <w:tcW w:w="6131" w:type="dxa"/>
            <w:vAlign w:val="center"/>
          </w:tcPr>
          <w:p w14:paraId="3DFD0289">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最高限价：965579.54元</w:t>
            </w:r>
          </w:p>
          <w:p w14:paraId="02AB92BB">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注：超出最高限价按废标处理。</w:t>
            </w:r>
          </w:p>
        </w:tc>
      </w:tr>
      <w:tr w14:paraId="69E24F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2D6C021A">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31</w:t>
            </w:r>
          </w:p>
        </w:tc>
        <w:tc>
          <w:tcPr>
            <w:tcW w:w="2155" w:type="dxa"/>
            <w:vAlign w:val="center"/>
          </w:tcPr>
          <w:p w14:paraId="58E5D942">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招标代理服务费</w:t>
            </w:r>
          </w:p>
        </w:tc>
        <w:tc>
          <w:tcPr>
            <w:tcW w:w="6131" w:type="dxa"/>
            <w:vAlign w:val="center"/>
          </w:tcPr>
          <w:p w14:paraId="263E83D2">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中标人在领取中标通知书前，应按照豫招协《河南省招标代理服务收费指导意见》【2023】002号文规定，本项目代理服务费16400.00元。</w:t>
            </w:r>
          </w:p>
          <w:p w14:paraId="066C5198">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投标人应在中标后向招标代理人支付招标代理服务费。此项费用由投标人综合考虑到投标报价中，不单独列项报价。</w:t>
            </w:r>
          </w:p>
        </w:tc>
      </w:tr>
      <w:tr w14:paraId="5D76B5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962" w:type="dxa"/>
            <w:vAlign w:val="center"/>
          </w:tcPr>
          <w:p w14:paraId="554670EF">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32</w:t>
            </w:r>
          </w:p>
        </w:tc>
        <w:tc>
          <w:tcPr>
            <w:tcW w:w="2155" w:type="dxa"/>
            <w:vAlign w:val="center"/>
          </w:tcPr>
          <w:p w14:paraId="29D000E3">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付款方式</w:t>
            </w:r>
          </w:p>
        </w:tc>
        <w:tc>
          <w:tcPr>
            <w:tcW w:w="6131" w:type="dxa"/>
            <w:vAlign w:val="center"/>
          </w:tcPr>
          <w:p w14:paraId="3B6E8AEE">
            <w:pPr>
              <w:pStyle w:val="51"/>
              <w:widowControl w:val="0"/>
              <w:spacing w:line="440" w:lineRule="exact"/>
              <w:ind w:firstLine="0"/>
              <w:rPr>
                <w:rFonts w:hint="eastAsia"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签订合同后，采购人支付合同价款的30%为预付款，中标人按照合同安装调试完毕，且经采购人组织相关单位初验合格后支付至合同价款的 80%，试运行一个月后经相关部门验收合格并备案通过后支付至合同价款的 100%。</w:t>
            </w:r>
          </w:p>
        </w:tc>
      </w:tr>
      <w:tr w14:paraId="603D6A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962" w:type="dxa"/>
            <w:vAlign w:val="center"/>
          </w:tcPr>
          <w:p w14:paraId="45A17165">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w:t>
            </w:r>
          </w:p>
        </w:tc>
        <w:tc>
          <w:tcPr>
            <w:tcW w:w="8286" w:type="dxa"/>
            <w:gridSpan w:val="2"/>
            <w:vAlign w:val="center"/>
          </w:tcPr>
          <w:p w14:paraId="66B5DEC8">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需要补充的其他内容</w:t>
            </w:r>
          </w:p>
        </w:tc>
      </w:tr>
      <w:tr w14:paraId="09796A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43932108">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33.1</w:t>
            </w:r>
          </w:p>
        </w:tc>
        <w:tc>
          <w:tcPr>
            <w:tcW w:w="2155" w:type="dxa"/>
            <w:vAlign w:val="center"/>
          </w:tcPr>
          <w:p w14:paraId="4E5A47E5">
            <w:pPr>
              <w:widowControl w:val="0"/>
              <w:spacing w:line="440" w:lineRule="exact"/>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政采领域优化营商环境相关政策</w:t>
            </w:r>
          </w:p>
        </w:tc>
        <w:tc>
          <w:tcPr>
            <w:tcW w:w="6131" w:type="dxa"/>
            <w:vAlign w:val="center"/>
          </w:tcPr>
          <w:p w14:paraId="7A85F1BD">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一、落实四个“一日办”精神：</w:t>
            </w:r>
          </w:p>
          <w:p w14:paraId="31CCB4A2">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按照《平顶山市财政局关于压减政府采购各环节时限 进一步优化政府采购营商环境的通知》（平财购〔2021〕34号）通知，落实四个“一日办”精神：</w:t>
            </w:r>
          </w:p>
          <w:p w14:paraId="52D16762">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（1）在评审结束后1日内确定采购结果，同时对中标单位发出中标或成交通知书，并在网上进行公告；</w:t>
            </w:r>
          </w:p>
          <w:p w14:paraId="44A3C2B7">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（2）中标或成交通知书发出后，1日内与中标或成交供应商签订合同，合同签订当日完成合同备案工作；</w:t>
            </w:r>
          </w:p>
          <w:p w14:paraId="41B90685">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（3）政府采购项目供应商履约完成后，采购人应在供应商提出验收申请1个工作日内完成验收，同时在平顶山市政府采购网发布验收结果公告；</w:t>
            </w:r>
          </w:p>
          <w:p w14:paraId="10411637">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（4）验收合格具备付款条件的项目，采购人要在1个工作日内按照合同约定支付项目资金。</w:t>
            </w:r>
          </w:p>
          <w:p w14:paraId="7C60D955">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注：签合同需法定代表人携带本人身份证（如为授权委托人，则携带法定代表人授权委托书及本人身份证）、单位公章、合同纸质版本一式六份及合同电子版。</w:t>
            </w:r>
          </w:p>
          <w:p w14:paraId="13115E69">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二、维护企业在政府采购活动中的知情权</w:t>
            </w:r>
          </w:p>
          <w:p w14:paraId="49E36986">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采用公开招标采购方式的政府采购项目，在公告中标结果的同时，对未通过资格审查的投标人，采购人或者采购代理机构应告知其未通过的原因；采用综合评分法评审的，还应当告知未中标人本人的评审得分与排序。采用竞争性谈判、竞争性磋商、询价、单一来源采购方式的政府采购项目，对供应商未实质性响应的文件按无效响应处理的，采购人或者采购代理机构应当告知供应商原因。</w:t>
            </w:r>
          </w:p>
          <w:p w14:paraId="5948A2CD">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三、提供中小企业声明函格式</w:t>
            </w:r>
          </w:p>
          <w:p w14:paraId="0309D8DC">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在采购文件中，采购代理机构应按照财政部、工信部印发的《政府采购促进中小企业发展管理办法》的通知精神（财库〔2020〕46号）提供中小企业声明函格式。</w:t>
            </w:r>
          </w:p>
          <w:p w14:paraId="44264DA7">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根据《政府采购促进中小企业发展管理办法》（财库〔2020〕46号）第四条：在政府采购活动中，供应商提供的货物、工程或者服务符合下列情形的，享受本办法规定的中小企业扶持政策：</w:t>
            </w:r>
          </w:p>
          <w:p w14:paraId="4B9A45C4">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（一）在货物采购项目中，货物由中小企业制造，即货物由中小企业生产且使用该中小企业商号或者注册商标；</w:t>
            </w:r>
          </w:p>
          <w:p w14:paraId="47F7FAD2">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（二）在工程采购项目中，工程由中小企业承建，即工程施工单位为中小企业；</w:t>
            </w:r>
          </w:p>
          <w:p w14:paraId="46FF2BDE">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（三）在服务采购项目中，服务由中小企业承接，即提供服务的人员为中小企业依照《中华人民共和国劳动合同法》订立劳动合同的从业人员。</w:t>
            </w:r>
          </w:p>
          <w:p w14:paraId="65EA8310">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在货物采购项目中，供应商提供的货物既有中小企业制造货物，也有大型企业制造货物的，不享受本办法规定的中小企业扶持政策。</w:t>
            </w:r>
          </w:p>
          <w:p w14:paraId="5B1A7668">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23E257BF">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四、推广政府采购合同融资</w:t>
            </w:r>
          </w:p>
          <w:p w14:paraId="365B8479">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要求采购人和代理机构将“政府采购合同融资告知函”写入竞争性磋商文件，鼓励中标供应商凭借采购合同申请贷款，助力解决中小企业融资难、融资贵的问题。</w:t>
            </w:r>
          </w:p>
          <w:p w14:paraId="4D40F72B">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五、落实预留采购份额</w:t>
            </w:r>
          </w:p>
          <w:p w14:paraId="3CFF9C0D">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采购人应当按照财政部、工信部印发的《政府采购促进中小企业发展管理办法》的通知精神（财库〔2020〕46号）组织评估本部门及所属单位政府采购项目，统筹制定面向中小企业预留采购份额的具体方案，对适宜由中小企业提供的采购项目和采购包，预留采购份额专门面向中小企业采购，并在政府采购预算中单独列示。采购限额标准以上，200万元以下的货物和服务采购项目、400万元以下的工程采购项目，适宜由中小企业提供的，采购单位应当专门面向中小企业采购。超过200万元的货物和服务采购项目、超过400 万元的工程采购项目中适宜由中小企业提供的，预留该部分采购项目预算总额的30%以上专门面向中小企业采购，其中预留给小微企业的比例不低于60%。确实不适宜由中小企业提供的，应当参照《政府采购促进中小企业发展管理办法》第六条在采购文件中说明理由。按照平顶山市财政局出台的《平顶山市财政局关于进一步加大政府采购支持中小企业力度的通知》（平财购〔2022〕8号）的规定：超过400万元的工程采购项目中适宜由中小企业提供的，采购人在坚持公开公正、公平竞争原则和统一质量标准的前提下，2022年下半年面向中小企业的预留份额由30%以上阶段性提高至40%以上，其中预留给小微企业的比例不低于60%。</w:t>
            </w:r>
          </w:p>
          <w:p w14:paraId="16C541DC">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六、落实价格评审优惠政策</w:t>
            </w:r>
          </w:p>
          <w:p w14:paraId="7BF49D33">
            <w:pPr>
              <w:pStyle w:val="67"/>
              <w:widowControl w:val="0"/>
              <w:spacing w:line="440" w:lineRule="exact"/>
              <w:ind w:firstLine="210"/>
              <w:jc w:val="left"/>
              <w:rPr>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对于未预留份额专门面向中小企业采购的采购项目，以及预留份额项目中的非预留部分采购包，采购人、采购代理机构应当对符合《政府采购促进中小企业发展管理办法》（财库〔2020〕46号）规定的小微企业报价给予6%—10%（工程项目为 3%—5%）的扣除，用扣除后的价格参加评审。大中型企业与小微企业组成联合体或者大中型企业向小微企业分包的（联合协议或者分包意向协议约定小微企业的合同份额应占合同总金额的30%以上），给予联合体或大中型企业2%—3%（工程项目为1%—2%）的价格扣除优惠，用扣除后的价格参加评审。按照平顶山市财政局出台的《平顶山市财政局关于进一步加大政府采购支持中小企业力度的通知》（平财购〔2022〕8号）的规定：采购人在货物和服务采购项目中， 对于经主管预算单位统筹后未预留份额专门面向中小企业的采购项目，以及预留份额项目中的非预留部分采购包，给予小微企业10%—20%的价格扣除优惠。大中型企业与小微企业组成联合体或者大中型企业向小微企业分包的（联合协议或者分包意向协议约定小微企业的合同份额应占合同总金额的30%以上），给予联合体或大中型企业4%—6%的价格扣除优惠，用扣除后的价格参加评审。鼓励采购人结合采购标的相关行业平均利润率、市场竞争状况等从高选择价格扣除比例和评审优惠幅度，支持中小企业发展。上述政策应当在评审办法中注明确定值。</w:t>
            </w:r>
          </w:p>
        </w:tc>
      </w:tr>
      <w:tr w14:paraId="2C44FC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4498EC4D">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33.2</w:t>
            </w:r>
          </w:p>
        </w:tc>
        <w:tc>
          <w:tcPr>
            <w:tcW w:w="2155" w:type="dxa"/>
            <w:vAlign w:val="center"/>
          </w:tcPr>
          <w:p w14:paraId="5500DA76">
            <w:pPr>
              <w:widowControl w:val="0"/>
              <w:spacing w:line="440" w:lineRule="exact"/>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落实绿色产品（节能产品、环境标志产品）优先采购政策。</w:t>
            </w:r>
          </w:p>
        </w:tc>
        <w:tc>
          <w:tcPr>
            <w:tcW w:w="6131" w:type="dxa"/>
            <w:vAlign w:val="center"/>
          </w:tcPr>
          <w:p w14:paraId="32C11417">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采购代理机构在编制采购文件制定评审规则时，采用综合评分法的项目，对技术和价格给予一定幅度的加分：一是在价格项中，可以对绿色产品给予价格总分值3%-5%幅度不等的加分；二是在技术中，可以对绿色产品给予技术总分值3%-5%幅度不等的价格。采用最低评标价法，最低成交价的采购项目，对绿色产品可以在评审时对其投标价格给予2%-5%不等的价格扣除。一个产品，既属于优先采购的节能产品，又列入环境标志产品清单中，在评审规则中可以设置重复加分，也可以只算其中一个，这个权力有采购人掌握，应在采购文件中注明。上述政策应当在评审办法中</w:t>
            </w:r>
            <w:r>
              <w:rPr>
                <w:rFonts w:hint="eastAsia" w:ascii="宋体" w:hAnsi="宋体" w:cs="宋体"/>
                <w:b/>
                <w:color w:val="000000" w:themeColor="text1"/>
                <w:highlight w:val="none"/>
                <w14:textFill>
                  <w14:solidFill>
                    <w14:schemeClr w14:val="tx1"/>
                  </w14:solidFill>
                </w14:textFill>
              </w:rPr>
              <w:t>注明确定值。</w:t>
            </w:r>
          </w:p>
        </w:tc>
      </w:tr>
      <w:tr w14:paraId="09AB9F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6ACC3FD5">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33.3</w:t>
            </w:r>
          </w:p>
        </w:tc>
        <w:tc>
          <w:tcPr>
            <w:tcW w:w="2155" w:type="dxa"/>
            <w:vAlign w:val="center"/>
          </w:tcPr>
          <w:p w14:paraId="4D2DCE7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本项目所属行业</w:t>
            </w:r>
          </w:p>
        </w:tc>
        <w:tc>
          <w:tcPr>
            <w:tcW w:w="6131" w:type="dxa"/>
            <w:vAlign w:val="center"/>
          </w:tcPr>
          <w:p w14:paraId="45A9F460">
            <w:pPr>
              <w:pStyle w:val="16"/>
              <w:spacing w:after="0" w:line="440" w:lineRule="exact"/>
              <w:ind w:right="105" w:rightChars="50" w:firstLine="0" w:firstLineChars="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采购标的所属行业：工业</w:t>
            </w:r>
          </w:p>
          <w:p w14:paraId="08FEC36B">
            <w:pPr>
              <w:pStyle w:val="16"/>
              <w:spacing w:after="0" w:line="440" w:lineRule="exact"/>
              <w:ind w:right="105" w:rightChars="50" w:firstLine="0" w:firstLineChars="0"/>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划定标准（行业属性划分参照关于印发中小企业划型标准规定的通知(工信部联企业〔2011〕300号) ）</w:t>
            </w:r>
          </w:p>
        </w:tc>
      </w:tr>
      <w:tr w14:paraId="25D45D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62CAF7B1">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33.4</w:t>
            </w:r>
          </w:p>
        </w:tc>
        <w:tc>
          <w:tcPr>
            <w:tcW w:w="2155" w:type="dxa"/>
            <w:vAlign w:val="center"/>
          </w:tcPr>
          <w:p w14:paraId="22F91E29">
            <w:pPr>
              <w:widowControl w:val="0"/>
              <w:spacing w:line="440" w:lineRule="exact"/>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合同签订方式</w:t>
            </w:r>
          </w:p>
        </w:tc>
        <w:tc>
          <w:tcPr>
            <w:tcW w:w="6131" w:type="dxa"/>
            <w:vAlign w:val="center"/>
          </w:tcPr>
          <w:p w14:paraId="296656BF">
            <w:pPr>
              <w:pStyle w:val="67"/>
              <w:widowControl w:val="0"/>
              <w:spacing w:line="440" w:lineRule="exact"/>
              <w:ind w:right="105" w:rightChars="50" w:firstLine="0" w:firstLineChars="0"/>
              <w:rPr>
                <w:rFonts w:hint="eastAsia" w:ascii="宋体" w:hAnsi="宋体" w:cs="宋体"/>
                <w:color w:val="000000" w:themeColor="text1"/>
                <w:highlight w:val="none"/>
                <w:lang w:val="zh-TW"/>
                <w14:textFill>
                  <w14:solidFill>
                    <w14:schemeClr w14:val="tx1"/>
                  </w14:solidFill>
                </w14:textFill>
              </w:rPr>
            </w:pPr>
            <w:r>
              <w:rPr>
                <w:rFonts w:hint="eastAsia" w:ascii="宋体" w:hAnsi="宋体" w:cs="宋体"/>
                <w:color w:val="000000" w:themeColor="text1"/>
                <w:highlight w:val="none"/>
                <w:lang w:val="zh-TW"/>
                <w14:textFill>
                  <w14:solidFill>
                    <w14:schemeClr w14:val="tx1"/>
                  </w14:solidFill>
                </w14:textFill>
              </w:rPr>
              <w:t>合同在线签订，采购人与中标人（供应商）利用平顶山公共资源交易平台“合同在线签订模块”，将电子合同推送至对方进行审核，经双方确认均无异议通过后，进行在线签章，完成合同签订并公示。</w:t>
            </w:r>
          </w:p>
        </w:tc>
      </w:tr>
      <w:tr w14:paraId="7A6B98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61FD5708">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33.5</w:t>
            </w:r>
          </w:p>
        </w:tc>
        <w:tc>
          <w:tcPr>
            <w:tcW w:w="2155" w:type="dxa"/>
            <w:vAlign w:val="center"/>
          </w:tcPr>
          <w:p w14:paraId="2BC8063E">
            <w:pPr>
              <w:pStyle w:val="28"/>
              <w:spacing w:line="440" w:lineRule="exact"/>
              <w:jc w:val="center"/>
              <w:rPr>
                <w:rFonts w:hint="eastAsia" w:hAnsi="宋体" w:cs="宋体"/>
                <w:b/>
                <w:bCs/>
                <w:color w:val="000000" w:themeColor="text1"/>
                <w:kern w:val="2"/>
                <w:sz w:val="21"/>
                <w:szCs w:val="21"/>
                <w:highlight w:val="none"/>
                <w14:textFill>
                  <w14:solidFill>
                    <w14:schemeClr w14:val="tx1"/>
                  </w14:solidFill>
                </w14:textFill>
              </w:rPr>
            </w:pPr>
            <w:r>
              <w:rPr>
                <w:rFonts w:hint="eastAsia" w:hAnsi="宋体" w:cs="宋体"/>
                <w:b/>
                <w:bCs/>
                <w:color w:val="000000" w:themeColor="text1"/>
                <w:kern w:val="2"/>
                <w:sz w:val="21"/>
                <w:szCs w:val="21"/>
                <w:highlight w:val="none"/>
                <w14:textFill>
                  <w14:solidFill>
                    <w14:schemeClr w14:val="tx1"/>
                  </w14:solidFill>
                </w14:textFill>
              </w:rPr>
              <w:t>★专家特别注意</w:t>
            </w:r>
          </w:p>
          <w:p w14:paraId="380AE23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“四方信用评价”须知（采购人、代理机构、本项目评审专家、本项目中标供应商）</w:t>
            </w:r>
          </w:p>
        </w:tc>
        <w:tc>
          <w:tcPr>
            <w:tcW w:w="6131" w:type="dxa"/>
            <w:vAlign w:val="center"/>
          </w:tcPr>
          <w:p w14:paraId="0BACD070">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《河南省政府采购网》目前已增加“四方信用评价”功能。请本项目采购人、代理机构、本项目评审专家、本项目中标供应商，按照评价时间节点按时完成评价工作。</w:t>
            </w:r>
          </w:p>
          <w:p w14:paraId="666E3BE2">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时间节点在评审结束后的五个工作日内。如果超期未评价，系统会默认超期不让评价。注：请各方注意时间，避免因超期未评价影响自身信用！</w:t>
            </w:r>
          </w:p>
          <w:p w14:paraId="14927454">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1.采购人、采购代理机构应当在评审工作结束后五个工作日内对评审专家进行评价。</w:t>
            </w:r>
          </w:p>
          <w:p w14:paraId="0B34688F">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2.采购人、评审专家、供应商应当在评审工作结束后五个工作日内对代理机构进行评价。</w:t>
            </w:r>
          </w:p>
          <w:p w14:paraId="75611FED">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3.采购人应当在合同履约完成后对中标供应商进行评价。</w:t>
            </w:r>
          </w:p>
          <w:p w14:paraId="109E3CEF">
            <w:pPr>
              <w:pStyle w:val="16"/>
              <w:spacing w:after="0" w:line="440" w:lineRule="exact"/>
              <w:ind w:right="105" w:rightChars="50" w:firstLine="0" w:firstLineChars="0"/>
              <w:rPr>
                <w:rFonts w:hint="eastAsia" w:ascii="宋体" w:hAnsi="宋体" w:cs="宋体"/>
                <w:color w:val="000000" w:themeColor="text1"/>
                <w:sz w:val="21"/>
                <w:szCs w:val="21"/>
                <w:highlight w:val="none"/>
                <w14:textFill>
                  <w14:solidFill>
                    <w14:schemeClr w14:val="tx1"/>
                  </w14:solidFill>
                </w14:textFill>
              </w:rPr>
            </w:pPr>
            <w:r>
              <w:rPr>
                <w:rStyle w:val="162"/>
                <w:rFonts w:hint="eastAsia" w:ascii="宋体" w:hAnsi="宋体" w:cs="宋体"/>
                <w:color w:val="000000" w:themeColor="text1"/>
                <w:sz w:val="21"/>
                <w:szCs w:val="21"/>
                <w:highlight w:val="none"/>
                <w14:textFill>
                  <w14:solidFill>
                    <w14:schemeClr w14:val="tx1"/>
                  </w14:solidFill>
                </w14:textFill>
              </w:rPr>
              <w:t>4.中标供应商应当在合同履约完成后对采购人进行评价。</w:t>
            </w:r>
          </w:p>
        </w:tc>
      </w:tr>
      <w:tr w14:paraId="5F3967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4E2BA1B8">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33.6</w:t>
            </w:r>
          </w:p>
        </w:tc>
        <w:tc>
          <w:tcPr>
            <w:tcW w:w="2155" w:type="dxa"/>
            <w:vAlign w:val="center"/>
          </w:tcPr>
          <w:p w14:paraId="676A0725">
            <w:pPr>
              <w:widowControl w:val="0"/>
              <w:spacing w:line="440" w:lineRule="exact"/>
              <w:jc w:val="center"/>
              <w:rPr>
                <w:rFonts w:hint="eastAsia"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开标程序</w:t>
            </w:r>
          </w:p>
        </w:tc>
        <w:tc>
          <w:tcPr>
            <w:tcW w:w="6131" w:type="dxa"/>
            <w:vAlign w:val="center"/>
          </w:tcPr>
          <w:p w14:paraId="20E88293">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166F56A9">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2、如出现投标人的电子投标文件无法解密的情况，投标人应及时联系采购人（代理机构）进行说明。投标文件解密异常，按以下步骤进行处理：</w:t>
            </w:r>
          </w:p>
          <w:p w14:paraId="79BBAE93">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（1）如果是投标文件自身问题导致投标文件无法解密的，该投标文件将不予接收、解密。</w:t>
            </w:r>
          </w:p>
          <w:p w14:paraId="4EBA7BEF">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（2）如果是电子化交易系统问题造成投标文件无法解密的，将由技术人员进行排查处理。如短时间内问题无法解决的，将由采购人（代理机构）联系监督部门申请暂停开标，待问题解决后继续开标。</w:t>
            </w:r>
          </w:p>
          <w:p w14:paraId="6B46F113">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3、所有投标文件解密完成后，由采购人（代理机构）操作，对开标结果进行公示。</w:t>
            </w:r>
          </w:p>
          <w:p w14:paraId="52359253">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4、投标人应保证在开标期间电话、电脑、网络等能够正常使用，投标人因停电、电脑病毒、网络堵塞等原因，未在规定的解密时间内对投标文件进行解密的，其投标文件不予接收。</w:t>
            </w:r>
          </w:p>
          <w:p w14:paraId="0B823302">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解密完成后，投标人可登录到交易系统查看自己的投标报价。如对自己的报价内容有异议的，应在报价内容显示后20分钟内联系采购人（代理机构）进行质疑，投标人未在规定时间内提出质疑的，视为认可开标结果显示内容。</w:t>
            </w:r>
          </w:p>
        </w:tc>
      </w:tr>
      <w:tr w14:paraId="6DC60E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42FDD917">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33.7</w:t>
            </w:r>
          </w:p>
        </w:tc>
        <w:tc>
          <w:tcPr>
            <w:tcW w:w="2155" w:type="dxa"/>
            <w:vAlign w:val="center"/>
          </w:tcPr>
          <w:p w14:paraId="00D9FC4A">
            <w:pPr>
              <w:widowControl w:val="0"/>
              <w:spacing w:line="440" w:lineRule="exact"/>
              <w:jc w:val="center"/>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质保期</w:t>
            </w:r>
          </w:p>
        </w:tc>
        <w:tc>
          <w:tcPr>
            <w:tcW w:w="6131" w:type="dxa"/>
            <w:vAlign w:val="center"/>
          </w:tcPr>
          <w:p w14:paraId="733CA2E6">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3年(质保期自设备安装并验收合格之日起算）</w:t>
            </w:r>
          </w:p>
        </w:tc>
      </w:tr>
      <w:tr w14:paraId="3888DE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1EA6341F">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33.8</w:t>
            </w:r>
          </w:p>
        </w:tc>
        <w:tc>
          <w:tcPr>
            <w:tcW w:w="2155" w:type="dxa"/>
            <w:vAlign w:val="center"/>
          </w:tcPr>
          <w:p w14:paraId="4C6F0F68">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设备维修</w:t>
            </w:r>
          </w:p>
        </w:tc>
        <w:tc>
          <w:tcPr>
            <w:tcW w:w="6131" w:type="dxa"/>
            <w:vAlign w:val="center"/>
          </w:tcPr>
          <w:p w14:paraId="63CCA2DC">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质保期内所有</w:t>
            </w:r>
            <w:r>
              <w:rPr>
                <w:rFonts w:hint="eastAsia" w:ascii="宋体" w:hAnsi="宋体" w:cs="宋体"/>
                <w:color w:val="000000" w:themeColor="text1"/>
                <w:highlight w:val="none"/>
                <w14:textFill>
                  <w14:solidFill>
                    <w14:schemeClr w14:val="tx1"/>
                  </w14:solidFill>
                </w14:textFill>
              </w:rPr>
              <w:t>设备维修及更换所产生的费用，由中标供应商承担</w:t>
            </w:r>
          </w:p>
        </w:tc>
      </w:tr>
      <w:tr w14:paraId="6B4902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76A2E160">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33.9</w:t>
            </w:r>
          </w:p>
        </w:tc>
        <w:tc>
          <w:tcPr>
            <w:tcW w:w="2155" w:type="dxa"/>
            <w:vAlign w:val="center"/>
          </w:tcPr>
          <w:p w14:paraId="5F2BF71F">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其他要求</w:t>
            </w:r>
          </w:p>
        </w:tc>
        <w:tc>
          <w:tcPr>
            <w:tcW w:w="6131" w:type="dxa"/>
            <w:vAlign w:val="center"/>
          </w:tcPr>
          <w:p w14:paraId="199B2145">
            <w:pPr>
              <w:widowControl w:val="0"/>
              <w:spacing w:line="440" w:lineRule="exact"/>
              <w:jc w:val="left"/>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中标方配合采购人组织验收、形成绩效自查报告，完成备案等后续相关工作，排污的中水符合排放标准。</w:t>
            </w:r>
          </w:p>
        </w:tc>
      </w:tr>
      <w:tr w14:paraId="5067BD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2D34E1B2">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33.10</w:t>
            </w:r>
          </w:p>
        </w:tc>
        <w:tc>
          <w:tcPr>
            <w:tcW w:w="2155" w:type="dxa"/>
            <w:vAlign w:val="center"/>
          </w:tcPr>
          <w:p w14:paraId="1178E6CD">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中标公示</w:t>
            </w:r>
          </w:p>
        </w:tc>
        <w:tc>
          <w:tcPr>
            <w:tcW w:w="6131" w:type="dxa"/>
            <w:vAlign w:val="center"/>
          </w:tcPr>
          <w:p w14:paraId="0A235484">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在中标通知书发出前，采购人将中标供应商的情况予以公告，公告期不少于1个工作日。</w:t>
            </w:r>
          </w:p>
        </w:tc>
      </w:tr>
      <w:tr w14:paraId="1C66DD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3" w:hRule="atLeast"/>
          <w:jc w:val="center"/>
        </w:trPr>
        <w:tc>
          <w:tcPr>
            <w:tcW w:w="962" w:type="dxa"/>
            <w:vAlign w:val="center"/>
          </w:tcPr>
          <w:p w14:paraId="45F5FDFE">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33.11</w:t>
            </w:r>
          </w:p>
        </w:tc>
        <w:tc>
          <w:tcPr>
            <w:tcW w:w="2155" w:type="dxa"/>
            <w:vAlign w:val="center"/>
          </w:tcPr>
          <w:p w14:paraId="47B1AECC">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★供应商特别注意</w:t>
            </w:r>
          </w:p>
        </w:tc>
        <w:tc>
          <w:tcPr>
            <w:tcW w:w="6131" w:type="dxa"/>
            <w:vAlign w:val="center"/>
          </w:tcPr>
          <w:p w14:paraId="6BD21066">
            <w:pPr>
              <w:pStyle w:val="16"/>
              <w:widowControl w:val="0"/>
              <w:spacing w:after="0" w:line="440" w:lineRule="exact"/>
              <w:ind w:left="63" w:leftChars="30" w:right="105" w:rightChars="50" w:firstLine="0" w:firstLineChars="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开标前需在“河南省政府采购网”完成供应商注册，以备中标后合同公示能够提取到供应商相关信息。</w:t>
            </w:r>
          </w:p>
        </w:tc>
      </w:tr>
      <w:tr w14:paraId="68751F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3" w:hRule="atLeast"/>
          <w:jc w:val="center"/>
        </w:trPr>
        <w:tc>
          <w:tcPr>
            <w:tcW w:w="962" w:type="dxa"/>
            <w:vAlign w:val="center"/>
          </w:tcPr>
          <w:p w14:paraId="390C0043">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33.12</w:t>
            </w:r>
          </w:p>
        </w:tc>
        <w:tc>
          <w:tcPr>
            <w:tcW w:w="2155" w:type="dxa"/>
            <w:vAlign w:val="center"/>
          </w:tcPr>
          <w:p w14:paraId="502B7DA4">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补充内容</w:t>
            </w:r>
          </w:p>
        </w:tc>
        <w:tc>
          <w:tcPr>
            <w:tcW w:w="6131" w:type="dxa"/>
            <w:vAlign w:val="center"/>
          </w:tcPr>
          <w:p w14:paraId="7B47A5BD">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本项目需结合施工图纸完成本项目（图纸在</w:t>
            </w:r>
            <w:r>
              <w:rPr>
                <w:rFonts w:hint="eastAsia" w:ascii="宋体" w:hAnsi="宋体" w:cs="宋体"/>
                <w:color w:val="000000" w:themeColor="text1"/>
                <w:highlight w:val="none"/>
                <w:lang w:eastAsia="zh-CN"/>
                <w14:textFill>
                  <w14:solidFill>
                    <w14:schemeClr w14:val="tx1"/>
                  </w14:solidFill>
                </w14:textFill>
              </w:rPr>
              <w:t>平顶山市公共资源交易中心</w:t>
            </w:r>
            <w:r>
              <w:rPr>
                <w:rFonts w:hint="eastAsia" w:ascii="宋体" w:hAnsi="宋体" w:cs="宋体"/>
                <w:color w:val="000000" w:themeColor="text1"/>
                <w:highlight w:val="none"/>
                <w14:textFill>
                  <w14:solidFill>
                    <w14:schemeClr w14:val="tx1"/>
                  </w14:solidFill>
                </w14:textFill>
              </w:rPr>
              <w:t>系统中下载）</w:t>
            </w:r>
          </w:p>
        </w:tc>
      </w:tr>
      <w:tr w14:paraId="0B9124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3" w:hRule="atLeast"/>
          <w:jc w:val="center"/>
        </w:trPr>
        <w:tc>
          <w:tcPr>
            <w:tcW w:w="962" w:type="dxa"/>
            <w:vAlign w:val="center"/>
          </w:tcPr>
          <w:p w14:paraId="26A56AFE">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33.13</w:t>
            </w:r>
          </w:p>
        </w:tc>
        <w:tc>
          <w:tcPr>
            <w:tcW w:w="2155" w:type="dxa"/>
            <w:vAlign w:val="center"/>
          </w:tcPr>
          <w:p w14:paraId="063B8B0B">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解释权</w:t>
            </w:r>
          </w:p>
        </w:tc>
        <w:tc>
          <w:tcPr>
            <w:tcW w:w="6131" w:type="dxa"/>
            <w:vAlign w:val="center"/>
          </w:tcPr>
          <w:p w14:paraId="3EEB34DE">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本招标文件解释权归采购人。</w:t>
            </w:r>
          </w:p>
        </w:tc>
      </w:tr>
    </w:tbl>
    <w:p w14:paraId="0107E03C">
      <w:pPr>
        <w:jc w:val="center"/>
        <w:outlineLvl w:val="1"/>
        <w:rPr>
          <w:rStyle w:val="35"/>
          <w:rFonts w:hint="eastAsia" w:ascii="宋体" w:hAnsi="宋体" w:eastAsia="宋体"/>
          <w:color w:val="000000" w:themeColor="text1"/>
          <w:highlight w:val="none"/>
          <w14:textFill>
            <w14:solidFill>
              <w14:schemeClr w14:val="tx1"/>
            </w14:solidFill>
          </w14:textFill>
        </w:rPr>
      </w:pPr>
      <w:bookmarkStart w:id="13" w:name="_Toc318932193"/>
      <w:bookmarkEnd w:id="13"/>
      <w:bookmarkStart w:id="14" w:name="_Toc5927"/>
      <w:bookmarkEnd w:id="14"/>
      <w:bookmarkStart w:id="15" w:name="_Toc6784"/>
      <w:bookmarkStart w:id="16" w:name="_Toc25986"/>
      <w:r>
        <w:rPr>
          <w:rStyle w:val="35"/>
          <w:rFonts w:hint="eastAsia" w:ascii="宋体" w:hAnsi="宋体" w:eastAsia="宋体"/>
          <w:color w:val="000000" w:themeColor="text1"/>
          <w:highlight w:val="none"/>
          <w14:textFill>
            <w14:solidFill>
              <w14:schemeClr w14:val="tx1"/>
            </w14:solidFill>
          </w14:textFill>
        </w:rPr>
        <w:t>二．投标人须知</w:t>
      </w:r>
      <w:bookmarkEnd w:id="15"/>
      <w:bookmarkEnd w:id="16"/>
    </w:p>
    <w:p w14:paraId="7FC96EC0">
      <w:pPr>
        <w:spacing w:before="156" w:after="156" w:line="42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（一）总  则</w:t>
      </w:r>
    </w:p>
    <w:p w14:paraId="3F696D9B">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1.项目说明</w:t>
      </w:r>
    </w:p>
    <w:p w14:paraId="39DE4F6C">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w:t>
      </w:r>
      <w:r>
        <w:rPr>
          <w:rFonts w:hint="eastAsia" w:ascii="宋体" w:hAnsi="宋体"/>
          <w:color w:val="000000" w:themeColor="text1"/>
          <w:kern w:val="0"/>
          <w:sz w:val="24"/>
          <w:highlight w:val="none"/>
          <w14:textFill>
            <w14:solidFill>
              <w14:schemeClr w14:val="tx1"/>
            </w14:solidFill>
          </w14:textFill>
        </w:rPr>
        <w:t>根据《中华人民共和国政府采购法》及《政府采购货物和服务招标投标管理办法》等有关法律、法规和规章的规定，本招标项目已具备招标条件，现通过招标方式选定供货商。</w:t>
      </w:r>
    </w:p>
    <w:p w14:paraId="75A5E1D4">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1.2 本项目采购人：见投标人须知前附表。</w:t>
      </w:r>
    </w:p>
    <w:p w14:paraId="69359B35">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1.3 本项目采购代理机构：见投标人须知前附表。</w:t>
      </w:r>
    </w:p>
    <w:p w14:paraId="603B4A49">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1.4 本项目名称：见投标人须知前附表。</w:t>
      </w:r>
    </w:p>
    <w:p w14:paraId="052407CF">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1.5 本项目采购内容：见投标人须知前附表。</w:t>
      </w:r>
    </w:p>
    <w:p w14:paraId="5CB311DF">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1.6 本项目</w:t>
      </w:r>
      <w:r>
        <w:rPr>
          <w:rFonts w:hint="eastAsia" w:ascii="宋体" w:hAnsi="宋体"/>
          <w:color w:val="000000" w:themeColor="text1"/>
          <w:sz w:val="24"/>
          <w:highlight w:val="none"/>
          <w14:textFill>
            <w14:solidFill>
              <w14:schemeClr w14:val="tx1"/>
            </w14:solidFill>
          </w14:textFill>
        </w:rPr>
        <w:t>交货及安装周期、</w:t>
      </w:r>
      <w:r>
        <w:rPr>
          <w:rFonts w:hint="eastAsia" w:ascii="宋体" w:hAnsi="宋体"/>
          <w:color w:val="000000" w:themeColor="text1"/>
          <w:kern w:val="0"/>
          <w:sz w:val="24"/>
          <w:szCs w:val="24"/>
          <w:highlight w:val="none"/>
          <w14:textFill>
            <w14:solidFill>
              <w14:schemeClr w14:val="tx1"/>
            </w14:solidFill>
          </w14:textFill>
        </w:rPr>
        <w:t>交货地点：见投标人须知前附表。</w:t>
      </w:r>
    </w:p>
    <w:p w14:paraId="76F77956">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2.有关定义</w:t>
      </w:r>
    </w:p>
    <w:p w14:paraId="46AE6F1C">
      <w:pPr>
        <w:tabs>
          <w:tab w:val="left" w:pos="540"/>
        </w:tabs>
        <w:spacing w:line="440" w:lineRule="exact"/>
        <w:ind w:firstLine="493"/>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2.1 采购人：采购人系指依法进行政府采购的国家机关、事业单位、团体组织。本次招标的采购人是平顶山职业技术学院。</w:t>
      </w:r>
    </w:p>
    <w:p w14:paraId="73D2C894">
      <w:pPr>
        <w:tabs>
          <w:tab w:val="left" w:pos="540"/>
        </w:tabs>
        <w:spacing w:line="440" w:lineRule="exact"/>
        <w:ind w:firstLine="493"/>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2.2 采购代理机构：采购代理机构系指根据采购人的委托依法办理招标事宜的中介机构。本次招标的采购代理机构是指受采购人委托组织招标的河南荣之鑫工程管理有限公司。</w:t>
      </w:r>
    </w:p>
    <w:p w14:paraId="09E992F6">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2.3合格的投标人</w:t>
      </w:r>
    </w:p>
    <w:p w14:paraId="2290C0F8">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2.3.1具备投标人资质要求的条件，见投标人须知前附表；</w:t>
      </w:r>
    </w:p>
    <w:p w14:paraId="087E2367">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2.3.2购买了</w:t>
      </w:r>
      <w:r>
        <w:rPr>
          <w:rFonts w:hint="eastAsia" w:ascii="宋体" w:hAnsi="宋体"/>
          <w:color w:val="000000" w:themeColor="text1"/>
          <w:sz w:val="24"/>
          <w:szCs w:val="24"/>
          <w:highlight w:val="none"/>
          <w14:textFill>
            <w14:solidFill>
              <w14:schemeClr w14:val="tx1"/>
            </w14:solidFill>
          </w14:textFill>
        </w:rPr>
        <w:t>招标文件拟参加投标和向采购人提供货物及相应服务的投标人；</w:t>
      </w:r>
    </w:p>
    <w:p w14:paraId="6A633215">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2.3.3遵守国家有关的法律、法规和条例。</w:t>
      </w:r>
    </w:p>
    <w:p w14:paraId="0ED21FAF">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bookmarkStart w:id="17" w:name="_Toc144974503"/>
      <w:bookmarkEnd w:id="17"/>
      <w:bookmarkStart w:id="18" w:name="_Toc152042311"/>
      <w:bookmarkEnd w:id="18"/>
      <w:bookmarkStart w:id="19" w:name="_Toc179632552"/>
      <w:bookmarkEnd w:id="19"/>
      <w:bookmarkStart w:id="20" w:name="_Toc292893102"/>
      <w:bookmarkEnd w:id="20"/>
      <w:bookmarkStart w:id="21" w:name="_Toc152045535"/>
      <w:bookmarkEnd w:id="21"/>
      <w:r>
        <w:rPr>
          <w:rFonts w:hint="eastAsia" w:ascii="宋体" w:hAnsi="宋体"/>
          <w:b/>
          <w:bCs/>
          <w:color w:val="000000" w:themeColor="text1"/>
          <w:kern w:val="0"/>
          <w:sz w:val="24"/>
          <w:szCs w:val="24"/>
          <w:highlight w:val="none"/>
          <w14:textFill>
            <w14:solidFill>
              <w14:schemeClr w14:val="tx1"/>
            </w14:solidFill>
          </w14:textFill>
        </w:rPr>
        <w:t>3.费用承担</w:t>
      </w:r>
    </w:p>
    <w:p w14:paraId="417EEE00">
      <w:pPr>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投标人应承担其编制招标文件与递交投标文件所涉及的一切费用。不管结果如何，投标人应自行承担投标的全部费用。</w:t>
      </w:r>
    </w:p>
    <w:p w14:paraId="0A9C873B">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bookmarkStart w:id="22" w:name="_Toc179632554"/>
      <w:bookmarkEnd w:id="22"/>
      <w:bookmarkStart w:id="23" w:name="_Toc292893103"/>
      <w:bookmarkEnd w:id="23"/>
      <w:bookmarkStart w:id="24" w:name="_Toc144974505"/>
      <w:bookmarkEnd w:id="24"/>
      <w:bookmarkStart w:id="25" w:name="_Toc152045537"/>
      <w:bookmarkEnd w:id="25"/>
      <w:bookmarkStart w:id="26" w:name="_Toc152042313"/>
      <w:bookmarkEnd w:id="26"/>
      <w:r>
        <w:rPr>
          <w:rFonts w:hint="eastAsia" w:ascii="宋体" w:hAnsi="宋体"/>
          <w:b/>
          <w:bCs/>
          <w:color w:val="000000" w:themeColor="text1"/>
          <w:kern w:val="0"/>
          <w:sz w:val="24"/>
          <w:szCs w:val="24"/>
          <w:highlight w:val="none"/>
          <w14:textFill>
            <w14:solidFill>
              <w14:schemeClr w14:val="tx1"/>
            </w14:solidFill>
          </w14:textFill>
        </w:rPr>
        <w:t>4.语言文字</w:t>
      </w:r>
    </w:p>
    <w:p w14:paraId="37724A0C">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除专用术语外，与招标投标有关的语言均使用中文。专用术语应附有中文注释。</w:t>
      </w:r>
    </w:p>
    <w:p w14:paraId="60BAC6C2">
      <w:pPr>
        <w:spacing w:before="156" w:after="156" w:line="44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（二）招标文件</w:t>
      </w:r>
    </w:p>
    <w:p w14:paraId="48EDCC36">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5.招标文件的组成</w:t>
      </w:r>
    </w:p>
    <w:p w14:paraId="1BDB77EA">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本招标文件包括：</w:t>
      </w:r>
    </w:p>
    <w:p w14:paraId="67298C65">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（1）招标公告</w:t>
      </w:r>
    </w:p>
    <w:p w14:paraId="45BBBFB8">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（2）投标人须知</w:t>
      </w:r>
    </w:p>
    <w:p w14:paraId="72D73426">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（3）评标办法</w:t>
      </w:r>
    </w:p>
    <w:p w14:paraId="05B6EA3D">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（4）合同条款及格式</w:t>
      </w:r>
    </w:p>
    <w:p w14:paraId="74F1EF7C">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（5）采购需求</w:t>
      </w:r>
    </w:p>
    <w:p w14:paraId="5FC783CE">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（6）投标文件格式</w:t>
      </w:r>
    </w:p>
    <w:p w14:paraId="4DC88A7C">
      <w:pPr>
        <w:snapToGrid w:val="0"/>
        <w:spacing w:before="156" w:after="156" w:line="440" w:lineRule="exact"/>
        <w:ind w:firstLine="480" w:firstLineChars="200"/>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根据本须知对招标文件所作的澄清、修改，构成招标文件的组成部分。</w:t>
      </w:r>
    </w:p>
    <w:p w14:paraId="4949894D">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6. 招标文件的澄清和修改</w:t>
      </w:r>
    </w:p>
    <w:p w14:paraId="4D29868C">
      <w:pPr>
        <w:shd w:val="clear" w:color="auto" w:fill="FFFFFF"/>
        <w:snapToGrid w:val="0"/>
        <w:spacing w:line="440" w:lineRule="exact"/>
        <w:ind w:firstLine="420" w:firstLineChars="175"/>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6.1投标人应仔细阅读和检查招标文件的全部内容。如发现缺页或附件不全，应及时向采购人提出，以便补齐。投标人若对招标文件有任何疑问，应在电子交易系统中向采购人提出澄清要求。无论是采购人根据需要主动对招标文件进行必要的澄清，或是根据投标人的要求对招标文件作出澄清，采购人都将在电子交易系统中予以澄清，该答复作为招标文件的组成部分，具有约束作用。招标文件发出后，采购人可对招标文件进行必要的澄清或修改。</w:t>
      </w:r>
    </w:p>
    <w:p w14:paraId="2093380B">
      <w:pPr>
        <w:shd w:val="clear" w:color="auto" w:fill="FFFFFF"/>
        <w:snapToGrid w:val="0"/>
        <w:spacing w:line="440" w:lineRule="exact"/>
        <w:ind w:firstLine="420" w:firstLineChars="175"/>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6.2招标文件的澄清、修改、补充等内容均以电子交易系统中发布的内容为准。当招标文件、招标文件的澄清、修改、补充等在同一内容的表述不一致时，以最后发出的文件为准。</w:t>
      </w:r>
    </w:p>
    <w:p w14:paraId="4A9BD1D4">
      <w:pPr>
        <w:shd w:val="clear" w:color="auto" w:fill="FFFFFF"/>
        <w:snapToGrid w:val="0"/>
        <w:spacing w:line="440" w:lineRule="exact"/>
        <w:ind w:firstLine="420" w:firstLineChars="175"/>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6.3为使投标人在编制投标文件时有充分的时间对招标文件的澄清、修改、补充等内容进行研究，采购人将根据投标人的延期投标意见酌情延长提交投标文件的截止时间，具体时间将在招标文件的修改、补充通知中予以明确；若所有投标人认为招标文件的修改与补充不影响投标文件的编制，采购人将不予延长投标文件提交时间；若投标人未提出书面延期投标意见且同意本项目开标时间，则采购人可以认为所有投标人对招标文件的修改与补充通知不影响投标文件的编制，开标时间将不予延期。</w:t>
      </w:r>
    </w:p>
    <w:p w14:paraId="06BDAD9F">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7. 答疑会</w:t>
      </w:r>
    </w:p>
    <w:p w14:paraId="2A577EFE">
      <w:pPr>
        <w:shd w:val="clear" w:color="auto" w:fill="FFFFFF"/>
        <w:snapToGrid w:val="0"/>
        <w:spacing w:line="440" w:lineRule="exact"/>
        <w:ind w:firstLine="420" w:firstLineChars="175"/>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不召开答疑会，投标人将需答疑的问题以应在电子交易系统中向采购人提出澄清要求。</w:t>
      </w:r>
    </w:p>
    <w:p w14:paraId="2D91B0AF">
      <w:pPr>
        <w:spacing w:before="156" w:after="156" w:line="44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（三）投标文件</w:t>
      </w:r>
    </w:p>
    <w:p w14:paraId="424CF3A0">
      <w:pPr>
        <w:shd w:val="clear" w:color="auto" w:fill="FFFFFF"/>
        <w:snapToGrid w:val="0"/>
        <w:spacing w:after="120" w:line="440" w:lineRule="exac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8．投标文件的组成</w:t>
      </w:r>
    </w:p>
    <w:p w14:paraId="0BB11AFF">
      <w:pPr>
        <w:shd w:val="clear" w:color="auto" w:fill="FFFFFF"/>
        <w:snapToGrid w:val="0"/>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投标文件的内容：</w:t>
      </w:r>
    </w:p>
    <w:p w14:paraId="4581B2CE">
      <w:pPr>
        <w:tabs>
          <w:tab w:val="left" w:pos="540"/>
        </w:tabs>
        <w:spacing w:line="440" w:lineRule="exact"/>
        <w:ind w:firstLine="493"/>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（1）投标函</w:t>
      </w:r>
    </w:p>
    <w:p w14:paraId="48F5A46A">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（2）投标报价一览表</w:t>
      </w:r>
    </w:p>
    <w:p w14:paraId="39334FFE">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（3）分项报价表</w:t>
      </w:r>
    </w:p>
    <w:p w14:paraId="5C99ECB5">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（4）偏离表</w:t>
      </w:r>
    </w:p>
    <w:p w14:paraId="61A65087">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（5）法定代表人身份证明及授权委托书</w:t>
      </w:r>
    </w:p>
    <w:p w14:paraId="0E3301FA">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（6）服务承诺书</w:t>
      </w:r>
    </w:p>
    <w:p w14:paraId="107CBBEA">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（7）投标承诺书</w:t>
      </w:r>
    </w:p>
    <w:p w14:paraId="20D5746E">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（8）资格审查资料</w:t>
      </w:r>
    </w:p>
    <w:p w14:paraId="23ABA3A0">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（9）投标人认为有必要的其它资料</w:t>
      </w:r>
    </w:p>
    <w:p w14:paraId="6EF72C95">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bookmarkStart w:id="27" w:name="_Toc179632566"/>
      <w:bookmarkEnd w:id="27"/>
      <w:bookmarkStart w:id="28" w:name="_Toc152045548"/>
      <w:bookmarkEnd w:id="28"/>
      <w:bookmarkStart w:id="29" w:name="_Toc152042324"/>
      <w:bookmarkEnd w:id="29"/>
      <w:bookmarkStart w:id="30" w:name="_Toc144974516"/>
      <w:bookmarkEnd w:id="30"/>
      <w:bookmarkStart w:id="31" w:name="_Toc292893113"/>
      <w:bookmarkEnd w:id="31"/>
      <w:r>
        <w:rPr>
          <w:rFonts w:hint="eastAsia" w:ascii="宋体" w:hAnsi="宋体"/>
          <w:b/>
          <w:bCs/>
          <w:color w:val="000000" w:themeColor="text1"/>
          <w:kern w:val="0"/>
          <w:sz w:val="24"/>
          <w:szCs w:val="24"/>
          <w:highlight w:val="none"/>
          <w14:textFill>
            <w14:solidFill>
              <w14:schemeClr w14:val="tx1"/>
            </w14:solidFill>
          </w14:textFill>
        </w:rPr>
        <w:t>9．投标报价</w:t>
      </w:r>
    </w:p>
    <w:p w14:paraId="1FFB0204">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9.1投标人必须对本项目招标范围及内容进行完整报价。</w:t>
      </w:r>
    </w:p>
    <w:p w14:paraId="61E37606">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9.2投标人所报的投标报价在合同执行过程中是固定不变的，不得以任何理由予以变更。任何包含价格调整的要求的投标，将被认为是非响应性投标而被拒绝。</w:t>
      </w:r>
    </w:p>
    <w:p w14:paraId="7865CF13">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9.3投标人不得以低于成本的报价竞标，最低报价不作为中标的保证。</w:t>
      </w:r>
    </w:p>
    <w:p w14:paraId="215F493E">
      <w:pPr>
        <w:widowControl w:val="0"/>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10.投标有效期</w:t>
      </w:r>
    </w:p>
    <w:p w14:paraId="6948269B">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10.1在投标人须知前附表规定的投标有效期内，投标人不得要求撤销或修改其投标文件。</w:t>
      </w:r>
    </w:p>
    <w:p w14:paraId="35D12CA4">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10.2出现特殊情况需要延长投标有效期的，采购人以书面形式通知所有投标人延长投标有效期。投标人同意延长的，不得要求或被允许修改或撤销其投标文件；投标人拒绝延长的，其投标失效。</w:t>
      </w:r>
    </w:p>
    <w:p w14:paraId="23B1CBC4">
      <w:pPr>
        <w:widowControl w:val="0"/>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11.投标保证金</w:t>
      </w:r>
    </w:p>
    <w:p w14:paraId="4E9E922C">
      <w:pPr>
        <w:tabs>
          <w:tab w:val="left" w:pos="735"/>
        </w:tabs>
        <w:snapToGrid w:val="0"/>
        <w:spacing w:line="440" w:lineRule="exact"/>
        <w:ind w:firstLine="480" w:firstLineChars="200"/>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本项目不收取。</w:t>
      </w:r>
    </w:p>
    <w:p w14:paraId="6093544D">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12.资格审查资料</w:t>
      </w:r>
    </w:p>
    <w:p w14:paraId="3A9A4658">
      <w:pPr>
        <w:shd w:val="clear" w:color="auto" w:fill="FFFFFF"/>
        <w:snapToGrid w:val="0"/>
        <w:spacing w:line="440" w:lineRule="exact"/>
        <w:ind w:firstLine="480" w:firstLineChars="200"/>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投标人在投标人须知前附表规定的投标截止时间前由采购人或采购代理机构对下列资料进行资格审查</w:t>
      </w:r>
      <w:r>
        <w:rPr>
          <w:rFonts w:hint="eastAsia" w:ascii="宋体" w:hAnsi="宋体"/>
          <w:color w:val="000000" w:themeColor="text1"/>
          <w:kern w:val="0"/>
          <w:sz w:val="24"/>
          <w:szCs w:val="24"/>
          <w:highlight w:val="none"/>
          <w14:textFill>
            <w14:solidFill>
              <w14:schemeClr w14:val="tx1"/>
            </w14:solidFill>
          </w14:textFill>
        </w:rPr>
        <w:t>：</w:t>
      </w:r>
    </w:p>
    <w:p w14:paraId="0CD3026D">
      <w:pPr>
        <w:tabs>
          <w:tab w:val="left" w:pos="540"/>
        </w:tabs>
        <w:spacing w:line="440" w:lineRule="exact"/>
        <w:ind w:firstLine="480" w:firstLineChars="200"/>
        <w:jc w:val="left"/>
        <w:rPr>
          <w:rFonts w:hint="eastAsia" w:ascii="宋体" w:hAnsi="宋体"/>
          <w:color w:val="000000" w:themeColor="text1"/>
          <w:kern w:val="0"/>
          <w:sz w:val="24"/>
          <w:szCs w:val="24"/>
          <w:highlight w:val="none"/>
          <w14:textFill>
            <w14:solidFill>
              <w14:schemeClr w14:val="tx1"/>
            </w14:solidFill>
          </w14:textFill>
        </w:rPr>
      </w:pPr>
      <w:bookmarkStart w:id="32" w:name="_Toc179632572"/>
      <w:bookmarkStart w:id="33" w:name="_Toc144974522"/>
      <w:bookmarkStart w:id="34" w:name="_Toc152042330"/>
      <w:bookmarkStart w:id="35" w:name="_Toc292893118"/>
      <w:bookmarkStart w:id="36" w:name="_Toc152045554"/>
      <w:r>
        <w:rPr>
          <w:rFonts w:hint="eastAsia" w:ascii="宋体" w:hAnsi="宋体"/>
          <w:color w:val="000000" w:themeColor="text1"/>
          <w:kern w:val="0"/>
          <w:sz w:val="24"/>
          <w:szCs w:val="24"/>
          <w:highlight w:val="none"/>
          <w14:textFill>
            <w14:solidFill>
              <w14:schemeClr w14:val="tx1"/>
            </w14:solidFill>
          </w14:textFill>
        </w:rPr>
        <w:t>1.营业执照、税务登记证、组织机构代码证（或三证合一营业执照）</w:t>
      </w:r>
    </w:p>
    <w:p w14:paraId="240F819E">
      <w:pPr>
        <w:tabs>
          <w:tab w:val="left" w:pos="540"/>
        </w:tabs>
        <w:spacing w:line="440" w:lineRule="exact"/>
        <w:ind w:firstLine="480" w:firstLineChars="200"/>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2.供应商相关承诺书</w:t>
      </w:r>
    </w:p>
    <w:p w14:paraId="16281555">
      <w:pPr>
        <w:tabs>
          <w:tab w:val="left" w:pos="540"/>
        </w:tabs>
        <w:spacing w:line="440" w:lineRule="exact"/>
        <w:ind w:firstLine="480" w:firstLineChars="200"/>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3.信用中国、中国执行信息公开网、中国政府采购网信用查询截图</w:t>
      </w:r>
    </w:p>
    <w:bookmarkEnd w:id="32"/>
    <w:bookmarkEnd w:id="33"/>
    <w:bookmarkEnd w:id="34"/>
    <w:bookmarkEnd w:id="35"/>
    <w:bookmarkEnd w:id="36"/>
    <w:p w14:paraId="03CE8185">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13.投标文件的编制</w:t>
      </w:r>
    </w:p>
    <w:p w14:paraId="597CD4C3">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投标文件应按第六章“投标文件格式”进行编写，如有必要，可以增加附页，作为投标文件的组成部分。投标函在满足招标文件实质性要求的基础上，可以提出比招标文件要求更有利于采购人的承诺。</w:t>
      </w:r>
    </w:p>
    <w:p w14:paraId="0B8866BC">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14．投标文件格式</w:t>
      </w:r>
      <w:r>
        <w:rPr>
          <w:rFonts w:hint="eastAsia" w:ascii="宋体" w:hAnsi="宋体"/>
          <w:b/>
          <w:bCs/>
          <w:color w:val="000000" w:themeColor="text1"/>
          <w:sz w:val="24"/>
          <w:szCs w:val="24"/>
          <w:highlight w:val="none"/>
          <w14:textFill>
            <w14:solidFill>
              <w14:schemeClr w14:val="tx1"/>
            </w14:solidFill>
          </w14:textFill>
        </w:rPr>
        <w:tab/>
      </w:r>
    </w:p>
    <w:p w14:paraId="68AAC97B">
      <w:pPr>
        <w:shd w:val="clear" w:color="auto" w:fill="FFFFFF"/>
        <w:tabs>
          <w:tab w:val="left" w:pos="7665"/>
        </w:tabs>
        <w:snapToGrid w:val="0"/>
        <w:spacing w:line="440" w:lineRule="exact"/>
        <w:ind w:left="12" w:leftChars="6"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14.1 投标人应严格按照招标文件中提供的</w:t>
      </w:r>
      <w:r>
        <w:rPr>
          <w:rFonts w:hint="eastAsia" w:ascii="宋体" w:hAnsi="宋体"/>
          <w:color w:val="000000" w:themeColor="text1"/>
          <w:kern w:val="0"/>
          <w:sz w:val="24"/>
          <w:szCs w:val="24"/>
          <w:highlight w:val="none"/>
          <w14:textFill>
            <w14:solidFill>
              <w14:schemeClr w14:val="tx1"/>
            </w14:solidFill>
          </w14:textFill>
        </w:rPr>
        <w:t>第六章</w:t>
      </w:r>
      <w:r>
        <w:rPr>
          <w:rFonts w:hint="eastAsia" w:ascii="宋体" w:hAnsi="宋体"/>
          <w:color w:val="000000" w:themeColor="text1"/>
          <w:sz w:val="24"/>
          <w:szCs w:val="24"/>
          <w:highlight w:val="none"/>
          <w14:textFill>
            <w14:solidFill>
              <w14:schemeClr w14:val="tx1"/>
            </w14:solidFill>
          </w14:textFill>
        </w:rPr>
        <w:t>“投标文件格式”填写相关内容。否则，将影响投标文件得分。第六</w:t>
      </w:r>
      <w:r>
        <w:rPr>
          <w:rFonts w:hint="eastAsia" w:ascii="宋体" w:hAnsi="宋体"/>
          <w:color w:val="000000" w:themeColor="text1"/>
          <w:kern w:val="0"/>
          <w:sz w:val="24"/>
          <w:szCs w:val="24"/>
          <w:highlight w:val="none"/>
          <w14:textFill>
            <w14:solidFill>
              <w14:schemeClr w14:val="tx1"/>
            </w14:solidFill>
          </w14:textFill>
        </w:rPr>
        <w:t>章</w:t>
      </w:r>
      <w:r>
        <w:rPr>
          <w:rFonts w:hint="eastAsia" w:ascii="宋体" w:hAnsi="宋体"/>
          <w:color w:val="000000" w:themeColor="text1"/>
          <w:sz w:val="24"/>
          <w:szCs w:val="24"/>
          <w:highlight w:val="none"/>
          <w14:textFill>
            <w14:solidFill>
              <w14:schemeClr w14:val="tx1"/>
            </w14:solidFill>
          </w14:textFill>
        </w:rPr>
        <w:t>“投标文件格式”规定之外允许投标人可以自行编写。</w:t>
      </w:r>
    </w:p>
    <w:p w14:paraId="033DF064">
      <w:pPr>
        <w:shd w:val="clear" w:color="auto" w:fill="FFFFFF"/>
        <w:tabs>
          <w:tab w:val="left" w:pos="7665"/>
        </w:tabs>
        <w:snapToGrid w:val="0"/>
        <w:spacing w:line="440" w:lineRule="exact"/>
        <w:ind w:left="12" w:leftChars="6"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14.2 对于没有格式要求的投标文件由投标人自行编写。</w:t>
      </w:r>
    </w:p>
    <w:p w14:paraId="3E14059C">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15．投标有效期</w:t>
      </w:r>
    </w:p>
    <w:p w14:paraId="4F0534DD">
      <w:pPr>
        <w:shd w:val="clear" w:color="auto" w:fill="FFFFFF"/>
        <w:tabs>
          <w:tab w:val="left" w:pos="7665"/>
        </w:tabs>
        <w:snapToGrid w:val="0"/>
        <w:spacing w:line="440" w:lineRule="exact"/>
        <w:ind w:left="12" w:leftChars="6"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15.1 投标有效期见投标人须知前附表。投标有效期短于此规定期限的投标，将被拒绝。</w:t>
      </w:r>
    </w:p>
    <w:p w14:paraId="7DE1C1D5">
      <w:pPr>
        <w:shd w:val="clear" w:color="auto" w:fill="FFFFFF"/>
        <w:tabs>
          <w:tab w:val="left" w:pos="7665"/>
        </w:tabs>
        <w:snapToGrid w:val="0"/>
        <w:spacing w:line="440" w:lineRule="exact"/>
        <w:ind w:left="12" w:leftChars="6"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15.2 特殊情况下，采购人可于投标有效期满之前要求投标人同意延长有效期。拒绝延长投标有效期的投标人不得再参与该项目后续采购活动。同意延长投标有效期的投标人不能修改其投标文件。</w:t>
      </w:r>
    </w:p>
    <w:p w14:paraId="22FD48FE">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16．投标文件的印制和签署</w:t>
      </w:r>
    </w:p>
    <w:p w14:paraId="5F72B316">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16.1电子化投标文件的签章</w:t>
      </w:r>
    </w:p>
    <w:p w14:paraId="0EF65508">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16.1.1供应商在生成电子化投标文件后，应对电子化投标文件进行签章，未进行签章的视为无效投标。</w:t>
      </w:r>
    </w:p>
    <w:p w14:paraId="018F7A1D">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16.1.2招标文件中要求法定代表人或授权委托人签字或盖章的，供应商在进行电子化投标文件签章时，以签盖法定代表人签章为准。电子化投标文件具体制作教材请供应商通过CA证书登录平顶山市公共资源电子化交易系统在右上角“组建下载”中查看。</w:t>
      </w:r>
    </w:p>
    <w:p w14:paraId="62D1BA5F">
      <w:pPr>
        <w:spacing w:before="156" w:after="156" w:line="44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（四）投标</w:t>
      </w:r>
    </w:p>
    <w:p w14:paraId="2F9E9E7A">
      <w:pPr>
        <w:tabs>
          <w:tab w:val="left" w:pos="540"/>
        </w:tabs>
        <w:spacing w:line="480" w:lineRule="exact"/>
        <w:jc w:val="left"/>
        <w:rPr>
          <w:rFonts w:hint="eastAsia" w:ascii="宋体" w:hAnsi="宋体"/>
          <w:b/>
          <w:color w:val="000000" w:themeColor="text1"/>
          <w:kern w:val="0"/>
          <w:sz w:val="24"/>
          <w:highlight w:val="none"/>
          <w14:textFill>
            <w14:solidFill>
              <w14:schemeClr w14:val="tx1"/>
            </w14:solidFill>
          </w14:textFill>
        </w:rPr>
      </w:pPr>
      <w:bookmarkStart w:id="37" w:name="_Toc8041"/>
      <w:bookmarkStart w:id="38" w:name="_Toc11631"/>
      <w:bookmarkStart w:id="39" w:name="_Toc13209"/>
      <w:bookmarkStart w:id="40" w:name="_Toc6464"/>
      <w:bookmarkStart w:id="41" w:name="_Toc1251"/>
      <w:r>
        <w:rPr>
          <w:rFonts w:hint="eastAsia" w:ascii="宋体" w:hAnsi="宋体"/>
          <w:b/>
          <w:color w:val="000000" w:themeColor="text1"/>
          <w:kern w:val="0"/>
          <w:sz w:val="24"/>
          <w:highlight w:val="none"/>
          <w14:textFill>
            <w14:solidFill>
              <w14:schemeClr w14:val="tx1"/>
            </w14:solidFill>
          </w14:textFill>
        </w:rPr>
        <w:t>17. 电子化投标文件的格式及上传投标</w:t>
      </w:r>
    </w:p>
    <w:p w14:paraId="67938009">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17.1供应商所上传的电子化投标文件，应是通过中心投标文件制作系统制作的，经过签章和加密后生成的电子版投标文件。生成的电子版投标文件包含用于投标文件上传的主文件（项目文件格式为：xxx公司_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项目名称.bin），备份文件主要用于电子化开标出现技术问题后的补救，请供应商随身携带。</w:t>
      </w:r>
    </w:p>
    <w:bookmarkEnd w:id="37"/>
    <w:bookmarkEnd w:id="38"/>
    <w:bookmarkEnd w:id="39"/>
    <w:bookmarkEnd w:id="40"/>
    <w:bookmarkEnd w:id="41"/>
    <w:p w14:paraId="0AA05120">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注：供应商投报多个标段的，根据标段制作各个标段的投标文件后上传</w:t>
      </w:r>
    </w:p>
    <w:p w14:paraId="740F891F">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17.2电子化投标文件应在投标截止时间前成功上传至平顶山市公共资源电子化交易系统。至投标截止时间止，仍未上传成功的电子化投标文件将不予接收。</w:t>
      </w:r>
    </w:p>
    <w:p w14:paraId="2FE94400">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注：如按照电子化投标操作教材制作完成的电子化投标文件无法上传的，供应商应在投标截止时间前尽早的联系中心技术人员，以便有充分的时间进行处理。供应商应充分考虑到处理技术问题和上传数据等工作所需的时间问题，投标文件未在投标截止时间前成功上传的，其投标文件不予接收。</w:t>
      </w:r>
    </w:p>
    <w:p w14:paraId="75F7234C">
      <w:pPr>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18．投标文件的递交</w:t>
      </w:r>
    </w:p>
    <w:p w14:paraId="472C529F">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18.1 投标单位应在本须知前附表规定的地点，于投标截止时间前上传电子投标文件。</w:t>
      </w:r>
    </w:p>
    <w:p w14:paraId="44F04A53">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18.2 投标单位所上传的电子投标文件不予退还。</w:t>
      </w:r>
    </w:p>
    <w:p w14:paraId="2B70E679">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18.3 逾期上传的或者未送达指定地点的电子投标文件，采购人不予受理。</w:t>
      </w:r>
    </w:p>
    <w:p w14:paraId="5D84C63C">
      <w:pPr>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bookmarkStart w:id="42" w:name="_Toc152045559"/>
      <w:bookmarkStart w:id="43" w:name="_Toc152042335"/>
      <w:bookmarkStart w:id="44" w:name="_Toc144974527"/>
      <w:bookmarkStart w:id="45" w:name="_Toc292893121"/>
      <w:bookmarkStart w:id="46" w:name="_Toc179632577"/>
      <w:r>
        <w:rPr>
          <w:rFonts w:hint="eastAsia" w:ascii="宋体" w:hAnsi="宋体"/>
          <w:b/>
          <w:color w:val="000000" w:themeColor="text1"/>
          <w:kern w:val="0"/>
          <w:sz w:val="24"/>
          <w:highlight w:val="none"/>
          <w14:textFill>
            <w14:solidFill>
              <w14:schemeClr w14:val="tx1"/>
            </w14:solidFill>
          </w14:textFill>
        </w:rPr>
        <w:t>19．投标文件的修改和撤回</w:t>
      </w:r>
    </w:p>
    <w:p w14:paraId="1F3CD3B6">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19.1在本供应商须知前附表规定的投标截止时间前，供应商可以修改或撤回已上传的投标文件。</w:t>
      </w:r>
    </w:p>
    <w:p w14:paraId="2CB29AA6">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19.2投标单位修改或撤回已上传投标文件的书面通知应按照本须知要求加盖电子印章或签章。修改的内容为投标文件的组成部分。</w:t>
      </w:r>
    </w:p>
    <w:p w14:paraId="3FB57A4F">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19.3在投标截止日期之后，供应商不得补充、修改投标文件。</w:t>
      </w:r>
    </w:p>
    <w:p w14:paraId="1DB9D4C0">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19.4在投标截止时间至投标有效期满之前，供应商不得撤回其投标文件。</w:t>
      </w:r>
    </w:p>
    <w:bookmarkEnd w:id="42"/>
    <w:bookmarkEnd w:id="43"/>
    <w:bookmarkEnd w:id="44"/>
    <w:bookmarkEnd w:id="45"/>
    <w:bookmarkEnd w:id="46"/>
    <w:p w14:paraId="028EA49D">
      <w:pPr>
        <w:spacing w:before="156" w:after="156" w:line="44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（五）开标</w:t>
      </w:r>
    </w:p>
    <w:p w14:paraId="334FC7AC">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20．开标</w:t>
      </w:r>
    </w:p>
    <w:p w14:paraId="7B0B0709">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20.1</w:t>
      </w:r>
      <w:r>
        <w:rPr>
          <w:rFonts w:hint="eastAsia" w:ascii="宋体" w:hAnsi="宋体"/>
          <w:color w:val="000000" w:themeColor="text1"/>
          <w:kern w:val="0"/>
          <w:sz w:val="24"/>
          <w:highlight w:val="none"/>
          <w14:textFill>
            <w14:solidFill>
              <w14:schemeClr w14:val="tx1"/>
            </w14:solidFill>
          </w14:textFill>
        </w:rPr>
        <w:t>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3981E9C2">
      <w:pPr>
        <w:tabs>
          <w:tab w:val="left" w:pos="540"/>
        </w:tabs>
        <w:spacing w:line="44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20.2如出现投标人的电子投标文件无法解密的情况，投标人应及时联系采购人（代理机构）进行说明。投标文件解密异常，按以下步骤进行处理：</w:t>
      </w:r>
    </w:p>
    <w:p w14:paraId="20E3A5FE">
      <w:pPr>
        <w:tabs>
          <w:tab w:val="left" w:pos="540"/>
        </w:tabs>
        <w:spacing w:line="44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（1）如果是投标文件自身问题导致投标文件无法解密的，该投标文件将不予接收、解密。</w:t>
      </w:r>
    </w:p>
    <w:p w14:paraId="57BDFBB4">
      <w:pPr>
        <w:widowControl w:val="0"/>
        <w:tabs>
          <w:tab w:val="left" w:pos="540"/>
        </w:tabs>
        <w:spacing w:line="44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（2）如果是电子化交易系统问题造成投标文件无法解密的，将由技术人员进行排查处理。如短时间内问题无法解决的，将由采购人（代理机构）联系监督部门申请暂停开标，待问题解决后继续开标。</w:t>
      </w:r>
    </w:p>
    <w:p w14:paraId="32C7CA90">
      <w:pPr>
        <w:widowControl w:val="0"/>
        <w:tabs>
          <w:tab w:val="left" w:pos="540"/>
        </w:tabs>
        <w:spacing w:line="44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20.3所有投标文件解密完成后，由采购人（代理机构）操作，对开标结果进行公示。</w:t>
      </w:r>
    </w:p>
    <w:p w14:paraId="2FCBE982">
      <w:pPr>
        <w:widowControl w:val="0"/>
        <w:tabs>
          <w:tab w:val="left" w:pos="540"/>
        </w:tabs>
        <w:spacing w:line="44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20.4投标人应保证在开标期间电话、电脑、网络等能够正常使用，投标人因停电、电脑病毒、网络堵塞等原因，未在规定的解密时间内对投标文件进行解密的，其投标文件不予接收。</w:t>
      </w:r>
    </w:p>
    <w:p w14:paraId="67C334A6">
      <w:pPr>
        <w:widowControl w:val="0"/>
        <w:tabs>
          <w:tab w:val="left" w:pos="540"/>
        </w:tabs>
        <w:spacing w:line="44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20.5解密完成后，投标人可登录到交易系统查看自己的投标报价。如对自己的报价内容有异议的，应在报价内容显示后20分钟内联系采购人（代理机构）进行质疑，投标人未在规定时间内提出质疑的，视为认可开标结果显示内容。</w:t>
      </w:r>
    </w:p>
    <w:p w14:paraId="414F95AF">
      <w:pPr>
        <w:widowControl w:val="0"/>
        <w:tabs>
          <w:tab w:val="left" w:pos="540"/>
        </w:tabs>
        <w:spacing w:line="44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（六）评标</w:t>
      </w:r>
    </w:p>
    <w:p w14:paraId="45235A00">
      <w:pPr>
        <w:widowControl w:val="0"/>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21. 评标委员会</w:t>
      </w:r>
    </w:p>
    <w:p w14:paraId="1638D9CF">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21.1评标由依法组建的评标委员会负责。</w:t>
      </w:r>
      <w:r>
        <w:rPr>
          <w:rFonts w:hint="eastAsia" w:ascii="宋体" w:hAnsi="宋体"/>
          <w:color w:val="000000" w:themeColor="text1"/>
          <w:sz w:val="24"/>
          <w:szCs w:val="24"/>
          <w:highlight w:val="none"/>
          <w14:textFill>
            <w14:solidFill>
              <w14:schemeClr w14:val="tx1"/>
            </w14:solidFill>
          </w14:textFill>
        </w:rPr>
        <w:t>评标专家</w:t>
      </w:r>
      <w:r>
        <w:rPr>
          <w:rFonts w:hint="eastAsia" w:ascii="宋体" w:hAnsi="宋体"/>
          <w:color w:val="000000" w:themeColor="text1"/>
          <w:kern w:val="0"/>
          <w:sz w:val="24"/>
          <w:szCs w:val="24"/>
          <w:highlight w:val="none"/>
          <w14:textFill>
            <w14:solidFill>
              <w14:schemeClr w14:val="tx1"/>
            </w14:solidFill>
          </w14:textFill>
        </w:rPr>
        <w:t>在招标监督部门的监督下，从评标专家库中随机抽取。评标委员会根据本项目招标文件的评定标办法独立完成评标工作</w:t>
      </w:r>
      <w:r>
        <w:rPr>
          <w:rFonts w:hint="eastAsia" w:ascii="宋体" w:hAnsi="宋体"/>
          <w:color w:val="000000" w:themeColor="text1"/>
          <w:sz w:val="24"/>
          <w:szCs w:val="24"/>
          <w:highlight w:val="none"/>
          <w14:textFill>
            <w14:solidFill>
              <w14:schemeClr w14:val="tx1"/>
            </w14:solidFill>
          </w14:textFill>
        </w:rPr>
        <w:t>，任何人不得干预评委的正常评标工作。</w:t>
      </w:r>
    </w:p>
    <w:p w14:paraId="08ACFED0">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21.2评标委员会成员有下列情形之一的，应当回避：</w:t>
      </w:r>
    </w:p>
    <w:p w14:paraId="784B8FDC">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（1）采购人或投标人的主要负责人的近亲属；</w:t>
      </w:r>
    </w:p>
    <w:p w14:paraId="32B53F4E">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（2）项目主管部门或者行政监督部门的人员；</w:t>
      </w:r>
    </w:p>
    <w:p w14:paraId="0956C201">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（3）与投标人有经济利益关系，可能影响对投标公正评审的；</w:t>
      </w:r>
    </w:p>
    <w:p w14:paraId="7DCFDFB0">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（4）曾因在招标、评标以及其他与招标投标有关活动中从事违法行为而受过行政处罚或刑事处罚的。</w:t>
      </w:r>
    </w:p>
    <w:p w14:paraId="4163A77C">
      <w:pPr>
        <w:widowControl w:val="0"/>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bookmarkStart w:id="47" w:name="_Toc152042340"/>
      <w:bookmarkEnd w:id="47"/>
      <w:bookmarkStart w:id="48" w:name="_Toc292893126"/>
      <w:bookmarkEnd w:id="48"/>
      <w:bookmarkStart w:id="49" w:name="_Toc144974532"/>
      <w:bookmarkEnd w:id="49"/>
      <w:bookmarkStart w:id="50" w:name="_Toc179632582"/>
      <w:bookmarkEnd w:id="50"/>
      <w:bookmarkStart w:id="51" w:name="_Toc152045564"/>
      <w:bookmarkEnd w:id="51"/>
      <w:bookmarkStart w:id="52" w:name="_Toc217446060"/>
      <w:r>
        <w:rPr>
          <w:rFonts w:hint="eastAsia" w:ascii="宋体" w:hAnsi="宋体"/>
          <w:b/>
          <w:bCs/>
          <w:color w:val="000000" w:themeColor="text1"/>
          <w:kern w:val="0"/>
          <w:sz w:val="24"/>
          <w:szCs w:val="24"/>
          <w:highlight w:val="none"/>
          <w14:textFill>
            <w14:solidFill>
              <w14:schemeClr w14:val="tx1"/>
            </w14:solidFill>
          </w14:textFill>
        </w:rPr>
        <w:t>22．评标原则</w:t>
      </w:r>
      <w:r>
        <w:rPr>
          <w:rFonts w:hint="eastAsia" w:ascii="宋体" w:hAnsi="宋体"/>
          <w:b/>
          <w:bCs/>
          <w:color w:val="000000" w:themeColor="text1"/>
          <w:kern w:val="0"/>
          <w:sz w:val="24"/>
          <w:szCs w:val="24"/>
          <w:highlight w:val="none"/>
          <w14:textFill>
            <w14:solidFill>
              <w14:schemeClr w14:val="tx1"/>
            </w14:solidFill>
          </w14:textFill>
        </w:rPr>
        <w:tab/>
      </w:r>
    </w:p>
    <w:p w14:paraId="65D1BDEB">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评标活动遵循公平、公正、科学和择优的原则。</w:t>
      </w:r>
    </w:p>
    <w:p w14:paraId="7C8D1CFD">
      <w:pPr>
        <w:widowControl w:val="0"/>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bookmarkStart w:id="53" w:name="_Toc179632583"/>
      <w:bookmarkEnd w:id="53"/>
      <w:bookmarkStart w:id="54" w:name="_Toc144974533"/>
      <w:bookmarkEnd w:id="54"/>
      <w:bookmarkStart w:id="55" w:name="_Toc292893127"/>
      <w:bookmarkEnd w:id="55"/>
      <w:bookmarkStart w:id="56" w:name="_Toc152042341"/>
      <w:bookmarkEnd w:id="56"/>
      <w:bookmarkStart w:id="57" w:name="_Toc152045565"/>
      <w:bookmarkEnd w:id="57"/>
      <w:r>
        <w:rPr>
          <w:rFonts w:hint="eastAsia" w:ascii="宋体" w:hAnsi="宋体"/>
          <w:b/>
          <w:color w:val="000000" w:themeColor="text1"/>
          <w:kern w:val="0"/>
          <w:sz w:val="24"/>
          <w:highlight w:val="none"/>
          <w14:textFill>
            <w14:solidFill>
              <w14:schemeClr w14:val="tx1"/>
            </w14:solidFill>
          </w14:textFill>
        </w:rPr>
        <w:t>23．评标</w:t>
      </w:r>
    </w:p>
    <w:p w14:paraId="47B590CA">
      <w:pPr>
        <w:widowControl w:val="0"/>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评标委员会按照第三章“评标办法”规定的方法、评审因素、标准和程序对投标文件进行评审。第三章“评标办法”没有规定的方法、评审因素和标准，不作为评标依据。</w:t>
      </w:r>
    </w:p>
    <w:bookmarkEnd w:id="52"/>
    <w:p w14:paraId="4241EA97">
      <w:pPr>
        <w:widowControl w:val="0"/>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bookmarkStart w:id="58" w:name="_Toc1862"/>
      <w:r>
        <w:rPr>
          <w:rFonts w:hint="eastAsia" w:ascii="宋体" w:hAnsi="宋体"/>
          <w:b/>
          <w:color w:val="000000" w:themeColor="text1"/>
          <w:kern w:val="0"/>
          <w:sz w:val="24"/>
          <w:highlight w:val="none"/>
          <w14:textFill>
            <w14:solidFill>
              <w14:schemeClr w14:val="tx1"/>
            </w14:solidFill>
          </w14:textFill>
        </w:rPr>
        <w:t>24．投标文件的初步评审</w:t>
      </w:r>
    </w:p>
    <w:p w14:paraId="5F91D260">
      <w:pPr>
        <w:widowControl w:val="0"/>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24.1评标时，评标委员会将首先评定每份文件是否实质上响应了招标文件的要求。所谓实质上响应，是指投标文件应与招标文件的所有实质性条款、条件和要求相符，无显著差异或保留，或者对合同中约定的采购人的权利和供应商的义务方面造成重大的限制，纠正这些显著差异或保留将会对其他实质上响应招标文件要求的投标文件的供应商的竞争地位产生不公正的影响。</w:t>
      </w:r>
    </w:p>
    <w:p w14:paraId="2BFF41BE">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24.2实质上没响应招标文件要求的投标将被拒绝。供应商不得通过修正或撤销不合要求的偏离或保留从而使其投标成为实质上响应的投标。如发生下列情况之一的，不进入详细评审（打分程序）：</w:t>
      </w:r>
    </w:p>
    <w:p w14:paraId="4BF16CDF">
      <w:pPr>
        <w:tabs>
          <w:tab w:val="left" w:pos="540"/>
        </w:tabs>
        <w:spacing w:line="480" w:lineRule="exact"/>
        <w:ind w:firstLine="495"/>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24.2.1投标文件（投标书）无投标单位电子印章并无法定代表人或法定代表人授权的代理人电子签章的；</w:t>
      </w:r>
    </w:p>
    <w:p w14:paraId="178F3E45">
      <w:pPr>
        <w:tabs>
          <w:tab w:val="left" w:pos="540"/>
        </w:tabs>
        <w:snapToGrid w:val="0"/>
        <w:spacing w:line="480" w:lineRule="exact"/>
        <w:ind w:firstLine="495"/>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24.2.2投标单位递交两份或多份内容不同的投标文件，或在一份投标文件中对同一招标项目报有两个或多个报价，且未声明哪一个有效的；</w:t>
      </w:r>
    </w:p>
    <w:p w14:paraId="171E2FF7">
      <w:pPr>
        <w:tabs>
          <w:tab w:val="left" w:pos="540"/>
        </w:tabs>
        <w:snapToGrid w:val="0"/>
        <w:spacing w:line="480" w:lineRule="exact"/>
        <w:ind w:firstLine="495"/>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24.2.3投标文件附有招标方不能接受的条件的；</w:t>
      </w:r>
    </w:p>
    <w:p w14:paraId="315001A4">
      <w:pPr>
        <w:tabs>
          <w:tab w:val="left" w:pos="540"/>
        </w:tabs>
        <w:snapToGrid w:val="0"/>
        <w:spacing w:line="480" w:lineRule="exact"/>
        <w:ind w:firstLine="495"/>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24.2.4投标文件中规定的其他情形。</w:t>
      </w:r>
    </w:p>
    <w:p w14:paraId="1BE25FD1">
      <w:pPr>
        <w:tabs>
          <w:tab w:val="left" w:pos="540"/>
        </w:tabs>
        <w:snapToGrid w:val="0"/>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24.3投标文件一经开标，供应商无权予以更正或撤回。</w:t>
      </w:r>
    </w:p>
    <w:p w14:paraId="09AF803F">
      <w:pPr>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25．投标文件错误的修正</w:t>
      </w:r>
    </w:p>
    <w:p w14:paraId="4201FD16">
      <w:pPr>
        <w:tabs>
          <w:tab w:val="left" w:pos="540"/>
        </w:tabs>
        <w:snapToGrid w:val="0"/>
        <w:spacing w:line="480" w:lineRule="exact"/>
        <w:ind w:firstLine="480" w:firstLineChars="200"/>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25.1评标委员会将对确定为实质上响应招标文件要求的投标文件进行校核，看其是否有计算或表达上的错误。开标时，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14:paraId="5A767F6E">
      <w:pPr>
        <w:tabs>
          <w:tab w:val="left" w:pos="540"/>
        </w:tabs>
        <w:snapToGrid w:val="0"/>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25.2调整或修正投标文件的投标报价经供应商同意后，对供应商起约束作用。如果供应商不接受修正后的报价，则其投标将被拒绝，并不影响评标工作的进行。</w:t>
      </w:r>
    </w:p>
    <w:p w14:paraId="3B9A262E">
      <w:pPr>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26．投标文件的澄清</w:t>
      </w:r>
    </w:p>
    <w:p w14:paraId="36DD526A">
      <w:pPr>
        <w:tabs>
          <w:tab w:val="left" w:pos="540"/>
        </w:tabs>
        <w:snapToGrid w:val="0"/>
        <w:spacing w:line="480" w:lineRule="exact"/>
        <w:ind w:firstLine="480" w:firstLineChars="200"/>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26.1在评标阶段，评标委员会认为需要时，可在电子交易系统中通知供应商要求澄清其投标文件中的问题，或者要求补充某些资料，对此，供应商不得拒绝。</w:t>
      </w:r>
    </w:p>
    <w:p w14:paraId="034FBF6B">
      <w:pPr>
        <w:tabs>
          <w:tab w:val="left" w:pos="540"/>
        </w:tabs>
        <w:snapToGrid w:val="0"/>
        <w:spacing w:line="480" w:lineRule="exact"/>
        <w:ind w:firstLine="480" w:firstLineChars="200"/>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26.2有关澄清的答复，应在电子交易系统中进行，供应商不得借澄清问题的机会，与评标委员会及评标工作人员私下接触或对原投标报价或投标的实质性内容提出修改，但在评标中对发现的算术性差错进行的核实、修正，则不在此列。</w:t>
      </w:r>
    </w:p>
    <w:p w14:paraId="3284A5C0">
      <w:pPr>
        <w:tabs>
          <w:tab w:val="left" w:pos="540"/>
        </w:tabs>
        <w:snapToGrid w:val="0"/>
        <w:spacing w:line="480" w:lineRule="exact"/>
        <w:ind w:firstLine="480" w:firstLineChars="200"/>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26.3评标委员会不接受供应商主动提出的澄清。</w:t>
      </w:r>
    </w:p>
    <w:p w14:paraId="484193B3">
      <w:pPr>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27.投标文件的评价与比较</w:t>
      </w:r>
    </w:p>
    <w:p w14:paraId="6B1E718D">
      <w:pPr>
        <w:tabs>
          <w:tab w:val="left" w:pos="540"/>
        </w:tabs>
        <w:snapToGrid w:val="0"/>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27.1评标委员会依据本招标文件第三章“评标办法”对通过初审的投标文件进行评价和比较。</w:t>
      </w:r>
    </w:p>
    <w:p w14:paraId="6F4E2D61">
      <w:pPr>
        <w:tabs>
          <w:tab w:val="left" w:pos="540"/>
        </w:tabs>
        <w:snapToGrid w:val="0"/>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27.2 评标委员会向采购人提交书面评标报告，并依次推荐综合得分排名位于前3名的合格供应商为中标候选供应商。</w:t>
      </w:r>
    </w:p>
    <w:p w14:paraId="467EC161">
      <w:pPr>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28.评标过程的保密</w:t>
      </w:r>
    </w:p>
    <w:p w14:paraId="49D2849B">
      <w:pPr>
        <w:tabs>
          <w:tab w:val="left" w:pos="540"/>
        </w:tabs>
        <w:snapToGrid w:val="0"/>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28.1 开标后，直至授予中标供应商合同为止，评标委员会成员和与评标工作有关的工作人员不得透露对投标文件的评审和比较、中标候选供应商的推荐情况以及与评标有关的其他情况。</w:t>
      </w:r>
    </w:p>
    <w:p w14:paraId="1BF7A65E">
      <w:pPr>
        <w:tabs>
          <w:tab w:val="left" w:pos="540"/>
        </w:tabs>
        <w:snapToGrid w:val="0"/>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28.2 在投标文件的评审和比较、中标候选供应商推荐以及授予合同的过程中，供应商向采购人和评标委员会施加影响的任何行为，都将会导致其投标被拒绝。</w:t>
      </w:r>
    </w:p>
    <w:p w14:paraId="216B89E0">
      <w:pPr>
        <w:tabs>
          <w:tab w:val="left" w:pos="540"/>
        </w:tabs>
        <w:snapToGrid w:val="0"/>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28.3 中标供应商确定后，采购人不对未中标供应商就评标过程以及未能中标做出任何解释。未中标供应商不得向评标委员会组成人员或其他有关人员索问评标过程的情况和材料。</w:t>
      </w:r>
    </w:p>
    <w:p w14:paraId="2D294521">
      <w:pPr>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bookmarkStart w:id="59" w:name="_Toc152042342"/>
      <w:bookmarkEnd w:id="59"/>
      <w:bookmarkStart w:id="60" w:name="_Toc144974534"/>
      <w:bookmarkEnd w:id="60"/>
      <w:bookmarkStart w:id="61" w:name="_Toc152045566"/>
      <w:bookmarkEnd w:id="61"/>
      <w:bookmarkStart w:id="62" w:name="_Toc179632584"/>
      <w:bookmarkEnd w:id="62"/>
      <w:bookmarkStart w:id="63" w:name="_Toc292893128"/>
      <w:bookmarkEnd w:id="63"/>
      <w:r>
        <w:rPr>
          <w:rFonts w:hint="eastAsia" w:ascii="宋体" w:hAnsi="宋体"/>
          <w:b/>
          <w:color w:val="000000" w:themeColor="text1"/>
          <w:kern w:val="0"/>
          <w:sz w:val="24"/>
          <w:highlight w:val="none"/>
          <w14:textFill>
            <w14:solidFill>
              <w14:schemeClr w14:val="tx1"/>
            </w14:solidFill>
          </w14:textFill>
        </w:rPr>
        <w:t>29.合同授予</w:t>
      </w:r>
    </w:p>
    <w:p w14:paraId="567A6283">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bookmarkStart w:id="64" w:name="_Toc292893129"/>
      <w:bookmarkEnd w:id="64"/>
      <w:bookmarkStart w:id="65" w:name="_Toc144974535"/>
      <w:bookmarkEnd w:id="65"/>
      <w:bookmarkStart w:id="66" w:name="_Toc152045567"/>
      <w:bookmarkEnd w:id="66"/>
      <w:bookmarkStart w:id="67" w:name="_Toc179632585"/>
      <w:bookmarkEnd w:id="67"/>
      <w:bookmarkStart w:id="68" w:name="_Toc152042343"/>
      <w:bookmarkEnd w:id="68"/>
      <w:r>
        <w:rPr>
          <w:rFonts w:hint="eastAsia" w:ascii="宋体" w:hAnsi="宋体"/>
          <w:color w:val="000000" w:themeColor="text1"/>
          <w:kern w:val="0"/>
          <w:sz w:val="24"/>
          <w:highlight w:val="none"/>
          <w14:textFill>
            <w14:solidFill>
              <w14:schemeClr w14:val="tx1"/>
            </w14:solidFill>
          </w14:textFill>
        </w:rPr>
        <w:t>29.1 定标方式：采购人据评标委员会推荐的中标候选供应商确定中标供应商。</w:t>
      </w:r>
    </w:p>
    <w:p w14:paraId="2E0D276C">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bookmarkStart w:id="69" w:name="_Toc292893130"/>
      <w:bookmarkStart w:id="70" w:name="_Toc144974536"/>
      <w:bookmarkStart w:id="71" w:name="_Toc152042344"/>
      <w:bookmarkStart w:id="72" w:name="_Toc152045568"/>
      <w:bookmarkStart w:id="73" w:name="_Toc179632586"/>
      <w:r>
        <w:rPr>
          <w:rFonts w:hint="eastAsia" w:ascii="宋体" w:hAnsi="宋体"/>
          <w:color w:val="000000" w:themeColor="text1"/>
          <w:kern w:val="0"/>
          <w:sz w:val="24"/>
          <w:highlight w:val="none"/>
          <w14:textFill>
            <w14:solidFill>
              <w14:schemeClr w14:val="tx1"/>
            </w14:solidFill>
          </w14:textFill>
        </w:rPr>
        <w:t>29.2 招标方在授予合同时有权根据具体情况对招标文件规定的货物数量和服务予以增加或减少,但不得对单价或其它的条款做任何改变。</w:t>
      </w:r>
    </w:p>
    <w:bookmarkEnd w:id="69"/>
    <w:bookmarkEnd w:id="70"/>
    <w:bookmarkEnd w:id="71"/>
    <w:bookmarkEnd w:id="72"/>
    <w:bookmarkEnd w:id="73"/>
    <w:p w14:paraId="22F92652">
      <w:pPr>
        <w:spacing w:line="480" w:lineRule="exact"/>
        <w:ind w:firstLine="470" w:firstLineChars="196"/>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29.3 中标通知：在规定的投标有效期内，采购人以书面形式向中标供应商发出中标通知书，同时将中标结果通知未中标的供应商。中标供应商在收到通知书后24小时内，应予以书面确认。中标通知书将成为合同的组成部分。</w:t>
      </w:r>
    </w:p>
    <w:p w14:paraId="41A35BCB">
      <w:pPr>
        <w:snapToGrid w:val="0"/>
        <w:spacing w:before="156" w:after="156" w:line="440" w:lineRule="exact"/>
        <w:jc w:val="left"/>
        <w:rPr>
          <w:rFonts w:hint="eastAsia" w:ascii="宋体" w:hAnsi="宋体"/>
          <w:b/>
          <w:color w:val="000000" w:themeColor="text1"/>
          <w:kern w:val="0"/>
          <w:sz w:val="24"/>
          <w:highlight w:val="none"/>
          <w14:textFill>
            <w14:solidFill>
              <w14:schemeClr w14:val="tx1"/>
            </w14:solidFill>
          </w14:textFill>
        </w:rPr>
      </w:pPr>
      <w:bookmarkStart w:id="74" w:name="_Toc292893131"/>
      <w:bookmarkEnd w:id="74"/>
      <w:bookmarkStart w:id="75" w:name="_Toc144974538"/>
      <w:bookmarkEnd w:id="75"/>
      <w:bookmarkStart w:id="76" w:name="_Toc179632588"/>
      <w:bookmarkEnd w:id="76"/>
      <w:bookmarkStart w:id="77" w:name="_Toc152045570"/>
      <w:bookmarkEnd w:id="77"/>
      <w:bookmarkStart w:id="78" w:name="_Toc152042346"/>
      <w:bookmarkEnd w:id="78"/>
      <w:r>
        <w:rPr>
          <w:rFonts w:hint="eastAsia" w:ascii="宋体" w:hAnsi="宋体"/>
          <w:b/>
          <w:color w:val="000000" w:themeColor="text1"/>
          <w:kern w:val="0"/>
          <w:sz w:val="24"/>
          <w:highlight w:val="none"/>
          <w14:textFill>
            <w14:solidFill>
              <w14:schemeClr w14:val="tx1"/>
            </w14:solidFill>
          </w14:textFill>
        </w:rPr>
        <w:t>30．签订合同</w:t>
      </w:r>
    </w:p>
    <w:p w14:paraId="461BA2AD">
      <w:pPr>
        <w:spacing w:line="480" w:lineRule="exact"/>
        <w:ind w:firstLine="470" w:firstLineChars="196"/>
        <w:rPr>
          <w:rFonts w:hint="eastAsia" w:ascii="宋体" w:hAnsi="宋体"/>
          <w:color w:val="000000" w:themeColor="text1"/>
          <w:kern w:val="0"/>
          <w:sz w:val="24"/>
          <w:highlight w:val="none"/>
          <w14:textFill>
            <w14:solidFill>
              <w14:schemeClr w14:val="tx1"/>
            </w14:solidFill>
          </w14:textFill>
        </w:rPr>
      </w:pPr>
      <w:bookmarkStart w:id="79" w:name="_Toc292893132"/>
      <w:bookmarkStart w:id="80" w:name="_Toc179632589"/>
      <w:bookmarkStart w:id="81" w:name="_Toc152045571"/>
      <w:bookmarkStart w:id="82" w:name="_Toc152042347"/>
      <w:bookmarkStart w:id="83" w:name="_Toc144974539"/>
      <w:r>
        <w:rPr>
          <w:rFonts w:hint="eastAsia" w:ascii="宋体" w:hAnsi="宋体"/>
          <w:color w:val="000000" w:themeColor="text1"/>
          <w:kern w:val="0"/>
          <w:sz w:val="24"/>
          <w:highlight w:val="none"/>
          <w14:textFill>
            <w14:solidFill>
              <w14:schemeClr w14:val="tx1"/>
            </w14:solidFill>
          </w14:textFill>
        </w:rPr>
        <w:t>30.1采购人和中标供应商应当自中标通知书发出之日起规定时间内，根据招标文件和中标供应商的投标文件订立书面合同。中标供应商无正当理由拒签合同的，采购人取消其中标资格；给采购人造成的损失的，中标供应商还应当对造成的损失的部分予以赔偿，同时依法承担相应法律责任。</w:t>
      </w:r>
    </w:p>
    <w:p w14:paraId="33604B8F">
      <w:pPr>
        <w:spacing w:line="480" w:lineRule="exact"/>
        <w:ind w:firstLine="470" w:firstLineChars="196"/>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30.2发出中标通知书后，采购人无正当理由拒签合同的，给中标供应商造成损失的，还应当赔偿损失。</w:t>
      </w:r>
    </w:p>
    <w:bookmarkEnd w:id="79"/>
    <w:bookmarkEnd w:id="80"/>
    <w:bookmarkEnd w:id="81"/>
    <w:bookmarkEnd w:id="82"/>
    <w:bookmarkEnd w:id="83"/>
    <w:p w14:paraId="76C811DD">
      <w:pPr>
        <w:snapToGrid w:val="0"/>
        <w:spacing w:before="156" w:after="156" w:line="44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31.中标服务费</w:t>
      </w:r>
    </w:p>
    <w:p w14:paraId="49A3FE45">
      <w:pPr>
        <w:spacing w:line="480" w:lineRule="exact"/>
        <w:ind w:firstLine="470" w:firstLineChars="196"/>
        <w:rPr>
          <w:rFonts w:hint="eastAsia" w:ascii="宋体" w:hAnsi="宋体"/>
          <w:color w:val="000000" w:themeColor="text1"/>
          <w:kern w:val="0"/>
          <w:sz w:val="24"/>
          <w:highlight w:val="none"/>
          <w14:textFill>
            <w14:solidFill>
              <w14:schemeClr w14:val="tx1"/>
            </w14:solidFill>
          </w14:textFill>
        </w:rPr>
      </w:pPr>
      <w:bookmarkStart w:id="84" w:name="_Toc179632592"/>
      <w:bookmarkStart w:id="85" w:name="_Toc144974542"/>
      <w:bookmarkStart w:id="86" w:name="_Toc152045574"/>
      <w:bookmarkStart w:id="87" w:name="_Toc292893133"/>
      <w:bookmarkStart w:id="88" w:name="_Toc152042350"/>
      <w:r>
        <w:rPr>
          <w:rFonts w:hint="eastAsia" w:ascii="宋体" w:hAnsi="宋体"/>
          <w:color w:val="000000" w:themeColor="text1"/>
          <w:kern w:val="0"/>
          <w:sz w:val="24"/>
          <w:highlight w:val="none"/>
          <w14:textFill>
            <w14:solidFill>
              <w14:schemeClr w14:val="tx1"/>
            </w14:solidFill>
          </w14:textFill>
        </w:rPr>
        <w:t>供应商如果中标，则参照豫招协《河南省招标代理服务收费指导意见》【2023】002号文规定，本项目代理服务费16400.00元，中标人向河南荣之鑫工程管理有限公司一次性交清本次项目招标代理服务费。</w:t>
      </w:r>
    </w:p>
    <w:bookmarkEnd w:id="84"/>
    <w:bookmarkEnd w:id="85"/>
    <w:bookmarkEnd w:id="86"/>
    <w:bookmarkEnd w:id="87"/>
    <w:bookmarkEnd w:id="88"/>
    <w:p w14:paraId="5CF9278F">
      <w:pPr>
        <w:snapToGrid w:val="0"/>
        <w:spacing w:before="156" w:after="156" w:line="44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32.纪律和监督</w:t>
      </w:r>
    </w:p>
    <w:p w14:paraId="730B2CE3">
      <w:pPr>
        <w:spacing w:line="440" w:lineRule="exact"/>
        <w:ind w:firstLine="480" w:firstLineChars="200"/>
        <w:rPr>
          <w:rFonts w:hint="eastAsia" w:ascii="宋体" w:hAnsi="宋体"/>
          <w:color w:val="000000" w:themeColor="text1"/>
          <w:kern w:val="0"/>
          <w:sz w:val="24"/>
          <w:highlight w:val="none"/>
          <w14:textFill>
            <w14:solidFill>
              <w14:schemeClr w14:val="tx1"/>
            </w14:solidFill>
          </w14:textFill>
        </w:rPr>
      </w:pPr>
      <w:bookmarkStart w:id="89" w:name="_Toc144974543"/>
      <w:bookmarkEnd w:id="89"/>
      <w:bookmarkStart w:id="90" w:name="_Toc152042351"/>
      <w:bookmarkEnd w:id="90"/>
      <w:bookmarkStart w:id="91" w:name="_Toc152045575"/>
      <w:bookmarkEnd w:id="91"/>
      <w:bookmarkStart w:id="92" w:name="_Toc292893134"/>
      <w:bookmarkEnd w:id="92"/>
      <w:bookmarkStart w:id="93" w:name="_Toc179632593"/>
      <w:bookmarkEnd w:id="93"/>
      <w:r>
        <w:rPr>
          <w:rFonts w:hint="eastAsia" w:ascii="宋体" w:hAnsi="宋体"/>
          <w:color w:val="000000" w:themeColor="text1"/>
          <w:kern w:val="0"/>
          <w:sz w:val="24"/>
          <w:highlight w:val="none"/>
          <w14:textFill>
            <w14:solidFill>
              <w14:schemeClr w14:val="tx1"/>
            </w14:solidFill>
          </w14:textFill>
        </w:rPr>
        <w:t>32.1对采购人的纪律要求：采购人不得泄漏招标投标活动中应当保密的情况和资料，不得与供应商串通损害国家利益、社会公共利益或者他人合法权益。</w:t>
      </w:r>
    </w:p>
    <w:p w14:paraId="0C1FC320">
      <w:pPr>
        <w:spacing w:line="440" w:lineRule="exact"/>
        <w:ind w:firstLine="480" w:firstLineChars="200"/>
        <w:rPr>
          <w:rFonts w:hint="eastAsia" w:ascii="宋体" w:hAnsi="宋体"/>
          <w:color w:val="000000" w:themeColor="text1"/>
          <w:kern w:val="0"/>
          <w:sz w:val="24"/>
          <w:highlight w:val="none"/>
          <w14:textFill>
            <w14:solidFill>
              <w14:schemeClr w14:val="tx1"/>
            </w14:solidFill>
          </w14:textFill>
        </w:rPr>
      </w:pPr>
      <w:bookmarkStart w:id="94" w:name="_Toc152045576"/>
      <w:bookmarkEnd w:id="94"/>
      <w:bookmarkStart w:id="95" w:name="_Toc152042352"/>
      <w:bookmarkEnd w:id="95"/>
      <w:bookmarkStart w:id="96" w:name="_Toc179632594"/>
      <w:bookmarkEnd w:id="96"/>
      <w:bookmarkStart w:id="97" w:name="_Toc144974544"/>
      <w:bookmarkEnd w:id="97"/>
      <w:bookmarkStart w:id="98" w:name="_Toc292893135"/>
      <w:bookmarkEnd w:id="98"/>
      <w:bookmarkStart w:id="99" w:name="_Toc292893136"/>
      <w:bookmarkStart w:id="100" w:name="_Toc152045577"/>
      <w:bookmarkStart w:id="101" w:name="_Toc152042353"/>
      <w:bookmarkStart w:id="102" w:name="_Toc179632595"/>
      <w:bookmarkStart w:id="103" w:name="_Toc144974545"/>
      <w:r>
        <w:rPr>
          <w:rFonts w:hint="eastAsia" w:ascii="宋体" w:hAnsi="宋体"/>
          <w:color w:val="000000" w:themeColor="text1"/>
          <w:kern w:val="0"/>
          <w:sz w:val="24"/>
          <w:highlight w:val="none"/>
          <w14:textFill>
            <w14:solidFill>
              <w14:schemeClr w14:val="tx1"/>
            </w14:solidFill>
          </w14:textFill>
        </w:rPr>
        <w:t>32.2 对供应商的纪律要求：供应商不得相互串通投标或者与采购人串通投标，不得向采购人或者评标委员会成员行贿谋取中标，不得以他人名义投标或者以其他方式弄虚作假骗取中标；供应商不得以任何方式干扰、影响评标工作。如发现供应商有上述不正当行为，将取消其投标资格或中标资格。</w:t>
      </w:r>
    </w:p>
    <w:bookmarkEnd w:id="99"/>
    <w:bookmarkEnd w:id="100"/>
    <w:bookmarkEnd w:id="101"/>
    <w:bookmarkEnd w:id="102"/>
    <w:bookmarkEnd w:id="103"/>
    <w:p w14:paraId="2649FF08">
      <w:pPr>
        <w:spacing w:line="440" w:lineRule="exact"/>
        <w:ind w:firstLine="480" w:firstLineChars="200"/>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32.3 对评标委员会成员的纪律要求：评标委员会成员不得收受他人的财物或者其他好处，不得向他人透漏对投标文件的评审和比较、中标候选供应商的推荐情况以及评标有关的其他情况。在评标活动中，评标委员会成员不得擅离职守，影响评标程序正常进行，不得使用评标办法没有规定的评审因素和标准进行评标。</w:t>
      </w:r>
    </w:p>
    <w:p w14:paraId="19BD4C0D">
      <w:pPr>
        <w:spacing w:line="440" w:lineRule="exact"/>
        <w:ind w:firstLine="480" w:firstLineChars="200"/>
        <w:rPr>
          <w:rFonts w:hint="eastAsia" w:ascii="宋体" w:hAnsi="宋体"/>
          <w:color w:val="000000" w:themeColor="text1"/>
          <w:kern w:val="0"/>
          <w:sz w:val="24"/>
          <w:highlight w:val="none"/>
          <w14:textFill>
            <w14:solidFill>
              <w14:schemeClr w14:val="tx1"/>
            </w14:solidFill>
          </w14:textFill>
        </w:rPr>
      </w:pPr>
      <w:bookmarkStart w:id="104" w:name="_Toc152042354"/>
      <w:bookmarkEnd w:id="104"/>
      <w:bookmarkStart w:id="105" w:name="_Toc179632596"/>
      <w:bookmarkEnd w:id="105"/>
      <w:bookmarkStart w:id="106" w:name="_Toc152045578"/>
      <w:bookmarkEnd w:id="106"/>
      <w:bookmarkStart w:id="107" w:name="_Toc144974546"/>
      <w:bookmarkEnd w:id="107"/>
      <w:bookmarkStart w:id="108" w:name="_Toc292893137"/>
      <w:bookmarkEnd w:id="108"/>
      <w:bookmarkStart w:id="109" w:name="_Toc152042355"/>
      <w:bookmarkEnd w:id="109"/>
      <w:r>
        <w:rPr>
          <w:rFonts w:hint="eastAsia" w:ascii="宋体" w:hAnsi="宋体"/>
          <w:color w:val="000000" w:themeColor="text1"/>
          <w:kern w:val="0"/>
          <w:sz w:val="24"/>
          <w:highlight w:val="none"/>
          <w14:textFill>
            <w14:solidFill>
              <w14:schemeClr w14:val="tx1"/>
            </w14:solidFill>
          </w14:textFill>
        </w:rPr>
        <w:t>32.4 对与评标活动有关的工作人员的纪律要求：与评标活动有关的工作人员不得收受他人的财物或者其他好处，不得向他人透漏对投标文件的评审和比较、中标候选供应商的推荐情况以及评标有关的其他情况。在评标活动中，与评标活动有关的工作人员不得擅离职守，影响评标程序正常进行。</w:t>
      </w:r>
    </w:p>
    <w:p w14:paraId="0AA82B0C">
      <w:pPr>
        <w:snapToGrid w:val="0"/>
        <w:spacing w:before="156" w:after="156" w:line="44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33.需要补充的其他内容（见供应商须知前附表）</w:t>
      </w:r>
    </w:p>
    <w:bookmarkEnd w:id="58"/>
    <w:p w14:paraId="7F5C0CA0">
      <w:pPr>
        <w:pStyle w:val="29"/>
        <w:spacing w:before="100" w:after="100" w:line="360" w:lineRule="auto"/>
        <w:jc w:val="center"/>
        <w:rPr>
          <w:rFonts w:hint="eastAsia" w:ascii="宋体" w:hAnsi="宋体"/>
          <w:b w:val="0"/>
          <w:color w:val="000000" w:themeColor="text1"/>
          <w:kern w:val="0"/>
          <w:sz w:val="24"/>
          <w:highlight w:val="none"/>
          <w14:textFill>
            <w14:solidFill>
              <w14:schemeClr w14:val="tx1"/>
            </w14:solidFill>
          </w14:textFill>
        </w:rPr>
      </w:pPr>
      <w:r>
        <w:rPr>
          <w:rFonts w:hint="eastAsia" w:ascii="宋体" w:hAnsi="宋体"/>
          <w:b w:val="0"/>
          <w:color w:val="000000" w:themeColor="text1"/>
          <w:kern w:val="0"/>
          <w:sz w:val="24"/>
          <w:highlight w:val="none"/>
          <w14:textFill>
            <w14:solidFill>
              <w14:schemeClr w14:val="tx1"/>
            </w14:solidFill>
          </w14:textFill>
        </w:rPr>
        <w:br w:type="page"/>
      </w:r>
      <w:bookmarkStart w:id="110" w:name="_Toc29838"/>
      <w:r>
        <w:rPr>
          <w:rFonts w:hint="eastAsia" w:ascii="宋体" w:hAnsi="宋体"/>
          <w:color w:val="000000" w:themeColor="text1"/>
          <w:sz w:val="36"/>
          <w:szCs w:val="36"/>
          <w:highlight w:val="none"/>
          <w14:textFill>
            <w14:solidFill>
              <w14:schemeClr w14:val="tx1"/>
            </w14:solidFill>
          </w14:textFill>
        </w:rPr>
        <w:t>第三章  评标办法</w:t>
      </w:r>
      <w:bookmarkEnd w:id="110"/>
    </w:p>
    <w:p w14:paraId="5B7F20E7">
      <w:pPr>
        <w:snapToGrid w:val="0"/>
        <w:spacing w:before="156" w:after="156"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一、评标、定标原则</w:t>
      </w:r>
    </w:p>
    <w:p w14:paraId="39E05262">
      <w:pPr>
        <w:snapToGrid w:val="0"/>
        <w:spacing w:line="48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按照《中华人民共和国政府采购法》和七部委联合下发的《评标委员会和评标方法暂行规定》等的有关规定，坚持公开、公平、公正、诚实、守信、科学、择优的原则，反对不正当竞争。</w:t>
      </w:r>
    </w:p>
    <w:p w14:paraId="35838948">
      <w:pPr>
        <w:snapToGrid w:val="0"/>
        <w:spacing w:before="156" w:after="156"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二、评标监督：由相关行政主管部门对招投标全过程进行监督。</w:t>
      </w:r>
    </w:p>
    <w:p w14:paraId="1B4342B7">
      <w:pPr>
        <w:snapToGrid w:val="0"/>
        <w:spacing w:before="156" w:after="156" w:line="44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三、评标委员会</w:t>
      </w:r>
      <w:r>
        <w:rPr>
          <w:rFonts w:hint="eastAsia" w:ascii="宋体" w:hAnsi="宋体"/>
          <w:color w:val="000000" w:themeColor="text1"/>
          <w:sz w:val="24"/>
          <w:szCs w:val="24"/>
          <w:highlight w:val="none"/>
          <w14:textFill>
            <w14:solidFill>
              <w14:schemeClr w14:val="tx1"/>
            </w14:solidFill>
          </w14:textFill>
        </w:rPr>
        <w:t>：本项目评标委员会由采购人代表和评审专家组成，成员人数应当为5人以上单数，其中评审专家不得少于成员总人数的三分之二,在招标监督部门的监督下，从评标专家库中随机抽取。评标委员会根据本项目招标文件的评定标办法独立完成评标工作，任何人不得干预评委的正常评标工作。</w:t>
      </w:r>
    </w:p>
    <w:p w14:paraId="4C23BACD">
      <w:pPr>
        <w:snapToGrid w:val="0"/>
        <w:spacing w:before="156" w:after="156"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四、评标纪律：（评标现场宣读）</w:t>
      </w:r>
    </w:p>
    <w:p w14:paraId="4997D70E">
      <w:pPr>
        <w:snapToGrid w:val="0"/>
        <w:spacing w:before="156" w:after="156"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五、评标规则：</w:t>
      </w:r>
      <w:r>
        <w:rPr>
          <w:rFonts w:hint="eastAsia" w:ascii="宋体" w:hAnsi="宋体"/>
          <w:color w:val="000000" w:themeColor="text1"/>
          <w:sz w:val="24"/>
          <w:szCs w:val="24"/>
          <w:highlight w:val="none"/>
          <w14:textFill>
            <w14:solidFill>
              <w14:schemeClr w14:val="tx1"/>
            </w14:solidFill>
          </w14:textFill>
        </w:rPr>
        <w:t>采取百分制对各投标文件进行评审，计分过程按四舍五入取至小数点后两位，当出现并列时，保留至小数点后三位。具体评标过程分为两个阶段：</w:t>
      </w:r>
    </w:p>
    <w:p w14:paraId="3074656C">
      <w:pPr>
        <w:snapToGrid w:val="0"/>
        <w:spacing w:before="156" w:after="156"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1．初步评审</w:t>
      </w:r>
    </w:p>
    <w:p w14:paraId="6C57029D">
      <w:pPr>
        <w:snapToGrid w:val="0"/>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评委会首先按招标文件要求对投标人的投标文件进行符合性评审。确认其投标文件是否实质上响应了招标文件的要求，对实质上响应招标文件要求的投标文件进行下一步评审。</w:t>
      </w:r>
    </w:p>
    <w:p w14:paraId="2158527A">
      <w:pPr>
        <w:snapToGrid w:val="0"/>
        <w:spacing w:before="156" w:after="156"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2．细微偏差不影响投标文件的有效性</w:t>
      </w:r>
    </w:p>
    <w:p w14:paraId="12D2C179">
      <w:pPr>
        <w:snapToGrid w:val="0"/>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细微偏差是指投标文件在实质上响应招标文件要求，但个别地方存在漏项或者提供不了完整的技术信息和数据等情况，并且补正这些遗漏或者不完整不会对其他投标人造成不公平的结果。如投标文件中数字大写和小写不一致的，以大写为准。</w:t>
      </w:r>
    </w:p>
    <w:p w14:paraId="2E64B98C">
      <w:pPr>
        <w:snapToGrid w:val="0"/>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对于实质上符合招标文件要求的投标文件，采购人将对其投标文件的细微偏差进行校核。并对算数上和累积运算上的差错给与修正，这种修整应取得投标人的同意并确认修正后的最终结果。如果投标人拒绝确认，则其投标文件将不予评审。</w:t>
      </w:r>
    </w:p>
    <w:p w14:paraId="66CDB5C3">
      <w:pPr>
        <w:snapToGrid w:val="0"/>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评标委员会不对无效标评审。评标委员会不接受投标人在投标文件递交截止时间之后主动进行的一切修正或撤销其不符合要求的偏差。</w:t>
      </w:r>
    </w:p>
    <w:p w14:paraId="1C992F66">
      <w:pPr>
        <w:snapToGrid w:val="0"/>
        <w:spacing w:before="156" w:after="156"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3．详细评审</w:t>
      </w:r>
    </w:p>
    <w:p w14:paraId="23D8B989">
      <w:pPr>
        <w:snapToGrid w:val="0"/>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经初步评审合格的投标文件，评标委员会根据招标文件确定的评标标准和方法，对其投标文件做进一步评审与比较。</w:t>
      </w:r>
    </w:p>
    <w:p w14:paraId="5E865A77">
      <w:pPr>
        <w:snapToGrid w:val="0"/>
        <w:spacing w:before="156" w:after="156" w:line="44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4．评标保密</w:t>
      </w:r>
    </w:p>
    <w:p w14:paraId="5B1D64B1">
      <w:pPr>
        <w:snapToGrid w:val="0"/>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在确认中标供应商之前，凡属于投标文件的审查、澄清、评价和比较及有关授予合同的信息，凡参与评标的所有人员都不得向投标人或与该过程无公务关系的其他人泄露。如果投标人试图对采购人的评标过程或定标决定施加影响，则会导致其投标文件被拒绝。</w:t>
      </w:r>
    </w:p>
    <w:p w14:paraId="0A8331B7">
      <w:pPr>
        <w:snapToGrid w:val="0"/>
        <w:spacing w:before="156" w:after="156" w:line="44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5．评标结果</w:t>
      </w:r>
    </w:p>
    <w:p w14:paraId="3D6A3E79">
      <w:pPr>
        <w:snapToGrid w:val="0"/>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评标委员会每位成员根据评标办法和标准，对所有投标文件进行集中审核分别打分后。各评委评分的算术平均值作为该投标人的最终得分，计分取至小数点后两位，计分过程中小数点后第三位四舍五入。</w:t>
      </w:r>
    </w:p>
    <w:p w14:paraId="42537E86">
      <w:pPr>
        <w:snapToGrid w:val="0"/>
        <w:spacing w:before="156" w:after="156" w:line="44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6．定标</w:t>
      </w:r>
    </w:p>
    <w:p w14:paraId="2BC5AF3C">
      <w:pPr>
        <w:snapToGrid w:val="0"/>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评标委员会将向采购人提交评标报告，并按照得分高低的顺序向采购人推荐排序前三名为中标候选供应商，采购人应当接受评标委员会推荐的中标候选供应商，不得在评标委员会推荐的中标候选供应商之外确定中标供应商。排名第一的中标候选供应商因不可抗力放弃中标或提出不能履行合同，采购人可依次确定排名第二或第三的中标候选供应商为中标供应商,也可以重新开展政府采购活动。</w:t>
      </w:r>
    </w:p>
    <w:p w14:paraId="59F8305B">
      <w:pPr>
        <w:snapToGrid w:val="0"/>
        <w:spacing w:before="156" w:after="156" w:line="44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7.评标的标准如下</w:t>
      </w:r>
    </w:p>
    <w:p w14:paraId="1DBDAE04">
      <w:pPr>
        <w:snapToGrid w:val="0"/>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bookmarkStart w:id="111" w:name="_Toc318932195"/>
      <w:r>
        <w:rPr>
          <w:rFonts w:hint="eastAsia" w:ascii="宋体" w:hAnsi="宋体"/>
          <w:color w:val="000000" w:themeColor="text1"/>
          <w:sz w:val="24"/>
          <w:szCs w:val="24"/>
          <w:highlight w:val="none"/>
          <w14:textFill>
            <w14:solidFill>
              <w14:schemeClr w14:val="tx1"/>
            </w14:solidFill>
          </w14:textFill>
        </w:rPr>
        <w:t>评标委员会对初审后满足招标文件实质性要求的投标文件，按照本评分标准进行打分，并按得分由高到低顺序推荐3名中标候选供应商。综合评分相等时，以投标报价低的优先。</w:t>
      </w:r>
    </w:p>
    <w:p w14:paraId="79E00B43">
      <w:pP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br w:type="page"/>
      </w:r>
    </w:p>
    <w:tbl>
      <w:tblPr>
        <w:tblStyle w:val="18"/>
        <w:tblW w:w="92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273"/>
        <w:gridCol w:w="6819"/>
      </w:tblGrid>
      <w:tr w14:paraId="07482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451" w:type="dxa"/>
            <w:gridSpan w:val="2"/>
            <w:tcBorders>
              <w:tl2br w:val="nil"/>
              <w:tr2bl w:val="nil"/>
            </w:tcBorders>
            <w:vAlign w:val="center"/>
          </w:tcPr>
          <w:p w14:paraId="5F8686BD">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分值构成(总分100分)</w:t>
            </w:r>
          </w:p>
        </w:tc>
        <w:tc>
          <w:tcPr>
            <w:tcW w:w="6819" w:type="dxa"/>
            <w:tcBorders>
              <w:tl2br w:val="nil"/>
              <w:tr2bl w:val="nil"/>
            </w:tcBorders>
            <w:vAlign w:val="center"/>
          </w:tcPr>
          <w:p w14:paraId="73B6A32F">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投标报价：30分</w:t>
            </w:r>
          </w:p>
          <w:p w14:paraId="4BCB44DE">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技术部分：15分</w:t>
            </w:r>
          </w:p>
          <w:p w14:paraId="62F4BE0E">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综合部分：55分</w:t>
            </w:r>
          </w:p>
        </w:tc>
      </w:tr>
      <w:tr w14:paraId="41AB8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1" w:type="dxa"/>
            <w:gridSpan w:val="2"/>
            <w:tcBorders>
              <w:tl2br w:val="nil"/>
              <w:tr2bl w:val="nil"/>
            </w:tcBorders>
            <w:vAlign w:val="center"/>
          </w:tcPr>
          <w:p w14:paraId="0FBA4A57">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投标报价</w:t>
            </w:r>
          </w:p>
          <w:p w14:paraId="268A9045">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（30分）</w:t>
            </w:r>
          </w:p>
        </w:tc>
        <w:tc>
          <w:tcPr>
            <w:tcW w:w="6819" w:type="dxa"/>
            <w:tcBorders>
              <w:tl2br w:val="nil"/>
              <w:tr2bl w:val="nil"/>
            </w:tcBorders>
          </w:tcPr>
          <w:p w14:paraId="54AA1831">
            <w:pPr>
              <w:pStyle w:val="16"/>
              <w:spacing w:after="0" w:line="440" w:lineRule="exact"/>
              <w:ind w:firstLine="0" w:firstLineChars="0"/>
              <w:jc w:val="left"/>
              <w:rPr>
                <w:rFonts w:hint="eastAsia" w:ascii="宋体" w:hAnsi="宋体" w:cs="宋体"/>
                <w:color w:val="000000" w:themeColor="text1"/>
                <w:sz w:val="21"/>
                <w:szCs w:val="21"/>
                <w:highlight w:val="none"/>
                <w:lang w:val="zh-CN"/>
                <w14:textFill>
                  <w14:solidFill>
                    <w14:schemeClr w14:val="tx1"/>
                  </w14:solidFill>
                </w14:textFill>
              </w:rPr>
            </w:pPr>
            <w:r>
              <w:rPr>
                <w:rFonts w:hint="eastAsia" w:ascii="宋体" w:hAnsi="宋体" w:cs="宋体"/>
                <w:color w:val="000000" w:themeColor="text1"/>
                <w:sz w:val="21"/>
                <w:szCs w:val="21"/>
                <w:highlight w:val="none"/>
                <w:lang w:val="zh-CN"/>
                <w14:textFill>
                  <w14:solidFill>
                    <w14:schemeClr w14:val="tx1"/>
                  </w14:solidFill>
                </w14:textFill>
              </w:rPr>
              <w:t>评标基准值=有效供应商的最低投标报价。</w:t>
            </w:r>
          </w:p>
          <w:p w14:paraId="348175E6">
            <w:pPr>
              <w:pStyle w:val="16"/>
              <w:spacing w:after="0" w:line="440" w:lineRule="exact"/>
              <w:ind w:firstLine="0" w:firstLineChars="0"/>
              <w:jc w:val="left"/>
              <w:rPr>
                <w:rFonts w:hint="eastAsia" w:ascii="宋体" w:hAnsi="宋体" w:cs="宋体"/>
                <w:color w:val="000000" w:themeColor="text1"/>
                <w:sz w:val="21"/>
                <w:szCs w:val="21"/>
                <w:highlight w:val="none"/>
                <w:lang w:val="zh-CN"/>
                <w14:textFill>
                  <w14:solidFill>
                    <w14:schemeClr w14:val="tx1"/>
                  </w14:solidFill>
                </w14:textFill>
              </w:rPr>
            </w:pPr>
            <w:r>
              <w:rPr>
                <w:rFonts w:hint="eastAsia" w:ascii="宋体" w:hAnsi="宋体" w:cs="宋体"/>
                <w:color w:val="000000" w:themeColor="text1"/>
                <w:sz w:val="21"/>
                <w:szCs w:val="21"/>
                <w:highlight w:val="none"/>
                <w:lang w:val="zh-CN"/>
                <w14:textFill>
                  <w14:solidFill>
                    <w14:schemeClr w14:val="tx1"/>
                  </w14:solidFill>
                </w14:textFill>
              </w:rPr>
              <w:t>价格分统一采用低价优先法计算，即满足招标文件要求且投标价格最低的投标报投标价为评标基准价，其价格分为满分。其他投标人的价格分统一按照下面公式计算：投标报价得分=（评标基准价/投标报价）×</w:t>
            </w:r>
            <w:r>
              <w:rPr>
                <w:rFonts w:hint="eastAsia" w:ascii="宋体" w:hAnsi="宋体" w:cs="宋体"/>
                <w:color w:val="000000" w:themeColor="text1"/>
                <w:sz w:val="21"/>
                <w:szCs w:val="21"/>
                <w:highlight w:val="none"/>
                <w14:textFill>
                  <w14:solidFill>
                    <w14:schemeClr w14:val="tx1"/>
                  </w14:solidFill>
                </w14:textFill>
              </w:rPr>
              <w:t>3</w:t>
            </w:r>
            <w:r>
              <w:rPr>
                <w:rFonts w:hint="eastAsia" w:ascii="宋体" w:hAnsi="宋体" w:cs="宋体"/>
                <w:color w:val="000000" w:themeColor="text1"/>
                <w:sz w:val="21"/>
                <w:szCs w:val="21"/>
                <w:highlight w:val="none"/>
                <w:lang w:val="zh-CN"/>
                <w14:textFill>
                  <w14:solidFill>
                    <w14:schemeClr w14:val="tx1"/>
                  </w14:solidFill>
                </w14:textFill>
              </w:rPr>
              <w:t>0。</w:t>
            </w:r>
          </w:p>
          <w:p w14:paraId="5DF56D5B">
            <w:pPr>
              <w:pStyle w:val="16"/>
              <w:spacing w:after="0" w:line="440" w:lineRule="exact"/>
              <w:ind w:firstLine="0" w:firstLineChars="0"/>
              <w:jc w:val="left"/>
              <w:rPr>
                <w:rFonts w:hint="eastAsia" w:ascii="宋体" w:hAnsi="宋体" w:cs="宋体"/>
                <w:color w:val="000000" w:themeColor="text1"/>
                <w:sz w:val="21"/>
                <w:szCs w:val="21"/>
                <w:highlight w:val="none"/>
                <w:lang w:val="zh-CN"/>
                <w14:textFill>
                  <w14:solidFill>
                    <w14:schemeClr w14:val="tx1"/>
                  </w14:solidFill>
                </w14:textFill>
              </w:rPr>
            </w:pPr>
            <w:r>
              <w:rPr>
                <w:rFonts w:hint="eastAsia" w:ascii="宋体" w:hAnsi="宋体" w:cs="宋体"/>
                <w:color w:val="000000" w:themeColor="text1"/>
                <w:sz w:val="21"/>
                <w:szCs w:val="21"/>
                <w:highlight w:val="none"/>
                <w:lang w:val="zh-CN"/>
                <w14:textFill>
                  <w14:solidFill>
                    <w14:schemeClr w14:val="tx1"/>
                  </w14:solidFill>
                </w14:textFill>
              </w:rPr>
              <w:t>注：</w:t>
            </w:r>
            <w:r>
              <w:rPr>
                <w:rFonts w:hint="eastAsia" w:ascii="宋体" w:hAnsi="宋体" w:cs="宋体"/>
                <w:color w:val="000000" w:themeColor="text1"/>
                <w:sz w:val="21"/>
                <w:szCs w:val="21"/>
                <w:highlight w:val="none"/>
                <w14:textFill>
                  <w14:solidFill>
                    <w14:schemeClr w14:val="tx1"/>
                  </w14:solidFill>
                </w14:textFill>
              </w:rPr>
              <w:t>1.</w:t>
            </w:r>
            <w:r>
              <w:rPr>
                <w:rFonts w:hint="eastAsia" w:ascii="宋体" w:hAnsi="宋体" w:cs="宋体"/>
                <w:color w:val="000000" w:themeColor="text1"/>
                <w:sz w:val="21"/>
                <w:szCs w:val="21"/>
                <w:highlight w:val="none"/>
                <w:lang w:val="zh-CN"/>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5983EAE">
            <w:pPr>
              <w:pStyle w:val="16"/>
              <w:spacing w:after="0" w:line="440" w:lineRule="exact"/>
              <w:ind w:firstLine="0" w:firstLineChars="0"/>
              <w:jc w:val="lef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w:t>
            </w:r>
            <w:r>
              <w:rPr>
                <w:rFonts w:hint="eastAsia" w:ascii="宋体" w:hAnsi="宋体" w:cs="宋体"/>
                <w:color w:val="000000" w:themeColor="text1"/>
                <w:sz w:val="21"/>
                <w:szCs w:val="21"/>
                <w:highlight w:val="none"/>
                <w:lang w:val="zh-CN"/>
                <w14:textFill>
                  <w14:solidFill>
                    <w14:schemeClr w14:val="tx1"/>
                  </w14:solidFill>
                </w14:textFill>
              </w:rPr>
              <w:t>有效供应商是指实质上响应招标文件要求并通过实质性审核未被否决投标的所有供应商。</w:t>
            </w:r>
          </w:p>
        </w:tc>
      </w:tr>
      <w:tr w14:paraId="3F918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451" w:type="dxa"/>
            <w:gridSpan w:val="2"/>
            <w:tcBorders>
              <w:tl2br w:val="nil"/>
              <w:tr2bl w:val="nil"/>
            </w:tcBorders>
            <w:vAlign w:val="center"/>
          </w:tcPr>
          <w:p w14:paraId="14647EB7">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评分因素</w:t>
            </w:r>
          </w:p>
        </w:tc>
        <w:tc>
          <w:tcPr>
            <w:tcW w:w="6819" w:type="dxa"/>
            <w:tcBorders>
              <w:tl2br w:val="nil"/>
              <w:tr2bl w:val="nil"/>
            </w:tcBorders>
            <w:vAlign w:val="center"/>
          </w:tcPr>
          <w:p w14:paraId="76181BD3">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评分标准</w:t>
            </w:r>
          </w:p>
        </w:tc>
      </w:tr>
      <w:tr w14:paraId="6A2FD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451" w:type="dxa"/>
            <w:gridSpan w:val="2"/>
            <w:tcBorders>
              <w:tl2br w:val="nil"/>
              <w:tr2bl w:val="nil"/>
            </w:tcBorders>
            <w:vAlign w:val="center"/>
          </w:tcPr>
          <w:p w14:paraId="4EB40C0E">
            <w:pPr>
              <w:pStyle w:val="28"/>
              <w:spacing w:line="440" w:lineRule="exact"/>
              <w:jc w:val="center"/>
              <w:rPr>
                <w:rFonts w:hint="eastAsia" w:hAnsi="宋体" w:cs="宋体"/>
                <w:color w:val="000000" w:themeColor="text1"/>
                <w:sz w:val="21"/>
                <w:szCs w:val="21"/>
                <w:highlight w:val="none"/>
                <w14:textFill>
                  <w14:solidFill>
                    <w14:schemeClr w14:val="tx1"/>
                  </w14:solidFill>
                </w14:textFill>
              </w:rPr>
            </w:pPr>
            <w:r>
              <w:rPr>
                <w:rFonts w:hint="eastAsia" w:hAnsi="宋体" w:cs="宋体"/>
                <w:b/>
                <w:bCs/>
                <w:color w:val="000000" w:themeColor="text1"/>
                <w:sz w:val="21"/>
                <w:szCs w:val="21"/>
                <w:highlight w:val="none"/>
                <w14:textFill>
                  <w14:solidFill>
                    <w14:schemeClr w14:val="tx1"/>
                  </w14:solidFill>
                </w14:textFill>
              </w:rPr>
              <w:t>技术部分（15分）</w:t>
            </w:r>
          </w:p>
        </w:tc>
        <w:tc>
          <w:tcPr>
            <w:tcW w:w="6819" w:type="dxa"/>
            <w:tcBorders>
              <w:tl2br w:val="nil"/>
              <w:tr2bl w:val="nil"/>
            </w:tcBorders>
            <w:vAlign w:val="center"/>
          </w:tcPr>
          <w:p w14:paraId="41037602">
            <w:pPr>
              <w:pStyle w:val="96"/>
              <w:tabs>
                <w:tab w:val="left" w:pos="900"/>
              </w:tabs>
              <w:spacing w:line="440" w:lineRule="exact"/>
              <w:ind w:left="0"/>
              <w:rPr>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供应商对</w:t>
            </w:r>
            <w:r>
              <w:rPr>
                <w:rFonts w:hint="eastAsia" w:ascii="宋体" w:hAnsi="宋体" w:cs="宋体"/>
                <w:color w:val="000000" w:themeColor="text1"/>
                <w:highlight w:val="none"/>
                <w:lang w:val="zh-CN"/>
                <w14:textFill>
                  <w14:solidFill>
                    <w14:schemeClr w14:val="tx1"/>
                  </w14:solidFill>
                </w14:textFill>
              </w:rPr>
              <w:t>所投产品的技术参数、技术性能完全满足招标文件要求，得满分</w:t>
            </w:r>
            <w:r>
              <w:rPr>
                <w:rFonts w:hint="eastAsia" w:ascii="宋体" w:hAnsi="宋体" w:cs="宋体"/>
                <w:color w:val="000000" w:themeColor="text1"/>
                <w:highlight w:val="none"/>
                <w14:textFill>
                  <w14:solidFill>
                    <w14:schemeClr w14:val="tx1"/>
                  </w14:solidFill>
                </w14:textFill>
              </w:rPr>
              <w:t>15</w:t>
            </w:r>
            <w:r>
              <w:rPr>
                <w:rFonts w:hint="eastAsia" w:ascii="宋体" w:hAnsi="宋体" w:cs="宋体"/>
                <w:color w:val="000000" w:themeColor="text1"/>
                <w:highlight w:val="none"/>
                <w:lang w:val="zh-CN"/>
                <w14:textFill>
                  <w14:solidFill>
                    <w14:schemeClr w14:val="tx1"/>
                  </w14:solidFill>
                </w14:textFill>
              </w:rPr>
              <w:t>分，未加※项目</w:t>
            </w:r>
            <w:bookmarkStart w:id="112" w:name="OLE_LINK3"/>
            <w:r>
              <w:rPr>
                <w:rStyle w:val="162"/>
                <w:rFonts w:hint="eastAsia" w:ascii="宋体" w:hAnsi="宋体" w:cs="宋体"/>
                <w:color w:val="000000" w:themeColor="text1"/>
                <w:highlight w:val="none"/>
                <w14:textFill>
                  <w14:solidFill>
                    <w14:schemeClr w14:val="tx1"/>
                  </w14:solidFill>
                </w14:textFill>
              </w:rPr>
              <w:t>技术参数每有一项负偏离的，扣1分</w:t>
            </w:r>
            <w:bookmarkEnd w:id="112"/>
            <w:r>
              <w:rPr>
                <w:rStyle w:val="162"/>
                <w:rFonts w:hint="eastAsia" w:ascii="宋体" w:hAnsi="宋体" w:cs="宋体"/>
                <w:color w:val="000000" w:themeColor="text1"/>
                <w:highlight w:val="none"/>
                <w14:textFill>
                  <w14:solidFill>
                    <w14:schemeClr w14:val="tx1"/>
                  </w14:solidFill>
                </w14:textFill>
              </w:rPr>
              <w:t>，扣完为止；</w:t>
            </w:r>
            <w:bookmarkStart w:id="113" w:name="OLE_LINK1"/>
            <w:r>
              <w:rPr>
                <w:rStyle w:val="162"/>
                <w:rFonts w:hint="eastAsia" w:ascii="宋体" w:hAnsi="宋体" w:cs="宋体"/>
                <w:color w:val="000000" w:themeColor="text1"/>
                <w:highlight w:val="none"/>
                <w14:textFill>
                  <w14:solidFill>
                    <w14:schemeClr w14:val="tx1"/>
                  </w14:solidFill>
                </w14:textFill>
              </w:rPr>
              <w:t>加※项目</w:t>
            </w:r>
            <w:bookmarkEnd w:id="113"/>
            <w:r>
              <w:rPr>
                <w:rStyle w:val="162"/>
                <w:rFonts w:hint="eastAsia" w:ascii="宋体" w:hAnsi="宋体" w:cs="宋体"/>
                <w:color w:val="000000" w:themeColor="text1"/>
                <w:highlight w:val="none"/>
                <w14:textFill>
                  <w14:solidFill>
                    <w14:schemeClr w14:val="tx1"/>
                  </w14:solidFill>
                </w14:textFill>
              </w:rPr>
              <w:t>技术参数每有一项负偏离的，扣2分，加※项目超过5项的本项得分为0分。</w:t>
            </w:r>
          </w:p>
        </w:tc>
      </w:tr>
      <w:tr w14:paraId="5E83A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8" w:type="dxa"/>
            <w:vMerge w:val="restart"/>
            <w:tcBorders>
              <w:tl2br w:val="nil"/>
              <w:tr2bl w:val="nil"/>
            </w:tcBorders>
            <w:vAlign w:val="center"/>
          </w:tcPr>
          <w:p w14:paraId="00AB4896">
            <w:pPr>
              <w:adjustRightInd w:val="0"/>
              <w:snapToGrid w:val="0"/>
              <w:spacing w:line="440" w:lineRule="exact"/>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综合部分（55分）</w:t>
            </w:r>
          </w:p>
        </w:tc>
        <w:tc>
          <w:tcPr>
            <w:tcW w:w="1273" w:type="dxa"/>
            <w:tcBorders>
              <w:tl2br w:val="nil"/>
              <w:tr2bl w:val="nil"/>
            </w:tcBorders>
            <w:vAlign w:val="center"/>
          </w:tcPr>
          <w:p w14:paraId="3E2117E7">
            <w:pPr>
              <w:spacing w:line="44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业绩</w:t>
            </w:r>
          </w:p>
          <w:p w14:paraId="27FE1904">
            <w:pPr>
              <w:spacing w:line="44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（2分）</w:t>
            </w:r>
          </w:p>
        </w:tc>
        <w:tc>
          <w:tcPr>
            <w:tcW w:w="6819" w:type="dxa"/>
            <w:tcBorders>
              <w:tl2br w:val="nil"/>
              <w:tr2bl w:val="nil"/>
            </w:tcBorders>
          </w:tcPr>
          <w:p w14:paraId="1CB06C0B">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供应商2022年以来（以合同签订时间为准）承担过类似项目的，每提供一份有效业绩得1分，最多得2分。</w:t>
            </w:r>
          </w:p>
          <w:p w14:paraId="3DF92933">
            <w:pPr>
              <w:spacing w:line="440" w:lineRule="exact"/>
              <w:jc w:val="left"/>
              <w:rPr>
                <w:rFonts w:hint="eastAsia" w:ascii="宋体" w:hAnsi="宋体" w:cs="宋体"/>
                <w:bCs/>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备注：有效业绩指投标文件中须同时提供项目中标公示截图、合同、中标通知书。</w:t>
            </w:r>
          </w:p>
        </w:tc>
      </w:tr>
      <w:tr w14:paraId="0807B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178" w:type="dxa"/>
            <w:vMerge w:val="continue"/>
            <w:tcBorders>
              <w:tl2br w:val="nil"/>
              <w:tr2bl w:val="nil"/>
            </w:tcBorders>
            <w:vAlign w:val="center"/>
          </w:tcPr>
          <w:p w14:paraId="41689242">
            <w:pPr>
              <w:adjustRightInd w:val="0"/>
              <w:snapToGrid w:val="0"/>
              <w:spacing w:line="440" w:lineRule="exact"/>
              <w:rPr>
                <w:rFonts w:hint="eastAsia" w:ascii="宋体" w:hAnsi="宋体" w:cs="宋体"/>
                <w:b/>
                <w:color w:val="000000" w:themeColor="text1"/>
                <w:highlight w:val="none"/>
                <w14:textFill>
                  <w14:solidFill>
                    <w14:schemeClr w14:val="tx1"/>
                  </w14:solidFill>
                </w14:textFill>
              </w:rPr>
            </w:pPr>
          </w:p>
        </w:tc>
        <w:tc>
          <w:tcPr>
            <w:tcW w:w="1273" w:type="dxa"/>
            <w:tcBorders>
              <w:tl2br w:val="nil"/>
              <w:tr2bl w:val="nil"/>
            </w:tcBorders>
            <w:vAlign w:val="center"/>
          </w:tcPr>
          <w:p w14:paraId="31A2AB8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供货方案</w:t>
            </w:r>
          </w:p>
          <w:p w14:paraId="30668F1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（9分）</w:t>
            </w:r>
          </w:p>
        </w:tc>
        <w:tc>
          <w:tcPr>
            <w:tcW w:w="6819" w:type="dxa"/>
            <w:tcBorders>
              <w:tl2br w:val="nil"/>
              <w:tr2bl w:val="nil"/>
            </w:tcBorders>
            <w:vAlign w:val="center"/>
          </w:tcPr>
          <w:p w14:paraId="0F2575D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（1）供应商供货方案内容全面、安排科学、工作细致、逻辑清晰、可操性强、有保障措施；包括供货实施方案、供货期、供货保障措施、运输、设备安装调试、人员安排等优的得9分；</w:t>
            </w:r>
          </w:p>
          <w:p w14:paraId="7C51026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（2）供应商供货方案内容不全、工作计划清晰、安排不太科学、针对性可操作性一般、措施保障不太具体；包括供货方案实施、供货期、供货保障措施、运输、设备安装调试、人员安排等内容良的得7分；</w:t>
            </w:r>
          </w:p>
          <w:p w14:paraId="04D5875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（3）供应商供货方案内容不全、合理性针对性不强、保障措施不具体；包括供货方案实施、供货期、供货保障措施、运输、设备安装调试、人员安排等内容一般的得4分；</w:t>
            </w:r>
          </w:p>
          <w:p w14:paraId="3758B2D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（4）供应商供货方案内容较差、合理性针对性较差、保障措施较差；包括供货方案实施、供货期、供货保障措施、运输、设备安装调试、人员安排等内容较差的得2分；</w:t>
            </w:r>
          </w:p>
          <w:p w14:paraId="357BF85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（5）不提供得0分。</w:t>
            </w:r>
          </w:p>
        </w:tc>
      </w:tr>
      <w:tr w14:paraId="16A72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78" w:type="dxa"/>
            <w:vMerge w:val="continue"/>
            <w:tcBorders>
              <w:tl2br w:val="nil"/>
              <w:tr2bl w:val="nil"/>
            </w:tcBorders>
            <w:vAlign w:val="center"/>
          </w:tcPr>
          <w:p w14:paraId="43270A6E">
            <w:pPr>
              <w:adjustRightInd w:val="0"/>
              <w:snapToGrid w:val="0"/>
              <w:spacing w:line="440" w:lineRule="exact"/>
              <w:rPr>
                <w:rFonts w:hint="eastAsia" w:ascii="宋体" w:hAnsi="宋体" w:cs="宋体"/>
                <w:b/>
                <w:color w:val="000000" w:themeColor="text1"/>
                <w:highlight w:val="none"/>
                <w14:textFill>
                  <w14:solidFill>
                    <w14:schemeClr w14:val="tx1"/>
                  </w14:solidFill>
                </w14:textFill>
              </w:rPr>
            </w:pPr>
          </w:p>
        </w:tc>
        <w:tc>
          <w:tcPr>
            <w:tcW w:w="1273" w:type="dxa"/>
            <w:tcBorders>
              <w:tl2br w:val="nil"/>
              <w:tr2bl w:val="nil"/>
            </w:tcBorders>
            <w:vAlign w:val="center"/>
          </w:tcPr>
          <w:p w14:paraId="4128F5B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安装调试方法与技术措施（9分）</w:t>
            </w:r>
          </w:p>
        </w:tc>
        <w:tc>
          <w:tcPr>
            <w:tcW w:w="6819" w:type="dxa"/>
            <w:tcBorders>
              <w:tl2br w:val="nil"/>
              <w:tr2bl w:val="nil"/>
            </w:tcBorders>
            <w:vAlign w:val="center"/>
          </w:tcPr>
          <w:p w14:paraId="7273B37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根据供应商的安装调试方法与技术措施，从技术成熟度、先进性、安全性，功能完善性，合理性等综合评分：</w:t>
            </w:r>
          </w:p>
          <w:p w14:paraId="5D0155CA">
            <w:pPr>
              <w:numPr>
                <w:ilvl w:val="0"/>
                <w:numId w:val="3"/>
              </w:num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安装调试方法与技术措施编写完善、详尽、合理、逻辑清晰、可行性程度高的得9分；</w:t>
            </w:r>
          </w:p>
          <w:p w14:paraId="211AC61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（2）安装调试方法与技术措施编较完善、较详尽、合理、逻辑较清晰、具有可行性的得7分；</w:t>
            </w:r>
          </w:p>
          <w:p w14:paraId="5CE20D6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（3）安装调试方法与技术措施编写一般、但基本合理、基本可达到要求，可行性程度一般的得3分；</w:t>
            </w:r>
          </w:p>
          <w:p w14:paraId="3BAE755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（4）安装调试方法与技术措施编写较差、不合理、逻辑混乱、可行性程度差的得1分；</w:t>
            </w:r>
          </w:p>
          <w:p w14:paraId="24EC894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（5）不提供得0分。</w:t>
            </w:r>
          </w:p>
        </w:tc>
      </w:tr>
      <w:tr w14:paraId="32656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178" w:type="dxa"/>
            <w:vMerge w:val="continue"/>
            <w:tcBorders>
              <w:tl2br w:val="nil"/>
              <w:tr2bl w:val="nil"/>
            </w:tcBorders>
            <w:vAlign w:val="center"/>
          </w:tcPr>
          <w:p w14:paraId="44114CFC">
            <w:pPr>
              <w:adjustRightInd w:val="0"/>
              <w:snapToGrid w:val="0"/>
              <w:spacing w:line="440" w:lineRule="exact"/>
              <w:rPr>
                <w:rFonts w:hint="eastAsia" w:ascii="宋体" w:hAnsi="宋体" w:cs="宋体"/>
                <w:b/>
                <w:color w:val="000000" w:themeColor="text1"/>
                <w:highlight w:val="none"/>
                <w14:textFill>
                  <w14:solidFill>
                    <w14:schemeClr w14:val="tx1"/>
                  </w14:solidFill>
                </w14:textFill>
              </w:rPr>
            </w:pPr>
          </w:p>
        </w:tc>
        <w:tc>
          <w:tcPr>
            <w:tcW w:w="1273" w:type="dxa"/>
            <w:tcBorders>
              <w:tl2br w:val="nil"/>
              <w:tr2bl w:val="nil"/>
            </w:tcBorders>
            <w:vAlign w:val="center"/>
          </w:tcPr>
          <w:p w14:paraId="2218858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质量保证方案及措施</w:t>
            </w:r>
          </w:p>
          <w:p w14:paraId="39CC325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（8分）</w:t>
            </w:r>
          </w:p>
        </w:tc>
        <w:tc>
          <w:tcPr>
            <w:tcW w:w="6819" w:type="dxa"/>
            <w:tcBorders>
              <w:tl2br w:val="nil"/>
              <w:tr2bl w:val="nil"/>
            </w:tcBorders>
            <w:vAlign w:val="center"/>
          </w:tcPr>
          <w:p w14:paraId="6E2891A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根据供应商的质量保证方案及措施，从技术成熟度、先进性、安全性，功能合理性等综合评分：</w:t>
            </w:r>
          </w:p>
          <w:p w14:paraId="54E8ED1B">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（1）质量保证方案及措施技术成熟、重点难点分析全面、内容详尽、合理、逻辑清晰、可行性程度高的得8分；</w:t>
            </w:r>
          </w:p>
          <w:p w14:paraId="680140D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（2）质量保证方案及措施编写较合理、逻辑较清晰、可行性程度一般的得6分；</w:t>
            </w:r>
          </w:p>
          <w:p w14:paraId="2BA6067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（3）质量保证方案及措施编写一般、但基本合理、逻辑一般清晰、可行性程度一般的得3分；</w:t>
            </w:r>
          </w:p>
          <w:p w14:paraId="768C6A5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（4）质量保证方案及措施编写简单、不合理、逻辑混乱、可行性程度差的得1分；</w:t>
            </w:r>
          </w:p>
          <w:p w14:paraId="5B707DB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（5）不提供得0分。</w:t>
            </w:r>
          </w:p>
        </w:tc>
      </w:tr>
      <w:tr w14:paraId="7835C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178" w:type="dxa"/>
            <w:vMerge w:val="continue"/>
            <w:tcBorders>
              <w:tl2br w:val="nil"/>
              <w:tr2bl w:val="nil"/>
            </w:tcBorders>
            <w:vAlign w:val="center"/>
          </w:tcPr>
          <w:p w14:paraId="10635F05">
            <w:pPr>
              <w:adjustRightInd w:val="0"/>
              <w:snapToGrid w:val="0"/>
              <w:spacing w:line="440" w:lineRule="exact"/>
              <w:rPr>
                <w:rFonts w:hint="eastAsia" w:ascii="宋体" w:hAnsi="宋体" w:cs="宋体"/>
                <w:b/>
                <w:color w:val="000000" w:themeColor="text1"/>
                <w:highlight w:val="none"/>
                <w14:textFill>
                  <w14:solidFill>
                    <w14:schemeClr w14:val="tx1"/>
                  </w14:solidFill>
                </w14:textFill>
              </w:rPr>
            </w:pPr>
          </w:p>
        </w:tc>
        <w:tc>
          <w:tcPr>
            <w:tcW w:w="1273" w:type="dxa"/>
            <w:tcBorders>
              <w:tl2br w:val="nil"/>
              <w:tr2bl w:val="nil"/>
            </w:tcBorders>
            <w:vAlign w:val="center"/>
          </w:tcPr>
          <w:p w14:paraId="0A7D365B">
            <w:pPr>
              <w:pStyle w:val="96"/>
              <w:tabs>
                <w:tab w:val="left" w:pos="900"/>
              </w:tabs>
              <w:spacing w:line="440" w:lineRule="exact"/>
              <w:ind w:left="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售后服务方案内容及措施（8分）</w:t>
            </w:r>
          </w:p>
        </w:tc>
        <w:tc>
          <w:tcPr>
            <w:tcW w:w="6819" w:type="dxa"/>
            <w:tcBorders>
              <w:tl2br w:val="nil"/>
              <w:tr2bl w:val="nil"/>
            </w:tcBorders>
            <w:vAlign w:val="center"/>
          </w:tcPr>
          <w:p w14:paraId="5B89B7C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售后服务方案内容及措施应考虑质保期内和质保期外，包括服务方式、应急措施、人员保障、响应时间、维修备品备件等进行综合评分：</w:t>
            </w:r>
          </w:p>
          <w:p w14:paraId="74D24EC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（1）售后服务内容及措施详尽、合理、逻辑较清晰、可行性程度高的得8分；</w:t>
            </w:r>
          </w:p>
          <w:p w14:paraId="47F2838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（2）售后服务内容及措施较详尽、基本合理、逻辑清晰、具有可行性程度的得6分；</w:t>
            </w:r>
          </w:p>
          <w:p w14:paraId="3939F79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（3）售后服务内容及措施一般、合理性一般、逻辑性一般、可行性程度一般的得3分；</w:t>
            </w:r>
          </w:p>
          <w:p w14:paraId="717E011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（4）售后服务方案内容及措施简单、不合理、逻辑混乱、可行性程度差的得1分；</w:t>
            </w:r>
          </w:p>
          <w:p w14:paraId="1CE4B236">
            <w:pPr>
              <w:pStyle w:val="96"/>
              <w:tabs>
                <w:tab w:val="left" w:pos="900"/>
              </w:tabs>
              <w:spacing w:line="440" w:lineRule="exact"/>
              <w:ind w:left="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（5）不提供得0分。</w:t>
            </w:r>
          </w:p>
        </w:tc>
      </w:tr>
      <w:tr w14:paraId="5339D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78" w:type="dxa"/>
            <w:vMerge w:val="continue"/>
            <w:tcBorders>
              <w:tl2br w:val="nil"/>
              <w:tr2bl w:val="nil"/>
            </w:tcBorders>
            <w:vAlign w:val="center"/>
          </w:tcPr>
          <w:p w14:paraId="1AF49D90">
            <w:pPr>
              <w:adjustRightInd w:val="0"/>
              <w:snapToGrid w:val="0"/>
              <w:spacing w:line="440" w:lineRule="exact"/>
              <w:rPr>
                <w:rFonts w:hint="eastAsia" w:ascii="宋体" w:hAnsi="宋体" w:cs="宋体"/>
                <w:b/>
                <w:color w:val="000000" w:themeColor="text1"/>
                <w:highlight w:val="none"/>
                <w14:textFill>
                  <w14:solidFill>
                    <w14:schemeClr w14:val="tx1"/>
                  </w14:solidFill>
                </w14:textFill>
              </w:rPr>
            </w:pPr>
          </w:p>
        </w:tc>
        <w:tc>
          <w:tcPr>
            <w:tcW w:w="1273" w:type="dxa"/>
            <w:tcBorders>
              <w:tl2br w:val="nil"/>
              <w:tr2bl w:val="nil"/>
            </w:tcBorders>
            <w:vAlign w:val="center"/>
          </w:tcPr>
          <w:p w14:paraId="18ED5916">
            <w:pPr>
              <w:pStyle w:val="96"/>
              <w:tabs>
                <w:tab w:val="left" w:pos="900"/>
              </w:tabs>
              <w:spacing w:line="440" w:lineRule="exact"/>
              <w:ind w:left="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验收方案</w:t>
            </w:r>
          </w:p>
          <w:p w14:paraId="24DAAF12">
            <w:pPr>
              <w:pStyle w:val="96"/>
              <w:tabs>
                <w:tab w:val="left" w:pos="900"/>
              </w:tabs>
              <w:spacing w:line="440" w:lineRule="exact"/>
              <w:ind w:left="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（8分）</w:t>
            </w:r>
          </w:p>
        </w:tc>
        <w:tc>
          <w:tcPr>
            <w:tcW w:w="6819" w:type="dxa"/>
            <w:tcBorders>
              <w:tl2br w:val="nil"/>
              <w:tr2bl w:val="nil"/>
            </w:tcBorders>
            <w:vAlign w:val="center"/>
          </w:tcPr>
          <w:p w14:paraId="03D2E23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根据供应商针对本项目所提供的后期验收方案内容进行综合评分:</w:t>
            </w:r>
          </w:p>
          <w:p w14:paraId="17F6978D">
            <w:pPr>
              <w:spacing w:line="440" w:lineRule="exact"/>
              <w:rPr>
                <w:rFonts w:hint="eastAsia" w:ascii="宋体" w:hAnsi="宋体" w:cs="宋体"/>
                <w:color w:val="000000" w:themeColor="text1"/>
                <w:highlight w:val="none"/>
                <w14:textFill>
                  <w14:solidFill>
                    <w14:schemeClr w14:val="tx1"/>
                  </w14:solidFill>
                </w14:textFill>
              </w:rPr>
            </w:pPr>
            <w:bookmarkStart w:id="114" w:name="OLE_LINK2"/>
            <w:r>
              <w:rPr>
                <w:rFonts w:hint="eastAsia" w:ascii="宋体" w:hAnsi="宋体" w:cs="宋体"/>
                <w:color w:val="000000" w:themeColor="text1"/>
                <w:highlight w:val="none"/>
                <w14:textFill>
                  <w14:solidFill>
                    <w14:schemeClr w14:val="tx1"/>
                  </w14:solidFill>
                </w14:textFill>
              </w:rPr>
              <w:t>（1）内容详尽、合理、逻辑较清晰、可行性程度高的得8分；</w:t>
            </w:r>
          </w:p>
          <w:bookmarkEnd w:id="114"/>
          <w:p w14:paraId="1141221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（2）内容较合理、逻辑清晰、可行性程度一般的得6分；</w:t>
            </w:r>
          </w:p>
          <w:p w14:paraId="5CD7D26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（3）内容一般、但基本合理、逻辑清晰、可行性程度一般的得3分；</w:t>
            </w:r>
          </w:p>
          <w:p w14:paraId="1D7C86F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w:t>
            </w:r>
            <w:bookmarkStart w:id="115" w:name="OLE_LINK5"/>
            <w:r>
              <w:rPr>
                <w:rFonts w:hint="eastAsia" w:ascii="宋体" w:hAnsi="宋体" w:cs="宋体"/>
                <w:color w:val="000000" w:themeColor="text1"/>
                <w:highlight w:val="none"/>
                <w14:textFill>
                  <w14:solidFill>
                    <w14:schemeClr w14:val="tx1"/>
                  </w14:solidFill>
                </w14:textFill>
              </w:rPr>
              <w:t>内容简单、不合理、逻辑混乱、可行性程度差的得1分；</w:t>
            </w:r>
            <w:bookmarkEnd w:id="115"/>
          </w:p>
          <w:p w14:paraId="256A3A54">
            <w:pPr>
              <w:spacing w:line="440" w:lineRule="exact"/>
              <w:rPr>
                <w:rFonts w:hint="eastAsia" w:ascii="宋体" w:hAnsi="宋体" w:cs="宋体"/>
                <w:color w:val="000000" w:themeColor="text1"/>
                <w:highlight w:val="none"/>
                <w14:textFill>
                  <w14:solidFill>
                    <w14:schemeClr w14:val="tx1"/>
                  </w14:solidFill>
                </w14:textFill>
              </w:rPr>
            </w:pPr>
            <w:bookmarkStart w:id="116" w:name="OLE_LINK4"/>
            <w:r>
              <w:rPr>
                <w:rFonts w:hint="eastAsia" w:ascii="宋体" w:hAnsi="宋体" w:cs="宋体"/>
                <w:color w:val="000000" w:themeColor="text1"/>
                <w:highlight w:val="none"/>
                <w14:textFill>
                  <w14:solidFill>
                    <w14:schemeClr w14:val="tx1"/>
                  </w14:solidFill>
                </w14:textFill>
              </w:rPr>
              <w:t>（5）不提供得0分。</w:t>
            </w:r>
            <w:bookmarkEnd w:id="116"/>
          </w:p>
        </w:tc>
      </w:tr>
      <w:tr w14:paraId="191D5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78" w:type="dxa"/>
            <w:vMerge w:val="continue"/>
            <w:tcBorders>
              <w:tl2br w:val="nil"/>
              <w:tr2bl w:val="nil"/>
            </w:tcBorders>
            <w:vAlign w:val="center"/>
          </w:tcPr>
          <w:p w14:paraId="1DCFF84B">
            <w:pPr>
              <w:adjustRightInd w:val="0"/>
              <w:snapToGrid w:val="0"/>
              <w:spacing w:line="440" w:lineRule="exact"/>
              <w:rPr>
                <w:rFonts w:hint="eastAsia" w:ascii="宋体" w:hAnsi="宋体" w:cs="宋体"/>
                <w:b/>
                <w:color w:val="000000" w:themeColor="text1"/>
                <w:highlight w:val="none"/>
                <w14:textFill>
                  <w14:solidFill>
                    <w14:schemeClr w14:val="tx1"/>
                  </w14:solidFill>
                </w14:textFill>
              </w:rPr>
            </w:pPr>
          </w:p>
        </w:tc>
        <w:tc>
          <w:tcPr>
            <w:tcW w:w="1273" w:type="dxa"/>
            <w:tcBorders>
              <w:tl2br w:val="nil"/>
              <w:tr2bl w:val="nil"/>
            </w:tcBorders>
            <w:vAlign w:val="center"/>
          </w:tcPr>
          <w:p w14:paraId="46BEB229">
            <w:pPr>
              <w:pStyle w:val="96"/>
              <w:tabs>
                <w:tab w:val="left" w:pos="900"/>
              </w:tabs>
              <w:spacing w:line="440" w:lineRule="exact"/>
              <w:ind w:left="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质保期</w:t>
            </w:r>
          </w:p>
          <w:p w14:paraId="326BD524">
            <w:pPr>
              <w:jc w:val="center"/>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（3分）</w:t>
            </w:r>
          </w:p>
        </w:tc>
        <w:tc>
          <w:tcPr>
            <w:tcW w:w="6819" w:type="dxa"/>
            <w:tcBorders>
              <w:tl2br w:val="nil"/>
              <w:tr2bl w:val="nil"/>
            </w:tcBorders>
            <w:vAlign w:val="center"/>
          </w:tcPr>
          <w:p w14:paraId="181AC3B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质保期满足招标文件要求的得基本分1分；每增加1年的加1分，最多加2分。本项最多得3分。</w:t>
            </w:r>
          </w:p>
        </w:tc>
      </w:tr>
      <w:tr w14:paraId="33E40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78" w:type="dxa"/>
            <w:vMerge w:val="continue"/>
            <w:tcBorders>
              <w:tl2br w:val="nil"/>
              <w:tr2bl w:val="nil"/>
            </w:tcBorders>
            <w:vAlign w:val="center"/>
          </w:tcPr>
          <w:p w14:paraId="01E35B9B">
            <w:pPr>
              <w:adjustRightInd w:val="0"/>
              <w:snapToGrid w:val="0"/>
              <w:spacing w:line="440" w:lineRule="exact"/>
              <w:rPr>
                <w:rFonts w:hint="eastAsia" w:ascii="宋体" w:hAnsi="宋体" w:cs="宋体"/>
                <w:b/>
                <w:color w:val="000000" w:themeColor="text1"/>
                <w:highlight w:val="none"/>
                <w14:textFill>
                  <w14:solidFill>
                    <w14:schemeClr w14:val="tx1"/>
                  </w14:solidFill>
                </w14:textFill>
              </w:rPr>
            </w:pPr>
          </w:p>
        </w:tc>
        <w:tc>
          <w:tcPr>
            <w:tcW w:w="1273" w:type="dxa"/>
            <w:tcBorders>
              <w:tl2br w:val="nil"/>
              <w:tr2bl w:val="nil"/>
            </w:tcBorders>
            <w:vAlign w:val="center"/>
          </w:tcPr>
          <w:p w14:paraId="1EA599F0">
            <w:pPr>
              <w:pStyle w:val="96"/>
              <w:tabs>
                <w:tab w:val="left" w:pos="900"/>
              </w:tabs>
              <w:spacing w:line="440" w:lineRule="exact"/>
              <w:ind w:left="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优惠承诺</w:t>
            </w:r>
          </w:p>
          <w:p w14:paraId="39666076">
            <w:pPr>
              <w:pStyle w:val="96"/>
              <w:tabs>
                <w:tab w:val="left" w:pos="900"/>
              </w:tabs>
              <w:spacing w:line="440" w:lineRule="exact"/>
              <w:ind w:left="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（8分）</w:t>
            </w:r>
          </w:p>
        </w:tc>
        <w:tc>
          <w:tcPr>
            <w:tcW w:w="6819" w:type="dxa"/>
            <w:tcBorders>
              <w:tl2br w:val="nil"/>
              <w:tr2bl w:val="nil"/>
            </w:tcBorders>
            <w:vAlign w:val="center"/>
          </w:tcPr>
          <w:p w14:paraId="6E02B4E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根据供应商针对本项目所提供的优惠承诺进行综合打分。</w:t>
            </w:r>
          </w:p>
          <w:p w14:paraId="20147E6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r>
              <w:rPr>
                <w:rFonts w:ascii="宋体" w:hAnsi="宋体" w:cs="宋体"/>
                <w:color w:val="000000" w:themeColor="text1"/>
                <w:highlight w:val="none"/>
                <w14:textFill>
                  <w14:solidFill>
                    <w14:schemeClr w14:val="tx1"/>
                  </w14:solidFill>
                </w14:textFill>
              </w:rPr>
              <w:t>优惠承诺符合</w:t>
            </w:r>
            <w:r>
              <w:rPr>
                <w:rFonts w:hint="eastAsia" w:ascii="宋体" w:hAnsi="宋体" w:cs="宋体"/>
                <w:color w:val="000000" w:themeColor="text1"/>
                <w:highlight w:val="none"/>
                <w14:textFill>
                  <w14:solidFill>
                    <w14:schemeClr w14:val="tx1"/>
                  </w14:solidFill>
                </w14:textFill>
              </w:rPr>
              <w:t>本项目</w:t>
            </w:r>
            <w:r>
              <w:rPr>
                <w:rFonts w:ascii="宋体" w:hAnsi="宋体" w:cs="宋体"/>
                <w:color w:val="000000" w:themeColor="text1"/>
                <w:highlight w:val="none"/>
                <w14:textFill>
                  <w14:solidFill>
                    <w14:schemeClr w14:val="tx1"/>
                  </w14:solidFill>
                </w14:textFill>
              </w:rPr>
              <w:t>实际情况，确保依法依规，优惠合理，详实可行的得</w:t>
            </w:r>
            <w:r>
              <w:rPr>
                <w:rFonts w:hint="eastAsia" w:ascii="宋体" w:hAnsi="宋体" w:cs="宋体"/>
                <w:color w:val="000000" w:themeColor="text1"/>
                <w:highlight w:val="none"/>
                <w14:textFill>
                  <w14:solidFill>
                    <w14:schemeClr w14:val="tx1"/>
                  </w14:solidFill>
                </w14:textFill>
              </w:rPr>
              <w:t>8</w:t>
            </w:r>
            <w:r>
              <w:rPr>
                <w:rFonts w:ascii="宋体" w:hAnsi="宋体" w:cs="宋体"/>
                <w:color w:val="000000" w:themeColor="text1"/>
                <w:highlight w:val="none"/>
                <w14:textFill>
                  <w14:solidFill>
                    <w14:schemeClr w14:val="tx1"/>
                  </w14:solidFill>
                </w14:textFill>
              </w:rPr>
              <w:t>分；</w:t>
            </w:r>
          </w:p>
          <w:p w14:paraId="6F7B7D9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ascii="宋体" w:hAnsi="宋体" w:cs="宋体"/>
                <w:color w:val="000000" w:themeColor="text1"/>
                <w:highlight w:val="none"/>
                <w14:textFill>
                  <w14:solidFill>
                    <w14:schemeClr w14:val="tx1"/>
                  </w14:solidFill>
                </w14:textFill>
              </w:rPr>
              <w:t>优惠承诺符合</w:t>
            </w:r>
            <w:r>
              <w:rPr>
                <w:rFonts w:hint="eastAsia" w:ascii="宋体" w:hAnsi="宋体" w:cs="宋体"/>
                <w:color w:val="000000" w:themeColor="text1"/>
                <w:highlight w:val="none"/>
                <w14:textFill>
                  <w14:solidFill>
                    <w14:schemeClr w14:val="tx1"/>
                  </w14:solidFill>
                </w14:textFill>
              </w:rPr>
              <w:t>本项目</w:t>
            </w:r>
            <w:r>
              <w:rPr>
                <w:rFonts w:ascii="宋体" w:hAnsi="宋体" w:cs="宋体"/>
                <w:color w:val="000000" w:themeColor="text1"/>
                <w:highlight w:val="none"/>
                <w14:textFill>
                  <w14:solidFill>
                    <w14:schemeClr w14:val="tx1"/>
                  </w14:solidFill>
                </w14:textFill>
              </w:rPr>
              <w:t>实际情况，确保依法依规，优惠基本合理，基本详实可行的得</w:t>
            </w:r>
            <w:r>
              <w:rPr>
                <w:rFonts w:hint="eastAsia" w:ascii="宋体" w:hAnsi="宋体" w:cs="宋体"/>
                <w:color w:val="000000" w:themeColor="text1"/>
                <w:highlight w:val="none"/>
                <w14:textFill>
                  <w14:solidFill>
                    <w14:schemeClr w14:val="tx1"/>
                  </w14:solidFill>
                </w14:textFill>
              </w:rPr>
              <w:t>6</w:t>
            </w:r>
            <w:r>
              <w:rPr>
                <w:rFonts w:ascii="宋体" w:hAnsi="宋体" w:cs="宋体"/>
                <w:color w:val="000000" w:themeColor="text1"/>
                <w:highlight w:val="none"/>
                <w14:textFill>
                  <w14:solidFill>
                    <w14:schemeClr w14:val="tx1"/>
                  </w14:solidFill>
                </w14:textFill>
              </w:rPr>
              <w:t>分；</w:t>
            </w:r>
          </w:p>
          <w:p w14:paraId="46DE1E3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r>
              <w:rPr>
                <w:rFonts w:ascii="宋体" w:hAnsi="宋体" w:cs="宋体"/>
                <w:color w:val="000000" w:themeColor="text1"/>
                <w:highlight w:val="none"/>
                <w14:textFill>
                  <w14:solidFill>
                    <w14:schemeClr w14:val="tx1"/>
                  </w14:solidFill>
                </w14:textFill>
              </w:rPr>
              <w:t>优惠承诺</w:t>
            </w:r>
            <w:bookmarkStart w:id="117" w:name="OLE_LINK6"/>
            <w:r>
              <w:rPr>
                <w:rFonts w:ascii="宋体" w:hAnsi="宋体" w:cs="宋体"/>
                <w:color w:val="000000" w:themeColor="text1"/>
                <w:highlight w:val="none"/>
                <w14:textFill>
                  <w14:solidFill>
                    <w14:schemeClr w14:val="tx1"/>
                  </w14:solidFill>
                </w14:textFill>
              </w:rPr>
              <w:t>符合</w:t>
            </w:r>
            <w:r>
              <w:rPr>
                <w:rFonts w:hint="eastAsia" w:ascii="宋体" w:hAnsi="宋体" w:cs="宋体"/>
                <w:color w:val="000000" w:themeColor="text1"/>
                <w:highlight w:val="none"/>
                <w14:textFill>
                  <w14:solidFill>
                    <w14:schemeClr w14:val="tx1"/>
                  </w14:solidFill>
                </w14:textFill>
              </w:rPr>
              <w:t>本项目</w:t>
            </w:r>
            <w:r>
              <w:rPr>
                <w:rFonts w:ascii="宋体" w:hAnsi="宋体" w:cs="宋体"/>
                <w:color w:val="000000" w:themeColor="text1"/>
                <w:highlight w:val="none"/>
                <w14:textFill>
                  <w14:solidFill>
                    <w14:schemeClr w14:val="tx1"/>
                  </w14:solidFill>
                </w14:textFill>
              </w:rPr>
              <w:t>实际情况，确保依法依规，优惠较少</w:t>
            </w:r>
            <w:bookmarkEnd w:id="117"/>
            <w:r>
              <w:rPr>
                <w:rFonts w:ascii="宋体" w:hAnsi="宋体" w:cs="宋体"/>
                <w:color w:val="000000" w:themeColor="text1"/>
                <w:highlight w:val="none"/>
                <w14:textFill>
                  <w14:solidFill>
                    <w14:schemeClr w14:val="tx1"/>
                  </w14:solidFill>
                </w14:textFill>
              </w:rPr>
              <w:t>，不够详实可行的得</w:t>
            </w:r>
            <w:r>
              <w:rPr>
                <w:rFonts w:hint="eastAsia" w:ascii="宋体" w:hAnsi="宋体" w:cs="宋体"/>
                <w:color w:val="000000" w:themeColor="text1"/>
                <w:highlight w:val="none"/>
                <w14:textFill>
                  <w14:solidFill>
                    <w14:schemeClr w14:val="tx1"/>
                  </w14:solidFill>
                </w14:textFill>
              </w:rPr>
              <w:t>3</w:t>
            </w:r>
            <w:r>
              <w:rPr>
                <w:rFonts w:ascii="宋体" w:hAnsi="宋体" w:cs="宋体"/>
                <w:color w:val="000000" w:themeColor="text1"/>
                <w:highlight w:val="none"/>
                <w14:textFill>
                  <w14:solidFill>
                    <w14:schemeClr w14:val="tx1"/>
                  </w14:solidFill>
                </w14:textFill>
              </w:rPr>
              <w:t>分；</w:t>
            </w:r>
          </w:p>
          <w:p w14:paraId="15642B7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（4）优惠承诺不符合本项目实际情况，无法确保依法依规，优惠较少，可行性程度差的得1分；</w:t>
            </w:r>
          </w:p>
          <w:p w14:paraId="264A5BF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（5）不提供得0分。</w:t>
            </w:r>
          </w:p>
        </w:tc>
      </w:tr>
      <w:tr w14:paraId="66BA3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270" w:type="dxa"/>
            <w:gridSpan w:val="3"/>
            <w:tcBorders>
              <w:tl2br w:val="nil"/>
              <w:tr2bl w:val="nil"/>
            </w:tcBorders>
            <w:vAlign w:val="center"/>
          </w:tcPr>
          <w:p w14:paraId="55FA88C2">
            <w:pPr>
              <w:pStyle w:val="28"/>
              <w:spacing w:line="440" w:lineRule="exact"/>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注：1、评委依据供应商投标文件的合理性、可行性、针对性进行评审并打分。</w:t>
            </w:r>
          </w:p>
          <w:p w14:paraId="4454404D">
            <w:pPr>
              <w:pStyle w:val="28"/>
              <w:spacing w:line="440" w:lineRule="exact"/>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2、本办法计算过程中分值按四舍五入保留三位小数，结果保留两位小数。</w:t>
            </w:r>
          </w:p>
          <w:p w14:paraId="11E44FB7">
            <w:pPr>
              <w:pStyle w:val="28"/>
              <w:spacing w:line="440" w:lineRule="exact"/>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3、供应商最终得分：各评委综合打分的算术平均值。</w:t>
            </w:r>
          </w:p>
        </w:tc>
      </w:tr>
    </w:tbl>
    <w:p w14:paraId="20E621BE">
      <w:pPr>
        <w:rPr>
          <w:color w:val="000000" w:themeColor="text1"/>
          <w:highlight w:val="none"/>
          <w14:textFill>
            <w14:solidFill>
              <w14:schemeClr w14:val="tx1"/>
            </w14:solidFill>
          </w14:textFill>
        </w:rPr>
      </w:pPr>
    </w:p>
    <w:p w14:paraId="5C99EF4F">
      <w:pPr>
        <w:keepNext/>
        <w:keepLines/>
        <w:spacing w:before="120" w:after="120" w:line="440" w:lineRule="exact"/>
        <w:ind w:firstLine="480" w:firstLineChars="200"/>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注：如果中标人提供虚假证件、证明材料，降低服务水平及产品质量，一经查出，除取消中标资格，还将其列入平顶山市政府采购黑名单，三年内不得参加平顶山市政府采购。</w:t>
      </w:r>
    </w:p>
    <w:p w14:paraId="0C38F3C2">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 xml:space="preserve"> </w:t>
      </w:r>
    </w:p>
    <w:bookmarkEnd w:id="111"/>
    <w:p w14:paraId="54D4AFC1">
      <w:pPr>
        <w:keepNext/>
        <w:keepLines/>
        <w:spacing w:before="120" w:after="120" w:line="440" w:lineRule="exact"/>
        <w:jc w:val="center"/>
        <w:outlineLvl w:val="0"/>
        <w:rPr>
          <w:rFonts w:hint="eastAsia" w:ascii="宋体" w:hAnsi="宋体"/>
          <w:color w:val="000000" w:themeColor="text1"/>
          <w:sz w:val="36"/>
          <w:szCs w:val="36"/>
          <w:highlight w:val="none"/>
          <w14:textFill>
            <w14:solidFill>
              <w14:schemeClr w14:val="tx1"/>
            </w14:solidFill>
          </w14:textFill>
        </w:rPr>
      </w:pPr>
      <w:bookmarkStart w:id="118" w:name="_Toc28948"/>
      <w:bookmarkEnd w:id="118"/>
      <w:r>
        <w:rPr>
          <w:rFonts w:hint="eastAsia" w:ascii="宋体" w:hAnsi="宋体"/>
          <w:color w:val="000000" w:themeColor="text1"/>
          <w:sz w:val="36"/>
          <w:szCs w:val="36"/>
          <w:highlight w:val="none"/>
          <w14:textFill>
            <w14:solidFill>
              <w14:schemeClr w14:val="tx1"/>
            </w14:solidFill>
          </w14:textFill>
        </w:rPr>
        <w:br w:type="page"/>
      </w:r>
      <w:bookmarkStart w:id="119" w:name="_Toc14014"/>
      <w:r>
        <w:rPr>
          <w:rFonts w:hint="eastAsia" w:ascii="宋体" w:hAnsi="宋体"/>
          <w:b/>
          <w:bCs/>
          <w:color w:val="000000" w:themeColor="text1"/>
          <w:kern w:val="44"/>
          <w:sz w:val="36"/>
          <w:szCs w:val="36"/>
          <w:highlight w:val="none"/>
          <w14:textFill>
            <w14:solidFill>
              <w14:schemeClr w14:val="tx1"/>
            </w14:solidFill>
          </w14:textFill>
        </w:rPr>
        <w:t>第四章  合同条款及格式</w:t>
      </w:r>
      <w:bookmarkEnd w:id="119"/>
    </w:p>
    <w:p w14:paraId="1A3105F9">
      <w:pPr>
        <w:spacing w:line="44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（以实际签订合同为准）</w:t>
      </w:r>
    </w:p>
    <w:p w14:paraId="132DA858">
      <w:pPr>
        <w:spacing w:line="480" w:lineRule="auto"/>
        <w:jc w:val="center"/>
        <w:rPr>
          <w:rFonts w:hint="eastAsia" w:ascii="宋体" w:hAnsi="宋体" w:cs="宋体"/>
          <w:b/>
          <w:bCs/>
          <w:color w:val="000000" w:themeColor="text1"/>
          <w:sz w:val="72"/>
          <w:szCs w:val="72"/>
          <w:highlight w:val="none"/>
          <w14:textFill>
            <w14:solidFill>
              <w14:schemeClr w14:val="tx1"/>
            </w14:solidFill>
          </w14:textFill>
        </w:rPr>
      </w:pPr>
    </w:p>
    <w:p w14:paraId="7E27D465">
      <w:pPr>
        <w:spacing w:line="480" w:lineRule="auto"/>
        <w:jc w:val="center"/>
        <w:rPr>
          <w:rFonts w:hint="eastAsia" w:ascii="宋体" w:hAnsi="宋体" w:cs="宋体"/>
          <w:b/>
          <w:bCs/>
          <w:color w:val="000000" w:themeColor="text1"/>
          <w:sz w:val="72"/>
          <w:szCs w:val="72"/>
          <w:highlight w:val="none"/>
          <w14:textFill>
            <w14:solidFill>
              <w14:schemeClr w14:val="tx1"/>
            </w14:solidFill>
          </w14:textFill>
        </w:rPr>
      </w:pPr>
    </w:p>
    <w:p w14:paraId="78C991C8">
      <w:pPr>
        <w:spacing w:line="480" w:lineRule="auto"/>
        <w:jc w:val="center"/>
        <w:rPr>
          <w:rFonts w:hint="eastAsia" w:ascii="宋体" w:hAnsi="宋体" w:cs="宋体"/>
          <w:b/>
          <w:bCs/>
          <w:color w:val="000000" w:themeColor="text1"/>
          <w:sz w:val="72"/>
          <w:szCs w:val="72"/>
          <w:highlight w:val="none"/>
          <w14:textFill>
            <w14:solidFill>
              <w14:schemeClr w14:val="tx1"/>
            </w14:solidFill>
          </w14:textFill>
        </w:rPr>
      </w:pPr>
      <w:r>
        <w:rPr>
          <w:rFonts w:hint="eastAsia" w:ascii="宋体" w:hAnsi="宋体" w:cs="宋体"/>
          <w:b/>
          <w:bCs/>
          <w:color w:val="000000" w:themeColor="text1"/>
          <w:sz w:val="72"/>
          <w:szCs w:val="72"/>
          <w:highlight w:val="none"/>
          <w14:textFill>
            <w14:solidFill>
              <w14:schemeClr w14:val="tx1"/>
            </w14:solidFill>
          </w14:textFill>
        </w:rPr>
        <w:t>合</w:t>
      </w:r>
    </w:p>
    <w:p w14:paraId="51C0EF78">
      <w:pPr>
        <w:spacing w:line="440" w:lineRule="exact"/>
        <w:jc w:val="center"/>
        <w:rPr>
          <w:rFonts w:hint="eastAsia" w:ascii="宋体" w:hAnsi="宋体" w:cs="宋体"/>
          <w:b/>
          <w:bCs/>
          <w:color w:val="000000" w:themeColor="text1"/>
          <w:sz w:val="72"/>
          <w:szCs w:val="72"/>
          <w:highlight w:val="none"/>
          <w14:textFill>
            <w14:solidFill>
              <w14:schemeClr w14:val="tx1"/>
            </w14:solidFill>
          </w14:textFill>
        </w:rPr>
      </w:pPr>
    </w:p>
    <w:p w14:paraId="523F02D7">
      <w:pPr>
        <w:spacing w:line="480" w:lineRule="auto"/>
        <w:jc w:val="center"/>
        <w:rPr>
          <w:rFonts w:hint="eastAsia" w:ascii="宋体" w:hAnsi="宋体" w:cs="宋体"/>
          <w:b/>
          <w:bCs/>
          <w:color w:val="000000" w:themeColor="text1"/>
          <w:sz w:val="72"/>
          <w:szCs w:val="72"/>
          <w:highlight w:val="none"/>
          <w14:textFill>
            <w14:solidFill>
              <w14:schemeClr w14:val="tx1"/>
            </w14:solidFill>
          </w14:textFill>
        </w:rPr>
      </w:pPr>
      <w:r>
        <w:rPr>
          <w:rFonts w:hint="eastAsia" w:ascii="宋体" w:hAnsi="宋体" w:cs="宋体"/>
          <w:b/>
          <w:bCs/>
          <w:color w:val="000000" w:themeColor="text1"/>
          <w:sz w:val="72"/>
          <w:szCs w:val="72"/>
          <w:highlight w:val="none"/>
          <w14:textFill>
            <w14:solidFill>
              <w14:schemeClr w14:val="tx1"/>
            </w14:solidFill>
          </w14:textFill>
        </w:rPr>
        <w:t>同</w:t>
      </w:r>
    </w:p>
    <w:p w14:paraId="13C80B66">
      <w:pPr>
        <w:spacing w:line="440" w:lineRule="exact"/>
        <w:jc w:val="center"/>
        <w:rPr>
          <w:rFonts w:hint="eastAsia" w:ascii="宋体" w:hAnsi="宋体" w:cs="宋体"/>
          <w:b/>
          <w:bCs/>
          <w:color w:val="000000" w:themeColor="text1"/>
          <w:sz w:val="72"/>
          <w:szCs w:val="72"/>
          <w:highlight w:val="none"/>
          <w14:textFill>
            <w14:solidFill>
              <w14:schemeClr w14:val="tx1"/>
            </w14:solidFill>
          </w14:textFill>
        </w:rPr>
      </w:pPr>
    </w:p>
    <w:p w14:paraId="1A211EB5">
      <w:pPr>
        <w:spacing w:line="480" w:lineRule="auto"/>
        <w:jc w:val="center"/>
        <w:rPr>
          <w:rFonts w:hint="eastAsia" w:ascii="宋体" w:hAnsi="宋体" w:cs="宋体"/>
          <w:b/>
          <w:bCs/>
          <w:color w:val="000000" w:themeColor="text1"/>
          <w:sz w:val="72"/>
          <w:szCs w:val="72"/>
          <w:highlight w:val="none"/>
          <w14:textFill>
            <w14:solidFill>
              <w14:schemeClr w14:val="tx1"/>
            </w14:solidFill>
          </w14:textFill>
        </w:rPr>
      </w:pPr>
      <w:r>
        <w:rPr>
          <w:rFonts w:hint="eastAsia" w:ascii="宋体" w:hAnsi="宋体" w:cs="宋体"/>
          <w:b/>
          <w:bCs/>
          <w:color w:val="000000" w:themeColor="text1"/>
          <w:sz w:val="72"/>
          <w:szCs w:val="72"/>
          <w:highlight w:val="none"/>
          <w14:textFill>
            <w14:solidFill>
              <w14:schemeClr w14:val="tx1"/>
            </w14:solidFill>
          </w14:textFill>
        </w:rPr>
        <w:t>书</w:t>
      </w:r>
    </w:p>
    <w:p w14:paraId="7C26BFFF">
      <w:pPr>
        <w:spacing w:line="560" w:lineRule="exact"/>
        <w:jc w:val="center"/>
        <w:rPr>
          <w:rFonts w:ascii="方正小标宋简体" w:eastAsia="方正小标宋简体"/>
          <w:b/>
          <w:bCs/>
          <w:color w:val="000000" w:themeColor="text1"/>
          <w:sz w:val="44"/>
          <w:szCs w:val="44"/>
          <w:highlight w:val="none"/>
          <w14:textFill>
            <w14:solidFill>
              <w14:schemeClr w14:val="tx1"/>
            </w14:solidFill>
          </w14:textFill>
        </w:rPr>
      </w:pPr>
    </w:p>
    <w:p w14:paraId="4AE5B9FC">
      <w:pPr>
        <w:pStyle w:val="114"/>
        <w:ind w:firstLine="210"/>
        <w:rPr>
          <w:rFonts w:hint="eastAsia"/>
          <w:color w:val="000000" w:themeColor="text1"/>
          <w:highlight w:val="none"/>
          <w14:textFill>
            <w14:solidFill>
              <w14:schemeClr w14:val="tx1"/>
            </w14:solidFill>
          </w14:textFill>
        </w:rPr>
      </w:pPr>
    </w:p>
    <w:p w14:paraId="1BDADAB1">
      <w:pPr>
        <w:jc w:val="left"/>
        <w:rPr>
          <w:rFonts w:hint="eastAsia" w:ascii="仿宋" w:hAnsi="仿宋" w:eastAsia="仿宋" w:cs="仿宋"/>
          <w:b/>
          <w:bCs/>
          <w:color w:val="000000" w:themeColor="text1"/>
          <w:sz w:val="36"/>
          <w:szCs w:val="36"/>
          <w:highlight w:val="none"/>
          <w14:textFill>
            <w14:solidFill>
              <w14:schemeClr w14:val="tx1"/>
            </w14:solidFill>
          </w14:textFill>
        </w:rPr>
      </w:pPr>
    </w:p>
    <w:p w14:paraId="384603B2">
      <w:pPr>
        <w:jc w:val="left"/>
        <w:rPr>
          <w:rFonts w:hint="eastAsia" w:ascii="仿宋" w:hAnsi="仿宋" w:eastAsia="仿宋" w:cs="仿宋"/>
          <w:b/>
          <w:bCs/>
          <w:color w:val="000000" w:themeColor="text1"/>
          <w:sz w:val="36"/>
          <w:szCs w:val="36"/>
          <w:highlight w:val="none"/>
          <w14:textFill>
            <w14:solidFill>
              <w14:schemeClr w14:val="tx1"/>
            </w14:solidFill>
          </w14:textFill>
        </w:rPr>
      </w:pPr>
    </w:p>
    <w:p w14:paraId="48C5DFD1">
      <w:pPr>
        <w:jc w:val="left"/>
        <w:rPr>
          <w:rFonts w:hint="eastAsia" w:ascii="仿宋" w:hAnsi="仿宋" w:eastAsia="仿宋" w:cs="仿宋"/>
          <w:b/>
          <w:bCs/>
          <w:color w:val="000000" w:themeColor="text1"/>
          <w:sz w:val="36"/>
          <w:szCs w:val="36"/>
          <w:highlight w:val="none"/>
          <w14:textFill>
            <w14:solidFill>
              <w14:schemeClr w14:val="tx1"/>
            </w14:solidFill>
          </w14:textFill>
        </w:rPr>
      </w:pPr>
    </w:p>
    <w:p w14:paraId="5C8D13E7">
      <w:pPr>
        <w:rPr>
          <w:rFonts w:hint="eastAsia" w:ascii="宋体" w:hAnsi="宋体" w:cs="宋体"/>
          <w:b/>
          <w:bCs/>
          <w:color w:val="000000" w:themeColor="text1"/>
          <w:sz w:val="24"/>
          <w:szCs w:val="24"/>
          <w:highlight w:val="none"/>
          <w14:textFill>
            <w14:solidFill>
              <w14:schemeClr w14:val="tx1"/>
            </w14:solidFill>
          </w14:textFill>
        </w:rPr>
      </w:pPr>
    </w:p>
    <w:p w14:paraId="1663587A">
      <w:pPr>
        <w:ind w:firstLine="1440" w:firstLineChars="60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甲方：</w:t>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u w:val="single"/>
          <w:lang w:bidi="ar"/>
          <w14:textFill>
            <w14:solidFill>
              <w14:schemeClr w14:val="tx1"/>
            </w14:solidFill>
          </w14:textFill>
        </w:rPr>
        <w:t>平顶山职业技术学院</w:t>
      </w:r>
    </w:p>
    <w:p w14:paraId="11E351B2">
      <w:pPr>
        <w:rPr>
          <w:rFonts w:hint="eastAsia" w:ascii="宋体" w:hAnsi="宋体" w:cs="宋体"/>
          <w:b/>
          <w:bCs/>
          <w:color w:val="000000" w:themeColor="text1"/>
          <w:sz w:val="24"/>
          <w:szCs w:val="24"/>
          <w:highlight w:val="none"/>
          <w14:textFill>
            <w14:solidFill>
              <w14:schemeClr w14:val="tx1"/>
            </w14:solidFill>
          </w14:textFill>
        </w:rPr>
      </w:pPr>
    </w:p>
    <w:p w14:paraId="15D6798F">
      <w:pPr>
        <w:ind w:firstLine="1440" w:firstLineChars="60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乙方：</w:t>
      </w:r>
      <w:r>
        <w:rPr>
          <w:rFonts w:hint="eastAsia" w:ascii="宋体" w:hAnsi="宋体" w:cs="宋体"/>
          <w:b/>
          <w:bCs/>
          <w:color w:val="000000" w:themeColor="text1"/>
          <w:sz w:val="24"/>
          <w:szCs w:val="24"/>
          <w:highlight w:val="none"/>
          <w:u w:val="single"/>
          <w14:textFill>
            <w14:solidFill>
              <w14:schemeClr w14:val="tx1"/>
            </w14:solidFill>
          </w14:textFill>
        </w:rPr>
        <w:t xml:space="preserve">                     </w:t>
      </w:r>
    </w:p>
    <w:p w14:paraId="342351D9">
      <w:pPr>
        <w:tabs>
          <w:tab w:val="left" w:pos="7530"/>
        </w:tabs>
        <w:spacing w:line="640" w:lineRule="exact"/>
        <w:ind w:firstLine="1440" w:firstLineChars="600"/>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签</w:t>
      </w:r>
      <w:r>
        <w:rPr>
          <w:rFonts w:hint="eastAsia" w:ascii="宋体" w:hAnsi="宋体" w:cs="宋体"/>
          <w:b/>
          <w:bCs/>
          <w:color w:val="000000" w:themeColor="text1"/>
          <w:spacing w:val="-16"/>
          <w:sz w:val="24"/>
          <w:szCs w:val="24"/>
          <w:highlight w:val="non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订</w:t>
      </w:r>
      <w:r>
        <w:rPr>
          <w:rFonts w:hint="eastAsia" w:ascii="宋体" w:hAnsi="宋体" w:cs="宋体"/>
          <w:b/>
          <w:bCs/>
          <w:color w:val="000000" w:themeColor="text1"/>
          <w:spacing w:val="-16"/>
          <w:sz w:val="24"/>
          <w:szCs w:val="24"/>
          <w:highlight w:val="non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时</w:t>
      </w:r>
      <w:r>
        <w:rPr>
          <w:rFonts w:hint="eastAsia" w:ascii="宋体" w:hAnsi="宋体" w:cs="宋体"/>
          <w:b/>
          <w:bCs/>
          <w:color w:val="000000" w:themeColor="text1"/>
          <w:spacing w:val="-16"/>
          <w:sz w:val="24"/>
          <w:szCs w:val="24"/>
          <w:highlight w:val="non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间：</w:t>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年</w:t>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月</w:t>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14:textFill>
            <w14:solidFill>
              <w14:schemeClr w14:val="tx1"/>
            </w14:solidFill>
          </w14:textFill>
        </w:rPr>
        <w:t>日</w:t>
      </w:r>
    </w:p>
    <w:p w14:paraId="6CD81BB0">
      <w:pPr>
        <w:spacing w:line="560" w:lineRule="exact"/>
        <w:jc w:val="center"/>
        <w:rPr>
          <w:rFonts w:hint="eastAsia" w:ascii="宋体" w:hAnsi="宋体" w:cs="宋体"/>
          <w:b/>
          <w:bCs/>
          <w:color w:val="000000" w:themeColor="text1"/>
          <w:sz w:val="24"/>
          <w:szCs w:val="24"/>
          <w:highlight w:val="none"/>
          <w14:textFill>
            <w14:solidFill>
              <w14:schemeClr w14:val="tx1"/>
            </w14:solidFill>
          </w14:textFill>
        </w:rPr>
      </w:pPr>
    </w:p>
    <w:p w14:paraId="00ADDDC1">
      <w:pPr>
        <w:spacing w:line="560" w:lineRule="exact"/>
        <w:jc w:val="center"/>
        <w:rPr>
          <w:rFonts w:hint="eastAsia" w:ascii="宋体" w:hAnsi="宋体" w:cs="宋体"/>
          <w:b/>
          <w:bCs/>
          <w:color w:val="000000" w:themeColor="text1"/>
          <w:sz w:val="24"/>
          <w:szCs w:val="24"/>
          <w:highlight w:val="none"/>
          <w14:textFill>
            <w14:solidFill>
              <w14:schemeClr w14:val="tx1"/>
            </w14:solidFill>
          </w14:textFill>
        </w:rPr>
      </w:pPr>
    </w:p>
    <w:p w14:paraId="2C540C4C">
      <w:pPr>
        <w:pStyle w:val="114"/>
        <w:ind w:firstLine="241"/>
        <w:rPr>
          <w:rFonts w:hint="eastAsia" w:ascii="宋体" w:hAnsi="宋体" w:eastAsia="宋体" w:cs="宋体"/>
          <w:b/>
          <w:bCs/>
          <w:color w:val="000000" w:themeColor="text1"/>
          <w:sz w:val="24"/>
          <w:szCs w:val="24"/>
          <w:highlight w:val="none"/>
          <w14:textFill>
            <w14:solidFill>
              <w14:schemeClr w14:val="tx1"/>
            </w14:solidFill>
          </w14:textFill>
        </w:rPr>
      </w:pPr>
    </w:p>
    <w:p w14:paraId="278D9DE1">
      <w:pPr>
        <w:pStyle w:val="114"/>
        <w:ind w:firstLine="241"/>
        <w:rPr>
          <w:rFonts w:hint="eastAsia" w:ascii="宋体" w:hAnsi="宋体" w:eastAsia="宋体" w:cs="宋体"/>
          <w:b/>
          <w:bCs/>
          <w:color w:val="000000" w:themeColor="text1"/>
          <w:sz w:val="24"/>
          <w:szCs w:val="24"/>
          <w:highlight w:val="none"/>
          <w14:textFill>
            <w14:solidFill>
              <w14:schemeClr w14:val="tx1"/>
            </w14:solidFill>
          </w14:textFill>
        </w:rPr>
      </w:pPr>
    </w:p>
    <w:p w14:paraId="154AF09A">
      <w:pPr>
        <w:pStyle w:val="114"/>
        <w:ind w:firstLine="241"/>
        <w:rPr>
          <w:rFonts w:hint="eastAsia" w:ascii="宋体" w:hAnsi="宋体" w:eastAsia="宋体" w:cs="宋体"/>
          <w:b/>
          <w:bCs/>
          <w:color w:val="000000" w:themeColor="text1"/>
          <w:sz w:val="24"/>
          <w:szCs w:val="24"/>
          <w:highlight w:val="none"/>
          <w14:textFill>
            <w14:solidFill>
              <w14:schemeClr w14:val="tx1"/>
            </w14:solidFill>
          </w14:textFill>
        </w:rPr>
      </w:pPr>
    </w:p>
    <w:p w14:paraId="4D562682">
      <w:pPr>
        <w:spacing w:line="560" w:lineRule="exact"/>
        <w:jc w:val="center"/>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采 购 合 同 书</w:t>
      </w:r>
    </w:p>
    <w:p w14:paraId="456407CD">
      <w:pPr>
        <w:spacing w:line="560" w:lineRule="exact"/>
        <w:rPr>
          <w:rFonts w:hint="eastAsia" w:ascii="宋体" w:hAnsi="宋体" w:cs="宋体"/>
          <w:color w:val="000000" w:themeColor="text1"/>
          <w:sz w:val="24"/>
          <w:szCs w:val="24"/>
          <w:highlight w:val="none"/>
          <w:shd w:val="clear" w:color="auto" w:fill="FFFFFF"/>
          <w14:textFill>
            <w14:solidFill>
              <w14:schemeClr w14:val="tx1"/>
            </w14:solidFill>
          </w14:textFill>
        </w:rPr>
      </w:pPr>
    </w:p>
    <w:p w14:paraId="496F651D">
      <w:pPr>
        <w:spacing w:line="440" w:lineRule="exact"/>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甲方：平顶山职业技术学院  </w:t>
      </w:r>
    </w:p>
    <w:p w14:paraId="3AFF4E29">
      <w:pPr>
        <w:spacing w:line="440" w:lineRule="exact"/>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乙方：</w:t>
      </w:r>
    </w:p>
    <w:p w14:paraId="0A1CDA42">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甲乙双方依据“</w:t>
      </w:r>
      <w:r>
        <w:rPr>
          <w:rFonts w:hint="eastAsia" w:ascii="宋体" w:hAnsi="宋体" w:cs="宋体"/>
          <w:color w:val="000000" w:themeColor="text1"/>
          <w:sz w:val="24"/>
          <w:szCs w:val="24"/>
          <w:highlight w:val="none"/>
          <w:u w:val="single"/>
          <w14:textFill>
            <w14:solidFill>
              <w14:schemeClr w14:val="tx1"/>
            </w14:solidFill>
          </w14:textFill>
        </w:rPr>
        <w:t xml:space="preserve">                                     项目</w:t>
      </w:r>
      <w:r>
        <w:rPr>
          <w:rFonts w:hint="eastAsia" w:ascii="宋体" w:hAnsi="宋体" w:cs="宋体"/>
          <w:color w:val="000000" w:themeColor="text1"/>
          <w:sz w:val="24"/>
          <w:szCs w:val="24"/>
          <w:highlight w:val="none"/>
          <w14:textFill>
            <w14:solidFill>
              <w14:schemeClr w14:val="tx1"/>
            </w14:solidFill>
          </w14:textFill>
        </w:rPr>
        <w:t>”的招标结果，经过充分协商，本着自愿、平等、互利、诚实信用的原则，特订立如下协议:</w:t>
      </w:r>
    </w:p>
    <w:p w14:paraId="06D618A3">
      <w:pPr>
        <w:spacing w:line="440" w:lineRule="exact"/>
        <w:ind w:firstLine="480" w:firstLineChars="200"/>
        <w:textAlignment w:val="baseline"/>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第一条 甲方向乙方采购产品明细、价格如下：</w:t>
      </w:r>
    </w:p>
    <w:tbl>
      <w:tblPr>
        <w:tblStyle w:val="18"/>
        <w:tblW w:w="49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771"/>
        <w:gridCol w:w="771"/>
        <w:gridCol w:w="3258"/>
        <w:gridCol w:w="771"/>
        <w:gridCol w:w="792"/>
        <w:gridCol w:w="846"/>
        <w:gridCol w:w="1227"/>
      </w:tblGrid>
      <w:tr w14:paraId="20E3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13" w:type="pct"/>
            <w:vAlign w:val="center"/>
          </w:tcPr>
          <w:p w14:paraId="23277B6F">
            <w:pPr>
              <w:spacing w:line="440" w:lineRule="exact"/>
              <w:jc w:val="center"/>
              <w:rPr>
                <w:rFonts w:hint="eastAsia"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序号</w:t>
            </w:r>
          </w:p>
        </w:tc>
        <w:tc>
          <w:tcPr>
            <w:tcW w:w="419" w:type="pct"/>
            <w:vAlign w:val="center"/>
          </w:tcPr>
          <w:p w14:paraId="716D1CE4">
            <w:pPr>
              <w:spacing w:line="440" w:lineRule="exact"/>
              <w:jc w:val="center"/>
              <w:rPr>
                <w:rFonts w:hint="eastAsia"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名称</w:t>
            </w:r>
          </w:p>
        </w:tc>
        <w:tc>
          <w:tcPr>
            <w:tcW w:w="419" w:type="pct"/>
            <w:vAlign w:val="center"/>
          </w:tcPr>
          <w:p w14:paraId="35223681">
            <w:pPr>
              <w:spacing w:line="440" w:lineRule="exact"/>
              <w:jc w:val="center"/>
              <w:rPr>
                <w:rFonts w:hint="eastAsia"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品牌</w:t>
            </w:r>
          </w:p>
        </w:tc>
        <w:tc>
          <w:tcPr>
            <w:tcW w:w="1771" w:type="pct"/>
            <w:vAlign w:val="center"/>
          </w:tcPr>
          <w:p w14:paraId="19D59E5D">
            <w:pPr>
              <w:tabs>
                <w:tab w:val="left" w:pos="545"/>
              </w:tabs>
              <w:spacing w:line="440" w:lineRule="exact"/>
              <w:jc w:val="center"/>
              <w:rPr>
                <w:rFonts w:hint="eastAsia"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型号、规格及技术参数</w:t>
            </w:r>
          </w:p>
        </w:tc>
        <w:tc>
          <w:tcPr>
            <w:tcW w:w="419" w:type="pct"/>
            <w:vAlign w:val="center"/>
          </w:tcPr>
          <w:p w14:paraId="7D4A4CE1">
            <w:pPr>
              <w:spacing w:line="440" w:lineRule="exact"/>
              <w:jc w:val="center"/>
              <w:rPr>
                <w:rFonts w:hint="eastAsia"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单位</w:t>
            </w:r>
          </w:p>
        </w:tc>
        <w:tc>
          <w:tcPr>
            <w:tcW w:w="431" w:type="pct"/>
            <w:vAlign w:val="center"/>
          </w:tcPr>
          <w:p w14:paraId="754838B7">
            <w:pPr>
              <w:spacing w:line="440" w:lineRule="exact"/>
              <w:jc w:val="center"/>
              <w:rPr>
                <w:rFonts w:hint="eastAsia"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数量</w:t>
            </w:r>
          </w:p>
        </w:tc>
        <w:tc>
          <w:tcPr>
            <w:tcW w:w="460" w:type="pct"/>
            <w:vAlign w:val="center"/>
          </w:tcPr>
          <w:p w14:paraId="480E3F95">
            <w:pPr>
              <w:spacing w:line="440" w:lineRule="exact"/>
              <w:jc w:val="center"/>
              <w:rPr>
                <w:rFonts w:hint="eastAsia"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单价</w:t>
            </w:r>
          </w:p>
        </w:tc>
        <w:tc>
          <w:tcPr>
            <w:tcW w:w="666" w:type="pct"/>
            <w:vAlign w:val="center"/>
          </w:tcPr>
          <w:p w14:paraId="3857B264">
            <w:pPr>
              <w:spacing w:line="440" w:lineRule="exact"/>
              <w:jc w:val="center"/>
              <w:rPr>
                <w:rFonts w:hint="eastAsia"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合计</w:t>
            </w:r>
          </w:p>
        </w:tc>
      </w:tr>
      <w:tr w14:paraId="23D9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13" w:type="pct"/>
            <w:vAlign w:val="center"/>
          </w:tcPr>
          <w:p w14:paraId="78A5A594">
            <w:pPr>
              <w:spacing w:line="440" w:lineRule="exact"/>
              <w:jc w:val="center"/>
              <w:rPr>
                <w:rFonts w:hint="eastAsia" w:ascii="宋体" w:hAnsi="宋体" w:cs="宋体"/>
                <w:color w:val="000000" w:themeColor="text1"/>
                <w:kern w:val="0"/>
                <w:sz w:val="24"/>
                <w:szCs w:val="24"/>
                <w:highlight w:val="none"/>
                <w14:textFill>
                  <w14:solidFill>
                    <w14:schemeClr w14:val="tx1"/>
                  </w14:solidFill>
                </w14:textFill>
              </w:rPr>
            </w:pPr>
          </w:p>
        </w:tc>
        <w:tc>
          <w:tcPr>
            <w:tcW w:w="419" w:type="pct"/>
            <w:vAlign w:val="center"/>
          </w:tcPr>
          <w:p w14:paraId="6370E97F">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419" w:type="pct"/>
            <w:vAlign w:val="center"/>
          </w:tcPr>
          <w:p w14:paraId="3DCBC171">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1771" w:type="pct"/>
            <w:vAlign w:val="center"/>
          </w:tcPr>
          <w:p w14:paraId="3A21196E">
            <w:pPr>
              <w:pStyle w:val="17"/>
              <w:spacing w:after="0" w:line="440" w:lineRule="exact"/>
              <w:ind w:left="0" w:leftChars="0" w:firstLine="0" w:firstLineChars="0"/>
              <w:jc w:val="center"/>
              <w:rPr>
                <w:rFonts w:hint="eastAsia" w:ascii="宋体" w:hAnsi="宋体" w:cs="宋体"/>
                <w:color w:val="000000" w:themeColor="text1"/>
                <w:sz w:val="24"/>
                <w:szCs w:val="24"/>
                <w:highlight w:val="none"/>
                <w14:textFill>
                  <w14:solidFill>
                    <w14:schemeClr w14:val="tx1"/>
                  </w14:solidFill>
                </w14:textFill>
              </w:rPr>
            </w:pPr>
          </w:p>
        </w:tc>
        <w:tc>
          <w:tcPr>
            <w:tcW w:w="419" w:type="pct"/>
            <w:vAlign w:val="center"/>
          </w:tcPr>
          <w:p w14:paraId="0E17D44C">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431" w:type="pct"/>
            <w:vAlign w:val="center"/>
          </w:tcPr>
          <w:p w14:paraId="1DF43735">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460" w:type="pct"/>
            <w:vAlign w:val="center"/>
          </w:tcPr>
          <w:p w14:paraId="43641642">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666" w:type="pct"/>
            <w:vAlign w:val="center"/>
          </w:tcPr>
          <w:p w14:paraId="6A1AA13F">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r>
      <w:tr w14:paraId="2DED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13" w:type="pct"/>
            <w:vAlign w:val="center"/>
          </w:tcPr>
          <w:p w14:paraId="7023B2A8">
            <w:pPr>
              <w:spacing w:line="440" w:lineRule="exact"/>
              <w:jc w:val="center"/>
              <w:rPr>
                <w:rFonts w:hint="eastAsia" w:ascii="宋体" w:hAnsi="宋体" w:cs="宋体"/>
                <w:color w:val="000000" w:themeColor="text1"/>
                <w:kern w:val="0"/>
                <w:sz w:val="24"/>
                <w:szCs w:val="24"/>
                <w:highlight w:val="none"/>
                <w14:textFill>
                  <w14:solidFill>
                    <w14:schemeClr w14:val="tx1"/>
                  </w14:solidFill>
                </w14:textFill>
              </w:rPr>
            </w:pPr>
          </w:p>
        </w:tc>
        <w:tc>
          <w:tcPr>
            <w:tcW w:w="419" w:type="pct"/>
            <w:vAlign w:val="center"/>
          </w:tcPr>
          <w:p w14:paraId="3C0401C4">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419" w:type="pct"/>
            <w:vAlign w:val="center"/>
          </w:tcPr>
          <w:p w14:paraId="23435CD3">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1771" w:type="pct"/>
          </w:tcPr>
          <w:p w14:paraId="0037E0EF">
            <w:pPr>
              <w:pStyle w:val="17"/>
              <w:spacing w:after="0" w:line="440" w:lineRule="exact"/>
              <w:ind w:left="0" w:leftChars="0" w:firstLine="0" w:firstLineChars="0"/>
              <w:rPr>
                <w:rFonts w:hint="eastAsia" w:ascii="宋体" w:hAnsi="宋体" w:cs="宋体"/>
                <w:color w:val="000000" w:themeColor="text1"/>
                <w:sz w:val="24"/>
                <w:szCs w:val="24"/>
                <w:highlight w:val="none"/>
                <w14:textFill>
                  <w14:solidFill>
                    <w14:schemeClr w14:val="tx1"/>
                  </w14:solidFill>
                </w14:textFill>
              </w:rPr>
            </w:pPr>
          </w:p>
        </w:tc>
        <w:tc>
          <w:tcPr>
            <w:tcW w:w="419" w:type="pct"/>
            <w:vAlign w:val="center"/>
          </w:tcPr>
          <w:p w14:paraId="382A1876">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431" w:type="pct"/>
            <w:vAlign w:val="center"/>
          </w:tcPr>
          <w:p w14:paraId="4F83A8EB">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460" w:type="pct"/>
            <w:vAlign w:val="center"/>
          </w:tcPr>
          <w:p w14:paraId="2D2FE41B">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666" w:type="pct"/>
            <w:vAlign w:val="center"/>
          </w:tcPr>
          <w:p w14:paraId="60EF94E4">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r>
      <w:tr w14:paraId="3ACA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13" w:type="pct"/>
            <w:vAlign w:val="center"/>
          </w:tcPr>
          <w:p w14:paraId="3D0E5246">
            <w:pPr>
              <w:spacing w:line="440" w:lineRule="exact"/>
              <w:jc w:val="center"/>
              <w:rPr>
                <w:rFonts w:hint="eastAsia" w:ascii="宋体" w:hAnsi="宋体" w:cs="宋体"/>
                <w:color w:val="000000" w:themeColor="text1"/>
                <w:kern w:val="0"/>
                <w:sz w:val="24"/>
                <w:szCs w:val="24"/>
                <w:highlight w:val="none"/>
                <w14:textFill>
                  <w14:solidFill>
                    <w14:schemeClr w14:val="tx1"/>
                  </w14:solidFill>
                </w14:textFill>
              </w:rPr>
            </w:pPr>
          </w:p>
        </w:tc>
        <w:tc>
          <w:tcPr>
            <w:tcW w:w="419" w:type="pct"/>
            <w:vAlign w:val="center"/>
          </w:tcPr>
          <w:p w14:paraId="51162C6A">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419" w:type="pct"/>
            <w:vAlign w:val="center"/>
          </w:tcPr>
          <w:p w14:paraId="575DE406">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1771" w:type="pct"/>
          </w:tcPr>
          <w:p w14:paraId="748FA5C7">
            <w:pPr>
              <w:pStyle w:val="17"/>
              <w:spacing w:after="0" w:line="440" w:lineRule="exact"/>
              <w:ind w:left="0" w:leftChars="0" w:firstLine="0" w:firstLineChars="0"/>
              <w:rPr>
                <w:rFonts w:hint="eastAsia" w:ascii="宋体" w:hAnsi="宋体" w:cs="宋体"/>
                <w:color w:val="000000" w:themeColor="text1"/>
                <w:sz w:val="24"/>
                <w:szCs w:val="24"/>
                <w:highlight w:val="none"/>
                <w14:textFill>
                  <w14:solidFill>
                    <w14:schemeClr w14:val="tx1"/>
                  </w14:solidFill>
                </w14:textFill>
              </w:rPr>
            </w:pPr>
          </w:p>
        </w:tc>
        <w:tc>
          <w:tcPr>
            <w:tcW w:w="419" w:type="pct"/>
            <w:vAlign w:val="center"/>
          </w:tcPr>
          <w:p w14:paraId="6669ABA7">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431" w:type="pct"/>
            <w:vAlign w:val="center"/>
          </w:tcPr>
          <w:p w14:paraId="1D2DF674">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460" w:type="pct"/>
            <w:vAlign w:val="center"/>
          </w:tcPr>
          <w:p w14:paraId="52A2DB6A">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666" w:type="pct"/>
            <w:vAlign w:val="center"/>
          </w:tcPr>
          <w:p w14:paraId="15BB393E">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r>
      <w:tr w14:paraId="4B78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13" w:type="pct"/>
            <w:vAlign w:val="center"/>
          </w:tcPr>
          <w:p w14:paraId="20B74945">
            <w:pPr>
              <w:spacing w:line="440" w:lineRule="exact"/>
              <w:jc w:val="center"/>
              <w:rPr>
                <w:rFonts w:hint="eastAsia" w:ascii="宋体" w:hAnsi="宋体" w:cs="宋体"/>
                <w:color w:val="000000" w:themeColor="text1"/>
                <w:kern w:val="0"/>
                <w:sz w:val="24"/>
                <w:szCs w:val="24"/>
                <w:highlight w:val="none"/>
                <w14:textFill>
                  <w14:solidFill>
                    <w14:schemeClr w14:val="tx1"/>
                  </w14:solidFill>
                </w14:textFill>
              </w:rPr>
            </w:pPr>
          </w:p>
        </w:tc>
        <w:tc>
          <w:tcPr>
            <w:tcW w:w="419" w:type="pct"/>
            <w:vAlign w:val="center"/>
          </w:tcPr>
          <w:p w14:paraId="3104C0F6">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419" w:type="pct"/>
            <w:vAlign w:val="center"/>
          </w:tcPr>
          <w:p w14:paraId="1E01C901">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1771" w:type="pct"/>
          </w:tcPr>
          <w:p w14:paraId="540E8804">
            <w:pPr>
              <w:pStyle w:val="17"/>
              <w:spacing w:after="0" w:line="440" w:lineRule="exact"/>
              <w:ind w:left="0" w:leftChars="0" w:firstLine="0" w:firstLineChars="0"/>
              <w:rPr>
                <w:rFonts w:hint="eastAsia" w:ascii="宋体" w:hAnsi="宋体" w:cs="宋体"/>
                <w:color w:val="000000" w:themeColor="text1"/>
                <w:sz w:val="24"/>
                <w:szCs w:val="24"/>
                <w:highlight w:val="none"/>
                <w14:textFill>
                  <w14:solidFill>
                    <w14:schemeClr w14:val="tx1"/>
                  </w14:solidFill>
                </w14:textFill>
              </w:rPr>
            </w:pPr>
          </w:p>
        </w:tc>
        <w:tc>
          <w:tcPr>
            <w:tcW w:w="419" w:type="pct"/>
            <w:vAlign w:val="center"/>
          </w:tcPr>
          <w:p w14:paraId="0C8C38AC">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431" w:type="pct"/>
            <w:vAlign w:val="center"/>
          </w:tcPr>
          <w:p w14:paraId="15D98128">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460" w:type="pct"/>
            <w:vAlign w:val="center"/>
          </w:tcPr>
          <w:p w14:paraId="337972AC">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c>
          <w:tcPr>
            <w:tcW w:w="666" w:type="pct"/>
            <w:vAlign w:val="center"/>
          </w:tcPr>
          <w:p w14:paraId="061AC382">
            <w:pPr>
              <w:spacing w:line="440" w:lineRule="exact"/>
              <w:jc w:val="center"/>
              <w:textAlignment w:val="top"/>
              <w:rPr>
                <w:rFonts w:hint="eastAsia" w:ascii="宋体" w:hAnsi="宋体" w:cs="宋体"/>
                <w:color w:val="000000" w:themeColor="text1"/>
                <w:kern w:val="0"/>
                <w:sz w:val="24"/>
                <w:szCs w:val="24"/>
                <w:highlight w:val="none"/>
                <w14:textFill>
                  <w14:solidFill>
                    <w14:schemeClr w14:val="tx1"/>
                  </w14:solidFill>
                </w14:textFill>
              </w:rPr>
            </w:pPr>
          </w:p>
        </w:tc>
      </w:tr>
      <w:tr w14:paraId="10FA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32" w:type="pct"/>
            <w:gridSpan w:val="2"/>
            <w:vAlign w:val="center"/>
          </w:tcPr>
          <w:p w14:paraId="1CDA1BC7">
            <w:pPr>
              <w:spacing w:line="440" w:lineRule="exac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合同</w:t>
            </w:r>
          </w:p>
          <w:p w14:paraId="3348724F">
            <w:pPr>
              <w:spacing w:line="440" w:lineRule="exact"/>
              <w:rPr>
                <w:rFonts w:hint="eastAsia"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总价：</w:t>
            </w:r>
          </w:p>
        </w:tc>
        <w:tc>
          <w:tcPr>
            <w:tcW w:w="4167" w:type="pct"/>
            <w:gridSpan w:val="6"/>
            <w:vAlign w:val="center"/>
          </w:tcPr>
          <w:p w14:paraId="3B802A8A">
            <w:pPr>
              <w:spacing w:line="440" w:lineRule="exact"/>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大写：           元 （小写：          元）。</w:t>
            </w:r>
          </w:p>
          <w:p w14:paraId="7C16C149">
            <w:pPr>
              <w:spacing w:line="440" w:lineRule="exact"/>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本合同总价中已包括但不限于</w:t>
            </w:r>
            <w:bookmarkStart w:id="120" w:name="OLE_LINK7"/>
            <w:r>
              <w:rPr>
                <w:rFonts w:hint="eastAsia" w:ascii="宋体" w:hAnsi="宋体" w:cs="宋体"/>
                <w:color w:val="000000" w:themeColor="text1"/>
                <w:sz w:val="24"/>
                <w:szCs w:val="24"/>
                <w:highlight w:val="none"/>
                <w14:textFill>
                  <w14:solidFill>
                    <w14:schemeClr w14:val="tx1"/>
                  </w14:solidFill>
                </w14:textFill>
              </w:rPr>
              <w:t>采购产品的供货、运输、装卸、保险、国家规定的税金、施工安装调试、培训、验收、备案、售后服务及其他相关伴随服务等费用</w:t>
            </w:r>
            <w:bookmarkEnd w:id="120"/>
            <w:r>
              <w:rPr>
                <w:rFonts w:hint="eastAsia" w:ascii="宋体" w:hAnsi="宋体" w:cs="宋体"/>
                <w:color w:val="000000" w:themeColor="text1"/>
                <w:sz w:val="24"/>
                <w:szCs w:val="24"/>
                <w:highlight w:val="none"/>
                <w14:textFill>
                  <w14:solidFill>
                    <w14:schemeClr w14:val="tx1"/>
                  </w14:solidFill>
                </w14:textFill>
              </w:rPr>
              <w:t>。该价格为固定价格，在合同有效期内，甲方不承担因各种因素所导致的成本上升而产生的价格上涨风险。</w:t>
            </w:r>
          </w:p>
        </w:tc>
      </w:tr>
    </w:tbl>
    <w:p w14:paraId="34346000">
      <w:pPr>
        <w:numPr>
          <w:ilvl w:val="0"/>
          <w:numId w:val="4"/>
        </w:numPr>
        <w:spacing w:line="440" w:lineRule="exact"/>
        <w:ind w:left="0" w:firstLine="562"/>
        <w:textAlignment w:val="baseline"/>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产品质量要求</w:t>
      </w:r>
    </w:p>
    <w:p w14:paraId="2B49FA2C">
      <w:pPr>
        <w:tabs>
          <w:tab w:val="left" w:pos="306"/>
          <w:tab w:val="left" w:pos="377"/>
          <w:tab w:val="left" w:pos="592"/>
          <w:tab w:val="left" w:pos="636"/>
          <w:tab w:val="left" w:pos="780"/>
        </w:tabs>
        <w:adjustRightInd w:val="0"/>
        <w:snapToGrid w:val="0"/>
        <w:spacing w:line="540" w:lineRule="exact"/>
        <w:ind w:firstLine="480" w:firstLineChars="200"/>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1、质量标准: </w:t>
      </w:r>
      <w:r>
        <w:rPr>
          <w:rFonts w:hint="eastAsia" w:ascii="宋体" w:hAnsi="宋体" w:cs="宋体"/>
          <w:color w:val="000000" w:themeColor="text1"/>
          <w:sz w:val="24"/>
          <w:szCs w:val="24"/>
          <w:highlight w:val="none"/>
          <w:u w:val="single"/>
          <w14:textFill>
            <w14:solidFill>
              <w14:schemeClr w14:val="tx1"/>
            </w14:solidFill>
          </w14:textFill>
        </w:rPr>
        <w:t>合格；符合图纸要求、符合国家通用质量标准及国家现行相关行业标准，回用水标准执行《城市污水再生利用城市杂用水水质标准》(GB/T18920-2020)城市绿化和道路清扫水质标准。</w:t>
      </w:r>
    </w:p>
    <w:p w14:paraId="22DAC224">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产品的质量还应符合招标文件、投标文件及乙方在评标过程中做出的涉及规格、技术参数等的书面澄清及承诺。乙方提供的产品不符合上述要求的，甲方有权拒绝接收该产品，乙方应更换被拒绝的产品，并符合相关要求，由此所造成的交货逾期损失由乙方承担。</w:t>
      </w:r>
    </w:p>
    <w:p w14:paraId="11B3FBF1">
      <w:pPr>
        <w:pStyle w:val="8"/>
        <w:widowControl w:val="0"/>
        <w:adjustRightInd w:val="0"/>
        <w:snapToGrid w:val="0"/>
        <w:spacing w:after="0" w:line="440" w:lineRule="exact"/>
        <w:ind w:left="0" w:leftChars="0" w:firstLine="520" w:firstLineChars="200"/>
        <w:rPr>
          <w:rFonts w:hint="eastAsia" w:ascii="宋体" w:hAnsi="宋体" w:cs="宋体"/>
          <w:color w:val="000000" w:themeColor="text1"/>
          <w:spacing w:val="10"/>
          <w:sz w:val="24"/>
          <w:szCs w:val="24"/>
          <w:highlight w:val="none"/>
          <w14:textFill>
            <w14:solidFill>
              <w14:schemeClr w14:val="tx1"/>
            </w14:solidFill>
          </w14:textFill>
        </w:rPr>
      </w:pPr>
      <w:r>
        <w:rPr>
          <w:rFonts w:hint="eastAsia" w:ascii="宋体" w:hAnsi="宋体" w:cs="宋体"/>
          <w:color w:val="000000" w:themeColor="text1"/>
          <w:spacing w:val="10"/>
          <w:sz w:val="24"/>
          <w:szCs w:val="24"/>
          <w:highlight w:val="none"/>
          <w14:textFill>
            <w14:solidFill>
              <w14:schemeClr w14:val="tx1"/>
            </w14:solidFill>
          </w14:textFill>
        </w:rPr>
        <w:t>3、乙方提供的产品均须为</w:t>
      </w:r>
      <w:r>
        <w:rPr>
          <w:rFonts w:hint="eastAsia" w:ascii="宋体" w:hAnsi="宋体" w:cs="宋体"/>
          <w:bCs/>
          <w:color w:val="000000" w:themeColor="text1"/>
          <w:sz w:val="24"/>
          <w:szCs w:val="24"/>
          <w:highlight w:val="none"/>
          <w14:textFill>
            <w14:solidFill>
              <w14:schemeClr w14:val="tx1"/>
            </w14:solidFill>
          </w14:textFill>
        </w:rPr>
        <w:t>全新的、未使用过的</w:t>
      </w:r>
      <w:r>
        <w:rPr>
          <w:rFonts w:hint="eastAsia" w:ascii="宋体" w:hAnsi="宋体" w:cs="宋体"/>
          <w:color w:val="000000" w:themeColor="text1"/>
          <w:spacing w:val="10"/>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包括零部件、附件、备品备件等</w:t>
      </w:r>
      <w:r>
        <w:rPr>
          <w:rFonts w:hint="eastAsia" w:ascii="宋体" w:hAnsi="宋体" w:cs="宋体"/>
          <w:color w:val="000000" w:themeColor="text1"/>
          <w:spacing w:val="10"/>
          <w:sz w:val="24"/>
          <w:szCs w:val="24"/>
          <w:highlight w:val="none"/>
          <w14:textFill>
            <w14:solidFill>
              <w14:schemeClr w14:val="tx1"/>
            </w14:solidFill>
          </w14:textFill>
        </w:rPr>
        <w:t>）。</w:t>
      </w:r>
    </w:p>
    <w:p w14:paraId="617CF3AD">
      <w:pPr>
        <w:spacing w:line="440" w:lineRule="exact"/>
        <w:ind w:firstLine="480" w:firstLineChars="200"/>
        <w:textAlignment w:val="baseline"/>
        <w:rPr>
          <w:rFonts w:hint="eastAsia" w:ascii="宋体" w:hAnsi="宋体" w:cs="宋体"/>
          <w:b/>
          <w:color w:val="000000" w:themeColor="text1"/>
          <w:sz w:val="24"/>
          <w:szCs w:val="24"/>
          <w:highlight w:val="none"/>
          <w:u w:val="singl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第三条 保修期</w:t>
      </w:r>
    </w:p>
    <w:p w14:paraId="5BF5A8A7">
      <w:pPr>
        <w:widowControl w:val="0"/>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1、乙方售后服务部门负责人姓名：_____________，联系电话：_____________________。</w:t>
      </w:r>
    </w:p>
    <w:p w14:paraId="4318D929">
      <w:pPr>
        <w:widowControl w:val="0"/>
        <w:spacing w:line="500" w:lineRule="exact"/>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2、保修期：产品验收合格后</w:t>
      </w:r>
      <w:r>
        <w:rPr>
          <w:rFonts w:hint="eastAsia" w:ascii="宋体" w:hAnsi="宋体" w:cs="宋体"/>
          <w:color w:val="000000" w:themeColor="text1"/>
          <w:sz w:val="24"/>
          <w:szCs w:val="24"/>
          <w:highlight w:val="none"/>
          <w:u w:val="single"/>
          <w14:textFill>
            <w14:solidFill>
              <w14:schemeClr w14:val="tx1"/>
            </w14:solidFill>
          </w14:textFill>
        </w:rPr>
        <w:t xml:space="preserve">  3  </w:t>
      </w:r>
      <w:r>
        <w:rPr>
          <w:rFonts w:hint="eastAsia" w:ascii="宋体" w:hAnsi="宋体" w:cs="宋体"/>
          <w:color w:val="000000" w:themeColor="text1"/>
          <w:sz w:val="24"/>
          <w:szCs w:val="24"/>
          <w:highlight w:val="none"/>
          <w14:textFill>
            <w14:solidFill>
              <w14:schemeClr w14:val="tx1"/>
            </w14:solidFill>
          </w14:textFill>
        </w:rPr>
        <w:t>年保修期，保修期间如产品有质量问题，乙方无条件负责退换整改。</w:t>
      </w:r>
    </w:p>
    <w:p w14:paraId="2743C8F0">
      <w:pPr>
        <w:widowControl w:val="0"/>
        <w:spacing w:line="500" w:lineRule="exact"/>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质保期内每年提供1次第三方出具的合格水质检测报告，处理后的水源不合格的，需整改处理再提供合格检测报告。</w:t>
      </w:r>
    </w:p>
    <w:p w14:paraId="3AC42156">
      <w:pPr>
        <w:widowControl w:val="0"/>
        <w:spacing w:line="500" w:lineRule="exact"/>
        <w:ind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质保期内1年至少免费上门维保2次。包括检查设备、管道清洁、生物复合菌种的培养调试等服务；质保期内备品、备件免费更换。</w:t>
      </w:r>
    </w:p>
    <w:p w14:paraId="232B9D8F">
      <w:pPr>
        <w:widowControl w:val="0"/>
        <w:adjustRightInd w:val="0"/>
        <w:snapToGrid w:val="0"/>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3、其他售后服务要求：</w:t>
      </w:r>
    </w:p>
    <w:p w14:paraId="24A7F576">
      <w:pPr>
        <w:widowControl w:val="0"/>
        <w:adjustRightInd w:val="0"/>
        <w:snapToGrid w:val="0"/>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保修期内，乙方负责对其提供的产品上门进行硬件维修、软件维护和升级等服务，服务免费。自接到甲方报修后，2小时内响应，48小时内到达现场并解决问题。如期限内无法修复，乙方应当提供备机供甲方使用。</w:t>
      </w:r>
    </w:p>
    <w:p w14:paraId="703DEA9F">
      <w:pPr>
        <w:widowControl w:val="0"/>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（2）如乙方收到甲方维修通知后拒不维修也不提供备机，甲方可自行维修后按实际维修金额向乙方进行索赔，同时每次出现此情况时，乙方还应按本合同总价款的1%为标准支付违约金。</w:t>
      </w:r>
    </w:p>
    <w:p w14:paraId="5F708BF4">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4、乙方应保证产品不存在任何权利瑕疵，不会发生侵犯第三方知识产权等权利，若发生损害第三方权利时，乙方承担由此产生的法律责任。 </w:t>
      </w:r>
    </w:p>
    <w:p w14:paraId="3054CABE">
      <w:pPr>
        <w:spacing w:line="440" w:lineRule="exact"/>
        <w:ind w:firstLine="480" w:firstLineChars="200"/>
        <w:textAlignment w:val="baseline"/>
        <w:rPr>
          <w:rFonts w:hint="eastAsia" w:ascii="宋体" w:hAnsi="宋体" w:cs="宋体"/>
          <w:b/>
          <w:color w:val="000000" w:themeColor="text1"/>
          <w:sz w:val="24"/>
          <w:szCs w:val="24"/>
          <w:highlight w:val="none"/>
          <w:u w:val="singl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第四条 包装标准、包装物的供应与回收</w:t>
      </w:r>
    </w:p>
    <w:p w14:paraId="0EB1E270">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1、包装标准符合规定。                 </w:t>
      </w:r>
    </w:p>
    <w:p w14:paraId="14D492B1">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2、包装物由乙方提供。</w:t>
      </w:r>
    </w:p>
    <w:p w14:paraId="28E8367B">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3、包装物的回收不由乙方负责。</w:t>
      </w:r>
    </w:p>
    <w:p w14:paraId="43A2D054">
      <w:pPr>
        <w:spacing w:line="440" w:lineRule="exact"/>
        <w:ind w:firstLine="480" w:firstLineChars="200"/>
        <w:textAlignment w:val="baseline"/>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 xml:space="preserve">第五条 </w:t>
      </w:r>
      <w:r>
        <w:rPr>
          <w:rFonts w:hint="eastAsia" w:ascii="宋体" w:hAnsi="宋体" w:cs="宋体"/>
          <w:color w:val="000000" w:themeColor="text1"/>
          <w:sz w:val="24"/>
          <w:szCs w:val="24"/>
          <w:highlight w:val="none"/>
          <w14:textFill>
            <w14:solidFill>
              <w14:schemeClr w14:val="tx1"/>
            </w14:solidFill>
          </w14:textFill>
        </w:rPr>
        <w:t>采购产品的附（配）件、工具数量及供应办法：</w:t>
      </w:r>
      <w:r>
        <w:rPr>
          <w:rFonts w:hint="eastAsia" w:ascii="宋体" w:hAnsi="宋体" w:cs="宋体"/>
          <w:color w:val="000000" w:themeColor="text1"/>
          <w:sz w:val="24"/>
          <w:szCs w:val="24"/>
          <w:highlight w:val="none"/>
          <w:u w:val="single"/>
          <w14:textFill>
            <w14:solidFill>
              <w14:schemeClr w14:val="tx1"/>
            </w14:solidFill>
          </w14:textFill>
        </w:rPr>
        <w:t>按图纸和</w:t>
      </w:r>
      <w:r>
        <w:rPr>
          <w:rFonts w:hint="eastAsia" w:ascii="宋体" w:hAnsi="宋体" w:cs="宋体"/>
          <w:color w:val="000000" w:themeColor="text1"/>
          <w:sz w:val="24"/>
          <w:szCs w:val="24"/>
          <w:highlight w:val="none"/>
          <w:u w:val="single"/>
          <w:lang w:eastAsia="zh-CN"/>
          <w14:textFill>
            <w14:solidFill>
              <w14:schemeClr w14:val="tx1"/>
            </w14:solidFill>
          </w14:textFill>
        </w:rPr>
        <w:t>采购需求清单</w:t>
      </w:r>
      <w:r>
        <w:rPr>
          <w:rFonts w:hint="eastAsia" w:ascii="宋体" w:hAnsi="宋体" w:cs="宋体"/>
          <w:color w:val="000000" w:themeColor="text1"/>
          <w:sz w:val="24"/>
          <w:szCs w:val="24"/>
          <w:highlight w:val="none"/>
          <w:u w:val="single"/>
          <w14:textFill>
            <w14:solidFill>
              <w14:schemeClr w14:val="tx1"/>
            </w14:solidFill>
          </w14:textFill>
        </w:rPr>
        <w:t>执行，随产品一并送到。</w:t>
      </w:r>
    </w:p>
    <w:p w14:paraId="1B969EB2">
      <w:pPr>
        <w:spacing w:line="440" w:lineRule="exact"/>
        <w:ind w:firstLine="480" w:firstLineChars="200"/>
        <w:textAlignment w:val="baseline"/>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 xml:space="preserve">第六条 </w:t>
      </w:r>
      <w:r>
        <w:rPr>
          <w:rFonts w:hint="eastAsia" w:ascii="宋体" w:hAnsi="宋体" w:cs="宋体"/>
          <w:color w:val="000000" w:themeColor="text1"/>
          <w:sz w:val="24"/>
          <w:szCs w:val="24"/>
          <w:highlight w:val="none"/>
          <w14:textFill>
            <w14:solidFill>
              <w14:schemeClr w14:val="tx1"/>
            </w14:solidFill>
          </w14:textFill>
        </w:rPr>
        <w:t>采购产品所有权自</w:t>
      </w:r>
      <w:r>
        <w:rPr>
          <w:rFonts w:hint="eastAsia" w:ascii="宋体" w:hAnsi="宋体" w:cs="宋体"/>
          <w:color w:val="000000" w:themeColor="text1"/>
          <w:sz w:val="24"/>
          <w:szCs w:val="24"/>
          <w:highlight w:val="none"/>
          <w:u w:val="single"/>
          <w14:textFill>
            <w14:solidFill>
              <w14:schemeClr w14:val="tx1"/>
            </w14:solidFill>
          </w14:textFill>
        </w:rPr>
        <w:t xml:space="preserve">  交付使用  </w:t>
      </w:r>
      <w:r>
        <w:rPr>
          <w:rFonts w:hint="eastAsia" w:ascii="宋体" w:hAnsi="宋体" w:cs="宋体"/>
          <w:color w:val="000000" w:themeColor="text1"/>
          <w:sz w:val="24"/>
          <w:szCs w:val="24"/>
          <w:highlight w:val="none"/>
          <w14:textFill>
            <w14:solidFill>
              <w14:schemeClr w14:val="tx1"/>
            </w14:solidFill>
          </w14:textFill>
        </w:rPr>
        <w:t>时起转移，但甲方未履行支付价款义务的，采购产品属于</w:t>
      </w:r>
      <w:r>
        <w:rPr>
          <w:rFonts w:hint="eastAsia" w:ascii="宋体" w:hAnsi="宋体" w:cs="宋体"/>
          <w:color w:val="000000" w:themeColor="text1"/>
          <w:sz w:val="24"/>
          <w:szCs w:val="24"/>
          <w:highlight w:val="none"/>
          <w:u w:val="single"/>
          <w14:textFill>
            <w14:solidFill>
              <w14:schemeClr w14:val="tx1"/>
            </w14:solidFill>
          </w14:textFill>
        </w:rPr>
        <w:t xml:space="preserve">  乙方  </w:t>
      </w:r>
      <w:r>
        <w:rPr>
          <w:rFonts w:hint="eastAsia" w:ascii="宋体" w:hAnsi="宋体" w:cs="宋体"/>
          <w:color w:val="000000" w:themeColor="text1"/>
          <w:sz w:val="24"/>
          <w:szCs w:val="24"/>
          <w:highlight w:val="none"/>
          <w14:textFill>
            <w14:solidFill>
              <w14:schemeClr w14:val="tx1"/>
            </w14:solidFill>
          </w14:textFill>
        </w:rPr>
        <w:t>所有。</w:t>
      </w:r>
      <w:r>
        <w:rPr>
          <w:rFonts w:hint="eastAsia" w:ascii="宋体" w:hAnsi="宋体" w:cs="宋体"/>
          <w:b/>
          <w:color w:val="000000" w:themeColor="text1"/>
          <w:sz w:val="24"/>
          <w:szCs w:val="24"/>
          <w:highlight w:val="none"/>
          <w14:textFill>
            <w14:solidFill>
              <w14:schemeClr w14:val="tx1"/>
            </w14:solidFill>
          </w14:textFill>
        </w:rPr>
        <w:t xml:space="preserve">                    </w:t>
      </w:r>
    </w:p>
    <w:p w14:paraId="36F3E419">
      <w:pPr>
        <w:spacing w:line="440" w:lineRule="exact"/>
        <w:ind w:firstLine="480" w:firstLineChars="200"/>
        <w:textAlignment w:val="baseline"/>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 xml:space="preserve">第七条 </w:t>
      </w:r>
      <w:r>
        <w:rPr>
          <w:rFonts w:hint="eastAsia" w:ascii="宋体" w:hAnsi="宋体" w:cs="宋体"/>
          <w:color w:val="000000" w:themeColor="text1"/>
          <w:sz w:val="24"/>
          <w:szCs w:val="24"/>
          <w:highlight w:val="none"/>
          <w14:textFill>
            <w14:solidFill>
              <w14:schemeClr w14:val="tx1"/>
            </w14:solidFill>
          </w14:textFill>
        </w:rPr>
        <w:t>交货要求和费用负担：</w:t>
      </w:r>
    </w:p>
    <w:p w14:paraId="1A6573FA">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1、交货地点：</w:t>
      </w:r>
      <w:r>
        <w:rPr>
          <w:rFonts w:hint="eastAsia" w:ascii="宋体" w:hAnsi="宋体" w:cs="宋体"/>
          <w:color w:val="000000" w:themeColor="text1"/>
          <w:sz w:val="24"/>
          <w:szCs w:val="24"/>
          <w:highlight w:val="none"/>
          <w:u w:val="single"/>
          <w14:textFill>
            <w14:solidFill>
              <w14:schemeClr w14:val="tx1"/>
            </w14:solidFill>
          </w14:textFill>
        </w:rPr>
        <w:t>平顶山职业技术学院院内指定地点。</w:t>
      </w:r>
    </w:p>
    <w:p w14:paraId="63E94774">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2、交货期限：合同签订后</w:t>
      </w:r>
      <w:r>
        <w:rPr>
          <w:rFonts w:hint="eastAsia" w:ascii="宋体" w:hAnsi="宋体" w:cs="宋体"/>
          <w:color w:val="000000" w:themeColor="text1"/>
          <w:sz w:val="24"/>
          <w:szCs w:val="24"/>
          <w:highlight w:val="none"/>
          <w:u w:val="single"/>
          <w14:textFill>
            <w14:solidFill>
              <w14:schemeClr w14:val="tx1"/>
            </w14:solidFill>
          </w14:textFill>
        </w:rPr>
        <w:t xml:space="preserve">  40  </w:t>
      </w:r>
      <w:r>
        <w:rPr>
          <w:rFonts w:hint="eastAsia" w:ascii="宋体" w:hAnsi="宋体" w:cs="宋体"/>
          <w:color w:val="000000" w:themeColor="text1"/>
          <w:sz w:val="24"/>
          <w:szCs w:val="24"/>
          <w:highlight w:val="none"/>
          <w14:textFill>
            <w14:solidFill>
              <w14:schemeClr w14:val="tx1"/>
            </w14:solidFill>
          </w14:textFill>
        </w:rPr>
        <w:t>个日历天内施工安装调试完毕后交付使用。</w:t>
      </w:r>
    </w:p>
    <w:p w14:paraId="30546153">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3、产品在到达甲方所要求的上述地点的运输、装卸、保险等事项均由乙方负责办理，乙方应当自行承担交货验收合格前的一切费用和风险。</w:t>
      </w:r>
    </w:p>
    <w:p w14:paraId="3B2A934B">
      <w:pPr>
        <w:spacing w:line="440" w:lineRule="exact"/>
        <w:ind w:firstLine="480" w:firstLineChars="200"/>
        <w:textAlignment w:val="baseline"/>
        <w:rPr>
          <w:rFonts w:hint="eastAsia" w:ascii="宋体" w:hAnsi="宋体" w:cs="宋体"/>
          <w:bCs/>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4、交货的同时，乙方负责免费提供产品操作、运行、维护、修理的现场培训，为甲方培训人数</w:t>
      </w:r>
      <w:r>
        <w:rPr>
          <w:rFonts w:hint="eastAsia" w:ascii="宋体" w:hAnsi="宋体" w:cs="宋体"/>
          <w:bCs/>
          <w:color w:val="000000" w:themeColor="text1"/>
          <w:sz w:val="24"/>
          <w:szCs w:val="24"/>
          <w:highlight w:val="none"/>
          <w:u w:val="single"/>
          <w14:textFill>
            <w14:solidFill>
              <w14:schemeClr w14:val="tx1"/>
            </w14:solidFill>
          </w14:textFill>
        </w:rPr>
        <w:t xml:space="preserve">  2 </w:t>
      </w:r>
      <w:r>
        <w:rPr>
          <w:rFonts w:hint="eastAsia" w:ascii="宋体" w:hAnsi="宋体" w:cs="宋体"/>
          <w:bCs/>
          <w:color w:val="000000" w:themeColor="text1"/>
          <w:sz w:val="24"/>
          <w:szCs w:val="24"/>
          <w:highlight w:val="none"/>
          <w14:textFill>
            <w14:solidFill>
              <w14:schemeClr w14:val="tx1"/>
            </w14:solidFill>
          </w14:textFill>
        </w:rPr>
        <w:t>名以上，直到甲方受训人员能完全掌握产品的基本操作和产品的日常维护。</w:t>
      </w:r>
    </w:p>
    <w:p w14:paraId="71987D2B">
      <w:pPr>
        <w:pStyle w:val="8"/>
        <w:widowControl w:val="0"/>
        <w:adjustRightInd w:val="0"/>
        <w:snapToGrid w:val="0"/>
        <w:spacing w:after="0" w:line="440" w:lineRule="exact"/>
        <w:ind w:left="0" w:leftChars="0"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5、交</w:t>
      </w:r>
      <w:r>
        <w:rPr>
          <w:rFonts w:hint="eastAsia" w:ascii="宋体" w:hAnsi="宋体" w:cs="宋体"/>
          <w:color w:val="000000" w:themeColor="text1"/>
          <w:sz w:val="24"/>
          <w:szCs w:val="24"/>
          <w:highlight w:val="none"/>
          <w14:textFill>
            <w14:solidFill>
              <w14:schemeClr w14:val="tx1"/>
            </w14:solidFill>
          </w14:textFill>
        </w:rPr>
        <w:t>货的同时，乙方应完成所有产品的安装调试</w:t>
      </w:r>
      <w:r>
        <w:rPr>
          <w:rFonts w:hint="eastAsia" w:ascii="宋体" w:hAnsi="宋体" w:cs="宋体"/>
          <w:color w:val="000000" w:themeColor="text1"/>
          <w:spacing w:val="10"/>
          <w:sz w:val="24"/>
          <w:szCs w:val="24"/>
          <w:highlight w:val="none"/>
          <w14:textFill>
            <w14:solidFill>
              <w14:schemeClr w14:val="tx1"/>
            </w14:solidFill>
          </w14:textFill>
        </w:rPr>
        <w:t>，使其投入正常使用，若相关产品无法正常使用，则</w:t>
      </w:r>
      <w:r>
        <w:rPr>
          <w:rFonts w:hint="eastAsia" w:ascii="宋体" w:hAnsi="宋体" w:cs="宋体"/>
          <w:color w:val="000000" w:themeColor="text1"/>
          <w:sz w:val="24"/>
          <w:szCs w:val="24"/>
          <w:highlight w:val="none"/>
          <w14:textFill>
            <w14:solidFill>
              <w14:schemeClr w14:val="tx1"/>
            </w14:solidFill>
          </w14:textFill>
        </w:rPr>
        <w:t>按不能交货对待，直至能够正常使用为止。安装时由乙方有资质的技术人员依据本合同要求进行施工安装调试。</w:t>
      </w:r>
    </w:p>
    <w:p w14:paraId="18DB6336">
      <w:pPr>
        <w:spacing w:line="440" w:lineRule="exact"/>
        <w:ind w:firstLine="480" w:firstLineChars="200"/>
        <w:textAlignment w:val="baseline"/>
        <w:rPr>
          <w:rFonts w:hint="eastAsia" w:ascii="宋体" w:hAnsi="宋体" w:cs="宋体"/>
          <w:color w:val="000000" w:themeColor="text1"/>
          <w:sz w:val="24"/>
          <w:szCs w:val="24"/>
          <w:highlight w:val="none"/>
          <w:u w:val="singl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 xml:space="preserve">第八条 </w:t>
      </w:r>
      <w:r>
        <w:rPr>
          <w:rFonts w:hint="eastAsia" w:ascii="宋体" w:hAnsi="宋体" w:cs="宋体"/>
          <w:color w:val="000000" w:themeColor="text1"/>
          <w:sz w:val="24"/>
          <w:szCs w:val="24"/>
          <w:highlight w:val="none"/>
          <w14:textFill>
            <w14:solidFill>
              <w14:schemeClr w14:val="tx1"/>
            </w14:solidFill>
          </w14:textFill>
        </w:rPr>
        <w:t>检验标准、方法、地点及期限：</w:t>
      </w:r>
    </w:p>
    <w:p w14:paraId="7C1C3712">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1、检验标准:按本合同第二条质量标准进行检验。</w:t>
      </w:r>
    </w:p>
    <w:p w14:paraId="7C58AFCB">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2、验收方式:</w:t>
      </w:r>
    </w:p>
    <w:p w14:paraId="3DCACB11">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（1）产品到货时，包装必须完好无缺,产品规格型号、产品种类、数量等符合合同要求。</w:t>
      </w:r>
    </w:p>
    <w:p w14:paraId="71262BDC">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2）到货后，乙方向甲方发出书面验收通知，甲方收到验收后会同乙方到现场进行清点产品数量、品牌规格型号、配件等与本合同的约定是否相符，相关产品查验无误并由乙方施工安装调试完毕后，甲方出具初验报告，试运行一个月后，由甲方组织乙方配合经相关部门验收合格并备案通过后，乙方持相关验收合格资料作为结算依据。产品有丢失或损坏，或者产品的包装、品牌、规格、型号参数等不符合合同约定的，甲方有权要求乙方退回更换或补齐产品，乙方实际交货时间以最终补齐产品时间为准。 </w:t>
      </w:r>
    </w:p>
    <w:p w14:paraId="021D5E6E">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（3）在交货的同时应向甲方提交产品合格证等产品质量证明文件、说明书、保修凭证等相关资料。 </w:t>
      </w:r>
    </w:p>
    <w:p w14:paraId="468C7DC8">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如双方对产品的质量有争议的,由共同确认的检验机构对封存的样品进行检验,并以该检验机构的检验结果作为确认产品质量的依据。如检验结果不符合合同约定的质量标准,检验费由乙方承担;符合质星标准的,检验费由甲方承担。</w:t>
      </w:r>
    </w:p>
    <w:p w14:paraId="0F53D86A">
      <w:pPr>
        <w:spacing w:line="440" w:lineRule="exact"/>
        <w:ind w:firstLine="480" w:firstLineChars="200"/>
        <w:textAlignment w:val="baseline"/>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第九条 结算及支付</w:t>
      </w:r>
    </w:p>
    <w:p w14:paraId="478D2D08">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1、结算支付方式：签订合同后，采购人支付合同价款的30%为预付款，中标人按照合同安装调试完毕，且经采购人组织相关单位初验合格后支付至合同价款的 80%，试运行一个月后经相关部门验收合格并备案通过后支付至合同价款的 100%。</w:t>
      </w:r>
    </w:p>
    <w:p w14:paraId="0B18661F">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2、每次付款前，乙方必须先行向甲方开具符合甲方财务要求的增值税发票并送达甲方，甲方在收到发票后进行付款。</w:t>
      </w:r>
    </w:p>
    <w:p w14:paraId="780CD81A">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如因特殊情况，发生延期付款的，经过双方友好协商后甲方可以延期结款。</w:t>
      </w:r>
    </w:p>
    <w:p w14:paraId="78F3AC20">
      <w:pPr>
        <w:pStyle w:val="114"/>
        <w:spacing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3、乙方确认收款账户如下：</w:t>
      </w:r>
    </w:p>
    <w:p w14:paraId="1EDFAC17">
      <w:pPr>
        <w:pStyle w:val="114"/>
        <w:spacing w:line="440" w:lineRule="exact"/>
        <w:ind w:firstLine="480" w:firstLineChars="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账户名称：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76366E61">
      <w:pPr>
        <w:pStyle w:val="114"/>
        <w:spacing w:line="440" w:lineRule="exact"/>
        <w:ind w:firstLine="480" w:firstLineChars="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账户号码：</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204EB570">
      <w:pPr>
        <w:pStyle w:val="114"/>
        <w:spacing w:line="440" w:lineRule="exact"/>
        <w:ind w:firstLine="480" w:firstLineChars="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45177288">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第十条 合同的变更与解除</w:t>
      </w:r>
      <w:r>
        <w:rPr>
          <w:rFonts w:hint="eastAsia" w:ascii="宋体" w:hAnsi="宋体" w:cs="宋体"/>
          <w:color w:val="000000" w:themeColor="text1"/>
          <w:sz w:val="24"/>
          <w:szCs w:val="24"/>
          <w:highlight w:val="none"/>
          <w14:textFill>
            <w14:solidFill>
              <w14:schemeClr w14:val="tx1"/>
            </w14:solidFill>
          </w14:textFill>
        </w:rPr>
        <w:t xml:space="preserve">  </w:t>
      </w:r>
    </w:p>
    <w:p w14:paraId="5583D816">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1、合同履行中，如甲方要求变更或解除合同，则应于合同约定交货日 3 天之前以书面形式通知乙方。合同变更后需重新确定交货期，合同变更的事项双方需另签合同补充协议，并经双方签字盖章后生效。 </w:t>
      </w:r>
    </w:p>
    <w:p w14:paraId="27166016">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2、甲、乙双方任何一方非依法定事由或约定擅自解除合同的，须向另一方偿付合同总金额20％的违约金。 </w:t>
      </w:r>
    </w:p>
    <w:p w14:paraId="7BA9DDA0">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第十一条 违约责任</w:t>
      </w:r>
      <w:r>
        <w:rPr>
          <w:rFonts w:hint="eastAsia" w:ascii="宋体" w:hAnsi="宋体" w:cs="宋体"/>
          <w:color w:val="000000" w:themeColor="text1"/>
          <w:sz w:val="24"/>
          <w:szCs w:val="24"/>
          <w:highlight w:val="none"/>
          <w14:textFill>
            <w14:solidFill>
              <w14:schemeClr w14:val="tx1"/>
            </w14:solidFill>
          </w14:textFill>
        </w:rPr>
        <w:t xml:space="preserve"> </w:t>
      </w:r>
    </w:p>
    <w:p w14:paraId="537D1088">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1、乙方在合同履行过程中，应严格按照国家标准进行生产、供货及安装施工，接受甲方（或甲方指定的第三方）的监督、管理和抽查，并在任何时候都应接受甲方关于产品技术、加工、安装等方面的咨询。 </w:t>
      </w:r>
    </w:p>
    <w:p w14:paraId="36EE4A6D">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2、乙方在合同履行过程中，应根据甲方指令，结合现场情况安排生产和供货进度。乙方逾期供货的，乙方每日应当按总货款金额的千分之四的标准支付给甲方违约金；逾期交货超过20日的，甲方有权单方面解除本合同，乙方应向甲方支付货款总额的20％为违约金。 </w:t>
      </w:r>
    </w:p>
    <w:p w14:paraId="29148924">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因为产品的包装、品种、型号、规格、质量、数量、安装施工、调试等问题致使未通过验收的，视为乙方未完成交货，乙方应立即无偿换货整改，最终交货时间以换货产品交付并验收合格时间为准，因此造成逾期交货的，按照本合同上述逾期交货的有关约定执行。</w:t>
      </w:r>
    </w:p>
    <w:p w14:paraId="36418C5E">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4、乙方在合同履行过程中，如甲方提供设备图纸，乙方应严格按照图纸技术、说明和有关技术资料进行供货、安装等，不得擅自修改。</w:t>
      </w:r>
    </w:p>
    <w:p w14:paraId="05DE0242">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5、乙方在合同履行过程中，应加强现场人员的安全教育，做好相应的安全保障，确保安全。在供货、安装现场发生的由于乙方的原因造成的一切安全事故责任，一律由乙方自行负责，并承担相应的经济责任。</w:t>
      </w:r>
    </w:p>
    <w:p w14:paraId="398535E1">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乙方在合同履行过程中，应对甲方原有设施设备等进行有效保护，如有损坏、污染，乙方负责维修或恢复，并承担相应损失赔偿。同时，乙方应负责已完成内容未经验收交付甲方之前的保护工作，保护期间发生任何原因造成的污染、损坏，乙方必须无条件的清理、更换。甲方不予认可因此导致的经济损失和工期顺延要求。</w:t>
      </w:r>
    </w:p>
    <w:p w14:paraId="49514BA2">
      <w:pPr>
        <w:spacing w:line="440" w:lineRule="exact"/>
        <w:ind w:firstLine="480" w:firstLineChars="200"/>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第十二条 不可抗力</w:t>
      </w:r>
    </w:p>
    <w:p w14:paraId="34F68846">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由于发生不能预见、不能避免并不能克服的不可抗力情形，致使直接影响本协议的履行或不能按照本协议项下之约定履行时，遇有不可抗力的一方应当立即书面通知对方，并在发生不可抗力之日起3天内，提供不可抗力详情及协议不能履行或部分不能履行，或需要延期履行理由的有效书面证明，该项证明文件应当由不可抗力发生地的政府机关出具。</w:t>
      </w:r>
    </w:p>
    <w:p w14:paraId="12F2F3B9">
      <w:pPr>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2、根据不可抗力对本协议的影响程度，双方应当协商是否解除本协议或部分、全部免除履行本协议的责任，或延期履行本协议。</w:t>
      </w:r>
    </w:p>
    <w:p w14:paraId="09C3B434">
      <w:pPr>
        <w:widowControl w:val="0"/>
        <w:spacing w:line="44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 xml:space="preserve">第十三条 </w:t>
      </w:r>
      <w:r>
        <w:rPr>
          <w:rFonts w:hint="eastAsia" w:ascii="宋体" w:hAnsi="宋体" w:cs="宋体"/>
          <w:color w:val="000000" w:themeColor="text1"/>
          <w:sz w:val="24"/>
          <w:szCs w:val="24"/>
          <w:highlight w:val="none"/>
          <w14:textFill>
            <w14:solidFill>
              <w14:schemeClr w14:val="tx1"/>
            </w14:solidFill>
          </w14:textFill>
        </w:rPr>
        <w:t>合同争议的解决方式：凡因本合同引起的或与本合同有关的争议，双方应当协商解决。当调解不成时，可向甲方所在地平顶山市宝丰县人民法院起诉解决。</w:t>
      </w:r>
    </w:p>
    <w:p w14:paraId="649B410C">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第十四条</w:t>
      </w:r>
      <w:r>
        <w:rPr>
          <w:rFonts w:hint="eastAsia" w:ascii="宋体" w:hAnsi="宋体" w:cs="宋体"/>
          <w:color w:val="000000" w:themeColor="text1"/>
          <w:sz w:val="24"/>
          <w:szCs w:val="24"/>
          <w:highlight w:val="none"/>
          <w14:textFill>
            <w14:solidFill>
              <w14:schemeClr w14:val="tx1"/>
            </w14:solidFill>
          </w14:textFill>
        </w:rPr>
        <w:t xml:space="preserve"> 本合同附件、本项目的谈判文件及招标期间发出的有效补遗文件或答疑文件、响应文件、承诺文件、中标通知书等均为本合同的组成部分。</w:t>
      </w:r>
    </w:p>
    <w:p w14:paraId="7699AD6B">
      <w:pPr>
        <w:spacing w:line="440" w:lineRule="exact"/>
        <w:ind w:firstLine="480" w:firstLineChars="200"/>
        <w:textAlignment w:val="baseline"/>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 xml:space="preserve">第十五条 </w:t>
      </w:r>
      <w:r>
        <w:rPr>
          <w:rFonts w:hint="eastAsia" w:ascii="宋体" w:hAnsi="宋体" w:cs="宋体"/>
          <w:color w:val="000000" w:themeColor="text1"/>
          <w:sz w:val="24"/>
          <w:szCs w:val="24"/>
          <w:highlight w:val="none"/>
          <w14:textFill>
            <w14:solidFill>
              <w14:schemeClr w14:val="tx1"/>
            </w14:solidFill>
          </w14:textFill>
        </w:rPr>
        <w:t>本合同自双方签字、盖章之日起生效，一式  份，甲方执   份，乙方执   份，具有同等的法律效力。</w:t>
      </w:r>
    </w:p>
    <w:p w14:paraId="474DF90A">
      <w:pPr>
        <w:pStyle w:val="114"/>
        <w:ind w:firstLine="0" w:firstLineChars="0"/>
        <w:rPr>
          <w:rFonts w:hint="eastAsia" w:ascii="宋体" w:hAnsi="宋体" w:eastAsia="宋体" w:cs="宋体"/>
          <w:color w:val="000000" w:themeColor="text1"/>
          <w:sz w:val="24"/>
          <w:szCs w:val="24"/>
          <w:highlight w:val="none"/>
          <w14:textFill>
            <w14:solidFill>
              <w14:schemeClr w14:val="tx1"/>
            </w14:solidFill>
          </w14:textFill>
        </w:rPr>
      </w:pPr>
    </w:p>
    <w:p w14:paraId="67840DCE">
      <w:pPr>
        <w:pStyle w:val="114"/>
        <w:ind w:firstLine="240"/>
        <w:rPr>
          <w:rFonts w:hint="eastAsia" w:ascii="宋体" w:hAnsi="宋体" w:eastAsia="宋体" w:cs="宋体"/>
          <w:color w:val="000000" w:themeColor="text1"/>
          <w:sz w:val="24"/>
          <w:szCs w:val="24"/>
          <w:highlight w:val="none"/>
          <w14:textFill>
            <w14:solidFill>
              <w14:schemeClr w14:val="tx1"/>
            </w14:solidFill>
          </w14:textFill>
        </w:rPr>
      </w:pPr>
    </w:p>
    <w:p w14:paraId="1A36734D">
      <w:pPr>
        <w:pStyle w:val="114"/>
        <w:ind w:firstLine="240"/>
        <w:rPr>
          <w:rFonts w:hint="eastAsia" w:ascii="宋体" w:hAnsi="宋体" w:eastAsia="宋体" w:cs="宋体"/>
          <w:color w:val="000000" w:themeColor="text1"/>
          <w:sz w:val="24"/>
          <w:szCs w:val="24"/>
          <w:highlight w:val="none"/>
          <w14:textFill>
            <w14:solidFill>
              <w14:schemeClr w14:val="tx1"/>
            </w14:solidFill>
          </w14:textFill>
        </w:rPr>
      </w:pPr>
    </w:p>
    <w:p w14:paraId="112D62E0">
      <w:pPr>
        <w:spacing w:line="48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甲方：(公章)                  乙方：(公章)</w:t>
      </w:r>
    </w:p>
    <w:p w14:paraId="38F16A37">
      <w:pPr>
        <w:spacing w:line="48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法定代表人或                  法定代表人或</w:t>
      </w:r>
    </w:p>
    <w:p w14:paraId="2595978D">
      <w:pPr>
        <w:spacing w:line="48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其委托代理人：                其委托代理人：</w:t>
      </w:r>
    </w:p>
    <w:p w14:paraId="13C85972">
      <w:pPr>
        <w:spacing w:line="480" w:lineRule="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（签字）                       （签字）</w:t>
      </w:r>
    </w:p>
    <w:p w14:paraId="5262B52F">
      <w:pPr>
        <w:spacing w:line="480" w:lineRule="auto"/>
        <w:ind w:firstLine="240" w:firstLineChars="1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年   月   日                        年  月   日</w:t>
      </w:r>
    </w:p>
    <w:p w14:paraId="599D04E5">
      <w:pPr>
        <w:rPr>
          <w:rFonts w:hint="eastAsia" w:ascii="宋体" w:hAnsi="宋体" w:cs="宋体"/>
          <w:color w:val="000000" w:themeColor="text1"/>
          <w:sz w:val="24"/>
          <w:szCs w:val="24"/>
          <w:highlight w:val="none"/>
          <w14:textFill>
            <w14:solidFill>
              <w14:schemeClr w14:val="tx1"/>
            </w14:solidFill>
          </w14:textFill>
        </w:rPr>
      </w:pPr>
    </w:p>
    <w:p w14:paraId="3E4D6212">
      <w:pPr>
        <w:pStyle w:val="110"/>
        <w:ind w:firstLine="480"/>
        <w:rPr>
          <w:rFonts w:hint="eastAsia" w:cs="宋体"/>
          <w:color w:val="000000" w:themeColor="text1"/>
          <w:sz w:val="24"/>
          <w:szCs w:val="24"/>
          <w:highlight w:val="none"/>
          <w14:textFill>
            <w14:solidFill>
              <w14:schemeClr w14:val="tx1"/>
            </w14:solidFill>
          </w14:textFill>
        </w:rPr>
      </w:pPr>
    </w:p>
    <w:p w14:paraId="6495F541">
      <w:pPr>
        <w:pStyle w:val="29"/>
        <w:spacing w:before="100" w:after="100" w:line="360" w:lineRule="auto"/>
        <w:jc w:val="center"/>
        <w:outlineLvl w:val="9"/>
        <w:rPr>
          <w:rFonts w:hint="eastAsia" w:ascii="宋体" w:hAnsi="宋体"/>
          <w:color w:val="000000" w:themeColor="text1"/>
          <w:sz w:val="22"/>
          <w:szCs w:val="22"/>
          <w:highlight w:val="none"/>
          <w14:textFill>
            <w14:solidFill>
              <w14:schemeClr w14:val="tx1"/>
            </w14:solidFill>
          </w14:textFill>
        </w:rPr>
      </w:pPr>
      <w:bookmarkStart w:id="121" w:name="_Toc14781"/>
      <w:bookmarkEnd w:id="121"/>
      <w:r>
        <w:rPr>
          <w:rFonts w:hint="eastAsia" w:ascii="宋体" w:hAnsi="宋体" w:cs="宋体"/>
          <w:color w:val="000000" w:themeColor="text1"/>
          <w:sz w:val="24"/>
          <w:szCs w:val="24"/>
          <w:highlight w:val="none"/>
          <w14:textFill>
            <w14:solidFill>
              <w14:schemeClr w14:val="tx1"/>
            </w14:solidFill>
          </w14:textFill>
        </w:rPr>
        <w:br w:type="page"/>
      </w:r>
      <w:bookmarkStart w:id="122" w:name="_Toc11572"/>
    </w:p>
    <w:p w14:paraId="46FA5730">
      <w:pPr>
        <w:rPr>
          <w:rFonts w:hint="eastAsia" w:ascii="宋体" w:hAnsi="宋体" w:cs="宋体"/>
          <w:b/>
          <w:bCs/>
          <w:color w:val="000000" w:themeColor="text1"/>
          <w:sz w:val="28"/>
          <w:szCs w:val="28"/>
          <w:highlight w:val="none"/>
          <w14:textFill>
            <w14:solidFill>
              <w14:schemeClr w14:val="tx1"/>
            </w14:solidFill>
          </w14:textFill>
        </w:rPr>
        <w:sectPr>
          <w:pgSz w:w="11906" w:h="16838"/>
          <w:pgMar w:top="1440" w:right="1440" w:bottom="1440" w:left="1440" w:header="851" w:footer="992" w:gutter="0"/>
          <w:cols w:space="720" w:num="1"/>
          <w:docGrid w:type="linesAndChars" w:linePitch="312" w:charSpace="0"/>
        </w:sectPr>
      </w:pPr>
    </w:p>
    <w:p w14:paraId="55BC4A31">
      <w:pPr>
        <w:numPr>
          <w:ilvl w:val="0"/>
          <w:numId w:val="0"/>
        </w:numPr>
        <w:jc w:val="center"/>
        <w:outlineLvl w:val="0"/>
        <w:rPr>
          <w:rFonts w:hint="eastAsia" w:ascii="宋体" w:hAnsi="宋体"/>
          <w:b/>
          <w:bCs/>
          <w:color w:val="000000" w:themeColor="text1"/>
          <w:sz w:val="36"/>
          <w:szCs w:val="36"/>
          <w:highlight w:val="none"/>
          <w14:textFill>
            <w14:solidFill>
              <w14:schemeClr w14:val="tx1"/>
            </w14:solidFill>
          </w14:textFill>
        </w:rPr>
      </w:pPr>
      <w:bookmarkStart w:id="123" w:name="_Toc31208"/>
      <w:r>
        <w:rPr>
          <w:rFonts w:hint="eastAsia" w:ascii="宋体" w:hAnsi="宋体" w:eastAsia="宋体" w:cs="Times New Roman"/>
          <w:b/>
          <w:bCs/>
          <w:color w:val="000000" w:themeColor="text1"/>
          <w:kern w:val="2"/>
          <w:sz w:val="36"/>
          <w:szCs w:val="36"/>
          <w:highlight w:val="none"/>
          <w:lang w:val="en-US" w:eastAsia="zh-CN" w:bidi="ar-SA"/>
          <w14:textFill>
            <w14:solidFill>
              <w14:schemeClr w14:val="tx1"/>
            </w14:solidFill>
          </w14:textFill>
        </w:rPr>
        <w:t>第五章</w:t>
      </w:r>
      <w:r>
        <w:rPr>
          <w:rFonts w:hint="eastAsia" w:ascii="宋体" w:hAnsi="宋体" w:cs="Times New Roman"/>
          <w:b/>
          <w:bCs/>
          <w:color w:val="000000" w:themeColor="text1"/>
          <w:kern w:val="2"/>
          <w:sz w:val="36"/>
          <w:szCs w:val="36"/>
          <w:highlight w:val="none"/>
          <w:lang w:val="en-US" w:eastAsia="zh-CN" w:bidi="ar-SA"/>
          <w14:textFill>
            <w14:solidFill>
              <w14:schemeClr w14:val="tx1"/>
            </w14:solidFill>
          </w14:textFill>
        </w:rPr>
        <w:t xml:space="preserve">  </w:t>
      </w:r>
      <w:r>
        <w:rPr>
          <w:rFonts w:hint="eastAsia" w:ascii="宋体" w:hAnsi="宋体"/>
          <w:b/>
          <w:bCs/>
          <w:color w:val="000000" w:themeColor="text1"/>
          <w:sz w:val="36"/>
          <w:szCs w:val="36"/>
          <w:highlight w:val="none"/>
          <w14:textFill>
            <w14:solidFill>
              <w14:schemeClr w14:val="tx1"/>
            </w14:solidFill>
          </w14:textFill>
        </w:rPr>
        <w:t>采购需求</w:t>
      </w:r>
      <w:bookmarkEnd w:id="123"/>
    </w:p>
    <w:p w14:paraId="06CB5D58">
      <w:pPr>
        <w:spacing w:line="440" w:lineRule="exact"/>
        <w:jc w:val="left"/>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本项目整体技术要求：</w:t>
      </w:r>
    </w:p>
    <w:p w14:paraId="561A33E9">
      <w:pPr>
        <w:spacing w:line="440" w:lineRule="exact"/>
        <w:jc w:val="left"/>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1.处理能力</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：200m3/d</w:t>
      </w:r>
    </w:p>
    <w:p w14:paraId="2F5D8D28">
      <w:pPr>
        <w:spacing w:line="440" w:lineRule="exact"/>
        <w:jc w:val="left"/>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2.进水水质：</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CODcr≤350mg/l，BOD5≤200mg/l，NH3-N≤35mg/l,SS≤220mg/l</w:t>
      </w:r>
    </w:p>
    <w:p w14:paraId="5892A751">
      <w:pPr>
        <w:spacing w:line="440" w:lineRule="exact"/>
        <w:jc w:val="left"/>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3.出水水质：</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执行《城市污水再生利用城市杂用水水质标准》(GB/T18920-2020)城市绿化和道路清扫水质标准。</w:t>
      </w:r>
    </w:p>
    <w:p w14:paraId="32580F29">
      <w:pPr>
        <w:spacing w:line="440" w:lineRule="exact"/>
        <w:jc w:val="left"/>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4.最高最低（环境温度）：</w:t>
      </w:r>
      <w:r>
        <w:rPr>
          <w:rFonts w:hint="eastAsia" w:ascii="宋体" w:hAnsi="宋体" w:cs="宋体"/>
          <w:b w:val="0"/>
          <w:bCs w:val="0"/>
          <w:color w:val="000000" w:themeColor="text1"/>
          <w:sz w:val="24"/>
          <w:szCs w:val="24"/>
          <w:highlight w:val="none"/>
          <w:lang w:val="en-US" w:eastAsia="zh-CN"/>
          <w14:textFill>
            <w14:solidFill>
              <w14:schemeClr w14:val="tx1"/>
            </w14:solidFill>
          </w14:textFill>
        </w:rPr>
        <w:t>40/-20℃</w:t>
      </w:r>
    </w:p>
    <w:tbl>
      <w:tblPr>
        <w:tblStyle w:val="18"/>
        <w:tblW w:w="1412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985"/>
        <w:gridCol w:w="1984"/>
        <w:gridCol w:w="8363"/>
        <w:gridCol w:w="1106"/>
        <w:gridCol w:w="1689"/>
      </w:tblGrid>
      <w:tr w14:paraId="06CA63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blHeader/>
        </w:trPr>
        <w:tc>
          <w:tcPr>
            <w:tcW w:w="985" w:type="dxa"/>
            <w:tcBorders>
              <w:tl2br w:val="nil"/>
              <w:tr2bl w:val="nil"/>
            </w:tcBorders>
            <w:vAlign w:val="center"/>
          </w:tcPr>
          <w:p w14:paraId="4F2C6FF3">
            <w:pPr>
              <w:spacing w:line="440" w:lineRule="exact"/>
              <w:jc w:val="center"/>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序号</w:t>
            </w:r>
          </w:p>
        </w:tc>
        <w:tc>
          <w:tcPr>
            <w:tcW w:w="1984" w:type="dxa"/>
            <w:tcBorders>
              <w:tl2br w:val="nil"/>
              <w:tr2bl w:val="nil"/>
            </w:tcBorders>
            <w:vAlign w:val="center"/>
          </w:tcPr>
          <w:p w14:paraId="1453DDB2">
            <w:pPr>
              <w:spacing w:line="440" w:lineRule="exact"/>
              <w:jc w:val="center"/>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名称</w:t>
            </w:r>
          </w:p>
        </w:tc>
        <w:tc>
          <w:tcPr>
            <w:tcW w:w="8363" w:type="dxa"/>
            <w:tcBorders>
              <w:tl2br w:val="nil"/>
              <w:tr2bl w:val="nil"/>
            </w:tcBorders>
            <w:vAlign w:val="center"/>
          </w:tcPr>
          <w:p w14:paraId="13E866B5">
            <w:pPr>
              <w:spacing w:line="440" w:lineRule="exact"/>
              <w:jc w:val="center"/>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技术要求</w:t>
            </w:r>
          </w:p>
        </w:tc>
        <w:tc>
          <w:tcPr>
            <w:tcW w:w="1106" w:type="dxa"/>
            <w:tcBorders>
              <w:tl2br w:val="nil"/>
              <w:tr2bl w:val="nil"/>
            </w:tcBorders>
            <w:vAlign w:val="center"/>
          </w:tcPr>
          <w:p w14:paraId="7FE0DAD1">
            <w:pPr>
              <w:spacing w:line="440" w:lineRule="exact"/>
              <w:jc w:val="center"/>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数量</w:t>
            </w:r>
          </w:p>
        </w:tc>
        <w:tc>
          <w:tcPr>
            <w:tcW w:w="1689" w:type="dxa"/>
            <w:tcBorders>
              <w:tl2br w:val="nil"/>
              <w:tr2bl w:val="nil"/>
            </w:tcBorders>
            <w:vAlign w:val="center"/>
          </w:tcPr>
          <w:p w14:paraId="398BA517">
            <w:pPr>
              <w:spacing w:line="440" w:lineRule="exact"/>
              <w:jc w:val="center"/>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备注</w:t>
            </w:r>
          </w:p>
        </w:tc>
      </w:tr>
      <w:tr w14:paraId="60CEF6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7AB42F7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p>
        </w:tc>
        <w:tc>
          <w:tcPr>
            <w:tcW w:w="1984" w:type="dxa"/>
            <w:tcBorders>
              <w:tl2br w:val="nil"/>
              <w:tr2bl w:val="nil"/>
            </w:tcBorders>
            <w:vAlign w:val="center"/>
          </w:tcPr>
          <w:p w14:paraId="4466291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乔木移栽</w:t>
            </w:r>
          </w:p>
        </w:tc>
        <w:tc>
          <w:tcPr>
            <w:tcW w:w="8363" w:type="dxa"/>
            <w:tcBorders>
              <w:tl2br w:val="nil"/>
              <w:tr2bl w:val="nil"/>
            </w:tcBorders>
            <w:vAlign w:val="center"/>
          </w:tcPr>
          <w:p w14:paraId="4E22919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胸径10-15CM，移植至甲方指定位置并养护1年，成活率100%</w:t>
            </w:r>
          </w:p>
        </w:tc>
        <w:tc>
          <w:tcPr>
            <w:tcW w:w="1106" w:type="dxa"/>
            <w:tcBorders>
              <w:tl2br w:val="nil"/>
              <w:tr2bl w:val="nil"/>
            </w:tcBorders>
            <w:vAlign w:val="center"/>
          </w:tcPr>
          <w:p w14:paraId="7799449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15棵</w:t>
            </w:r>
          </w:p>
        </w:tc>
        <w:tc>
          <w:tcPr>
            <w:tcW w:w="1689" w:type="dxa"/>
            <w:tcBorders>
              <w:tl2br w:val="nil"/>
              <w:tr2bl w:val="nil"/>
            </w:tcBorders>
            <w:vAlign w:val="center"/>
          </w:tcPr>
          <w:p w14:paraId="3520D77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中水处理站</w:t>
            </w:r>
          </w:p>
        </w:tc>
      </w:tr>
      <w:tr w14:paraId="2A48A0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157DECE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p>
        </w:tc>
        <w:tc>
          <w:tcPr>
            <w:tcW w:w="1984" w:type="dxa"/>
            <w:tcBorders>
              <w:tl2br w:val="nil"/>
              <w:tr2bl w:val="nil"/>
            </w:tcBorders>
            <w:vAlign w:val="center"/>
          </w:tcPr>
          <w:p w14:paraId="1316D17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平整场地</w:t>
            </w:r>
          </w:p>
        </w:tc>
        <w:tc>
          <w:tcPr>
            <w:tcW w:w="8363" w:type="dxa"/>
            <w:tcBorders>
              <w:tl2br w:val="nil"/>
              <w:tr2bl w:val="nil"/>
            </w:tcBorders>
            <w:vAlign w:val="center"/>
          </w:tcPr>
          <w:p w14:paraId="5043259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场地整理平整</w:t>
            </w:r>
          </w:p>
        </w:tc>
        <w:tc>
          <w:tcPr>
            <w:tcW w:w="1106" w:type="dxa"/>
            <w:tcBorders>
              <w:tl2br w:val="nil"/>
              <w:tr2bl w:val="nil"/>
            </w:tcBorders>
            <w:vAlign w:val="center"/>
          </w:tcPr>
          <w:p w14:paraId="710D935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216平米</w:t>
            </w:r>
          </w:p>
        </w:tc>
        <w:tc>
          <w:tcPr>
            <w:tcW w:w="1689" w:type="dxa"/>
            <w:tcBorders>
              <w:tl2br w:val="nil"/>
              <w:tr2bl w:val="nil"/>
            </w:tcBorders>
            <w:vAlign w:val="center"/>
          </w:tcPr>
          <w:p w14:paraId="0D00803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中水处理站</w:t>
            </w:r>
          </w:p>
        </w:tc>
      </w:tr>
      <w:tr w14:paraId="735BA4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67868C3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p>
        </w:tc>
        <w:tc>
          <w:tcPr>
            <w:tcW w:w="1984" w:type="dxa"/>
            <w:tcBorders>
              <w:tl2br w:val="nil"/>
              <w:tr2bl w:val="nil"/>
            </w:tcBorders>
            <w:vAlign w:val="center"/>
          </w:tcPr>
          <w:p w14:paraId="5A6A875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路面破除</w:t>
            </w:r>
          </w:p>
        </w:tc>
        <w:tc>
          <w:tcPr>
            <w:tcW w:w="8363" w:type="dxa"/>
            <w:tcBorders>
              <w:tl2br w:val="nil"/>
              <w:tr2bl w:val="nil"/>
            </w:tcBorders>
            <w:vAlign w:val="center"/>
          </w:tcPr>
          <w:p w14:paraId="23D57BB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C30混凝土路面，长6.2米，宽1米，厚度0.3m</w:t>
            </w:r>
          </w:p>
        </w:tc>
        <w:tc>
          <w:tcPr>
            <w:tcW w:w="1106" w:type="dxa"/>
            <w:tcBorders>
              <w:tl2br w:val="nil"/>
              <w:tr2bl w:val="nil"/>
            </w:tcBorders>
            <w:vAlign w:val="center"/>
          </w:tcPr>
          <w:p w14:paraId="01C5929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6.2平米</w:t>
            </w:r>
          </w:p>
        </w:tc>
        <w:tc>
          <w:tcPr>
            <w:tcW w:w="1689" w:type="dxa"/>
            <w:tcBorders>
              <w:tl2br w:val="nil"/>
              <w:tr2bl w:val="nil"/>
            </w:tcBorders>
            <w:vAlign w:val="center"/>
          </w:tcPr>
          <w:p w14:paraId="347D3CC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提升泵进水管道</w:t>
            </w:r>
          </w:p>
        </w:tc>
      </w:tr>
      <w:tr w14:paraId="369D2B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306CA49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w:t>
            </w:r>
          </w:p>
        </w:tc>
        <w:tc>
          <w:tcPr>
            <w:tcW w:w="1984" w:type="dxa"/>
            <w:tcBorders>
              <w:tl2br w:val="nil"/>
              <w:tr2bl w:val="nil"/>
            </w:tcBorders>
            <w:vAlign w:val="center"/>
          </w:tcPr>
          <w:p w14:paraId="561366D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路面恢复</w:t>
            </w:r>
          </w:p>
        </w:tc>
        <w:tc>
          <w:tcPr>
            <w:tcW w:w="8363" w:type="dxa"/>
            <w:tcBorders>
              <w:tl2br w:val="nil"/>
              <w:tr2bl w:val="nil"/>
            </w:tcBorders>
            <w:vAlign w:val="center"/>
          </w:tcPr>
          <w:p w14:paraId="4020604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C30混凝土路面，长6.2米，宽1米，厚度0.3m</w:t>
            </w:r>
          </w:p>
        </w:tc>
        <w:tc>
          <w:tcPr>
            <w:tcW w:w="1106" w:type="dxa"/>
            <w:tcBorders>
              <w:tl2br w:val="nil"/>
              <w:tr2bl w:val="nil"/>
            </w:tcBorders>
            <w:vAlign w:val="center"/>
          </w:tcPr>
          <w:p w14:paraId="63DF9E4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6.2平米</w:t>
            </w:r>
          </w:p>
        </w:tc>
        <w:tc>
          <w:tcPr>
            <w:tcW w:w="1689" w:type="dxa"/>
            <w:tcBorders>
              <w:tl2br w:val="nil"/>
              <w:tr2bl w:val="nil"/>
            </w:tcBorders>
            <w:vAlign w:val="center"/>
          </w:tcPr>
          <w:p w14:paraId="2FE1AE6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提升泵进水管道</w:t>
            </w:r>
          </w:p>
        </w:tc>
      </w:tr>
      <w:tr w14:paraId="079079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5BAC87F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w:t>
            </w:r>
          </w:p>
        </w:tc>
        <w:tc>
          <w:tcPr>
            <w:tcW w:w="1984" w:type="dxa"/>
            <w:tcBorders>
              <w:tl2br w:val="nil"/>
              <w:tr2bl w:val="nil"/>
            </w:tcBorders>
            <w:vAlign w:val="center"/>
          </w:tcPr>
          <w:p w14:paraId="53E262C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土方开挖</w:t>
            </w:r>
          </w:p>
        </w:tc>
        <w:tc>
          <w:tcPr>
            <w:tcW w:w="8363" w:type="dxa"/>
            <w:tcBorders>
              <w:tl2br w:val="nil"/>
              <w:tr2bl w:val="nil"/>
            </w:tcBorders>
            <w:vAlign w:val="center"/>
          </w:tcPr>
          <w:p w14:paraId="0AD6399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二类土，进水管沟槽宽度1.0m，深度1.0m</w:t>
            </w:r>
          </w:p>
        </w:tc>
        <w:tc>
          <w:tcPr>
            <w:tcW w:w="1106" w:type="dxa"/>
            <w:tcBorders>
              <w:tl2br w:val="nil"/>
              <w:tr2bl w:val="nil"/>
            </w:tcBorders>
            <w:vAlign w:val="center"/>
          </w:tcPr>
          <w:p w14:paraId="16919F0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27.2</w:t>
            </w:r>
          </w:p>
        </w:tc>
        <w:tc>
          <w:tcPr>
            <w:tcW w:w="1689" w:type="dxa"/>
            <w:tcBorders>
              <w:tl2br w:val="nil"/>
              <w:tr2bl w:val="nil"/>
            </w:tcBorders>
            <w:vAlign w:val="center"/>
          </w:tcPr>
          <w:p w14:paraId="095AFFE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提升泵进水管道</w:t>
            </w:r>
          </w:p>
        </w:tc>
      </w:tr>
      <w:tr w14:paraId="7C7379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4A96621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w:t>
            </w:r>
          </w:p>
        </w:tc>
        <w:tc>
          <w:tcPr>
            <w:tcW w:w="1984" w:type="dxa"/>
            <w:tcBorders>
              <w:tl2br w:val="nil"/>
              <w:tr2bl w:val="nil"/>
            </w:tcBorders>
            <w:vAlign w:val="center"/>
          </w:tcPr>
          <w:p w14:paraId="46EF99F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土方回填</w:t>
            </w:r>
          </w:p>
        </w:tc>
        <w:tc>
          <w:tcPr>
            <w:tcW w:w="8363" w:type="dxa"/>
            <w:tcBorders>
              <w:tl2br w:val="nil"/>
              <w:tr2bl w:val="nil"/>
            </w:tcBorders>
            <w:vAlign w:val="center"/>
          </w:tcPr>
          <w:p w14:paraId="3E05917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二类土，压实系数0.92</w:t>
            </w:r>
          </w:p>
        </w:tc>
        <w:tc>
          <w:tcPr>
            <w:tcW w:w="1106" w:type="dxa"/>
            <w:tcBorders>
              <w:tl2br w:val="nil"/>
              <w:tr2bl w:val="nil"/>
            </w:tcBorders>
            <w:vAlign w:val="center"/>
          </w:tcPr>
          <w:p w14:paraId="198A581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27.2</w:t>
            </w:r>
          </w:p>
        </w:tc>
        <w:tc>
          <w:tcPr>
            <w:tcW w:w="1689" w:type="dxa"/>
            <w:tcBorders>
              <w:tl2br w:val="nil"/>
              <w:tr2bl w:val="nil"/>
            </w:tcBorders>
            <w:vAlign w:val="center"/>
          </w:tcPr>
          <w:p w14:paraId="348893D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提升泵进水管道</w:t>
            </w:r>
          </w:p>
        </w:tc>
      </w:tr>
      <w:tr w14:paraId="363E1F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5261E6C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w:t>
            </w:r>
          </w:p>
        </w:tc>
        <w:tc>
          <w:tcPr>
            <w:tcW w:w="1984" w:type="dxa"/>
            <w:tcBorders>
              <w:tl2br w:val="nil"/>
              <w:tr2bl w:val="nil"/>
            </w:tcBorders>
            <w:vAlign w:val="center"/>
          </w:tcPr>
          <w:p w14:paraId="20C2711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集水井溢流堰</w:t>
            </w:r>
          </w:p>
        </w:tc>
        <w:tc>
          <w:tcPr>
            <w:tcW w:w="8363" w:type="dxa"/>
            <w:tcBorders>
              <w:tl2br w:val="nil"/>
              <w:tr2bl w:val="nil"/>
            </w:tcBorders>
            <w:vAlign w:val="center"/>
          </w:tcPr>
          <w:p w14:paraId="6408D9F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1、非标制作，堰板厚度不小于6mm，高度600mm，长度依据现场实际情况确定；</w:t>
            </w:r>
          </w:p>
          <w:p w14:paraId="10E95CE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2、材质：304ss不锈钢；</w:t>
            </w:r>
          </w:p>
          <w:p w14:paraId="1C89902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3、表面进行酸洗钝化处理；</w:t>
            </w:r>
          </w:p>
          <w:p w14:paraId="2BF0394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4、固定用膨胀螺栓M14*70,材质304ss。</w:t>
            </w:r>
          </w:p>
        </w:tc>
        <w:tc>
          <w:tcPr>
            <w:tcW w:w="1106" w:type="dxa"/>
            <w:tcBorders>
              <w:tl2br w:val="nil"/>
              <w:tr2bl w:val="nil"/>
            </w:tcBorders>
            <w:vAlign w:val="center"/>
          </w:tcPr>
          <w:p w14:paraId="3DA97F5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1套</w:t>
            </w:r>
          </w:p>
        </w:tc>
        <w:tc>
          <w:tcPr>
            <w:tcW w:w="1689" w:type="dxa"/>
            <w:tcBorders>
              <w:tl2br w:val="nil"/>
              <w:tr2bl w:val="nil"/>
            </w:tcBorders>
            <w:vAlign w:val="center"/>
          </w:tcPr>
          <w:p w14:paraId="0382EC7E">
            <w:pPr>
              <w:spacing w:line="440" w:lineRule="exact"/>
              <w:rPr>
                <w:rFonts w:hint="eastAsia" w:ascii="宋体" w:hAnsi="宋体" w:cs="宋体"/>
                <w:color w:val="000000" w:themeColor="text1"/>
                <w:highlight w:val="none"/>
                <w14:textFill>
                  <w14:solidFill>
                    <w14:schemeClr w14:val="tx1"/>
                  </w14:solidFill>
                </w14:textFill>
              </w:rPr>
            </w:pPr>
          </w:p>
        </w:tc>
      </w:tr>
      <w:tr w14:paraId="6FF991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3C9DD31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w:t>
            </w:r>
          </w:p>
        </w:tc>
        <w:tc>
          <w:tcPr>
            <w:tcW w:w="1984" w:type="dxa"/>
            <w:tcBorders>
              <w:tl2br w:val="nil"/>
              <w:tr2bl w:val="nil"/>
            </w:tcBorders>
            <w:vAlign w:val="center"/>
          </w:tcPr>
          <w:p w14:paraId="5457857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提升泵</w:t>
            </w:r>
          </w:p>
        </w:tc>
        <w:tc>
          <w:tcPr>
            <w:tcW w:w="8363" w:type="dxa"/>
            <w:tcBorders>
              <w:tl2br w:val="nil"/>
              <w:tr2bl w:val="nil"/>
            </w:tcBorders>
            <w:vAlign w:val="center"/>
          </w:tcPr>
          <w:p w14:paraId="623C1C4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※1、潜水排污泵额定流量=10m</w:t>
            </w:r>
            <w:r>
              <w:rPr>
                <w:rFonts w:hint="eastAsia" w:ascii="宋体" w:hAnsi="宋体" w:cs="宋体"/>
                <w:color w:val="000000" w:themeColor="text1"/>
                <w:highlight w:val="none"/>
                <w:vertAlign w:val="superscript"/>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/h,扬程=10m，功率=1.1KW，国内市场广泛应用，技术成熟、运行稳定；</w:t>
            </w:r>
          </w:p>
          <w:p w14:paraId="351AEE5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2、所提供的设备必须是一个制造商的最终产品。每台潜水排污泵应成套地配备安全、有效及可靠运行所需，潜水排污泵主要包括，但不限于：</w:t>
            </w:r>
          </w:p>
          <w:p w14:paraId="7BB9C06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1）装配完整的全新、未经使用的污水泵；</w:t>
            </w:r>
          </w:p>
          <w:p w14:paraId="2FABA1C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2）水下动力及信号电缆长度不小于5m；</w:t>
            </w:r>
          </w:p>
          <w:p w14:paraId="51E0FCD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※3）过载保护：潜水电泵设有过载保护装置；</w:t>
            </w:r>
          </w:p>
          <w:p w14:paraId="006E49C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接地装置：电动机应具有接地装置，接地装置应保证与接地导线具有良好的电气连接而不损坏导线及端子，若采用接线端子连接接地导线，则盖接线端子应符合GB10395.8-2006中6.10的规定，接地接线端子的夹紧装置应可靠锁紧，不使用工具不能松开；</w:t>
            </w:r>
          </w:p>
          <w:p w14:paraId="37CE435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※5）绝缘电阻：≥500MΩ</w:t>
            </w:r>
          </w:p>
          <w:p w14:paraId="36F7568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※6）定子绕组耐电压：电机的定子绕组应能承受试验电压有效值为1760V且历时1min的耐压试验而不发生击穿。 </w:t>
            </w:r>
          </w:p>
          <w:p w14:paraId="6CE9C3B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※7）规定点效率：不小于33.5%</w:t>
            </w:r>
          </w:p>
          <w:p w14:paraId="46771F0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※8）功率因素：不小于0.81</w:t>
            </w:r>
          </w:p>
          <w:p w14:paraId="42AA19F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※9）电机内腔水压试验：电泵组装后电动机的内腔应能承受历时3min的水压试验而无渗漏现象，试验压力为0.2Mpa。</w:t>
            </w:r>
          </w:p>
          <w:p w14:paraId="6895202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10）电机定子温升限值：不大于105K</w:t>
            </w:r>
          </w:p>
          <w:p w14:paraId="086CBF1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11）所有连接附件、螺栓等；</w:t>
            </w:r>
          </w:p>
          <w:p w14:paraId="540375D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3、性能与结构</w:t>
            </w:r>
          </w:p>
          <w:p w14:paraId="27C5679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潜水电机应直接与泵叶轮同轴相连，水力部件由水泵壳体、叶轮组成。泵应能够在5m水深下持续长期运行。为了确保流量稳定且没有过多涡旋，水力部件应设计和制造成没有锐利的棱角。卖方提供的潜水泵应为成套装置，潜水电缆等有效和安全运行所必需的附件。除非有其他规定，潜水泵输送的介质为含有固体颗粒的城市污水，在不需看护的情况下，无故障运行至少10000h。潜水泵应能通过粘性材料、破布、废纸和塑料等而不发生堵塞现象，可靠和无故障的运行以及低成本的维修费用将成为选择水泵的首要因素。</w:t>
            </w:r>
          </w:p>
          <w:p w14:paraId="03C68F1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1）泵壳</w:t>
            </w:r>
          </w:p>
          <w:p w14:paraId="4AD271D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泵壳采用灰铸铁整体浇铸，其材料应至少为GG25铸铁，泵壳内表面经加工后为光滑、无疵瑕形式，所有水流通过部分应设计成无锐角形式，以使流速和流向变化趋于平稳。通道的断面要足够大，以使相应粒径的杂物能通过叶轮。泵壳要有足够的厚度来承受所有的载荷，包括要求的静水试验压力以及连续工作的最大压力。</w:t>
            </w:r>
          </w:p>
          <w:p w14:paraId="1BEE5D5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泵壳设计时要考虑到能够把叶轮从顶部或底部抽出。离心式潜水泵须提供出水联接底座和定位挡板以便水泵安装时能自动入座锁紧。每台泵壳都必须在制造车间进行静压试验，试验压力不得小于关闭水头的 2倍，试验时间应至少持续10min。在这一试验压力下，泵的任一部分均不得有变形现象发生，或出现变形的迹象及其它缺陷。</w:t>
            </w:r>
          </w:p>
          <w:p w14:paraId="7764D36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2）泵叶轮</w:t>
            </w:r>
          </w:p>
          <w:p w14:paraId="491D7EA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泵房提升泵应采用通道式叶轮，污泥回流及剩余污泥泵采用半开式叶轮，选择合适的叶轮能够保证泵的可靠运行。叶轮材质至少为铸铁GG-25，叶轮应做动平衡试验。叶轮应采用长流道无剧烈拐角的设计，具有较大的抽吸能力，并精心地进行加工和表面处理。叶轮背面应设计成带锯齿形，以阻止污物进入密封腔中损坏机械密封。叶轮和轴必须采用内部锁定装置，以防叶轮在反转时发生松动现象。叶轮应进行动平衡试验，动平衡精度应不低于G6.3 级。</w:t>
            </w:r>
          </w:p>
          <w:p w14:paraId="5372EAA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3）泵轴</w:t>
            </w:r>
          </w:p>
          <w:p w14:paraId="3E06B4C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泵轴和电机轴必须为整体结构，并与泵送的水流完全分开。轴材料采用高强度耐腐蚀不锈钢ASTM420 或以上。</w:t>
            </w:r>
          </w:p>
          <w:p w14:paraId="02E5F5E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4）泵轴承</w:t>
            </w:r>
          </w:p>
          <w:p w14:paraId="2EFB75E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应采用高质量的终身润滑轴承，轴承的设计使用寿命应大于100,000h。设计的轴承必须能够承受所有轴向和径向负荷，并完全与泵送的水流分开。</w:t>
            </w:r>
          </w:p>
          <w:p w14:paraId="703A6D6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5）耐磨环</w:t>
            </w:r>
          </w:p>
          <w:p w14:paraId="688A77E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为了在蜗壳和叶轮间能有效密封，可安装耐磨环，耐磨环是由一只安装在蜗壳进口处的静止环和一只安装在叶轮口上的旋转型环所构成。耐磨环必须可靠地紧固在叶轮和泵壳上，在正常运行条件下或泵逆向运转时都不会发生松动。</w:t>
            </w:r>
          </w:p>
          <w:p w14:paraId="4A0B840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耐磨环的结构形式应考虑到容易拆除和更换。如采用叶轮间隙可调的形式，则可不设耐磨环。叶轮间隙调节应能保证蜗壳和叶轮吸口之间有效的间隙性，并且叶轮间隙应多次可调，当泵由于磨损而效率降低时，可通过调整叶轮的间隙来恢复水泵的效率。叶轮间隙调节时以轴向调节为准，并在泵的外部调节和测量。如采用漩涡叶轮，则可不设耐磨环。</w:t>
            </w:r>
          </w:p>
          <w:p w14:paraId="3AA39F26">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6）泵的密封</w:t>
            </w:r>
          </w:p>
          <w:p w14:paraId="6C55965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机械密封均采用耐腐蚀烧结碳化硅或耐腐蚀烧结碳化钨。机械密封应该是免维护的，应能抵抗热冲击，并具有良好紧急运行的特点。</w:t>
            </w:r>
          </w:p>
          <w:p w14:paraId="728FE00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制造厂家应保证机械密封的使用寿命不低于25000 小时。</w:t>
            </w:r>
          </w:p>
          <w:p w14:paraId="1A89F92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7）电机</w:t>
            </w:r>
          </w:p>
          <w:p w14:paraId="066AD9F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电机应采用符合GB18613-2020标准能效级别的高效电机，3相380V、50Hz、防护等级为 IP68、电机均应按照H级绝缘标准制造，能连续泵送温度最高为40℃的介质。电机应能每小时启动15 次，同时必须满足24h连续运转的使用要求，电机的服务系数应不小于1.3，潜水电机应能连续运行、间歇运行和长期停止状态后恢复运行。</w:t>
            </w:r>
          </w:p>
          <w:p w14:paraId="4DCA73D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电机与泵应是同一厂家制造。</w:t>
            </w:r>
          </w:p>
          <w:p w14:paraId="158913CB">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8）电缆进线的水密封</w:t>
            </w:r>
          </w:p>
          <w:p w14:paraId="5665DB3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不超过10kW 的电机应采用电缆插头系统，消除电缆所受的应力，同时通过一个独立的橡胶密封套环实现密封，如电缆损坏，水无法进入泵中。大于10kW 的电机在电缆入口处有弹性衬套，用密封盖进行挤压，保证防水和水密封。弹性衬套应有精密的公差，以适应电缆的外径和入口的内径。防水电缆进线有防拉紧、防缠绕保护及每根走线密封。</w:t>
            </w:r>
          </w:p>
          <w:p w14:paraId="0341993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9）接线室</w:t>
            </w:r>
          </w:p>
          <w:p w14:paraId="73A013C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潜水电缆和定子接线的连接通过接线室内的接线板进行连接，接线室应通过橡胶件与定子室隔离密封，保护电机，避免物质进入电机腔。</w:t>
            </w:r>
          </w:p>
          <w:p w14:paraId="40E7A1D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10）供电及控制电缆</w:t>
            </w:r>
          </w:p>
          <w:p w14:paraId="5B7F78B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电机电缆线应为适用于污水环境的电缆，电缆设计温度最高应可达到80°C 。</w:t>
            </w:r>
          </w:p>
          <w:p w14:paraId="747984C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11）防腐蚀</w:t>
            </w:r>
          </w:p>
          <w:p w14:paraId="7855CDE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制造潜水泵的全部材料应适用于污水厂的腐蚀环境，所有非不锈钢表面，均应喷涂防腐蚀的双组份环氧涂层。</w:t>
            </w:r>
          </w:p>
          <w:p w14:paraId="333EB00F">
            <w:pPr>
              <w:tabs>
                <w:tab w:val="left" w:pos="704"/>
              </w:tabs>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4、标※项目供货方需提供CMA第三方检验报告。</w:t>
            </w:r>
          </w:p>
        </w:tc>
        <w:tc>
          <w:tcPr>
            <w:tcW w:w="1106" w:type="dxa"/>
            <w:tcBorders>
              <w:tl2br w:val="nil"/>
              <w:tr2bl w:val="nil"/>
            </w:tcBorders>
            <w:vAlign w:val="center"/>
          </w:tcPr>
          <w:p w14:paraId="4A2EDC2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2台</w:t>
            </w:r>
          </w:p>
        </w:tc>
        <w:tc>
          <w:tcPr>
            <w:tcW w:w="1689" w:type="dxa"/>
            <w:tcBorders>
              <w:tl2br w:val="nil"/>
              <w:tr2bl w:val="nil"/>
            </w:tcBorders>
            <w:vAlign w:val="center"/>
          </w:tcPr>
          <w:p w14:paraId="4968C01B">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1用1冷备</w:t>
            </w:r>
          </w:p>
        </w:tc>
      </w:tr>
      <w:tr w14:paraId="0BA9D2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985" w:type="dxa"/>
            <w:tcBorders>
              <w:tl2br w:val="nil"/>
              <w:tr2bl w:val="nil"/>
            </w:tcBorders>
            <w:vAlign w:val="center"/>
          </w:tcPr>
          <w:p w14:paraId="67DE130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w:t>
            </w:r>
          </w:p>
        </w:tc>
        <w:tc>
          <w:tcPr>
            <w:tcW w:w="1984" w:type="dxa"/>
            <w:tcBorders>
              <w:tl2br w:val="nil"/>
              <w:tr2bl w:val="nil"/>
            </w:tcBorders>
            <w:vAlign w:val="center"/>
          </w:tcPr>
          <w:p w14:paraId="172BE9F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提升泵出水管道</w:t>
            </w:r>
          </w:p>
        </w:tc>
        <w:tc>
          <w:tcPr>
            <w:tcW w:w="8363" w:type="dxa"/>
            <w:tcBorders>
              <w:tl2br w:val="nil"/>
              <w:tr2bl w:val="nil"/>
            </w:tcBorders>
            <w:vAlign w:val="center"/>
          </w:tcPr>
          <w:p w14:paraId="1DFDF6A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DN50*3.5mm，镀锌钢管</w:t>
            </w:r>
          </w:p>
        </w:tc>
        <w:tc>
          <w:tcPr>
            <w:tcW w:w="1106" w:type="dxa"/>
            <w:tcBorders>
              <w:tl2br w:val="nil"/>
              <w:tr2bl w:val="nil"/>
            </w:tcBorders>
            <w:vAlign w:val="center"/>
          </w:tcPr>
          <w:p w14:paraId="2FB94AA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29.6米</w:t>
            </w:r>
          </w:p>
        </w:tc>
        <w:tc>
          <w:tcPr>
            <w:tcW w:w="1689" w:type="dxa"/>
            <w:tcBorders>
              <w:tl2br w:val="nil"/>
              <w:tr2bl w:val="nil"/>
            </w:tcBorders>
            <w:vAlign w:val="center"/>
          </w:tcPr>
          <w:p w14:paraId="6EAA2172">
            <w:pPr>
              <w:spacing w:line="440" w:lineRule="exact"/>
              <w:rPr>
                <w:rFonts w:hint="eastAsia" w:ascii="宋体" w:hAnsi="宋体" w:cs="宋体"/>
                <w:color w:val="000000" w:themeColor="text1"/>
                <w:highlight w:val="none"/>
                <w14:textFill>
                  <w14:solidFill>
                    <w14:schemeClr w14:val="tx1"/>
                  </w14:solidFill>
                </w14:textFill>
              </w:rPr>
            </w:pPr>
          </w:p>
        </w:tc>
      </w:tr>
      <w:tr w14:paraId="6B1389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985" w:type="dxa"/>
            <w:tcBorders>
              <w:tl2br w:val="nil"/>
              <w:tr2bl w:val="nil"/>
            </w:tcBorders>
            <w:vAlign w:val="center"/>
          </w:tcPr>
          <w:p w14:paraId="42AE3AD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w:t>
            </w:r>
          </w:p>
        </w:tc>
        <w:tc>
          <w:tcPr>
            <w:tcW w:w="1984" w:type="dxa"/>
            <w:tcBorders>
              <w:tl2br w:val="nil"/>
              <w:tr2bl w:val="nil"/>
            </w:tcBorders>
            <w:vAlign w:val="center"/>
          </w:tcPr>
          <w:p w14:paraId="48652F9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提篮过滤器</w:t>
            </w:r>
          </w:p>
        </w:tc>
        <w:tc>
          <w:tcPr>
            <w:tcW w:w="8363" w:type="dxa"/>
            <w:tcBorders>
              <w:tl2br w:val="nil"/>
              <w:tr2bl w:val="nil"/>
            </w:tcBorders>
            <w:vAlign w:val="center"/>
          </w:tcPr>
          <w:p w14:paraId="51D61C6A">
            <w:pPr>
              <w:tabs>
                <w:tab w:val="left" w:pos="686"/>
              </w:tabs>
              <w:snapToGrid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1、过滤孔径:&lt;2mm，直径300*200                        </w:t>
            </w:r>
          </w:p>
          <w:p w14:paraId="3079F18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2、滤网材质：304ss不锈钢</w:t>
            </w:r>
          </w:p>
        </w:tc>
        <w:tc>
          <w:tcPr>
            <w:tcW w:w="1106" w:type="dxa"/>
            <w:tcBorders>
              <w:tl2br w:val="nil"/>
              <w:tr2bl w:val="nil"/>
            </w:tcBorders>
            <w:vAlign w:val="center"/>
          </w:tcPr>
          <w:p w14:paraId="0618814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1台</w:t>
            </w:r>
          </w:p>
        </w:tc>
        <w:tc>
          <w:tcPr>
            <w:tcW w:w="1689" w:type="dxa"/>
            <w:tcBorders>
              <w:tl2br w:val="nil"/>
              <w:tr2bl w:val="nil"/>
            </w:tcBorders>
            <w:vAlign w:val="center"/>
          </w:tcPr>
          <w:p w14:paraId="400DEF55">
            <w:pPr>
              <w:spacing w:line="440" w:lineRule="exact"/>
              <w:rPr>
                <w:rFonts w:hint="eastAsia" w:ascii="宋体" w:hAnsi="宋体" w:cs="宋体"/>
                <w:color w:val="000000" w:themeColor="text1"/>
                <w:highlight w:val="none"/>
                <w14:textFill>
                  <w14:solidFill>
                    <w14:schemeClr w14:val="tx1"/>
                  </w14:solidFill>
                </w14:textFill>
              </w:rPr>
            </w:pPr>
          </w:p>
        </w:tc>
      </w:tr>
      <w:tr w14:paraId="5D684B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985" w:type="dxa"/>
            <w:tcBorders>
              <w:tl2br w:val="nil"/>
              <w:tr2bl w:val="nil"/>
            </w:tcBorders>
            <w:vAlign w:val="center"/>
          </w:tcPr>
          <w:p w14:paraId="7670A41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w:t>
            </w:r>
          </w:p>
        </w:tc>
        <w:tc>
          <w:tcPr>
            <w:tcW w:w="1984" w:type="dxa"/>
            <w:tcBorders>
              <w:tl2br w:val="nil"/>
              <w:tr2bl w:val="nil"/>
            </w:tcBorders>
            <w:vAlign w:val="center"/>
          </w:tcPr>
          <w:p w14:paraId="0159E7D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投入式液位计</w:t>
            </w:r>
          </w:p>
        </w:tc>
        <w:tc>
          <w:tcPr>
            <w:tcW w:w="8363" w:type="dxa"/>
            <w:tcBorders>
              <w:tl2br w:val="nil"/>
              <w:tr2bl w:val="nil"/>
            </w:tcBorders>
            <w:vAlign w:val="center"/>
          </w:tcPr>
          <w:p w14:paraId="0AD76239">
            <w:pPr>
              <w:pStyle w:val="105"/>
              <w:numPr>
                <w:ilvl w:val="0"/>
                <w:numId w:val="0"/>
              </w:numPr>
              <w:tabs>
                <w:tab w:val="left" w:pos="686"/>
              </w:tabs>
              <w:snapToGrid w:val="0"/>
              <w:spacing w:line="440" w:lineRule="exact"/>
              <w:ind w:left="0" w:leftChars="0" w:firstLine="0" w:firstLineChars="0"/>
              <w:rPr>
                <w:rFonts w:hint="eastAsia" w:ascii="宋体" w:hAnsi="宋体" w:cs="宋体"/>
                <w:color w:val="000000" w:themeColor="text1"/>
                <w:highlight w:val="none"/>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量程：0—3m</w:t>
            </w:r>
          </w:p>
          <w:p w14:paraId="24098F10">
            <w:pPr>
              <w:pStyle w:val="105"/>
              <w:numPr>
                <w:ilvl w:val="0"/>
                <w:numId w:val="0"/>
              </w:numPr>
              <w:tabs>
                <w:tab w:val="left" w:pos="686"/>
              </w:tabs>
              <w:snapToGrid w:val="0"/>
              <w:spacing w:line="440" w:lineRule="exact"/>
              <w:ind w:left="0" w:leftChars="0" w:firstLine="0" w:firstLineChars="0"/>
              <w:rPr>
                <w:rFonts w:hint="eastAsia" w:ascii="宋体" w:hAnsi="宋体" w:cs="宋体"/>
                <w:color w:val="000000" w:themeColor="text1"/>
                <w:highlight w:val="none"/>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供电电压直流24V</w:t>
            </w:r>
          </w:p>
          <w:p w14:paraId="26E7A5C3">
            <w:pPr>
              <w:tabs>
                <w:tab w:val="left" w:pos="686"/>
              </w:tabs>
              <w:snapToGrid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3、模拟量信号输出：4-20ma</w:t>
            </w:r>
          </w:p>
          <w:p w14:paraId="39021AFD">
            <w:pPr>
              <w:tabs>
                <w:tab w:val="left" w:pos="686"/>
              </w:tabs>
              <w:snapToGrid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4、壳体材质：316L</w:t>
            </w:r>
          </w:p>
        </w:tc>
        <w:tc>
          <w:tcPr>
            <w:tcW w:w="1106" w:type="dxa"/>
            <w:tcBorders>
              <w:tl2br w:val="nil"/>
              <w:tr2bl w:val="nil"/>
            </w:tcBorders>
            <w:vAlign w:val="center"/>
          </w:tcPr>
          <w:p w14:paraId="485606B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3套</w:t>
            </w:r>
          </w:p>
        </w:tc>
        <w:tc>
          <w:tcPr>
            <w:tcW w:w="1689" w:type="dxa"/>
            <w:tcBorders>
              <w:tl2br w:val="nil"/>
              <w:tr2bl w:val="nil"/>
            </w:tcBorders>
            <w:vAlign w:val="center"/>
          </w:tcPr>
          <w:p w14:paraId="7AFF257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集水井1套</w:t>
            </w:r>
          </w:p>
          <w:p w14:paraId="561F81D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MBR池1套</w:t>
            </w:r>
          </w:p>
          <w:p w14:paraId="02A3F4F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回用水池1套</w:t>
            </w:r>
          </w:p>
        </w:tc>
      </w:tr>
      <w:tr w14:paraId="142278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985" w:type="dxa"/>
            <w:tcBorders>
              <w:tl2br w:val="nil"/>
              <w:tr2bl w:val="nil"/>
            </w:tcBorders>
            <w:vAlign w:val="center"/>
          </w:tcPr>
          <w:p w14:paraId="3C93A6A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w:t>
            </w:r>
          </w:p>
        </w:tc>
        <w:tc>
          <w:tcPr>
            <w:tcW w:w="1984" w:type="dxa"/>
            <w:tcBorders>
              <w:tl2br w:val="nil"/>
              <w:tr2bl w:val="nil"/>
            </w:tcBorders>
            <w:vAlign w:val="center"/>
          </w:tcPr>
          <w:p w14:paraId="63834FD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缺氧池</w:t>
            </w:r>
          </w:p>
        </w:tc>
        <w:tc>
          <w:tcPr>
            <w:tcW w:w="8363" w:type="dxa"/>
            <w:tcBorders>
              <w:tl2br w:val="nil"/>
              <w:tr2bl w:val="nil"/>
            </w:tcBorders>
            <w:vAlign w:val="center"/>
          </w:tcPr>
          <w:p w14:paraId="46295B18">
            <w:pPr>
              <w:pStyle w:val="105"/>
              <w:numPr>
                <w:ilvl w:val="0"/>
                <w:numId w:val="0"/>
              </w:numPr>
              <w:spacing w:line="440" w:lineRule="exact"/>
              <w:ind w:left="0" w:leftChars="0" w:firstLine="0" w:firstLineChars="0"/>
              <w:rPr>
                <w:rFonts w:hint="eastAsia" w:ascii="宋体" w:hAnsi="宋体" w:cs="宋体"/>
                <w:color w:val="000000" w:themeColor="text1"/>
                <w:highlight w:val="none"/>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尺寸：2.8*3.0*3.0m</w:t>
            </w:r>
          </w:p>
          <w:p w14:paraId="2AE10804">
            <w:pPr>
              <w:pStyle w:val="105"/>
              <w:numPr>
                <w:ilvl w:val="0"/>
                <w:numId w:val="0"/>
              </w:numPr>
              <w:spacing w:line="440" w:lineRule="exact"/>
              <w:ind w:left="0" w:leftChars="0" w:firstLine="0" w:firstLineChars="0"/>
              <w:rPr>
                <w:rFonts w:hint="eastAsia" w:ascii="宋体" w:hAnsi="宋体" w:cs="宋体"/>
                <w:color w:val="000000" w:themeColor="text1"/>
                <w:highlight w:val="none"/>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材质：碳钢防腐，钢板厚度8mm</w:t>
            </w:r>
          </w:p>
          <w:p w14:paraId="62CBBA8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3、主体结构外表面应光滑，无裂纹和明显划痕，色泽均匀。主体内表面、隔板等应光滑平整，无纤维、碳钢加强筋等裸露，无明显缺陷。</w:t>
            </w:r>
          </w:p>
          <w:p w14:paraId="38E3C02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4、防腐前应严格除锈，除锈质量应符合 GB/T8923.1规定的喷射清理等级Sa2级。内防腐底漆采用厚浆型环氧重防腐涂料，三道约80um*3,面漆采用高抗水性环氧重防水涂料，棕褐色,80um*4；外防腐采用环氧富锌底漆，三道约80um*3,环氧云铁中间漆，两道约80um*2,米白色丙烯酸聚氨酯面漆。</w:t>
            </w:r>
          </w:p>
          <w:p w14:paraId="6E2B6D9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5、焊接要求</w:t>
            </w:r>
          </w:p>
          <w:p w14:paraId="4AEA17D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焊接前须将距焊缝边缘一定范围内(焊条电弧焊不应小于10 mm，埋弧焊不应小于 20 mm)焊接结构表面上的铁锈、油、油漆、尘土等污物除净，并须进行除潮处理。</w:t>
            </w:r>
          </w:p>
          <w:p w14:paraId="17FC504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焊接件的焊缝应平整光滑，不应有气孔、夹渣、错边、满溢、焊瘤、弧坑、间断、咬边、烧穿凹陷、脱焊、漏焊、虚焊等缺陷。焊接件关键尺寸的尺寸公差或几何公差应按JB/T5943的规定。焊缝应进行煤油渗漏试验，不得渗漏。</w:t>
            </w:r>
          </w:p>
          <w:p w14:paraId="62BD196B">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6.吊环及检修孔要求</w:t>
            </w:r>
          </w:p>
          <w:p w14:paraId="3D20AD66">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为了方便搬运、安装，一体化设备应注明重心及吊装位置，并设吊装环(钩);吊装环(钩)的数量及强度应满足一体化设备整体吊装要求。地埋式一体化设备的检修孔或窨井应设有防盗装置。位于车行道的地埋式一体化设备，其检修孔盖或窨井盖及其井座应具有足够的安全系数。一体化设备应设置不少于2个检修口，且检修口直径不宜小于500mm。</w:t>
            </w:r>
          </w:p>
          <w:p w14:paraId="11414E0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7、强度及密封性要求</w:t>
            </w:r>
          </w:p>
          <w:p w14:paraId="5623F24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体化设备主体需进行静压检漏检验，不应出现变形和渗漏。水管路系统应做水压试验，不得出现渗漏和异常变形现象。气管路系统应做气压试验，不得出现泄漏现象。主体结构采用金属材料使用年限不应少于15年。</w:t>
            </w:r>
          </w:p>
          <w:p w14:paraId="7333606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8、强度及密封性试验</w:t>
            </w:r>
          </w:p>
          <w:p w14:paraId="1BF1630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一体化设备主体静压检漏方法:向一体化设备主体内注入清水至溢流管口高度，水位保持8h应无渗漏现象。</w:t>
            </w:r>
          </w:p>
          <w:p w14:paraId="1CBE680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水管路系统水压试验方法:试验压力为0.6MPa，金属及复合管管道系统在试验压力下观测10min，压力降不应大于0.02MPa,然后将压力降到工作压力检査系统有无渗漏和变形现象:塑料管管道系统在试验压力下稳压1h，压力降不应大于0.05 MPa,然后在工作压力的 1.15倍状态下稳压2h，压力降不得超过0.03MPa，检查系统各连接处有无渗和变形现象。</w:t>
            </w:r>
          </w:p>
          <w:p w14:paraId="5B846F5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气管路系统气压试验方法:试验压力应为设计压力的1.15倍，试验时应逐步缓慢增加压力，当压力升至试验压力的 50%时，若未发现异状或泄漏，继续按试验压力的10%逐级升压，每级保压3min直至试验压力。保压10min，再将压力降至设计压力，停压时间应根据查漏工作需要而定。采用发泡剂检验系统有无泄漏现象。</w:t>
            </w:r>
          </w:p>
        </w:tc>
        <w:tc>
          <w:tcPr>
            <w:tcW w:w="1106" w:type="dxa"/>
            <w:tcBorders>
              <w:tl2br w:val="nil"/>
              <w:tr2bl w:val="nil"/>
            </w:tcBorders>
            <w:vAlign w:val="center"/>
          </w:tcPr>
          <w:p w14:paraId="3061E75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1座</w:t>
            </w:r>
          </w:p>
        </w:tc>
        <w:tc>
          <w:tcPr>
            <w:tcW w:w="1689" w:type="dxa"/>
            <w:tcBorders>
              <w:tl2br w:val="nil"/>
              <w:tr2bl w:val="nil"/>
            </w:tcBorders>
            <w:vAlign w:val="center"/>
          </w:tcPr>
          <w:p w14:paraId="1E2AC2AF">
            <w:pPr>
              <w:spacing w:line="440" w:lineRule="exact"/>
              <w:rPr>
                <w:rFonts w:hint="eastAsia" w:ascii="宋体" w:hAnsi="宋体" w:cs="宋体"/>
                <w:color w:val="000000" w:themeColor="text1"/>
                <w:highlight w:val="none"/>
                <w14:textFill>
                  <w14:solidFill>
                    <w14:schemeClr w14:val="tx1"/>
                  </w14:solidFill>
                </w14:textFill>
              </w:rPr>
            </w:pPr>
          </w:p>
        </w:tc>
      </w:tr>
      <w:tr w14:paraId="197D55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985" w:type="dxa"/>
            <w:tcBorders>
              <w:tl2br w:val="nil"/>
              <w:tr2bl w:val="nil"/>
            </w:tcBorders>
            <w:vAlign w:val="center"/>
          </w:tcPr>
          <w:p w14:paraId="1415748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w:t>
            </w:r>
          </w:p>
        </w:tc>
        <w:tc>
          <w:tcPr>
            <w:tcW w:w="1984" w:type="dxa"/>
            <w:tcBorders>
              <w:tl2br w:val="nil"/>
              <w:tr2bl w:val="nil"/>
            </w:tcBorders>
            <w:vAlign w:val="center"/>
          </w:tcPr>
          <w:p w14:paraId="7E86C51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微孔曝气装置</w:t>
            </w:r>
          </w:p>
        </w:tc>
        <w:tc>
          <w:tcPr>
            <w:tcW w:w="8363" w:type="dxa"/>
            <w:tcBorders>
              <w:tl2br w:val="nil"/>
              <w:tr2bl w:val="nil"/>
            </w:tcBorders>
            <w:vAlign w:val="center"/>
          </w:tcPr>
          <w:p w14:paraId="5768CE0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1、Φ250，材质：EPDM/UPVC</w:t>
            </w:r>
          </w:p>
          <w:p w14:paraId="7798BA5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2、供货范围：包括距池底 1m 以下全部输气、布气管路系统管道连接件和管道固定用的管夹及固定件专用材料等其它辅助材料配备安全、有效及可靠运行所需的全部附件、紧固件、备品备件等。</w:t>
            </w:r>
          </w:p>
          <w:p w14:paraId="4638AA1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3、技术参数</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9"/>
            </w:tblGrid>
            <w:tr w14:paraId="48A5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525332E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项目名称</w:t>
                  </w:r>
                </w:p>
              </w:tc>
              <w:tc>
                <w:tcPr>
                  <w:tcW w:w="4149" w:type="dxa"/>
                </w:tcPr>
                <w:p w14:paraId="291C764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参数</w:t>
                  </w:r>
                </w:p>
              </w:tc>
            </w:tr>
            <w:tr w14:paraId="13FF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02FE67D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※充氧能力（水深6m）</w:t>
                  </w:r>
                </w:p>
              </w:tc>
              <w:tc>
                <w:tcPr>
                  <w:tcW w:w="4149" w:type="dxa"/>
                </w:tcPr>
                <w:p w14:paraId="11ED0C7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≥0.28kgO</w:t>
                  </w:r>
                  <w:r>
                    <w:rPr>
                      <w:rFonts w:hint="eastAsia" w:ascii="宋体" w:hAnsi="宋体" w:cs="宋体"/>
                      <w:color w:val="000000" w:themeColor="text1"/>
                      <w:highlight w:val="none"/>
                      <w:vertAlign w:val="subscript"/>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/h</w:t>
                  </w:r>
                </w:p>
              </w:tc>
            </w:tr>
            <w:tr w14:paraId="2888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0D46360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※氧传质利用率</w:t>
                  </w:r>
                </w:p>
              </w:tc>
              <w:tc>
                <w:tcPr>
                  <w:tcW w:w="4149" w:type="dxa"/>
                </w:tcPr>
                <w:p w14:paraId="3A1864B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≥30%</w:t>
                  </w:r>
                </w:p>
              </w:tc>
            </w:tr>
            <w:tr w14:paraId="47F6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078C70B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※充氧动力效率</w:t>
                  </w:r>
                </w:p>
              </w:tc>
              <w:tc>
                <w:tcPr>
                  <w:tcW w:w="4149" w:type="dxa"/>
                </w:tcPr>
                <w:p w14:paraId="3E94A94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≥4.5kgO</w:t>
                  </w:r>
                  <w:r>
                    <w:rPr>
                      <w:rFonts w:hint="eastAsia" w:ascii="宋体" w:hAnsi="宋体" w:cs="宋体"/>
                      <w:color w:val="000000" w:themeColor="text1"/>
                      <w:highlight w:val="none"/>
                      <w:vertAlign w:val="subscript"/>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/Kwh</w:t>
                  </w:r>
                </w:p>
              </w:tc>
            </w:tr>
            <w:tr w14:paraId="64F0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4FA430D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曝气阻力</w:t>
                  </w:r>
                </w:p>
              </w:tc>
              <w:tc>
                <w:tcPr>
                  <w:tcW w:w="4149" w:type="dxa"/>
                </w:tcPr>
                <w:p w14:paraId="6846FFB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≤2.12kpa</w:t>
                  </w:r>
                </w:p>
              </w:tc>
            </w:tr>
            <w:tr w14:paraId="11B1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735C1D5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产生气泡直径</w:t>
                  </w:r>
                </w:p>
              </w:tc>
              <w:tc>
                <w:tcPr>
                  <w:tcW w:w="4149" w:type="dxa"/>
                </w:tcPr>
                <w:p w14:paraId="67F9BB3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0.8-1.9mm</w:t>
                  </w:r>
                </w:p>
              </w:tc>
            </w:tr>
            <w:tr w14:paraId="5E4B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0D7BEF9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橡胶膜使用年限</w:t>
                  </w:r>
                </w:p>
              </w:tc>
              <w:tc>
                <w:tcPr>
                  <w:tcW w:w="4149" w:type="dxa"/>
                </w:tcPr>
                <w:p w14:paraId="4EA4C9C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＞5年</w:t>
                  </w:r>
                </w:p>
              </w:tc>
            </w:tr>
            <w:tr w14:paraId="5CCE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2DEF06B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其他管件使用年限</w:t>
                  </w:r>
                </w:p>
              </w:tc>
              <w:tc>
                <w:tcPr>
                  <w:tcW w:w="4149" w:type="dxa"/>
                </w:tcPr>
                <w:p w14:paraId="7A8C636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＞15年</w:t>
                  </w:r>
                </w:p>
              </w:tc>
            </w:tr>
            <w:tr w14:paraId="272B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23E9FD4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最高空气温度</w:t>
                  </w:r>
                </w:p>
              </w:tc>
              <w:tc>
                <w:tcPr>
                  <w:tcW w:w="4149" w:type="dxa"/>
                </w:tcPr>
                <w:p w14:paraId="01B5A80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90℃</w:t>
                  </w:r>
                </w:p>
              </w:tc>
            </w:tr>
          </w:tbl>
          <w:p w14:paraId="363C3172">
            <w:pPr>
              <w:tabs>
                <w:tab w:val="left" w:pos="704"/>
              </w:tabs>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注：标※项目供货方需提供CMA第三方检测报告。</w:t>
            </w:r>
          </w:p>
          <w:p w14:paraId="3C69651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4、曝气器为橡胶薄膜式，主要由橡胶膜片、支撑管、卡环、螺栓固定的鞍式连接件部件组成。</w:t>
            </w:r>
          </w:p>
          <w:p w14:paraId="18CECD9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1）曝气器橡胶膜</w:t>
            </w:r>
          </w:p>
          <w:p w14:paraId="2F6A239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a.曝气橡胶膜采用优质橡胶，经精确的压模制成，薄膜厚度约2mm。</w:t>
            </w:r>
          </w:p>
          <w:p w14:paraId="0A5FBBC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b.橡胶膜必需具备的基本特性</w:t>
            </w:r>
          </w:p>
          <w:p w14:paraId="0C4B14E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曝气头薄膜必需均匀分配空气。</w:t>
            </w:r>
          </w:p>
          <w:p w14:paraId="1B5A5C0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当曝气系统空气被关闭时，曝气橡胶膜不再突起，处于密封状态。当空气没有散开时，曝气橡胶膜紧附于曝气器支撑体上。橡胶膜片采用高分子优质合成橡胶成型。并在应力集中部位设有与薄膜合为一体的加强橡胶结构。膜片上按一定规则排列开闭式孔眼，厚度约2mm，注塑成型的整个膜片无厚薄现象，厚度允许偏差为±0.2mm。使用寿命不小于5年；膜中掺有添加剂，以抗紫外线、臭氧等的强氧化，以及油、酸碱等的腐蚀作用，以防止薄膜的萎缩变形。密度：1.19 g/cm3，硬度：60+ 5 Shore A；抗拉强度：≥ 9 N/mm2；断裂伸长率：≥ 600%；撕裂强度： 45+5 N/mm。</w:t>
            </w:r>
          </w:p>
          <w:p w14:paraId="79D36A9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2）曝气器的基本结构</w:t>
            </w:r>
          </w:p>
          <w:p w14:paraId="78A1CE6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微孔曝气器由橡胶膜片、支撑管、卡环、螺栓固定的鞍式连接件部件组成。支撑管的 90%以上为透水开放的式设计结构，以最大限度降低曝气器所受浮力，保证系统运行的稳定性及安全性。工作时，压缩空气通过布气管道，经连接件均匀地进入橡胶膜片于支撑管之间的空间，在空气压力的作用下使膜片微微鼓起，孔眼张开，达到布气扩散的目的；停止供气时，由于膜片和支撑管之间压力下降，当压力全部消失后，水压作用和膜片本身的回弹作用，使孔眼闭合，将膜片压实于支撑管上，防止污水倒灌。</w:t>
            </w:r>
          </w:p>
        </w:tc>
        <w:tc>
          <w:tcPr>
            <w:tcW w:w="1106" w:type="dxa"/>
            <w:tcBorders>
              <w:tl2br w:val="nil"/>
              <w:tr2bl w:val="nil"/>
            </w:tcBorders>
            <w:vAlign w:val="center"/>
          </w:tcPr>
          <w:p w14:paraId="3396EF5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24套</w:t>
            </w:r>
          </w:p>
        </w:tc>
        <w:tc>
          <w:tcPr>
            <w:tcW w:w="1689" w:type="dxa"/>
            <w:tcBorders>
              <w:tl2br w:val="nil"/>
              <w:tr2bl w:val="nil"/>
            </w:tcBorders>
            <w:vAlign w:val="center"/>
          </w:tcPr>
          <w:p w14:paraId="6DFE0223">
            <w:pPr>
              <w:spacing w:line="440" w:lineRule="exact"/>
              <w:rPr>
                <w:rFonts w:hint="eastAsia" w:ascii="宋体" w:hAnsi="宋体" w:cs="宋体"/>
                <w:color w:val="000000" w:themeColor="text1"/>
                <w:highlight w:val="none"/>
                <w14:textFill>
                  <w14:solidFill>
                    <w14:schemeClr w14:val="tx1"/>
                  </w14:solidFill>
                </w14:textFill>
              </w:rPr>
            </w:pPr>
          </w:p>
        </w:tc>
      </w:tr>
      <w:tr w14:paraId="44AC72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985" w:type="dxa"/>
            <w:tcBorders>
              <w:tl2br w:val="nil"/>
              <w:tr2bl w:val="nil"/>
            </w:tcBorders>
            <w:vAlign w:val="center"/>
          </w:tcPr>
          <w:p w14:paraId="7BA05E6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14</w:t>
            </w:r>
          </w:p>
        </w:tc>
        <w:tc>
          <w:tcPr>
            <w:tcW w:w="1984" w:type="dxa"/>
            <w:tcBorders>
              <w:tl2br w:val="nil"/>
              <w:tr2bl w:val="nil"/>
            </w:tcBorders>
            <w:vAlign w:val="center"/>
          </w:tcPr>
          <w:p w14:paraId="7BC5201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膜生物反应池</w:t>
            </w:r>
          </w:p>
        </w:tc>
        <w:tc>
          <w:tcPr>
            <w:tcW w:w="8363" w:type="dxa"/>
            <w:tcBorders>
              <w:tl2br w:val="nil"/>
              <w:tr2bl w:val="nil"/>
            </w:tcBorders>
            <w:vAlign w:val="center"/>
          </w:tcPr>
          <w:p w14:paraId="3B315476">
            <w:pPr>
              <w:pStyle w:val="105"/>
              <w:numPr>
                <w:ilvl w:val="0"/>
                <w:numId w:val="0"/>
              </w:numPr>
              <w:spacing w:line="440" w:lineRule="exact"/>
              <w:ind w:left="0" w:leftChars="0" w:firstLine="0" w:firstLineChars="0"/>
              <w:rPr>
                <w:rFonts w:hint="eastAsia" w:ascii="宋体" w:hAnsi="宋体" w:cs="宋体"/>
                <w:color w:val="000000" w:themeColor="text1"/>
                <w:highlight w:val="none"/>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尺寸：5.2*3.0*3.0m</w:t>
            </w:r>
          </w:p>
          <w:p w14:paraId="78182F8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2、材质：碳钢防腐，钢板厚度8mm</w:t>
            </w:r>
          </w:p>
          <w:p w14:paraId="7A365F8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3、主体结构外表面应光滑，无裂纹和明显划痕，色泽均匀。主体内表面、隔板等应光滑平整，无纤维、碳钢加强筋等裸露，无明显缺陷。</w:t>
            </w:r>
          </w:p>
          <w:p w14:paraId="5E56700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4、防腐前应严格除锈，除锈质量应符合 GB/T8923.1规定的喷射清理等级Sa2级。内防腐底漆采用厚浆型环氧重防腐涂料，三道约80um*3,面漆采用高抗水性环氧重防水涂料，棕褐色,,80um*4；外防腐采用环氧富锌底漆，三道约80um*3,环氧云铁中间漆，两道约80um*2,米白色丙烯酸聚氨酯面漆。</w:t>
            </w:r>
          </w:p>
          <w:p w14:paraId="21A7558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5、焊接要求</w:t>
            </w:r>
          </w:p>
          <w:p w14:paraId="6EC7F06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焊接前须将距焊缝边缘一定范围内(焊条电弧焊不应小于10 mm，埋弧焊不应小于 20 mm)焊接结构表面上的铁锈、油、油漆、尘土等污物除净，并须进行除潮处理。</w:t>
            </w:r>
          </w:p>
          <w:p w14:paraId="0F2B384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焊接件的焊缝应平整光滑，不应有气孔、夹渣、错边、满溢、焊瘤、弧坑、间断、咬边、烧穿凹陷、脱焊、漏焊、虚焊等缺陷。焊接件关键尺寸的尺寸公差或几何公差应按JB/T5943的规定。焊缝应进行煤油渗漏试验，不得渗漏。</w:t>
            </w:r>
          </w:p>
          <w:p w14:paraId="69668BB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6.吊环及检修孔要求</w:t>
            </w:r>
          </w:p>
          <w:p w14:paraId="29F841D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为了方便搬运、安装，一体化设备应注明重心及吊装位置，并设吊装环(钩);吊装环(钩)的数量及强度应满足一体化设备整体吊装要求。地埋式一体化设备的检修孔或窨井应设有防盗装置。位于车行道的地埋式一体化设备，其检修孔盖或窨井盖及其井座应具有足够的安全系数。一体化设备应设置不少于2个检修口，且检修口直径不宜小于500mm。</w:t>
            </w:r>
          </w:p>
          <w:p w14:paraId="56ED21A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7、强度及密封性要求</w:t>
            </w:r>
          </w:p>
          <w:p w14:paraId="5C0DEB7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体化设备主体需进行静压检漏检验，不应出现变形和渗漏。水管路系统应做水压试验，不得出现渗漏和异常变形现象。气管路系统应做气压试验，不得出现泄漏现象。主体结构采用金属材料使用年限不应少于15年。</w:t>
            </w:r>
          </w:p>
          <w:p w14:paraId="0189EF26">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8、强度及密封性试验</w:t>
            </w:r>
          </w:p>
          <w:p w14:paraId="75989DE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一体化设备主体静压检漏方法:向一体化设备主体内注入清水至溢流管口高度，水位保持8h应无渗漏现象。</w:t>
            </w:r>
          </w:p>
          <w:p w14:paraId="5DE65D9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水管路系统水压试验方法:试验压力为0.6MPa，金属及复合管管道系统在试验压力下观测10min，压力降不应大于0.02MPa,然后将压力降到工作压力检査系统有无渗漏和变形现象:塑料管管道系统在试验压力下稳压1h，压力降不应大于0.05 MPa,然后在工作压力的 1.15倍状态下稳压2h，压力降不得超过0.03MPa，检查系统各连接处有无渗和变形现象。</w:t>
            </w:r>
          </w:p>
          <w:p w14:paraId="03F9F7DB">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气管路系统气压试验方法:试验压力应为设计压力的1.15倍，试验时应逐步缓慢增加压力，当压力升至试验压力的 50%时，若未发现异状或泄漏，继续按试验压力的10%逐级升压，每级保压3min直至试验压力。保压10min，再将压力降至设计压力，停压时间应根据查漏工作需要而定。采用发泡剂检验系统有无泄漏现象。</w:t>
            </w:r>
          </w:p>
        </w:tc>
        <w:tc>
          <w:tcPr>
            <w:tcW w:w="1106" w:type="dxa"/>
            <w:tcBorders>
              <w:tl2br w:val="nil"/>
              <w:tr2bl w:val="nil"/>
            </w:tcBorders>
            <w:vAlign w:val="center"/>
          </w:tcPr>
          <w:p w14:paraId="6412B3B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1座</w:t>
            </w:r>
          </w:p>
        </w:tc>
        <w:tc>
          <w:tcPr>
            <w:tcW w:w="1689" w:type="dxa"/>
            <w:tcBorders>
              <w:tl2br w:val="nil"/>
              <w:tr2bl w:val="nil"/>
            </w:tcBorders>
            <w:vAlign w:val="center"/>
          </w:tcPr>
          <w:p w14:paraId="0E9E87C5">
            <w:pPr>
              <w:spacing w:line="440" w:lineRule="exact"/>
              <w:rPr>
                <w:rFonts w:hint="eastAsia" w:ascii="宋体" w:hAnsi="宋体" w:cs="宋体"/>
                <w:color w:val="000000" w:themeColor="text1"/>
                <w:highlight w:val="none"/>
                <w14:textFill>
                  <w14:solidFill>
                    <w14:schemeClr w14:val="tx1"/>
                  </w14:solidFill>
                </w14:textFill>
              </w:rPr>
            </w:pPr>
          </w:p>
        </w:tc>
      </w:tr>
      <w:tr w14:paraId="6D654A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252DC4C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15</w:t>
            </w:r>
          </w:p>
        </w:tc>
        <w:tc>
          <w:tcPr>
            <w:tcW w:w="1984" w:type="dxa"/>
            <w:tcBorders>
              <w:tl2br w:val="nil"/>
              <w:tr2bl w:val="nil"/>
            </w:tcBorders>
            <w:vAlign w:val="center"/>
          </w:tcPr>
          <w:p w14:paraId="284AD85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MBR膜组件</w:t>
            </w:r>
          </w:p>
        </w:tc>
        <w:tc>
          <w:tcPr>
            <w:tcW w:w="8363" w:type="dxa"/>
            <w:tcBorders>
              <w:tl2br w:val="nil"/>
              <w:tr2bl w:val="nil"/>
            </w:tcBorders>
            <w:vAlign w:val="center"/>
          </w:tcPr>
          <w:p w14:paraId="3EB876A2">
            <w:pPr>
              <w:pStyle w:val="105"/>
              <w:tabs>
                <w:tab w:val="left" w:pos="704"/>
              </w:tabs>
              <w:spacing w:line="440" w:lineRule="exact"/>
              <w:ind w:firstLine="0" w:firstLineChars="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1、膜组件详细配置参数</w:t>
            </w:r>
          </w:p>
          <w:tbl>
            <w:tblPr>
              <w:tblStyle w:val="18"/>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4"/>
              <w:gridCol w:w="2578"/>
              <w:gridCol w:w="3448"/>
              <w:gridCol w:w="1632"/>
            </w:tblGrid>
            <w:tr w14:paraId="5FD25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4" w:type="dxa"/>
                  <w:tcBorders>
                    <w:top w:val="single" w:color="000000" w:sz="4" w:space="0"/>
                    <w:left w:val="single" w:color="000000" w:sz="4" w:space="0"/>
                    <w:bottom w:val="single" w:color="000000" w:sz="4" w:space="0"/>
                    <w:right w:val="single" w:color="000000" w:sz="4" w:space="0"/>
                  </w:tcBorders>
                </w:tcPr>
                <w:p w14:paraId="6DC74ECE">
                  <w:pPr>
                    <w:spacing w:line="440" w:lineRule="exact"/>
                    <w:jc w:val="center"/>
                    <w:rPr>
                      <w:rFonts w:hint="eastAsia" w:ascii="宋体" w:hAnsi="宋体" w:cs="宋体"/>
                      <w:b/>
                      <w:color w:val="000000" w:themeColor="text1"/>
                      <w:kern w:val="0"/>
                      <w:highlight w:val="none"/>
                      <w14:textFill>
                        <w14:solidFill>
                          <w14:schemeClr w14:val="tx1"/>
                        </w14:solidFill>
                      </w14:textFill>
                    </w:rPr>
                  </w:pPr>
                  <w:r>
                    <w:rPr>
                      <w:rFonts w:hint="eastAsia" w:ascii="宋体" w:hAnsi="宋体" w:cs="宋体"/>
                      <w:b/>
                      <w:color w:val="000000" w:themeColor="text1"/>
                      <w:kern w:val="0"/>
                      <w:highlight w:val="none"/>
                      <w14:textFill>
                        <w14:solidFill>
                          <w14:schemeClr w14:val="tx1"/>
                        </w14:solidFill>
                      </w14:textFill>
                    </w:rPr>
                    <w:t>序 号</w:t>
                  </w:r>
                </w:p>
              </w:tc>
              <w:tc>
                <w:tcPr>
                  <w:tcW w:w="2578" w:type="dxa"/>
                  <w:tcBorders>
                    <w:top w:val="single" w:color="000000" w:sz="4" w:space="0"/>
                    <w:left w:val="single" w:color="000000" w:sz="4" w:space="0"/>
                    <w:bottom w:val="single" w:color="000000" w:sz="4" w:space="0"/>
                    <w:right w:val="single" w:color="000000" w:sz="4" w:space="0"/>
                  </w:tcBorders>
                </w:tcPr>
                <w:p w14:paraId="3930C431">
                  <w:pPr>
                    <w:spacing w:line="440" w:lineRule="exact"/>
                    <w:jc w:val="center"/>
                    <w:rPr>
                      <w:rFonts w:hint="eastAsia" w:ascii="宋体" w:hAnsi="宋体" w:cs="宋体"/>
                      <w:b/>
                      <w:color w:val="000000" w:themeColor="text1"/>
                      <w:kern w:val="0"/>
                      <w:highlight w:val="none"/>
                      <w14:textFill>
                        <w14:solidFill>
                          <w14:schemeClr w14:val="tx1"/>
                        </w14:solidFill>
                      </w14:textFill>
                    </w:rPr>
                  </w:pPr>
                  <w:r>
                    <w:rPr>
                      <w:rFonts w:hint="eastAsia" w:ascii="宋体" w:hAnsi="宋体" w:cs="宋体"/>
                      <w:b/>
                      <w:color w:val="000000" w:themeColor="text1"/>
                      <w:kern w:val="0"/>
                      <w:highlight w:val="none"/>
                      <w14:textFill>
                        <w14:solidFill>
                          <w14:schemeClr w14:val="tx1"/>
                        </w14:solidFill>
                      </w14:textFill>
                    </w:rPr>
                    <w:t>项目名称</w:t>
                  </w:r>
                </w:p>
              </w:tc>
              <w:tc>
                <w:tcPr>
                  <w:tcW w:w="3448" w:type="dxa"/>
                  <w:tcBorders>
                    <w:top w:val="single" w:color="000000" w:sz="4" w:space="0"/>
                    <w:left w:val="single" w:color="000000" w:sz="4" w:space="0"/>
                    <w:bottom w:val="single" w:color="000000" w:sz="4" w:space="0"/>
                    <w:right w:val="single" w:color="000000" w:sz="4" w:space="0"/>
                  </w:tcBorders>
                </w:tcPr>
                <w:p w14:paraId="4B629BFC">
                  <w:pPr>
                    <w:spacing w:line="440" w:lineRule="exact"/>
                    <w:jc w:val="center"/>
                    <w:rPr>
                      <w:rFonts w:hint="eastAsia" w:ascii="宋体" w:hAnsi="宋体" w:cs="宋体"/>
                      <w:b/>
                      <w:color w:val="000000" w:themeColor="text1"/>
                      <w:kern w:val="0"/>
                      <w:highlight w:val="none"/>
                      <w14:textFill>
                        <w14:solidFill>
                          <w14:schemeClr w14:val="tx1"/>
                        </w14:solidFill>
                      </w14:textFill>
                    </w:rPr>
                  </w:pPr>
                  <w:r>
                    <w:rPr>
                      <w:rFonts w:hint="eastAsia" w:ascii="宋体" w:hAnsi="宋体" w:cs="宋体"/>
                      <w:b/>
                      <w:color w:val="000000" w:themeColor="text1"/>
                      <w:kern w:val="0"/>
                      <w:highlight w:val="none"/>
                      <w14:textFill>
                        <w14:solidFill>
                          <w14:schemeClr w14:val="tx1"/>
                        </w14:solidFill>
                      </w14:textFill>
                    </w:rPr>
                    <w:t>参  数</w:t>
                  </w:r>
                </w:p>
              </w:tc>
              <w:tc>
                <w:tcPr>
                  <w:tcW w:w="1632" w:type="dxa"/>
                  <w:tcBorders>
                    <w:top w:val="single" w:color="000000" w:sz="4" w:space="0"/>
                    <w:left w:val="single" w:color="000000" w:sz="4" w:space="0"/>
                    <w:bottom w:val="single" w:color="000000" w:sz="4" w:space="0"/>
                    <w:right w:val="single" w:color="000000" w:sz="4" w:space="0"/>
                  </w:tcBorders>
                </w:tcPr>
                <w:p w14:paraId="53D2AC79">
                  <w:pPr>
                    <w:spacing w:line="440" w:lineRule="exact"/>
                    <w:jc w:val="center"/>
                    <w:rPr>
                      <w:rFonts w:hint="eastAsia" w:ascii="宋体" w:hAnsi="宋体" w:cs="宋体"/>
                      <w:b/>
                      <w:color w:val="000000" w:themeColor="text1"/>
                      <w:kern w:val="0"/>
                      <w:highlight w:val="none"/>
                      <w14:textFill>
                        <w14:solidFill>
                          <w14:schemeClr w14:val="tx1"/>
                        </w14:solidFill>
                      </w14:textFill>
                    </w:rPr>
                  </w:pPr>
                  <w:r>
                    <w:rPr>
                      <w:rFonts w:hint="eastAsia" w:ascii="宋体" w:hAnsi="宋体" w:cs="宋体"/>
                      <w:b/>
                      <w:color w:val="000000" w:themeColor="text1"/>
                      <w:kern w:val="0"/>
                      <w:highlight w:val="none"/>
                      <w14:textFill>
                        <w14:solidFill>
                          <w14:schemeClr w14:val="tx1"/>
                        </w14:solidFill>
                      </w14:textFill>
                    </w:rPr>
                    <w:t>单 位</w:t>
                  </w:r>
                </w:p>
              </w:tc>
            </w:tr>
            <w:tr w14:paraId="02A8C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4" w:type="dxa"/>
                  <w:tcBorders>
                    <w:top w:val="single" w:color="000000" w:sz="4" w:space="0"/>
                    <w:left w:val="single" w:color="000000" w:sz="4" w:space="0"/>
                    <w:bottom w:val="single" w:color="000000" w:sz="4" w:space="0"/>
                    <w:right w:val="single" w:color="000000" w:sz="4" w:space="0"/>
                  </w:tcBorders>
                </w:tcPr>
                <w:p w14:paraId="3056B6AA">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1</w:t>
                  </w:r>
                </w:p>
              </w:tc>
              <w:tc>
                <w:tcPr>
                  <w:tcW w:w="2578" w:type="dxa"/>
                  <w:tcBorders>
                    <w:top w:val="single" w:color="000000" w:sz="4" w:space="0"/>
                    <w:left w:val="single" w:color="000000" w:sz="4" w:space="0"/>
                    <w:bottom w:val="single" w:color="000000" w:sz="4" w:space="0"/>
                    <w:right w:val="single" w:color="000000" w:sz="4" w:space="0"/>
                  </w:tcBorders>
                </w:tcPr>
                <w:p w14:paraId="059ABD64">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日处理水量</w:t>
                  </w:r>
                </w:p>
              </w:tc>
              <w:tc>
                <w:tcPr>
                  <w:tcW w:w="3448" w:type="dxa"/>
                  <w:tcBorders>
                    <w:top w:val="single" w:color="000000" w:sz="4" w:space="0"/>
                    <w:left w:val="single" w:color="000000" w:sz="4" w:space="0"/>
                    <w:bottom w:val="single" w:color="000000" w:sz="4" w:space="0"/>
                    <w:right w:val="single" w:color="000000" w:sz="4" w:space="0"/>
                  </w:tcBorders>
                </w:tcPr>
                <w:p w14:paraId="37DB6FDC">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200</w:t>
                  </w:r>
                </w:p>
              </w:tc>
              <w:tc>
                <w:tcPr>
                  <w:tcW w:w="1632" w:type="dxa"/>
                  <w:tcBorders>
                    <w:top w:val="single" w:color="000000" w:sz="4" w:space="0"/>
                    <w:left w:val="single" w:color="000000" w:sz="4" w:space="0"/>
                    <w:bottom w:val="single" w:color="000000" w:sz="4" w:space="0"/>
                    <w:right w:val="single" w:color="000000" w:sz="4" w:space="0"/>
                  </w:tcBorders>
                </w:tcPr>
                <w:p w14:paraId="51A55F8F">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m</w:t>
                  </w:r>
                  <w:r>
                    <w:rPr>
                      <w:rFonts w:hint="eastAsia" w:ascii="宋体" w:hAnsi="宋体" w:cs="宋体"/>
                      <w:bCs/>
                      <w:color w:val="000000" w:themeColor="text1"/>
                      <w:kern w:val="0"/>
                      <w:highlight w:val="none"/>
                      <w:vertAlign w:val="superscript"/>
                      <w14:textFill>
                        <w14:solidFill>
                          <w14:schemeClr w14:val="tx1"/>
                        </w14:solidFill>
                      </w14:textFill>
                    </w:rPr>
                    <w:t>3</w:t>
                  </w:r>
                  <w:r>
                    <w:rPr>
                      <w:rFonts w:hint="eastAsia" w:ascii="宋体" w:hAnsi="宋体" w:cs="宋体"/>
                      <w:bCs/>
                      <w:color w:val="000000" w:themeColor="text1"/>
                      <w:kern w:val="0"/>
                      <w:highlight w:val="none"/>
                      <w14:textFill>
                        <w14:solidFill>
                          <w14:schemeClr w14:val="tx1"/>
                        </w14:solidFill>
                      </w14:textFill>
                    </w:rPr>
                    <w:t>/d</w:t>
                  </w:r>
                </w:p>
              </w:tc>
            </w:tr>
            <w:tr w14:paraId="38AB4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4" w:type="dxa"/>
                  <w:tcBorders>
                    <w:top w:val="single" w:color="000000" w:sz="4" w:space="0"/>
                    <w:left w:val="single" w:color="000000" w:sz="4" w:space="0"/>
                    <w:bottom w:val="single" w:color="000000" w:sz="4" w:space="0"/>
                    <w:right w:val="single" w:color="000000" w:sz="4" w:space="0"/>
                  </w:tcBorders>
                </w:tcPr>
                <w:p w14:paraId="7D0EAB69">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2</w:t>
                  </w:r>
                </w:p>
              </w:tc>
              <w:tc>
                <w:tcPr>
                  <w:tcW w:w="2578" w:type="dxa"/>
                  <w:tcBorders>
                    <w:top w:val="single" w:color="000000" w:sz="4" w:space="0"/>
                    <w:left w:val="single" w:color="000000" w:sz="4" w:space="0"/>
                    <w:bottom w:val="single" w:color="000000" w:sz="4" w:space="0"/>
                    <w:right w:val="single" w:color="000000" w:sz="4" w:space="0"/>
                  </w:tcBorders>
                </w:tcPr>
                <w:p w14:paraId="2EAF36A5">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设计水温</w:t>
                  </w:r>
                </w:p>
              </w:tc>
              <w:tc>
                <w:tcPr>
                  <w:tcW w:w="3448" w:type="dxa"/>
                  <w:tcBorders>
                    <w:top w:val="single" w:color="000000" w:sz="4" w:space="0"/>
                    <w:left w:val="single" w:color="000000" w:sz="4" w:space="0"/>
                    <w:bottom w:val="single" w:color="000000" w:sz="4" w:space="0"/>
                    <w:right w:val="single" w:color="000000" w:sz="4" w:space="0"/>
                  </w:tcBorders>
                </w:tcPr>
                <w:p w14:paraId="5B60E11E">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25</w:t>
                  </w:r>
                </w:p>
              </w:tc>
              <w:tc>
                <w:tcPr>
                  <w:tcW w:w="1632" w:type="dxa"/>
                  <w:tcBorders>
                    <w:top w:val="single" w:color="000000" w:sz="4" w:space="0"/>
                    <w:left w:val="single" w:color="000000" w:sz="4" w:space="0"/>
                    <w:bottom w:val="single" w:color="000000" w:sz="4" w:space="0"/>
                    <w:right w:val="single" w:color="000000" w:sz="4" w:space="0"/>
                  </w:tcBorders>
                </w:tcPr>
                <w:p w14:paraId="049F4624">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vertAlign w:val="superscript"/>
                      <w14:textFill>
                        <w14:solidFill>
                          <w14:schemeClr w14:val="tx1"/>
                        </w14:solidFill>
                      </w14:textFill>
                    </w:rPr>
                    <w:t>o</w:t>
                  </w:r>
                  <w:r>
                    <w:rPr>
                      <w:rFonts w:hint="eastAsia" w:ascii="宋体" w:hAnsi="宋体" w:cs="宋体"/>
                      <w:bCs/>
                      <w:color w:val="000000" w:themeColor="text1"/>
                      <w:kern w:val="0"/>
                      <w:highlight w:val="none"/>
                      <w14:textFill>
                        <w14:solidFill>
                          <w14:schemeClr w14:val="tx1"/>
                        </w14:solidFill>
                      </w14:textFill>
                    </w:rPr>
                    <w:t>C</w:t>
                  </w:r>
                </w:p>
              </w:tc>
            </w:tr>
            <w:tr w14:paraId="2CFCE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4" w:type="dxa"/>
                  <w:tcBorders>
                    <w:top w:val="single" w:color="000000" w:sz="4" w:space="0"/>
                    <w:left w:val="single" w:color="000000" w:sz="4" w:space="0"/>
                    <w:bottom w:val="single" w:color="000000" w:sz="4" w:space="0"/>
                    <w:right w:val="single" w:color="000000" w:sz="4" w:space="0"/>
                  </w:tcBorders>
                </w:tcPr>
                <w:p w14:paraId="4907CBF4">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3</w:t>
                  </w:r>
                </w:p>
              </w:tc>
              <w:tc>
                <w:tcPr>
                  <w:tcW w:w="2578" w:type="dxa"/>
                  <w:tcBorders>
                    <w:top w:val="single" w:color="000000" w:sz="4" w:space="0"/>
                    <w:left w:val="single" w:color="000000" w:sz="4" w:space="0"/>
                    <w:bottom w:val="single" w:color="000000" w:sz="4" w:space="0"/>
                    <w:right w:val="single" w:color="000000" w:sz="4" w:space="0"/>
                  </w:tcBorders>
                </w:tcPr>
                <w:p w14:paraId="46B65B36">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单片膜面积</w:t>
                  </w:r>
                </w:p>
              </w:tc>
              <w:tc>
                <w:tcPr>
                  <w:tcW w:w="3448" w:type="dxa"/>
                  <w:tcBorders>
                    <w:top w:val="single" w:color="000000" w:sz="4" w:space="0"/>
                    <w:left w:val="single" w:color="000000" w:sz="4" w:space="0"/>
                    <w:bottom w:val="single" w:color="000000" w:sz="4" w:space="0"/>
                    <w:right w:val="single" w:color="000000" w:sz="4" w:space="0"/>
                  </w:tcBorders>
                </w:tcPr>
                <w:p w14:paraId="09D578C9">
                  <w:pPr>
                    <w:spacing w:line="440" w:lineRule="exact"/>
                    <w:jc w:val="center"/>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1</w:t>
                  </w:r>
                </w:p>
              </w:tc>
              <w:tc>
                <w:tcPr>
                  <w:tcW w:w="1632" w:type="dxa"/>
                  <w:tcBorders>
                    <w:top w:val="single" w:color="000000" w:sz="4" w:space="0"/>
                    <w:left w:val="single" w:color="000000" w:sz="4" w:space="0"/>
                    <w:bottom w:val="single" w:color="000000" w:sz="4" w:space="0"/>
                    <w:right w:val="single" w:color="000000" w:sz="4" w:space="0"/>
                  </w:tcBorders>
                </w:tcPr>
                <w:p w14:paraId="61DB9661">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m</w:t>
                  </w:r>
                  <w:r>
                    <w:rPr>
                      <w:rFonts w:hint="eastAsia" w:ascii="宋体" w:hAnsi="宋体" w:cs="宋体"/>
                      <w:bCs/>
                      <w:color w:val="000000" w:themeColor="text1"/>
                      <w:kern w:val="0"/>
                      <w:highlight w:val="none"/>
                      <w:vertAlign w:val="superscript"/>
                      <w14:textFill>
                        <w14:solidFill>
                          <w14:schemeClr w14:val="tx1"/>
                        </w14:solidFill>
                      </w14:textFill>
                    </w:rPr>
                    <w:t>2</w:t>
                  </w:r>
                </w:p>
              </w:tc>
            </w:tr>
            <w:tr w14:paraId="7C21E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4" w:type="dxa"/>
                  <w:tcBorders>
                    <w:top w:val="single" w:color="000000" w:sz="4" w:space="0"/>
                    <w:left w:val="single" w:color="000000" w:sz="4" w:space="0"/>
                    <w:bottom w:val="single" w:color="000000" w:sz="4" w:space="0"/>
                    <w:right w:val="single" w:color="000000" w:sz="4" w:space="0"/>
                  </w:tcBorders>
                </w:tcPr>
                <w:p w14:paraId="337FCF2B">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4</w:t>
                  </w:r>
                </w:p>
              </w:tc>
              <w:tc>
                <w:tcPr>
                  <w:tcW w:w="2578" w:type="dxa"/>
                  <w:tcBorders>
                    <w:top w:val="single" w:color="000000" w:sz="4" w:space="0"/>
                    <w:left w:val="single" w:color="000000" w:sz="4" w:space="0"/>
                    <w:bottom w:val="single" w:color="000000" w:sz="4" w:space="0"/>
                    <w:right w:val="single" w:color="000000" w:sz="4" w:space="0"/>
                  </w:tcBorders>
                </w:tcPr>
                <w:p w14:paraId="39BEAF92">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单组膜面积</w:t>
                  </w:r>
                </w:p>
              </w:tc>
              <w:tc>
                <w:tcPr>
                  <w:tcW w:w="3448" w:type="dxa"/>
                  <w:tcBorders>
                    <w:top w:val="single" w:color="000000" w:sz="4" w:space="0"/>
                    <w:left w:val="single" w:color="000000" w:sz="4" w:space="0"/>
                    <w:bottom w:val="single" w:color="000000" w:sz="4" w:space="0"/>
                    <w:right w:val="single" w:color="000000" w:sz="4" w:space="0"/>
                  </w:tcBorders>
                </w:tcPr>
                <w:p w14:paraId="085F9B73">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180</w:t>
                  </w:r>
                </w:p>
              </w:tc>
              <w:tc>
                <w:tcPr>
                  <w:tcW w:w="1632" w:type="dxa"/>
                  <w:tcBorders>
                    <w:top w:val="single" w:color="000000" w:sz="4" w:space="0"/>
                    <w:left w:val="single" w:color="000000" w:sz="4" w:space="0"/>
                    <w:bottom w:val="single" w:color="000000" w:sz="4" w:space="0"/>
                    <w:right w:val="single" w:color="000000" w:sz="4" w:space="0"/>
                  </w:tcBorders>
                </w:tcPr>
                <w:p w14:paraId="69B4EAFA">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m</w:t>
                  </w:r>
                  <w:r>
                    <w:rPr>
                      <w:rFonts w:hint="eastAsia" w:ascii="宋体" w:hAnsi="宋体" w:cs="宋体"/>
                      <w:bCs/>
                      <w:color w:val="000000" w:themeColor="text1"/>
                      <w:kern w:val="0"/>
                      <w:highlight w:val="none"/>
                      <w:vertAlign w:val="superscript"/>
                      <w14:textFill>
                        <w14:solidFill>
                          <w14:schemeClr w14:val="tx1"/>
                        </w14:solidFill>
                      </w14:textFill>
                    </w:rPr>
                    <w:t>2</w:t>
                  </w:r>
                </w:p>
              </w:tc>
            </w:tr>
            <w:tr w14:paraId="53583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4" w:type="dxa"/>
                  <w:tcBorders>
                    <w:top w:val="single" w:color="000000" w:sz="4" w:space="0"/>
                    <w:left w:val="single" w:color="000000" w:sz="4" w:space="0"/>
                    <w:bottom w:val="single" w:color="000000" w:sz="4" w:space="0"/>
                    <w:right w:val="single" w:color="000000" w:sz="4" w:space="0"/>
                  </w:tcBorders>
                </w:tcPr>
                <w:p w14:paraId="6C7A6029">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5</w:t>
                  </w:r>
                </w:p>
              </w:tc>
              <w:tc>
                <w:tcPr>
                  <w:tcW w:w="2578" w:type="dxa"/>
                  <w:tcBorders>
                    <w:top w:val="single" w:color="000000" w:sz="4" w:space="0"/>
                    <w:left w:val="single" w:color="000000" w:sz="4" w:space="0"/>
                    <w:bottom w:val="single" w:color="000000" w:sz="4" w:space="0"/>
                    <w:right w:val="single" w:color="000000" w:sz="4" w:space="0"/>
                  </w:tcBorders>
                </w:tcPr>
                <w:p w14:paraId="24C0F855">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系统膜面积总数</w:t>
                  </w:r>
                </w:p>
              </w:tc>
              <w:tc>
                <w:tcPr>
                  <w:tcW w:w="3448" w:type="dxa"/>
                  <w:tcBorders>
                    <w:top w:val="single" w:color="000000" w:sz="4" w:space="0"/>
                    <w:left w:val="single" w:color="000000" w:sz="4" w:space="0"/>
                    <w:bottom w:val="single" w:color="000000" w:sz="4" w:space="0"/>
                    <w:right w:val="single" w:color="000000" w:sz="4" w:space="0"/>
                  </w:tcBorders>
                </w:tcPr>
                <w:p w14:paraId="28D8975E">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720</w:t>
                  </w:r>
                </w:p>
              </w:tc>
              <w:tc>
                <w:tcPr>
                  <w:tcW w:w="1632" w:type="dxa"/>
                  <w:tcBorders>
                    <w:top w:val="single" w:color="000000" w:sz="4" w:space="0"/>
                    <w:left w:val="single" w:color="000000" w:sz="4" w:space="0"/>
                    <w:bottom w:val="single" w:color="000000" w:sz="4" w:space="0"/>
                    <w:right w:val="single" w:color="000000" w:sz="4" w:space="0"/>
                  </w:tcBorders>
                </w:tcPr>
                <w:p w14:paraId="2CF48F4E">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m</w:t>
                  </w:r>
                  <w:r>
                    <w:rPr>
                      <w:rFonts w:hint="eastAsia" w:ascii="宋体" w:hAnsi="宋体" w:cs="宋体"/>
                      <w:bCs/>
                      <w:color w:val="000000" w:themeColor="text1"/>
                      <w:kern w:val="0"/>
                      <w:highlight w:val="none"/>
                      <w:vertAlign w:val="superscript"/>
                      <w14:textFill>
                        <w14:solidFill>
                          <w14:schemeClr w14:val="tx1"/>
                        </w14:solidFill>
                      </w14:textFill>
                    </w:rPr>
                    <w:t>2</w:t>
                  </w:r>
                </w:p>
              </w:tc>
            </w:tr>
            <w:tr w14:paraId="1AB08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4" w:type="dxa"/>
                  <w:tcBorders>
                    <w:top w:val="single" w:color="000000" w:sz="4" w:space="0"/>
                    <w:left w:val="single" w:color="000000" w:sz="4" w:space="0"/>
                    <w:bottom w:val="single" w:color="000000" w:sz="4" w:space="0"/>
                    <w:right w:val="single" w:color="000000" w:sz="4" w:space="0"/>
                  </w:tcBorders>
                </w:tcPr>
                <w:p w14:paraId="20849E86">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6</w:t>
                  </w:r>
                </w:p>
              </w:tc>
              <w:tc>
                <w:tcPr>
                  <w:tcW w:w="2578" w:type="dxa"/>
                  <w:tcBorders>
                    <w:top w:val="single" w:color="000000" w:sz="4" w:space="0"/>
                    <w:left w:val="single" w:color="000000" w:sz="4" w:space="0"/>
                    <w:bottom w:val="single" w:color="000000" w:sz="4" w:space="0"/>
                    <w:right w:val="single" w:color="000000" w:sz="4" w:space="0"/>
                  </w:tcBorders>
                </w:tcPr>
                <w:p w14:paraId="4E1EC811">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膜组件尺寸</w:t>
                  </w:r>
                </w:p>
              </w:tc>
              <w:tc>
                <w:tcPr>
                  <w:tcW w:w="3448" w:type="dxa"/>
                  <w:tcBorders>
                    <w:top w:val="single" w:color="000000" w:sz="4" w:space="0"/>
                    <w:left w:val="single" w:color="000000" w:sz="4" w:space="0"/>
                    <w:bottom w:val="single" w:color="000000" w:sz="4" w:space="0"/>
                    <w:right w:val="single" w:color="000000" w:sz="4" w:space="0"/>
                  </w:tcBorders>
                </w:tcPr>
                <w:p w14:paraId="733044C5">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2850*650*2250</w:t>
                  </w:r>
                </w:p>
              </w:tc>
              <w:tc>
                <w:tcPr>
                  <w:tcW w:w="1632" w:type="dxa"/>
                  <w:tcBorders>
                    <w:top w:val="single" w:color="000000" w:sz="4" w:space="0"/>
                    <w:left w:val="single" w:color="000000" w:sz="4" w:space="0"/>
                    <w:bottom w:val="single" w:color="000000" w:sz="4" w:space="0"/>
                    <w:right w:val="single" w:color="000000" w:sz="4" w:space="0"/>
                  </w:tcBorders>
                </w:tcPr>
                <w:p w14:paraId="64A332B6">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mm</w:t>
                  </w:r>
                </w:p>
              </w:tc>
            </w:tr>
            <w:tr w14:paraId="0EFBF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4" w:type="dxa"/>
                  <w:tcBorders>
                    <w:top w:val="single" w:color="000000" w:sz="4" w:space="0"/>
                    <w:left w:val="single" w:color="000000" w:sz="4" w:space="0"/>
                    <w:bottom w:val="single" w:color="000000" w:sz="4" w:space="0"/>
                    <w:right w:val="single" w:color="000000" w:sz="4" w:space="0"/>
                  </w:tcBorders>
                </w:tcPr>
                <w:p w14:paraId="5E2DD591">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7</w:t>
                  </w:r>
                </w:p>
              </w:tc>
              <w:tc>
                <w:tcPr>
                  <w:tcW w:w="2578" w:type="dxa"/>
                  <w:tcBorders>
                    <w:top w:val="single" w:color="000000" w:sz="4" w:space="0"/>
                    <w:left w:val="single" w:color="000000" w:sz="4" w:space="0"/>
                    <w:bottom w:val="single" w:color="000000" w:sz="4" w:space="0"/>
                    <w:right w:val="single" w:color="000000" w:sz="4" w:space="0"/>
                  </w:tcBorders>
                </w:tcPr>
                <w:p w14:paraId="6ED5D0BB">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膜系统平均通量</w:t>
                  </w:r>
                </w:p>
              </w:tc>
              <w:tc>
                <w:tcPr>
                  <w:tcW w:w="3448" w:type="dxa"/>
                  <w:tcBorders>
                    <w:top w:val="single" w:color="000000" w:sz="4" w:space="0"/>
                    <w:left w:val="single" w:color="000000" w:sz="4" w:space="0"/>
                    <w:bottom w:val="single" w:color="000000" w:sz="4" w:space="0"/>
                    <w:right w:val="single" w:color="000000" w:sz="4" w:space="0"/>
                  </w:tcBorders>
                </w:tcPr>
                <w:p w14:paraId="0E57DCFA">
                  <w:pPr>
                    <w:spacing w:line="440" w:lineRule="exact"/>
                    <w:jc w:val="center"/>
                    <w:rPr>
                      <w:rFonts w:hint="eastAsia" w:ascii="宋体" w:hAnsi="宋体" w:cs="宋体"/>
                      <w:bCs/>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0.392</w:t>
                  </w:r>
                </w:p>
              </w:tc>
              <w:tc>
                <w:tcPr>
                  <w:tcW w:w="1632" w:type="dxa"/>
                  <w:tcBorders>
                    <w:top w:val="single" w:color="000000" w:sz="4" w:space="0"/>
                    <w:left w:val="single" w:color="000000" w:sz="4" w:space="0"/>
                    <w:bottom w:val="single" w:color="000000" w:sz="4" w:space="0"/>
                    <w:right w:val="single" w:color="000000" w:sz="4" w:space="0"/>
                  </w:tcBorders>
                </w:tcPr>
                <w:p w14:paraId="0E92CCFC">
                  <w:pPr>
                    <w:spacing w:line="440" w:lineRule="exact"/>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m</w:t>
                  </w:r>
                  <w:r>
                    <w:rPr>
                      <w:rFonts w:hint="eastAsia" w:ascii="宋体" w:hAnsi="宋体" w:cs="宋体"/>
                      <w:bCs/>
                      <w:color w:val="000000" w:themeColor="text1"/>
                      <w:kern w:val="0"/>
                      <w:highlight w:val="none"/>
                      <w:vertAlign w:val="superscript"/>
                      <w14:textFill>
                        <w14:solidFill>
                          <w14:schemeClr w14:val="tx1"/>
                        </w14:solidFill>
                      </w14:textFill>
                    </w:rPr>
                    <w:t>3</w:t>
                  </w:r>
                  <w:r>
                    <w:rPr>
                      <w:rFonts w:hint="eastAsia" w:ascii="宋体" w:hAnsi="宋体" w:cs="宋体"/>
                      <w:b/>
                      <w:color w:val="000000" w:themeColor="text1"/>
                      <w:kern w:val="0"/>
                      <w:highlight w:val="none"/>
                      <w14:textFill>
                        <w14:solidFill>
                          <w14:schemeClr w14:val="tx1"/>
                        </w14:solidFill>
                      </w14:textFill>
                    </w:rPr>
                    <w:t>/</w:t>
                  </w:r>
                  <w:r>
                    <w:rPr>
                      <w:rFonts w:hint="eastAsia" w:ascii="宋体" w:hAnsi="宋体" w:cs="宋体"/>
                      <w:bCs/>
                      <w:color w:val="000000" w:themeColor="text1"/>
                      <w:kern w:val="0"/>
                      <w:highlight w:val="none"/>
                      <w14:textFill>
                        <w14:solidFill>
                          <w14:schemeClr w14:val="tx1"/>
                        </w14:solidFill>
                      </w14:textFill>
                    </w:rPr>
                    <w:t>m</w:t>
                  </w:r>
                  <w:r>
                    <w:rPr>
                      <w:rFonts w:hint="eastAsia" w:ascii="宋体" w:hAnsi="宋体" w:cs="宋体"/>
                      <w:bCs/>
                      <w:color w:val="000000" w:themeColor="text1"/>
                      <w:kern w:val="0"/>
                      <w:highlight w:val="none"/>
                      <w:vertAlign w:val="superscript"/>
                      <w14:textFill>
                        <w14:solidFill>
                          <w14:schemeClr w14:val="tx1"/>
                        </w14:solidFill>
                      </w14:textFill>
                    </w:rPr>
                    <w:t>2</w:t>
                  </w:r>
                  <w:r>
                    <w:rPr>
                      <w:rFonts w:hint="eastAsia" w:ascii="宋体" w:hAnsi="宋体" w:cs="宋体"/>
                      <w:bCs/>
                      <w:color w:val="000000" w:themeColor="text1"/>
                      <w:kern w:val="0"/>
                      <w:highlight w:val="none"/>
                      <w14:textFill>
                        <w14:solidFill>
                          <w14:schemeClr w14:val="tx1"/>
                        </w14:solidFill>
                      </w14:textFill>
                    </w:rPr>
                    <w:t>·d</w:t>
                  </w:r>
                </w:p>
              </w:tc>
            </w:tr>
          </w:tbl>
          <w:p w14:paraId="1A0A83EB">
            <w:pPr>
              <w:pStyle w:val="105"/>
              <w:tabs>
                <w:tab w:val="left" w:pos="704"/>
              </w:tabs>
              <w:spacing w:line="440" w:lineRule="exact"/>
              <w:ind w:firstLine="0" w:firstLineChars="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2、膜单元技术参数</w:t>
            </w:r>
          </w:p>
          <w:tbl>
            <w:tblPr>
              <w:tblStyle w:val="18"/>
              <w:tblpPr w:leftFromText="180" w:rightFromText="180" w:vertAnchor="text" w:horzAnchor="margin" w:tblpXSpec="center" w:tblpY="5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3402"/>
              <w:gridCol w:w="3544"/>
            </w:tblGrid>
            <w:tr w14:paraId="4ABF0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271" w:type="dxa"/>
                </w:tcPr>
                <w:p w14:paraId="47BA04D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序号</w:t>
                  </w:r>
                </w:p>
              </w:tc>
              <w:tc>
                <w:tcPr>
                  <w:tcW w:w="3402" w:type="dxa"/>
                </w:tcPr>
                <w:p w14:paraId="7C85546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项目名称(元件)</w:t>
                  </w:r>
                </w:p>
              </w:tc>
              <w:tc>
                <w:tcPr>
                  <w:tcW w:w="3544" w:type="dxa"/>
                </w:tcPr>
                <w:p w14:paraId="3E49E6E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参数</w:t>
                  </w:r>
                </w:p>
              </w:tc>
            </w:tr>
            <w:tr w14:paraId="5E1F6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271" w:type="dxa"/>
                </w:tcPr>
                <w:p w14:paraId="45FD75D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p>
              </w:tc>
              <w:tc>
                <w:tcPr>
                  <w:tcW w:w="3402" w:type="dxa"/>
                </w:tcPr>
                <w:p w14:paraId="7C36AD4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有效膜面积（m</w:t>
                  </w:r>
                  <w:r>
                    <w:rPr>
                      <w:rFonts w:hint="eastAsia" w:ascii="宋体" w:hAnsi="宋体" w:cs="宋体"/>
                      <w:color w:val="000000" w:themeColor="text1"/>
                      <w:kern w:val="0"/>
                      <w:highlight w:val="none"/>
                      <w:vertAlign w:val="superscript"/>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/piece）</w:t>
                  </w:r>
                </w:p>
              </w:tc>
              <w:tc>
                <w:tcPr>
                  <w:tcW w:w="3544" w:type="dxa"/>
                </w:tcPr>
                <w:p w14:paraId="15DAC80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w:t>
                  </w:r>
                </w:p>
              </w:tc>
            </w:tr>
            <w:tr w14:paraId="3DC5B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271" w:type="dxa"/>
                </w:tcPr>
                <w:p w14:paraId="57AEBD2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p>
              </w:tc>
              <w:tc>
                <w:tcPr>
                  <w:tcW w:w="3402" w:type="dxa"/>
                </w:tcPr>
                <w:p w14:paraId="5200195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膜厚度（mm）</w:t>
                  </w:r>
                </w:p>
              </w:tc>
              <w:tc>
                <w:tcPr>
                  <w:tcW w:w="3544" w:type="dxa"/>
                </w:tcPr>
                <w:p w14:paraId="51B2E1E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0.2</w:t>
                  </w:r>
                </w:p>
              </w:tc>
            </w:tr>
            <w:tr w14:paraId="26FD2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271" w:type="dxa"/>
                </w:tcPr>
                <w:p w14:paraId="0821E84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p>
              </w:tc>
              <w:tc>
                <w:tcPr>
                  <w:tcW w:w="3402" w:type="dxa"/>
                </w:tcPr>
                <w:p w14:paraId="5876590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※平均膜孔径（</w:t>
                  </w:r>
                  <w:r>
                    <w:rPr>
                      <w:rFonts w:hint="eastAsia" w:ascii="宋体" w:hAnsi="宋体" w:cs="宋体"/>
                      <w:color w:val="000000" w:themeColor="text1"/>
                      <w:kern w:val="0"/>
                      <w:highlight w:val="none"/>
                      <w14:textFill>
                        <w14:solidFill>
                          <w14:schemeClr w14:val="tx1"/>
                        </w14:solidFill>
                      </w14:textFill>
                    </w:rPr>
                    <w:t>μ</w:t>
                  </w:r>
                  <w:r>
                    <w:rPr>
                      <w:rFonts w:hint="eastAsia" w:ascii="宋体" w:hAnsi="宋体" w:cs="宋体"/>
                      <w:color w:val="000000" w:themeColor="text1"/>
                      <w:highlight w:val="none"/>
                      <w14:textFill>
                        <w14:solidFill>
                          <w14:schemeClr w14:val="tx1"/>
                        </w14:solidFill>
                      </w14:textFill>
                    </w:rPr>
                    <w:t>m）</w:t>
                  </w:r>
                </w:p>
              </w:tc>
              <w:tc>
                <w:tcPr>
                  <w:tcW w:w="3544" w:type="dxa"/>
                </w:tcPr>
                <w:p w14:paraId="2860076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≤0.100</w:t>
                  </w:r>
                </w:p>
              </w:tc>
            </w:tr>
            <w:tr w14:paraId="16389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271" w:type="dxa"/>
                </w:tcPr>
                <w:p w14:paraId="268A879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w:t>
                  </w:r>
                </w:p>
              </w:tc>
              <w:tc>
                <w:tcPr>
                  <w:tcW w:w="3402" w:type="dxa"/>
                </w:tcPr>
                <w:p w14:paraId="5E3AF08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※膜通量（ml/cm</w:t>
                  </w:r>
                  <w:r>
                    <w:rPr>
                      <w:rFonts w:hint="eastAsia" w:ascii="宋体" w:hAnsi="宋体" w:cs="宋体"/>
                      <w:color w:val="000000" w:themeColor="text1"/>
                      <w:highlight w:val="none"/>
                      <w:vertAlign w:val="superscript"/>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.h）</w:t>
                  </w:r>
                </w:p>
              </w:tc>
              <w:tc>
                <w:tcPr>
                  <w:tcW w:w="3544" w:type="dxa"/>
                </w:tcPr>
                <w:p w14:paraId="4DB4A55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≥4.73</w:t>
                  </w:r>
                </w:p>
              </w:tc>
            </w:tr>
            <w:tr w14:paraId="52709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271" w:type="dxa"/>
                </w:tcPr>
                <w:p w14:paraId="7724B61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w:t>
                  </w:r>
                </w:p>
              </w:tc>
              <w:tc>
                <w:tcPr>
                  <w:tcW w:w="3402" w:type="dxa"/>
                </w:tcPr>
                <w:p w14:paraId="6EE840D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重量（Kg/piece）</w:t>
                  </w:r>
                </w:p>
              </w:tc>
              <w:tc>
                <w:tcPr>
                  <w:tcW w:w="3544" w:type="dxa"/>
                </w:tcPr>
                <w:p w14:paraId="15F07CA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4.9</w:t>
                  </w:r>
                </w:p>
              </w:tc>
            </w:tr>
            <w:tr w14:paraId="17982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271" w:type="dxa"/>
                </w:tcPr>
                <w:p w14:paraId="4D33DAC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w:t>
                  </w:r>
                </w:p>
              </w:tc>
              <w:tc>
                <w:tcPr>
                  <w:tcW w:w="3402" w:type="dxa"/>
                </w:tcPr>
                <w:p w14:paraId="0D298DA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膜材质</w:t>
                  </w:r>
                </w:p>
              </w:tc>
              <w:tc>
                <w:tcPr>
                  <w:tcW w:w="3544" w:type="dxa"/>
                </w:tcPr>
                <w:p w14:paraId="7BD37BA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聚偏氟乙烯（PVDF）</w:t>
                  </w:r>
                </w:p>
              </w:tc>
            </w:tr>
            <w:tr w14:paraId="0D461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271" w:type="dxa"/>
                  <w:vAlign w:val="center"/>
                </w:tcPr>
                <w:p w14:paraId="1FBE316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w:t>
                  </w:r>
                </w:p>
              </w:tc>
              <w:tc>
                <w:tcPr>
                  <w:tcW w:w="3402" w:type="dxa"/>
                  <w:vAlign w:val="center"/>
                </w:tcPr>
                <w:p w14:paraId="1F6B755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支撑板材质</w:t>
                  </w:r>
                </w:p>
              </w:tc>
              <w:tc>
                <w:tcPr>
                  <w:tcW w:w="3544" w:type="dxa"/>
                  <w:vAlign w:val="center"/>
                </w:tcPr>
                <w:p w14:paraId="78AC4AC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丙烯晴-丁二烯-苯乙烯共聚物（ABS）</w:t>
                  </w:r>
                </w:p>
              </w:tc>
            </w:tr>
            <w:tr w14:paraId="2F0B1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271" w:type="dxa"/>
                </w:tcPr>
                <w:p w14:paraId="7025395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w:t>
                  </w:r>
                </w:p>
              </w:tc>
              <w:tc>
                <w:tcPr>
                  <w:tcW w:w="3402" w:type="dxa"/>
                </w:tcPr>
                <w:p w14:paraId="572BE82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曝气量Q(L/min.piece)</w:t>
                  </w:r>
                </w:p>
              </w:tc>
              <w:tc>
                <w:tcPr>
                  <w:tcW w:w="3544" w:type="dxa"/>
                </w:tcPr>
                <w:p w14:paraId="36BBEEF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w:t>
                  </w:r>
                </w:p>
              </w:tc>
            </w:tr>
            <w:tr w14:paraId="5FAF7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271" w:type="dxa"/>
                </w:tcPr>
                <w:p w14:paraId="01BFCAE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w:t>
                  </w:r>
                </w:p>
              </w:tc>
              <w:tc>
                <w:tcPr>
                  <w:tcW w:w="3402" w:type="dxa"/>
                </w:tcPr>
                <w:p w14:paraId="4C6E191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出水浊度（NTU）</w:t>
                  </w:r>
                </w:p>
              </w:tc>
              <w:tc>
                <w:tcPr>
                  <w:tcW w:w="3544" w:type="dxa"/>
                </w:tcPr>
                <w:p w14:paraId="29BE19B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1</w:t>
                  </w:r>
                </w:p>
              </w:tc>
            </w:tr>
          </w:tbl>
          <w:p w14:paraId="6C58DADF">
            <w:pPr>
              <w:pStyle w:val="105"/>
              <w:tabs>
                <w:tab w:val="left" w:pos="704"/>
              </w:tabs>
              <w:spacing w:line="440" w:lineRule="exact"/>
              <w:ind w:firstLine="0" w:firstLineChars="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注：标※项目供货方需提供CMA第三方检测报告。</w:t>
            </w:r>
          </w:p>
          <w:p w14:paraId="1AE4FE61">
            <w:pPr>
              <w:pStyle w:val="105"/>
              <w:tabs>
                <w:tab w:val="left" w:pos="704"/>
              </w:tabs>
              <w:spacing w:line="440" w:lineRule="exact"/>
              <w:ind w:firstLine="0" w:firstLineChars="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3、曝气箱：材质304SS，配套ABS曝气装置。</w:t>
            </w:r>
          </w:p>
          <w:p w14:paraId="570D05B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4、包装与运输</w:t>
            </w:r>
          </w:p>
          <w:p w14:paraId="020AEC94">
            <w:pPr>
              <w:pStyle w:val="105"/>
              <w:spacing w:line="440" w:lineRule="exact"/>
              <w:ind w:firstLine="0" w:firstLineChars="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包装要求：包装需防潮、防震，防晒，避免运输中损坏。</w:t>
            </w:r>
          </w:p>
          <w:p w14:paraId="41491DBC">
            <w:pPr>
              <w:pStyle w:val="105"/>
              <w:spacing w:line="440" w:lineRule="exact"/>
              <w:ind w:firstLine="0" w:firstLineChars="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运输要求：运输过程中需防止剧烈震动和挤压。</w:t>
            </w:r>
          </w:p>
          <w:p w14:paraId="74CA940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5、安装与维护</w:t>
            </w:r>
          </w:p>
          <w:p w14:paraId="4CC72AFA">
            <w:pPr>
              <w:pStyle w:val="105"/>
              <w:spacing w:line="440" w:lineRule="exact"/>
              <w:ind w:firstLine="0" w:firstLineChars="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安装要求：安装需按规范进行，确保密封性和稳定性。</w:t>
            </w:r>
          </w:p>
          <w:p w14:paraId="5521FDD3">
            <w:pPr>
              <w:pStyle w:val="105"/>
              <w:spacing w:line="440" w:lineRule="exact"/>
              <w:ind w:firstLine="0" w:firstLineChars="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维护要求：提供详细维护手册，确保长期稳定运行。</w:t>
            </w:r>
          </w:p>
        </w:tc>
        <w:tc>
          <w:tcPr>
            <w:tcW w:w="1106" w:type="dxa"/>
            <w:tcBorders>
              <w:tl2br w:val="nil"/>
              <w:tr2bl w:val="nil"/>
            </w:tcBorders>
            <w:vAlign w:val="center"/>
          </w:tcPr>
          <w:p w14:paraId="364BE1A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4套</w:t>
            </w:r>
          </w:p>
        </w:tc>
        <w:tc>
          <w:tcPr>
            <w:tcW w:w="1689" w:type="dxa"/>
            <w:tcBorders>
              <w:tl2br w:val="nil"/>
              <w:tr2bl w:val="nil"/>
            </w:tcBorders>
            <w:vAlign w:val="center"/>
          </w:tcPr>
          <w:p w14:paraId="035DE784">
            <w:pPr>
              <w:spacing w:line="440" w:lineRule="exact"/>
              <w:rPr>
                <w:rFonts w:hint="eastAsia" w:ascii="宋体" w:hAnsi="宋体" w:cs="宋体"/>
                <w:color w:val="000000" w:themeColor="text1"/>
                <w:highlight w:val="none"/>
                <w14:textFill>
                  <w14:solidFill>
                    <w14:schemeClr w14:val="tx1"/>
                  </w14:solidFill>
                </w14:textFill>
              </w:rPr>
            </w:pPr>
          </w:p>
        </w:tc>
      </w:tr>
      <w:tr w14:paraId="597059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0C283C6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16</w:t>
            </w:r>
          </w:p>
        </w:tc>
        <w:tc>
          <w:tcPr>
            <w:tcW w:w="1984" w:type="dxa"/>
            <w:tcBorders>
              <w:tl2br w:val="nil"/>
              <w:tr2bl w:val="nil"/>
            </w:tcBorders>
            <w:vAlign w:val="center"/>
          </w:tcPr>
          <w:p w14:paraId="184F998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可数据传输真空表</w:t>
            </w:r>
          </w:p>
        </w:tc>
        <w:tc>
          <w:tcPr>
            <w:tcW w:w="8363" w:type="dxa"/>
            <w:tcBorders>
              <w:tl2br w:val="nil"/>
              <w:tr2bl w:val="nil"/>
            </w:tcBorders>
            <w:vAlign w:val="center"/>
          </w:tcPr>
          <w:p w14:paraId="440141F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量程：-0.1Mpa-0Mpa，精度等级：1.6级，表壳材质铸铝，纯铜螺纹接头</w:t>
            </w:r>
          </w:p>
        </w:tc>
        <w:tc>
          <w:tcPr>
            <w:tcW w:w="1106" w:type="dxa"/>
            <w:tcBorders>
              <w:tl2br w:val="nil"/>
              <w:tr2bl w:val="nil"/>
            </w:tcBorders>
            <w:vAlign w:val="center"/>
          </w:tcPr>
          <w:p w14:paraId="6FE9C8F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1套</w:t>
            </w:r>
          </w:p>
        </w:tc>
        <w:tc>
          <w:tcPr>
            <w:tcW w:w="1689" w:type="dxa"/>
            <w:tcBorders>
              <w:tl2br w:val="nil"/>
              <w:tr2bl w:val="nil"/>
            </w:tcBorders>
            <w:vAlign w:val="center"/>
          </w:tcPr>
          <w:p w14:paraId="42CB7C99">
            <w:pPr>
              <w:spacing w:line="440" w:lineRule="exact"/>
              <w:rPr>
                <w:rFonts w:hint="eastAsia" w:ascii="宋体" w:hAnsi="宋体" w:cs="宋体"/>
                <w:color w:val="000000" w:themeColor="text1"/>
                <w:highlight w:val="none"/>
                <w14:textFill>
                  <w14:solidFill>
                    <w14:schemeClr w14:val="tx1"/>
                  </w14:solidFill>
                </w14:textFill>
              </w:rPr>
            </w:pPr>
          </w:p>
        </w:tc>
      </w:tr>
      <w:tr w14:paraId="7DF9D3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3C614DA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17</w:t>
            </w:r>
          </w:p>
        </w:tc>
        <w:tc>
          <w:tcPr>
            <w:tcW w:w="1984" w:type="dxa"/>
            <w:tcBorders>
              <w:tl2br w:val="nil"/>
              <w:tr2bl w:val="nil"/>
            </w:tcBorders>
            <w:vAlign w:val="center"/>
          </w:tcPr>
          <w:p w14:paraId="53B33A0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气提回流装置</w:t>
            </w:r>
          </w:p>
        </w:tc>
        <w:tc>
          <w:tcPr>
            <w:tcW w:w="8363" w:type="dxa"/>
            <w:tcBorders>
              <w:tl2br w:val="nil"/>
              <w:tr2bl w:val="nil"/>
            </w:tcBorders>
            <w:vAlign w:val="center"/>
          </w:tcPr>
          <w:p w14:paraId="256DEB0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流量：Q=35m3/h，材质：钢制防腐</w:t>
            </w:r>
          </w:p>
        </w:tc>
        <w:tc>
          <w:tcPr>
            <w:tcW w:w="1106" w:type="dxa"/>
            <w:tcBorders>
              <w:tl2br w:val="nil"/>
              <w:tr2bl w:val="nil"/>
            </w:tcBorders>
            <w:vAlign w:val="center"/>
          </w:tcPr>
          <w:p w14:paraId="0F43133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1套</w:t>
            </w:r>
          </w:p>
        </w:tc>
        <w:tc>
          <w:tcPr>
            <w:tcW w:w="1689" w:type="dxa"/>
            <w:tcBorders>
              <w:tl2br w:val="nil"/>
              <w:tr2bl w:val="nil"/>
            </w:tcBorders>
            <w:vAlign w:val="center"/>
          </w:tcPr>
          <w:p w14:paraId="0E86783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依图加工制造</w:t>
            </w:r>
          </w:p>
        </w:tc>
      </w:tr>
      <w:tr w14:paraId="0A1B71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5F9DC4B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18</w:t>
            </w:r>
          </w:p>
        </w:tc>
        <w:tc>
          <w:tcPr>
            <w:tcW w:w="1984" w:type="dxa"/>
            <w:tcBorders>
              <w:tl2br w:val="nil"/>
              <w:tr2bl w:val="nil"/>
            </w:tcBorders>
            <w:vAlign w:val="center"/>
          </w:tcPr>
          <w:p w14:paraId="712FAC6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爬梯</w:t>
            </w:r>
          </w:p>
        </w:tc>
        <w:tc>
          <w:tcPr>
            <w:tcW w:w="8363" w:type="dxa"/>
            <w:tcBorders>
              <w:tl2br w:val="nil"/>
              <w:tr2bl w:val="nil"/>
            </w:tcBorders>
            <w:vAlign w:val="center"/>
          </w:tcPr>
          <w:p w14:paraId="789168F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材质：碳钢防腐 平面尺寸：2250*400mm</w:t>
            </w:r>
          </w:p>
        </w:tc>
        <w:tc>
          <w:tcPr>
            <w:tcW w:w="1106" w:type="dxa"/>
            <w:tcBorders>
              <w:tl2br w:val="nil"/>
              <w:tr2bl w:val="nil"/>
            </w:tcBorders>
            <w:vAlign w:val="center"/>
          </w:tcPr>
          <w:p w14:paraId="469D595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1个</w:t>
            </w:r>
          </w:p>
        </w:tc>
        <w:tc>
          <w:tcPr>
            <w:tcW w:w="1689" w:type="dxa"/>
            <w:tcBorders>
              <w:tl2br w:val="nil"/>
              <w:tr2bl w:val="nil"/>
            </w:tcBorders>
            <w:vAlign w:val="center"/>
          </w:tcPr>
          <w:p w14:paraId="400FA1D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依图加工制造</w:t>
            </w:r>
          </w:p>
        </w:tc>
      </w:tr>
      <w:tr w14:paraId="113A82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294AD0C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w:t>
            </w:r>
          </w:p>
        </w:tc>
        <w:tc>
          <w:tcPr>
            <w:tcW w:w="1984" w:type="dxa"/>
            <w:tcBorders>
              <w:tl2br w:val="nil"/>
              <w:tr2bl w:val="nil"/>
            </w:tcBorders>
            <w:vAlign w:val="center"/>
          </w:tcPr>
          <w:p w14:paraId="5E9B661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顶部盖网</w:t>
            </w:r>
          </w:p>
        </w:tc>
        <w:tc>
          <w:tcPr>
            <w:tcW w:w="8363" w:type="dxa"/>
            <w:tcBorders>
              <w:tl2br w:val="nil"/>
              <w:tr2bl w:val="nil"/>
            </w:tcBorders>
            <w:vAlign w:val="center"/>
          </w:tcPr>
          <w:p w14:paraId="538BC38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面积：4.2*2.0m 网孔：2cm*2cm，</w:t>
            </w:r>
          </w:p>
          <w:p w14:paraId="7A3F670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材质：304SS</w:t>
            </w:r>
          </w:p>
        </w:tc>
        <w:tc>
          <w:tcPr>
            <w:tcW w:w="1106" w:type="dxa"/>
            <w:tcBorders>
              <w:tl2br w:val="nil"/>
              <w:tr2bl w:val="nil"/>
            </w:tcBorders>
            <w:vAlign w:val="center"/>
          </w:tcPr>
          <w:p w14:paraId="1CDF483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1个</w:t>
            </w:r>
          </w:p>
        </w:tc>
        <w:tc>
          <w:tcPr>
            <w:tcW w:w="1689" w:type="dxa"/>
            <w:tcBorders>
              <w:tl2br w:val="nil"/>
              <w:tr2bl w:val="nil"/>
            </w:tcBorders>
            <w:vAlign w:val="center"/>
          </w:tcPr>
          <w:p w14:paraId="7A755A60">
            <w:pPr>
              <w:spacing w:line="440" w:lineRule="exact"/>
              <w:rPr>
                <w:rFonts w:hint="eastAsia" w:ascii="宋体" w:hAnsi="宋体" w:cs="宋体"/>
                <w:color w:val="000000" w:themeColor="text1"/>
                <w:highlight w:val="none"/>
                <w14:textFill>
                  <w14:solidFill>
                    <w14:schemeClr w14:val="tx1"/>
                  </w14:solidFill>
                </w14:textFill>
              </w:rPr>
            </w:pPr>
          </w:p>
        </w:tc>
      </w:tr>
      <w:tr w14:paraId="71271E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20DE2F6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20</w:t>
            </w:r>
          </w:p>
        </w:tc>
        <w:tc>
          <w:tcPr>
            <w:tcW w:w="1984" w:type="dxa"/>
            <w:tcBorders>
              <w:tl2br w:val="nil"/>
              <w:tr2bl w:val="nil"/>
            </w:tcBorders>
            <w:vAlign w:val="center"/>
          </w:tcPr>
          <w:p w14:paraId="180BDF7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回用水池</w:t>
            </w:r>
          </w:p>
        </w:tc>
        <w:tc>
          <w:tcPr>
            <w:tcW w:w="8363" w:type="dxa"/>
            <w:tcBorders>
              <w:tl2br w:val="nil"/>
              <w:tr2bl w:val="nil"/>
            </w:tcBorders>
            <w:vAlign w:val="center"/>
          </w:tcPr>
          <w:p w14:paraId="5D90C66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1、尺寸：8.0*3.0*3.0m</w:t>
            </w:r>
          </w:p>
          <w:p w14:paraId="54BDA8D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2、材质：碳钢防腐，钢板厚度8mm</w:t>
            </w:r>
          </w:p>
          <w:p w14:paraId="61856CC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3、主体结构外表面应光滑，无裂纹和明显划痕，色泽均匀。主体内表面、隔板等应光滑平整，无纤维、碳钢加强筋等裸露，无明显缺陷。</w:t>
            </w:r>
          </w:p>
          <w:p w14:paraId="72ABF2A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4、防腐前应严格除锈，除锈质量应符合 GB/T8923.1规定的喷射清理等级Sa2级。内防腐底漆采用厚浆型环氧重防腐涂料，三道约80um*3,面漆采用高抗水性环氧重防水涂料，棕褐色,80um*4；外防腐采用环氧富锌底漆，三道约80um*3,环氧云铁中间漆，两道约80um*2,米白色丙烯酸聚氨酯面漆。</w:t>
            </w:r>
          </w:p>
          <w:p w14:paraId="33F8605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5、焊接要求</w:t>
            </w:r>
          </w:p>
          <w:p w14:paraId="1D8833D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焊接前须将距焊缝边缘一定范围内(焊条电弧焊不应小于10 mm，埋弧焊不应小于 20 mm)焊接结构表面上的铁锈、油、油漆、尘土等污物除净，并须进行除潮处理。</w:t>
            </w:r>
          </w:p>
          <w:p w14:paraId="601AD87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焊接件的焊缝应平整光滑，不应有气孔、夹渣、错边、满溢、焊瘤、弧坑、间断、咬边、烧穿凹陷、脱焊、漏焊、虚焊等缺陷。焊接件关键尺寸的尺寸公差或几何公差应按JB/T5943的规定。焊缝应进行煤油渗漏试验，不得渗漏。</w:t>
            </w:r>
          </w:p>
          <w:p w14:paraId="2D99919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6.吊环及检修孔要求</w:t>
            </w:r>
          </w:p>
          <w:p w14:paraId="6DC6411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为了方便搬运、安装，一体化设备应注明重心及吊装位置，并设吊装环(钩);吊装环(钩)的数量及强度应满足一体化设备整体吊装要求。地埋式一体化设备的检修孔或窨井应设有防盗装置。位于车行道的地埋式一体化设备，其检修孔盖或窨井盖及其井座应具有足够的安全系数。一体化设备应设置不少于2个检修口，且检修口直径不宜小于500mm。</w:t>
            </w:r>
          </w:p>
          <w:p w14:paraId="5C8AD966">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7、强度及密封性要求</w:t>
            </w:r>
          </w:p>
          <w:p w14:paraId="56C623F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体化设备主体需进行静压检漏检验，不应出现变形和渗漏。水管路系统应做水压试验，不得出现渗漏和异常变形现象。气管路系统应做气压试验，不得出现泄漏现象。主体结构采用金属材料使用年限不应少于15年。</w:t>
            </w:r>
          </w:p>
          <w:p w14:paraId="0AEDFA3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8、强度及密封性试验</w:t>
            </w:r>
          </w:p>
          <w:p w14:paraId="38B679B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一体化设备主体静压检漏方法:向一体化设备主体内注入清水至溢流管口高度，水位保持8h应无渗漏现象。</w:t>
            </w:r>
          </w:p>
          <w:p w14:paraId="3A98302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水管路系统水压试验方法:试验压力为0.6MPa，金属及复合管管道系统在试验压力下观测10min，压力降不应大于0.02MPa,然后将压力降到工作压力检査系统有无渗漏和变形现象:塑料管管道系统在试验压力下稳压1h，压力降不应大于0.05 MPa,然后在工作压力的 1.15倍状态下稳压2h，压力降不得超过0.03MPa，检查系统各连接处有无渗和变形现象。</w:t>
            </w:r>
          </w:p>
          <w:p w14:paraId="1851931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气管路系统气压试验方法:试验压力应为设计压力的1.15倍，试验时应逐步缓慢增加压力，当压力升至试验压力的50%时，若未发现异状或泄漏，继续按试验压力的10%逐级升压，每级保压3min直至试验压力。保压10min，再将压力降至设计压力，停压时间应根据查漏工作需要而定。采用发泡剂检验系统有无泄漏现象。</w:t>
            </w:r>
          </w:p>
        </w:tc>
        <w:tc>
          <w:tcPr>
            <w:tcW w:w="1106" w:type="dxa"/>
            <w:tcBorders>
              <w:tl2br w:val="nil"/>
              <w:tr2bl w:val="nil"/>
            </w:tcBorders>
            <w:vAlign w:val="center"/>
          </w:tcPr>
          <w:p w14:paraId="56CFE91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1座</w:t>
            </w:r>
          </w:p>
        </w:tc>
        <w:tc>
          <w:tcPr>
            <w:tcW w:w="1689" w:type="dxa"/>
            <w:tcBorders>
              <w:tl2br w:val="nil"/>
              <w:tr2bl w:val="nil"/>
            </w:tcBorders>
            <w:vAlign w:val="center"/>
          </w:tcPr>
          <w:p w14:paraId="78E8DFF0">
            <w:pPr>
              <w:spacing w:line="440" w:lineRule="exact"/>
              <w:rPr>
                <w:rFonts w:hint="eastAsia" w:ascii="宋体" w:hAnsi="宋体" w:cs="宋体"/>
                <w:color w:val="000000" w:themeColor="text1"/>
                <w:highlight w:val="none"/>
                <w14:textFill>
                  <w14:solidFill>
                    <w14:schemeClr w14:val="tx1"/>
                  </w14:solidFill>
                </w14:textFill>
              </w:rPr>
            </w:pPr>
          </w:p>
        </w:tc>
      </w:tr>
      <w:tr w14:paraId="78CDFB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375FE38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21</w:t>
            </w:r>
          </w:p>
        </w:tc>
        <w:tc>
          <w:tcPr>
            <w:tcW w:w="1984" w:type="dxa"/>
            <w:tcBorders>
              <w:tl2br w:val="nil"/>
              <w:tr2bl w:val="nil"/>
            </w:tcBorders>
            <w:vAlign w:val="center"/>
          </w:tcPr>
          <w:p w14:paraId="6996E7D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设备间</w:t>
            </w:r>
          </w:p>
        </w:tc>
        <w:tc>
          <w:tcPr>
            <w:tcW w:w="8363" w:type="dxa"/>
            <w:tcBorders>
              <w:tl2br w:val="nil"/>
              <w:tr2bl w:val="nil"/>
            </w:tcBorders>
            <w:vAlign w:val="center"/>
          </w:tcPr>
          <w:p w14:paraId="5BBB21C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1、6.0*3.0*3.0m，含标准防盗门窗，照明和插座等；</w:t>
            </w:r>
          </w:p>
          <w:p w14:paraId="71EE2796">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2、标准打包箱房，带四面坡树脂瓦盖顶，四面坡树脂瓦房顶出箱房四面墙体20cm，含标准防盗门1扇，标准防盗窗2扇，照明线路及LED灯具及开关等。</w:t>
            </w:r>
          </w:p>
        </w:tc>
        <w:tc>
          <w:tcPr>
            <w:tcW w:w="1106" w:type="dxa"/>
            <w:tcBorders>
              <w:tl2br w:val="nil"/>
              <w:tr2bl w:val="nil"/>
            </w:tcBorders>
            <w:vAlign w:val="center"/>
          </w:tcPr>
          <w:p w14:paraId="135C9E3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1间</w:t>
            </w:r>
          </w:p>
        </w:tc>
        <w:tc>
          <w:tcPr>
            <w:tcW w:w="1689" w:type="dxa"/>
            <w:tcBorders>
              <w:tl2br w:val="nil"/>
              <w:tr2bl w:val="nil"/>
            </w:tcBorders>
            <w:vAlign w:val="center"/>
          </w:tcPr>
          <w:p w14:paraId="7781DCB1">
            <w:pPr>
              <w:spacing w:line="440" w:lineRule="exact"/>
              <w:jc w:val="center"/>
              <w:rPr>
                <w:rFonts w:hint="eastAsia" w:ascii="宋体" w:hAnsi="宋体" w:cs="宋体"/>
                <w:color w:val="000000" w:themeColor="text1"/>
                <w:highlight w:val="none"/>
                <w14:textFill>
                  <w14:solidFill>
                    <w14:schemeClr w14:val="tx1"/>
                  </w14:solidFill>
                </w14:textFill>
              </w:rPr>
            </w:pPr>
          </w:p>
        </w:tc>
      </w:tr>
      <w:tr w14:paraId="7A6736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76119B2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w:t>
            </w:r>
          </w:p>
        </w:tc>
        <w:tc>
          <w:tcPr>
            <w:tcW w:w="1984" w:type="dxa"/>
            <w:tcBorders>
              <w:tl2br w:val="nil"/>
              <w:tr2bl w:val="nil"/>
            </w:tcBorders>
            <w:vAlign w:val="center"/>
          </w:tcPr>
          <w:p w14:paraId="0354353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曝气风机</w:t>
            </w:r>
          </w:p>
        </w:tc>
        <w:tc>
          <w:tcPr>
            <w:tcW w:w="8363" w:type="dxa"/>
            <w:tcBorders>
              <w:tl2br w:val="nil"/>
              <w:tr2bl w:val="nil"/>
            </w:tcBorders>
            <w:vAlign w:val="center"/>
          </w:tcPr>
          <w:p w14:paraId="36363F66">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1、风量=3.3方/min，风压=30kpa,功率=2.2kw，4HG520-2200，噪音不大于85分贝，材质：铸铁、合金钢.</w:t>
            </w:r>
          </w:p>
          <w:p w14:paraId="0661218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2、风机主要用于向好氧池供氧，投标人应考虑选择适当的低噪音风机，并须装设安全阀、压力表、止回阀、弹性接头等。</w:t>
            </w:r>
          </w:p>
          <w:p w14:paraId="1CEF3D8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3、风机应设有必要地自动报警和保护装置。</w:t>
            </w:r>
          </w:p>
          <w:p w14:paraId="32B4D3A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4、所有的辅助管道系统如密封、润滑油等包括仪表和阀门，应由卖方提供并安装在设备上，所有管道应接至风机底座边。</w:t>
            </w:r>
          </w:p>
          <w:p w14:paraId="3C2501F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5、所有材料应符合相应的国标标准，并能满足规定的设计条件。</w:t>
            </w:r>
          </w:p>
          <w:p w14:paraId="10CD4DB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6、整个电机和风机装置的噪音应低于85dB，如不能满足要求，则应考虑消音和隔音措施。</w:t>
            </w:r>
          </w:p>
          <w:p w14:paraId="174FFC1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7、电气设备的控制、继电保护应遵循国标相关标准。</w:t>
            </w:r>
          </w:p>
          <w:p w14:paraId="3DC026EB">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8、卖方供货的电气设备和材料应从国内公认合格的制造厂商中选择。</w:t>
            </w:r>
          </w:p>
          <w:p w14:paraId="5538610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9、在规定的流量下，所对应的风机压力偏差为±5%。</w:t>
            </w:r>
          </w:p>
          <w:p w14:paraId="2FF2279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10、风机振动速度有效值Vrms≤4.0mm/s。</w:t>
            </w:r>
          </w:p>
        </w:tc>
        <w:tc>
          <w:tcPr>
            <w:tcW w:w="1106" w:type="dxa"/>
            <w:tcBorders>
              <w:tl2br w:val="nil"/>
              <w:tr2bl w:val="nil"/>
            </w:tcBorders>
            <w:vAlign w:val="center"/>
          </w:tcPr>
          <w:p w14:paraId="746E381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3台</w:t>
            </w:r>
          </w:p>
        </w:tc>
        <w:tc>
          <w:tcPr>
            <w:tcW w:w="1689" w:type="dxa"/>
            <w:tcBorders>
              <w:tl2br w:val="nil"/>
              <w:tr2bl w:val="nil"/>
            </w:tcBorders>
            <w:vAlign w:val="center"/>
          </w:tcPr>
          <w:p w14:paraId="60BBD94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2用1备</w:t>
            </w:r>
          </w:p>
        </w:tc>
      </w:tr>
      <w:tr w14:paraId="601E1B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2E1B851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23</w:t>
            </w:r>
          </w:p>
        </w:tc>
        <w:tc>
          <w:tcPr>
            <w:tcW w:w="1984" w:type="dxa"/>
            <w:tcBorders>
              <w:tl2br w:val="nil"/>
              <w:tr2bl w:val="nil"/>
            </w:tcBorders>
            <w:vAlign w:val="center"/>
          </w:tcPr>
          <w:p w14:paraId="6C71F4E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气提风机</w:t>
            </w:r>
          </w:p>
        </w:tc>
        <w:tc>
          <w:tcPr>
            <w:tcW w:w="8363" w:type="dxa"/>
            <w:tcBorders>
              <w:tl2br w:val="nil"/>
              <w:tr2bl w:val="nil"/>
            </w:tcBorders>
            <w:vAlign w:val="center"/>
          </w:tcPr>
          <w:p w14:paraId="4FCBDB72">
            <w:pPr>
              <w:spacing w:line="44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1、风量=1.45方/min，风压=30kpa,功率=1.6kw，4HG420-1600，噪音不大于85分贝，材质：铸铁、合金钢</w:t>
            </w:r>
            <w:r>
              <w:rPr>
                <w:rFonts w:hint="eastAsia" w:ascii="宋体" w:hAnsi="宋体" w:cs="宋体"/>
                <w:color w:val="000000" w:themeColor="text1"/>
                <w:highlight w:val="none"/>
                <w:lang w:eastAsia="zh-CN"/>
                <w14:textFill>
                  <w14:solidFill>
                    <w14:schemeClr w14:val="tx1"/>
                  </w14:solidFill>
                </w14:textFill>
              </w:rPr>
              <w:t>。</w:t>
            </w:r>
          </w:p>
          <w:p w14:paraId="22C7F8E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2、风机主要用于气提回流装置，投标人应考虑选择适当的低噪音风机，并须装设安全阀、压力表、止回阀、弹性接头等。</w:t>
            </w:r>
          </w:p>
          <w:p w14:paraId="5D42246B">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3、风机应设有必要地自动报警和保护装置。</w:t>
            </w:r>
          </w:p>
          <w:p w14:paraId="44B9734B">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4、所有的辅助管道系统如密封、润滑油等包括仪表和阀门，应由卖方提供并安装在设备上，所有管道应接至风机底座边。</w:t>
            </w:r>
          </w:p>
          <w:p w14:paraId="589EC2F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5、所有材料应符合相应的国标标准，并能满足规定的设计条件。</w:t>
            </w:r>
          </w:p>
          <w:p w14:paraId="6B0D5FF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6、整个电机和风机装置的噪音应低于85dB，如不能满足要求，则应考虑消音和隔音措施。</w:t>
            </w:r>
          </w:p>
          <w:p w14:paraId="4B353E1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7、电气设备的控制、继电保护应遵循国标相关标准。</w:t>
            </w:r>
          </w:p>
          <w:p w14:paraId="3E78903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8、卖方供货的电气设备和材料应从国内公认合格的制造厂商中选择。</w:t>
            </w:r>
          </w:p>
          <w:p w14:paraId="359A76A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9、在规定的流量下，所对应的风机压力偏差为±5%。</w:t>
            </w:r>
          </w:p>
          <w:p w14:paraId="4C046A9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10、风机振动速度有效值Vrms≤4.0mm/s。</w:t>
            </w:r>
          </w:p>
        </w:tc>
        <w:tc>
          <w:tcPr>
            <w:tcW w:w="1106" w:type="dxa"/>
            <w:tcBorders>
              <w:tl2br w:val="nil"/>
              <w:tr2bl w:val="nil"/>
            </w:tcBorders>
            <w:vAlign w:val="center"/>
          </w:tcPr>
          <w:p w14:paraId="24FD925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1台</w:t>
            </w:r>
          </w:p>
        </w:tc>
        <w:tc>
          <w:tcPr>
            <w:tcW w:w="1689" w:type="dxa"/>
            <w:tcBorders>
              <w:tl2br w:val="nil"/>
              <w:tr2bl w:val="nil"/>
            </w:tcBorders>
            <w:vAlign w:val="center"/>
          </w:tcPr>
          <w:p w14:paraId="3465FABE">
            <w:pPr>
              <w:spacing w:line="440" w:lineRule="exact"/>
              <w:rPr>
                <w:rFonts w:hint="eastAsia" w:ascii="宋体" w:hAnsi="宋体" w:cs="宋体"/>
                <w:color w:val="000000" w:themeColor="text1"/>
                <w:highlight w:val="none"/>
                <w14:textFill>
                  <w14:solidFill>
                    <w14:schemeClr w14:val="tx1"/>
                  </w14:solidFill>
                </w14:textFill>
              </w:rPr>
            </w:pPr>
          </w:p>
        </w:tc>
      </w:tr>
      <w:tr w14:paraId="7DB363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1390BA1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24</w:t>
            </w:r>
          </w:p>
        </w:tc>
        <w:tc>
          <w:tcPr>
            <w:tcW w:w="1984" w:type="dxa"/>
            <w:tcBorders>
              <w:tl2br w:val="nil"/>
              <w:tr2bl w:val="nil"/>
            </w:tcBorders>
            <w:vAlign w:val="center"/>
          </w:tcPr>
          <w:p w14:paraId="71EEAA6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自吸泵</w:t>
            </w:r>
          </w:p>
        </w:tc>
        <w:tc>
          <w:tcPr>
            <w:tcW w:w="8363" w:type="dxa"/>
            <w:tcBorders>
              <w:tl2br w:val="nil"/>
              <w:tr2bl w:val="nil"/>
            </w:tcBorders>
            <w:vAlign w:val="center"/>
          </w:tcPr>
          <w:p w14:paraId="735A0F7B">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1、流量=10m3/h  扬程=8m  功率=2.2Kw  吸程=5m  材质：铸铁，产品要求国内市场广泛应用，技术成熟、运行稳定。</w:t>
            </w:r>
          </w:p>
          <w:p w14:paraId="0C3C881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2、所供水泵应安全、平稳、可靠，噪声符合设计要求。</w:t>
            </w:r>
          </w:p>
          <w:p w14:paraId="470A86C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3、水泵涂漆及质量应符合机电部标准，不得有脱漆、凹坑、鼓包、硬器刮痕等外部损伤。</w:t>
            </w:r>
          </w:p>
          <w:p w14:paraId="6847DAD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4、水泵加工必须符合国家相关标准及相应厂标。</w:t>
            </w:r>
          </w:p>
          <w:p w14:paraId="18AAFC9B">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5、水泵性能应满足设计及使用要求，并保证运行安全可靠，密封性能好，自动系统可靠，空载盘车灵活自如，叶轮无卡涩、无异声。</w:t>
            </w:r>
          </w:p>
          <w:p w14:paraId="0569833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6、水泵出厂前应作好水泵的技术性能特性曲线，并提交给甲方。</w:t>
            </w:r>
          </w:p>
          <w:p w14:paraId="4945C1D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7、泵连接型式为法兰连接，法兰按GB9119.7-2000凸面板式平焊钢制管法兰标准。</w:t>
            </w:r>
          </w:p>
        </w:tc>
        <w:tc>
          <w:tcPr>
            <w:tcW w:w="1106" w:type="dxa"/>
            <w:tcBorders>
              <w:tl2br w:val="nil"/>
              <w:tr2bl w:val="nil"/>
            </w:tcBorders>
            <w:vAlign w:val="center"/>
          </w:tcPr>
          <w:p w14:paraId="762DD98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1台</w:t>
            </w:r>
          </w:p>
        </w:tc>
        <w:tc>
          <w:tcPr>
            <w:tcW w:w="1689" w:type="dxa"/>
            <w:tcBorders>
              <w:tl2br w:val="nil"/>
              <w:tr2bl w:val="nil"/>
            </w:tcBorders>
            <w:vAlign w:val="center"/>
          </w:tcPr>
          <w:p w14:paraId="5F670BAF">
            <w:pPr>
              <w:spacing w:line="440" w:lineRule="exact"/>
              <w:rPr>
                <w:rFonts w:hint="eastAsia" w:ascii="宋体" w:hAnsi="宋体" w:cs="宋体"/>
                <w:color w:val="000000" w:themeColor="text1"/>
                <w:highlight w:val="none"/>
                <w14:textFill>
                  <w14:solidFill>
                    <w14:schemeClr w14:val="tx1"/>
                  </w14:solidFill>
                </w14:textFill>
              </w:rPr>
            </w:pPr>
          </w:p>
        </w:tc>
      </w:tr>
      <w:tr w14:paraId="6A56E2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697E81E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w:t>
            </w:r>
          </w:p>
        </w:tc>
        <w:tc>
          <w:tcPr>
            <w:tcW w:w="1984" w:type="dxa"/>
            <w:tcBorders>
              <w:tl2br w:val="nil"/>
              <w:tr2bl w:val="nil"/>
            </w:tcBorders>
            <w:vAlign w:val="center"/>
          </w:tcPr>
          <w:p w14:paraId="4B3F539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电磁流量计</w:t>
            </w:r>
          </w:p>
        </w:tc>
        <w:tc>
          <w:tcPr>
            <w:tcW w:w="8363" w:type="dxa"/>
            <w:tcBorders>
              <w:tl2br w:val="nil"/>
              <w:tr2bl w:val="nil"/>
            </w:tcBorders>
            <w:vAlign w:val="center"/>
          </w:tcPr>
          <w:p w14:paraId="2717A39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DN65,PN16，信号输出：4-20ma，精度等级：0.5级，壳体碳钢防腐，聚四氟衬里，电极：316L</w:t>
            </w:r>
          </w:p>
        </w:tc>
        <w:tc>
          <w:tcPr>
            <w:tcW w:w="1106" w:type="dxa"/>
            <w:tcBorders>
              <w:tl2br w:val="nil"/>
              <w:tr2bl w:val="nil"/>
            </w:tcBorders>
            <w:vAlign w:val="center"/>
          </w:tcPr>
          <w:p w14:paraId="0EA79FC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1套</w:t>
            </w:r>
          </w:p>
        </w:tc>
        <w:tc>
          <w:tcPr>
            <w:tcW w:w="1689" w:type="dxa"/>
            <w:tcBorders>
              <w:tl2br w:val="nil"/>
              <w:tr2bl w:val="nil"/>
            </w:tcBorders>
            <w:vAlign w:val="center"/>
          </w:tcPr>
          <w:p w14:paraId="3A270AA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自吸泵出水</w:t>
            </w:r>
          </w:p>
        </w:tc>
      </w:tr>
      <w:tr w14:paraId="3B5309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5110226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26</w:t>
            </w:r>
          </w:p>
        </w:tc>
        <w:tc>
          <w:tcPr>
            <w:tcW w:w="1984" w:type="dxa"/>
            <w:tcBorders>
              <w:tl2br w:val="nil"/>
              <w:tr2bl w:val="nil"/>
            </w:tcBorders>
            <w:vAlign w:val="center"/>
          </w:tcPr>
          <w:p w14:paraId="7D33BFC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次氯酸钠加药装置</w:t>
            </w:r>
          </w:p>
        </w:tc>
        <w:tc>
          <w:tcPr>
            <w:tcW w:w="8363" w:type="dxa"/>
            <w:tcBorders>
              <w:tl2br w:val="nil"/>
              <w:tr2bl w:val="nil"/>
            </w:tcBorders>
            <w:vAlign w:val="center"/>
          </w:tcPr>
          <w:p w14:paraId="59CF7F5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含搅拌机1台 材质铸铁，搅拌叶轮304SS，加药桶材质：PE 容积：500L 加药泵流量=1.5方/小时,扬程=20米 功率=0.55Kw</w:t>
            </w:r>
          </w:p>
        </w:tc>
        <w:tc>
          <w:tcPr>
            <w:tcW w:w="1106" w:type="dxa"/>
            <w:tcBorders>
              <w:tl2br w:val="nil"/>
              <w:tr2bl w:val="nil"/>
            </w:tcBorders>
            <w:vAlign w:val="center"/>
          </w:tcPr>
          <w:p w14:paraId="0B43A13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1套</w:t>
            </w:r>
          </w:p>
        </w:tc>
        <w:tc>
          <w:tcPr>
            <w:tcW w:w="1689" w:type="dxa"/>
            <w:tcBorders>
              <w:tl2br w:val="nil"/>
              <w:tr2bl w:val="nil"/>
            </w:tcBorders>
            <w:vAlign w:val="center"/>
          </w:tcPr>
          <w:p w14:paraId="24EF7728">
            <w:pPr>
              <w:spacing w:line="440" w:lineRule="exact"/>
              <w:rPr>
                <w:rFonts w:hint="eastAsia" w:ascii="宋体" w:hAnsi="宋体" w:cs="宋体"/>
                <w:color w:val="000000" w:themeColor="text1"/>
                <w:highlight w:val="none"/>
                <w14:textFill>
                  <w14:solidFill>
                    <w14:schemeClr w14:val="tx1"/>
                  </w14:solidFill>
                </w14:textFill>
              </w:rPr>
            </w:pPr>
          </w:p>
        </w:tc>
      </w:tr>
      <w:tr w14:paraId="0F3B32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14FD72A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27</w:t>
            </w:r>
          </w:p>
        </w:tc>
        <w:tc>
          <w:tcPr>
            <w:tcW w:w="1984" w:type="dxa"/>
            <w:tcBorders>
              <w:tl2br w:val="nil"/>
              <w:tr2bl w:val="nil"/>
            </w:tcBorders>
            <w:vAlign w:val="center"/>
          </w:tcPr>
          <w:p w14:paraId="3A1DB1A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电动阀</w:t>
            </w:r>
          </w:p>
        </w:tc>
        <w:tc>
          <w:tcPr>
            <w:tcW w:w="8363" w:type="dxa"/>
            <w:tcBorders>
              <w:tl2br w:val="nil"/>
              <w:tr2bl w:val="nil"/>
            </w:tcBorders>
            <w:vAlign w:val="center"/>
          </w:tcPr>
          <w:p w14:paraId="4F935F6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DN50PN16，电压：AC220V材质：铸铁</w:t>
            </w:r>
          </w:p>
        </w:tc>
        <w:tc>
          <w:tcPr>
            <w:tcW w:w="1106" w:type="dxa"/>
            <w:tcBorders>
              <w:tl2br w:val="nil"/>
              <w:tr2bl w:val="nil"/>
            </w:tcBorders>
            <w:vAlign w:val="center"/>
          </w:tcPr>
          <w:p w14:paraId="07D6BCC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2个</w:t>
            </w:r>
          </w:p>
        </w:tc>
        <w:tc>
          <w:tcPr>
            <w:tcW w:w="1689" w:type="dxa"/>
            <w:tcBorders>
              <w:tl2br w:val="nil"/>
              <w:tr2bl w:val="nil"/>
            </w:tcBorders>
            <w:vAlign w:val="center"/>
          </w:tcPr>
          <w:p w14:paraId="61D195B3">
            <w:pPr>
              <w:spacing w:line="440" w:lineRule="exact"/>
              <w:rPr>
                <w:rFonts w:hint="eastAsia" w:ascii="宋体" w:hAnsi="宋体" w:cs="宋体"/>
                <w:color w:val="000000" w:themeColor="text1"/>
                <w:highlight w:val="none"/>
                <w14:textFill>
                  <w14:solidFill>
                    <w14:schemeClr w14:val="tx1"/>
                  </w14:solidFill>
                </w14:textFill>
              </w:rPr>
            </w:pPr>
          </w:p>
        </w:tc>
      </w:tr>
      <w:tr w14:paraId="7342AE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274439A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28</w:t>
            </w:r>
          </w:p>
        </w:tc>
        <w:tc>
          <w:tcPr>
            <w:tcW w:w="1984" w:type="dxa"/>
            <w:tcBorders>
              <w:tl2br w:val="nil"/>
              <w:tr2bl w:val="nil"/>
            </w:tcBorders>
            <w:vAlign w:val="center"/>
          </w:tcPr>
          <w:p w14:paraId="2484DEB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恒压供水回用泵组</w:t>
            </w:r>
          </w:p>
        </w:tc>
        <w:tc>
          <w:tcPr>
            <w:tcW w:w="8363" w:type="dxa"/>
            <w:tcBorders>
              <w:tl2br w:val="nil"/>
              <w:tr2bl w:val="nil"/>
            </w:tcBorders>
            <w:vAlign w:val="center"/>
          </w:tcPr>
          <w:p w14:paraId="3B13399D">
            <w:pPr>
              <w:pStyle w:val="105"/>
              <w:numPr>
                <w:ilvl w:val="0"/>
                <w:numId w:val="0"/>
              </w:numPr>
              <w:spacing w:line="440" w:lineRule="exact"/>
              <w:ind w:left="0" w:leftChars="0" w:firstLine="0" w:firstLineChars="0"/>
              <w:rPr>
                <w:rFonts w:hint="eastAsia" w:ascii="宋体" w:hAnsi="宋体" w:cs="宋体"/>
                <w:color w:val="000000" w:themeColor="text1"/>
                <w:highlight w:val="none"/>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泵组流量=30m3/h扬程=65m功率=11kW，配套隔膜气压罐；</w:t>
            </w:r>
          </w:p>
          <w:p w14:paraId="0E02633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水泵必须具备汽蚀余量小、吸程高、抗汽蚀性强等性能。多级泵之间应连接可靠、严实、不窜漏液。水泵供货方应提供技术先进，结构合理、安全、成熟可靠的产品，以保证整个机组运行可靠、高效节能。水泵叶轮做静平衡试验精度不低于GB/T923.19-2023中G6.3级规定,对叶轮轴向定位,要采取防止窜动或脱落的工艺措施。</w:t>
            </w:r>
          </w:p>
          <w:p w14:paraId="7F392CB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3、轴承:采用原装进口轴承，在运行过程中，轴承的工作温度不应超过环境温度 30℃，最高直接温度不应超过70℃，润滑方式采用润滑脂。</w:t>
            </w:r>
          </w:p>
          <w:p w14:paraId="6EC019E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泵体外表面需砂磨平整、光滑:刷防锈漆，水泵防锈漆包括由内而外共三层，依次是底层漆，中层漆和表层漆。其中底层漆快干，渗透力强，附着力佳封闭性极好，涂膜致密严整，不渗色、不开裂、不起胀;其中中层漆粘度高，防水性好;其中表层漆附着力强，硬度极高，耐刮擦，抗石击。泵的里外按照JB/T4297-2008要求，进行除锈涂漆。</w:t>
            </w:r>
          </w:p>
          <w:p w14:paraId="73CBB8B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5、水泵主要零件的材料技术要求:</w:t>
            </w:r>
          </w:p>
          <w:p w14:paraId="3A7856C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1).进水段、出水段、中段、叶轮、导叶等主要零部件采用优质耐磨合金铸钢 ZG270-500 制造。</w:t>
            </w:r>
          </w:p>
          <w:p w14:paraId="738D785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2).前、后填料轴套、平衡轴套采用45#优质碳素合金钢，表面经激光硬化处理，硬度可达 HRC50 以上。</w:t>
            </w:r>
          </w:p>
          <w:p w14:paraId="60DFF89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3).中间和末级叶轮等采用镍锰钢耐磨材质制造.</w:t>
            </w:r>
          </w:p>
          <w:p w14:paraId="18073B8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4).密封环采用优质耐磨合金球墨铸铁QT600-3 制造，</w:t>
            </w:r>
          </w:p>
          <w:p w14:paraId="1FFA916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5).承磨环采用45#优质碳素合金钢基体，经过焊优质耐镍基合金厚度达 2.8mm 以上，硬度可达 HRC48-55 以上。</w:t>
            </w:r>
          </w:p>
          <w:p w14:paraId="6BF4407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6).平衡板采用优质高性能耐磨耐腐蚀不锈钢 2Cr13 材质，工作面采用激光喷涂优质耐磨镍基合金的工艺，使用厚度达2.8mm 以上，硬度可达 HRC50-52以上。</w:t>
            </w:r>
          </w:p>
          <w:p w14:paraId="4566093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7).叶轮挡套采用45#优质碳素合金钢并经高频淬火处理，表面火深度&gt;2.5mm，硬度可达 HRC48 以上。</w:t>
            </w:r>
          </w:p>
          <w:p w14:paraId="669CC2C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8)水泵轴采用优质合金钢 40CrVA铬镍合金钢，并且经过调质处理。</w:t>
            </w:r>
          </w:p>
          <w:p w14:paraId="685912E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9).导叶套采用优质高效性能耐磨腐蚀不锈钢1Cr13材质。</w:t>
            </w:r>
          </w:p>
          <w:p w14:paraId="05C7676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6、三相异步电动机为轴向通风，采用高效低噪音离心风叶，具有效率高、转矩大、过载能力强，噪声低、振动小、温升小、性能良好、安装维修方便。</w:t>
            </w:r>
          </w:p>
          <w:p w14:paraId="373B49A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7、电动机机座采用铸铁结构，具备良好的散热效果。端盖、接线盒、轴承外盖等其他零部件抗拉强度符合国家相关技术标准。</w:t>
            </w:r>
          </w:p>
          <w:p w14:paraId="5D9CD91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8、电动机定、转子冲片采用优异电工冷轧硅钢片，冲片两面应涂有绝缘漆以减少铁芯损耗，确保电动机损耗低、效率高。</w:t>
            </w:r>
          </w:p>
          <w:p w14:paraId="1E20FC7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9、电动机定子采用全铜优质包绕组，绕组和绝缘具有良好的电气强度、机械强度、绝缘性能、防潮性和热稳定性。</w:t>
            </w:r>
          </w:p>
          <w:p w14:paraId="02A5E477">
            <w:pPr>
              <w:tabs>
                <w:tab w:val="left" w:pos="704"/>
              </w:tabs>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机组运行状态检查试验应符合标准GB/T3216-2016中第5.7条规定的要求，电泵应能转动自如，平稳轻快，无卡阻停滞等现象，声音应和谐；规定点流量和扬程在容差±6%范围内，供货商需提供相应CMA第三方检验报告。</w:t>
            </w:r>
          </w:p>
        </w:tc>
        <w:tc>
          <w:tcPr>
            <w:tcW w:w="1106" w:type="dxa"/>
            <w:tcBorders>
              <w:tl2br w:val="nil"/>
              <w:tr2bl w:val="nil"/>
            </w:tcBorders>
            <w:vAlign w:val="center"/>
          </w:tcPr>
          <w:p w14:paraId="51FEDB9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2台</w:t>
            </w:r>
          </w:p>
        </w:tc>
        <w:tc>
          <w:tcPr>
            <w:tcW w:w="1689" w:type="dxa"/>
            <w:tcBorders>
              <w:tl2br w:val="nil"/>
              <w:tr2bl w:val="nil"/>
            </w:tcBorders>
            <w:vAlign w:val="center"/>
          </w:tcPr>
          <w:p w14:paraId="07E4983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一对一全变频恒压控制系统、机架和管组</w:t>
            </w:r>
          </w:p>
        </w:tc>
      </w:tr>
      <w:tr w14:paraId="015413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1880157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29</w:t>
            </w:r>
          </w:p>
        </w:tc>
        <w:tc>
          <w:tcPr>
            <w:tcW w:w="1984" w:type="dxa"/>
            <w:tcBorders>
              <w:tl2br w:val="nil"/>
              <w:tr2bl w:val="nil"/>
            </w:tcBorders>
            <w:vAlign w:val="center"/>
          </w:tcPr>
          <w:p w14:paraId="693961C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远传压力传感器</w:t>
            </w:r>
          </w:p>
        </w:tc>
        <w:tc>
          <w:tcPr>
            <w:tcW w:w="8363" w:type="dxa"/>
            <w:tcBorders>
              <w:tl2br w:val="nil"/>
              <w:tr2bl w:val="nil"/>
            </w:tcBorders>
            <w:vAlign w:val="center"/>
          </w:tcPr>
          <w:p w14:paraId="7A2B7DE3">
            <w:pPr>
              <w:tabs>
                <w:tab w:val="left" w:pos="686"/>
              </w:tabs>
              <w:snapToGrid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量程：0Mpa-1.0Mpa，精度等级：1.6级，表壳材质铸铝，纯铜螺纹接头</w:t>
            </w:r>
          </w:p>
        </w:tc>
        <w:tc>
          <w:tcPr>
            <w:tcW w:w="1106" w:type="dxa"/>
            <w:tcBorders>
              <w:tl2br w:val="nil"/>
              <w:tr2bl w:val="nil"/>
            </w:tcBorders>
            <w:vAlign w:val="center"/>
          </w:tcPr>
          <w:p w14:paraId="3C0B93D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1套</w:t>
            </w:r>
          </w:p>
        </w:tc>
        <w:tc>
          <w:tcPr>
            <w:tcW w:w="1689" w:type="dxa"/>
            <w:tcBorders>
              <w:tl2br w:val="nil"/>
              <w:tr2bl w:val="nil"/>
            </w:tcBorders>
            <w:vAlign w:val="center"/>
          </w:tcPr>
          <w:p w14:paraId="052E26B0">
            <w:pPr>
              <w:spacing w:line="440" w:lineRule="exact"/>
              <w:rPr>
                <w:rFonts w:hint="eastAsia" w:ascii="宋体" w:hAnsi="宋体" w:cs="宋体"/>
                <w:color w:val="000000" w:themeColor="text1"/>
                <w:highlight w:val="none"/>
                <w14:textFill>
                  <w14:solidFill>
                    <w14:schemeClr w14:val="tx1"/>
                  </w14:solidFill>
                </w14:textFill>
              </w:rPr>
            </w:pPr>
          </w:p>
        </w:tc>
      </w:tr>
      <w:tr w14:paraId="298AD7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3C399EB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30</w:t>
            </w:r>
          </w:p>
        </w:tc>
        <w:tc>
          <w:tcPr>
            <w:tcW w:w="1984" w:type="dxa"/>
            <w:tcBorders>
              <w:tl2br w:val="nil"/>
              <w:tr2bl w:val="nil"/>
            </w:tcBorders>
            <w:vAlign w:val="center"/>
          </w:tcPr>
          <w:p w14:paraId="35D6330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变频控制柜</w:t>
            </w:r>
          </w:p>
        </w:tc>
        <w:tc>
          <w:tcPr>
            <w:tcW w:w="8363" w:type="dxa"/>
            <w:tcBorders>
              <w:tl2br w:val="nil"/>
              <w:tr2bl w:val="nil"/>
            </w:tcBorders>
            <w:vAlign w:val="center"/>
          </w:tcPr>
          <w:p w14:paraId="0EF91734">
            <w:pPr>
              <w:tabs>
                <w:tab w:val="left" w:pos="686"/>
              </w:tabs>
              <w:snapToGrid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变频出口恒压控制，柜体材质：碳钢喷塑，防护外壳和面板厚度：1.2mm，厂家成套设备，国内市场广泛应用，技术成熟、运行稳定。。</w:t>
            </w:r>
          </w:p>
        </w:tc>
        <w:tc>
          <w:tcPr>
            <w:tcW w:w="1106" w:type="dxa"/>
            <w:tcBorders>
              <w:tl2br w:val="nil"/>
              <w:tr2bl w:val="nil"/>
            </w:tcBorders>
            <w:vAlign w:val="center"/>
          </w:tcPr>
          <w:p w14:paraId="5D4BB69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1套</w:t>
            </w:r>
          </w:p>
        </w:tc>
        <w:tc>
          <w:tcPr>
            <w:tcW w:w="1689" w:type="dxa"/>
            <w:tcBorders>
              <w:tl2br w:val="nil"/>
              <w:tr2bl w:val="nil"/>
            </w:tcBorders>
            <w:vAlign w:val="center"/>
          </w:tcPr>
          <w:p w14:paraId="082850BB">
            <w:pPr>
              <w:spacing w:line="440" w:lineRule="exact"/>
              <w:rPr>
                <w:rFonts w:hint="eastAsia" w:ascii="宋体" w:hAnsi="宋体" w:cs="宋体"/>
                <w:color w:val="000000" w:themeColor="text1"/>
                <w:highlight w:val="none"/>
                <w14:textFill>
                  <w14:solidFill>
                    <w14:schemeClr w14:val="tx1"/>
                  </w14:solidFill>
                </w14:textFill>
              </w:rPr>
            </w:pPr>
          </w:p>
        </w:tc>
      </w:tr>
      <w:tr w14:paraId="2B6F0B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4FFB3F6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w:t>
            </w:r>
          </w:p>
        </w:tc>
        <w:tc>
          <w:tcPr>
            <w:tcW w:w="1984" w:type="dxa"/>
            <w:tcBorders>
              <w:tl2br w:val="nil"/>
              <w:tr2bl w:val="nil"/>
            </w:tcBorders>
            <w:vAlign w:val="center"/>
          </w:tcPr>
          <w:p w14:paraId="0B5BE29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转子流量计</w:t>
            </w:r>
          </w:p>
        </w:tc>
        <w:tc>
          <w:tcPr>
            <w:tcW w:w="8363" w:type="dxa"/>
            <w:tcBorders>
              <w:tl2br w:val="nil"/>
              <w:tr2bl w:val="nil"/>
            </w:tcBorders>
            <w:vAlign w:val="center"/>
          </w:tcPr>
          <w:p w14:paraId="10C1F928">
            <w:pPr>
              <w:tabs>
                <w:tab w:val="left" w:pos="686"/>
              </w:tabs>
              <w:snapToGrid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测量范围：1.6-16方/小时，材质：ABS，导杆316L，测量精度：±1%</w:t>
            </w:r>
          </w:p>
        </w:tc>
        <w:tc>
          <w:tcPr>
            <w:tcW w:w="1106" w:type="dxa"/>
            <w:tcBorders>
              <w:tl2br w:val="nil"/>
              <w:tr2bl w:val="nil"/>
            </w:tcBorders>
            <w:vAlign w:val="center"/>
          </w:tcPr>
          <w:p w14:paraId="283DFCF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2套</w:t>
            </w:r>
          </w:p>
        </w:tc>
        <w:tc>
          <w:tcPr>
            <w:tcW w:w="1689" w:type="dxa"/>
            <w:tcBorders>
              <w:tl2br w:val="nil"/>
              <w:tr2bl w:val="nil"/>
            </w:tcBorders>
            <w:vAlign w:val="center"/>
          </w:tcPr>
          <w:p w14:paraId="041D3CAB">
            <w:pPr>
              <w:spacing w:line="440" w:lineRule="exact"/>
              <w:rPr>
                <w:rFonts w:hint="eastAsia" w:ascii="宋体" w:hAnsi="宋体" w:cs="宋体"/>
                <w:color w:val="000000" w:themeColor="text1"/>
                <w:highlight w:val="none"/>
                <w14:textFill>
                  <w14:solidFill>
                    <w14:schemeClr w14:val="tx1"/>
                  </w14:solidFill>
                </w14:textFill>
              </w:rPr>
            </w:pPr>
          </w:p>
        </w:tc>
      </w:tr>
      <w:tr w14:paraId="1D4764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6EE2196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w:t>
            </w:r>
          </w:p>
        </w:tc>
        <w:tc>
          <w:tcPr>
            <w:tcW w:w="1984" w:type="dxa"/>
            <w:tcBorders>
              <w:tl2br w:val="nil"/>
              <w:tr2bl w:val="nil"/>
            </w:tcBorders>
            <w:vAlign w:val="center"/>
          </w:tcPr>
          <w:p w14:paraId="231D334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PLC自控柜</w:t>
            </w:r>
          </w:p>
        </w:tc>
        <w:tc>
          <w:tcPr>
            <w:tcW w:w="8363" w:type="dxa"/>
            <w:tcBorders>
              <w:tl2br w:val="nil"/>
              <w:tr2bl w:val="nil"/>
            </w:tcBorders>
            <w:vAlign w:val="center"/>
          </w:tcPr>
          <w:p w14:paraId="40D7F5EA">
            <w:pPr>
              <w:pStyle w:val="7"/>
              <w:numPr>
                <w:ilvl w:val="0"/>
                <w:numId w:val="0"/>
              </w:numPr>
              <w:spacing w:after="0" w:line="440" w:lineRule="exact"/>
              <w:ind w:left="0" w:leftChars="0" w:firstLine="0" w:firstLineChars="0"/>
              <w:rPr>
                <w:rFonts w:hint="eastAsia" w:ascii="宋体" w:hAnsi="宋体" w:cs="宋体"/>
                <w:color w:val="000000" w:themeColor="text1"/>
                <w:highlight w:val="none"/>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含自控模块，人机控制界面、编程和WINCC组态，柜体材质：碳钢喷塑，防护外壳和面板厚度：1.2mm</w:t>
            </w:r>
          </w:p>
          <w:p w14:paraId="11FB002A">
            <w:pPr>
              <w:pStyle w:val="7"/>
              <w:numPr>
                <w:ilvl w:val="0"/>
                <w:numId w:val="0"/>
              </w:numPr>
              <w:spacing w:after="0" w:line="440" w:lineRule="exact"/>
              <w:ind w:left="0" w:leftChars="0" w:firstLine="0" w:firstLineChars="0"/>
              <w:rPr>
                <w:rFonts w:hint="eastAsia" w:ascii="宋体" w:hAnsi="宋体" w:cs="宋体"/>
                <w:color w:val="000000" w:themeColor="text1"/>
                <w:highlight w:val="none"/>
                <w14:textFill>
                  <w14:solidFill>
                    <w14:schemeClr w14:val="tx1"/>
                  </w14:solidFill>
                </w14:textFill>
              </w:rPr>
            </w:pPr>
            <w:r>
              <w:rPr>
                <w:rFonts w:hint="default"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系统输入/输出信号要求：</w:t>
            </w:r>
            <w:r>
              <w:rPr>
                <w:rFonts w:hint="eastAsia" w:ascii="宋体" w:hAnsi="宋体" w:cs="宋体"/>
                <w:color w:val="000000" w:themeColor="text1"/>
                <w:highlight w:val="none"/>
                <w14:textFill>
                  <w14:solidFill>
                    <w14:schemeClr w14:val="tx1"/>
                  </w14:solidFill>
                </w14:textFill>
              </w:rPr>
              <w:tab/>
            </w:r>
          </w:p>
          <w:p w14:paraId="12486634">
            <w:pPr>
              <w:pStyle w:val="8"/>
              <w:tabs>
                <w:tab w:val="left" w:pos="360"/>
              </w:tabs>
              <w:spacing w:after="0" w:line="440" w:lineRule="exact"/>
              <w:rPr>
                <w:rFonts w:hint="eastAsia"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1）模拟量信号               4～20mA信号，最大输入阻抗为250Ω</w:t>
            </w:r>
          </w:p>
          <w:p w14:paraId="61371EA5">
            <w:pPr>
              <w:pStyle w:val="8"/>
              <w:spacing w:after="0" w:line="440" w:lineRule="exact"/>
              <w:rPr>
                <w:rFonts w:hint="eastAsia"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2）直流电流信号             4～20 mA,   输入电阻&lt;250Ω</w:t>
            </w:r>
          </w:p>
          <w:p w14:paraId="14D9A5CA">
            <w:pPr>
              <w:pStyle w:val="8"/>
              <w:spacing w:after="0" w:line="440" w:lineRule="exact"/>
              <w:rPr>
                <w:rFonts w:hint="eastAsia" w:ascii="宋体" w:hAnsi="宋体" w:cs="宋体"/>
                <w:color w:val="000000" w:themeColor="text1"/>
                <w:sz w:val="21"/>
                <w:highlight w:val="none"/>
                <w14:textFill>
                  <w14:solidFill>
                    <w14:schemeClr w14:val="tx1"/>
                  </w14:solidFill>
                </w14:textFill>
              </w:rPr>
            </w:pPr>
            <w:r>
              <w:rPr>
                <w:rFonts w:hint="eastAsia" w:ascii="宋体" w:hAnsi="宋体" w:cs="宋体"/>
                <w:color w:val="000000" w:themeColor="text1"/>
                <w:sz w:val="21"/>
                <w:highlight w:val="none"/>
                <w14:textFill>
                  <w14:solidFill>
                    <w14:schemeClr w14:val="tx1"/>
                  </w14:solidFill>
                </w14:textFill>
              </w:rPr>
              <w:t xml:space="preserve">3）开关量信号接点容量:      220 V.AC，   5A </w:t>
            </w:r>
          </w:p>
          <w:p w14:paraId="4ED8BD0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3、投标人所供的设备控制箱、电动阀门控制箱应根据工艺系统和设备布置区域设置，各控制箱尽量外型一致、美观，统一布置，便于操作，避免过于零散。</w:t>
            </w:r>
          </w:p>
          <w:p w14:paraId="60D6276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从电磁阀箱、风机和泵就地控制电控箱、仪表就地接线盒/箱至就地仪表（包括就地仪导管连接接管、导线电缆连接）、电磁阀（命令信号和状态反馈）、电动阀门、风机和泵的电缆连接安装和全部电缆的供货将由投标人负责，投标人选定的供货厂家需经招标人确认。</w:t>
            </w:r>
          </w:p>
          <w:p w14:paraId="45DD5D2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5、投标人供货范围内的所有用电设备的电源及电源分配由投标人负责，投标人各就地电控柜、电源柜还留有一定的380VAC、220VAC和24VDC备用回路。投标人提供的电动阀门配电箱应留有25%备用回路。</w:t>
            </w:r>
          </w:p>
          <w:p w14:paraId="184DA72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6、可编程序计算机控制器</w:t>
            </w:r>
          </w:p>
          <w:p w14:paraId="0E0D96D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可编程计算机控制器（PLC）应成套带有中央处理单元（CPU），接口模件，输入输出模件，存储器，电源，外壳，专用连接电缆及连接件和实时操作系统等。为了保证程控装置安全、可靠、高效运行，同时集成Ethernet100Base-1接口,RS232接口等，设置足够容量的程序存储器，并考虑40%的备用量，所有硬件应是制造厂的标准产品或标准选择件。</w:t>
            </w:r>
          </w:p>
          <w:p w14:paraId="6445E91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2）系统中所有模件应是带电接插式的，便于更换,系统中任一模件的故障，不影响其他模件的运行。机柜内至少应提供I/O总量的20%做备用，同时在插槽上还至少应留有扩充10%I/O的余地。</w:t>
            </w:r>
          </w:p>
          <w:p w14:paraId="5E9BC95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3）所有开关量I/O模件应有隔离装置。</w:t>
            </w:r>
          </w:p>
          <w:p w14:paraId="1B5D860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4）电源应配有浪涌保护。</w:t>
            </w:r>
          </w:p>
        </w:tc>
        <w:tc>
          <w:tcPr>
            <w:tcW w:w="1106" w:type="dxa"/>
            <w:tcBorders>
              <w:tl2br w:val="nil"/>
              <w:tr2bl w:val="nil"/>
            </w:tcBorders>
            <w:vAlign w:val="center"/>
          </w:tcPr>
          <w:p w14:paraId="713E3B6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1套</w:t>
            </w:r>
          </w:p>
        </w:tc>
        <w:tc>
          <w:tcPr>
            <w:tcW w:w="1689" w:type="dxa"/>
            <w:tcBorders>
              <w:tl2br w:val="nil"/>
              <w:tr2bl w:val="nil"/>
            </w:tcBorders>
            <w:vAlign w:val="center"/>
          </w:tcPr>
          <w:p w14:paraId="485BC8A1">
            <w:pPr>
              <w:spacing w:line="440" w:lineRule="exact"/>
              <w:rPr>
                <w:rFonts w:hint="eastAsia" w:ascii="宋体" w:hAnsi="宋体" w:cs="宋体"/>
                <w:color w:val="000000" w:themeColor="text1"/>
                <w:highlight w:val="none"/>
                <w14:textFill>
                  <w14:solidFill>
                    <w14:schemeClr w14:val="tx1"/>
                  </w14:solidFill>
                </w14:textFill>
              </w:rPr>
            </w:pPr>
          </w:p>
        </w:tc>
      </w:tr>
      <w:tr w14:paraId="6FD0AC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4CC35C0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w:t>
            </w:r>
          </w:p>
        </w:tc>
        <w:tc>
          <w:tcPr>
            <w:tcW w:w="1984" w:type="dxa"/>
            <w:tcBorders>
              <w:tl2br w:val="nil"/>
              <w:tr2bl w:val="nil"/>
            </w:tcBorders>
            <w:vAlign w:val="center"/>
          </w:tcPr>
          <w:p w14:paraId="48E2217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缺氧池内防腐</w:t>
            </w:r>
          </w:p>
        </w:tc>
        <w:tc>
          <w:tcPr>
            <w:tcW w:w="8363" w:type="dxa"/>
            <w:tcBorders>
              <w:tl2br w:val="nil"/>
              <w:tr2bl w:val="nil"/>
            </w:tcBorders>
            <w:vAlign w:val="center"/>
          </w:tcPr>
          <w:p w14:paraId="12590B06">
            <w:pPr>
              <w:pStyle w:val="7"/>
              <w:spacing w:after="0"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内防腐底漆采用KY-2021厚浆型环氧重防腐涂料,三道约80umX3;面漆采用KY-2026高抗水性环氧重防水涂料,棕褐色，4道80 umx4;涂层干膜厚度560um。</w:t>
            </w:r>
          </w:p>
        </w:tc>
        <w:tc>
          <w:tcPr>
            <w:tcW w:w="1106" w:type="dxa"/>
            <w:tcBorders>
              <w:tl2br w:val="nil"/>
              <w:tr2bl w:val="nil"/>
            </w:tcBorders>
            <w:vAlign w:val="center"/>
          </w:tcPr>
          <w:p w14:paraId="5C87B74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49.28平米</w:t>
            </w:r>
          </w:p>
        </w:tc>
        <w:tc>
          <w:tcPr>
            <w:tcW w:w="1689" w:type="dxa"/>
            <w:tcBorders>
              <w:tl2br w:val="nil"/>
              <w:tr2bl w:val="nil"/>
            </w:tcBorders>
            <w:vAlign w:val="center"/>
          </w:tcPr>
          <w:p w14:paraId="68267F94">
            <w:pPr>
              <w:spacing w:line="440" w:lineRule="exact"/>
              <w:rPr>
                <w:rFonts w:hint="eastAsia" w:ascii="宋体" w:hAnsi="宋体" w:cs="宋体"/>
                <w:color w:val="000000" w:themeColor="text1"/>
                <w:highlight w:val="none"/>
                <w14:textFill>
                  <w14:solidFill>
                    <w14:schemeClr w14:val="tx1"/>
                  </w14:solidFill>
                </w14:textFill>
              </w:rPr>
            </w:pPr>
          </w:p>
        </w:tc>
      </w:tr>
      <w:tr w14:paraId="200A3F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0F0D8E4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w:t>
            </w:r>
          </w:p>
        </w:tc>
        <w:tc>
          <w:tcPr>
            <w:tcW w:w="1984" w:type="dxa"/>
            <w:tcBorders>
              <w:tl2br w:val="nil"/>
              <w:tr2bl w:val="nil"/>
            </w:tcBorders>
            <w:vAlign w:val="center"/>
          </w:tcPr>
          <w:p w14:paraId="6D42D7B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缺氧池外防腐</w:t>
            </w:r>
          </w:p>
        </w:tc>
        <w:tc>
          <w:tcPr>
            <w:tcW w:w="8363" w:type="dxa"/>
            <w:tcBorders>
              <w:tl2br w:val="nil"/>
              <w:tr2bl w:val="nil"/>
            </w:tcBorders>
            <w:vAlign w:val="center"/>
          </w:tcPr>
          <w:p w14:paraId="50F86900">
            <w:pPr>
              <w:pStyle w:val="7"/>
              <w:spacing w:after="0"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箱体外防腐采用环氧富锌底漆三道约80 umX3,环氧云铁中间漆二道约80 umX2,米自色丙烯酸聚氨酯面漆一道。</w:t>
            </w:r>
          </w:p>
        </w:tc>
        <w:tc>
          <w:tcPr>
            <w:tcW w:w="1106" w:type="dxa"/>
            <w:tcBorders>
              <w:tl2br w:val="nil"/>
              <w:tr2bl w:val="nil"/>
            </w:tcBorders>
            <w:vAlign w:val="center"/>
          </w:tcPr>
          <w:p w14:paraId="3B57721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41.44平米</w:t>
            </w:r>
          </w:p>
        </w:tc>
        <w:tc>
          <w:tcPr>
            <w:tcW w:w="1689" w:type="dxa"/>
            <w:tcBorders>
              <w:tl2br w:val="nil"/>
              <w:tr2bl w:val="nil"/>
            </w:tcBorders>
            <w:vAlign w:val="center"/>
          </w:tcPr>
          <w:p w14:paraId="4A4F94D1">
            <w:pPr>
              <w:spacing w:line="440" w:lineRule="exact"/>
              <w:rPr>
                <w:rFonts w:hint="eastAsia" w:ascii="宋体" w:hAnsi="宋体" w:cs="宋体"/>
                <w:color w:val="000000" w:themeColor="text1"/>
                <w:highlight w:val="none"/>
                <w14:textFill>
                  <w14:solidFill>
                    <w14:schemeClr w14:val="tx1"/>
                  </w14:solidFill>
                </w14:textFill>
              </w:rPr>
            </w:pPr>
          </w:p>
        </w:tc>
      </w:tr>
      <w:tr w14:paraId="0509C6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18E35E9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35</w:t>
            </w:r>
          </w:p>
        </w:tc>
        <w:tc>
          <w:tcPr>
            <w:tcW w:w="1984" w:type="dxa"/>
            <w:tcBorders>
              <w:tl2br w:val="nil"/>
              <w:tr2bl w:val="nil"/>
            </w:tcBorders>
            <w:vAlign w:val="center"/>
          </w:tcPr>
          <w:p w14:paraId="5060CD4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膜生物反应器内防腐</w:t>
            </w:r>
          </w:p>
        </w:tc>
        <w:tc>
          <w:tcPr>
            <w:tcW w:w="8363" w:type="dxa"/>
            <w:tcBorders>
              <w:tl2br w:val="nil"/>
              <w:tr2bl w:val="nil"/>
            </w:tcBorders>
            <w:vAlign w:val="center"/>
          </w:tcPr>
          <w:p w14:paraId="39F12F26">
            <w:pPr>
              <w:pStyle w:val="7"/>
              <w:spacing w:after="0"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内防腐底漆采用KY-2021厚浆型环氧重防腐涂料,三道约80umX3;面漆采用KY-2026高抗水性环氧重防水涂料,棕褐色，4道80 umx4;涂层干膜厚度560um。</w:t>
            </w:r>
          </w:p>
        </w:tc>
        <w:tc>
          <w:tcPr>
            <w:tcW w:w="1106" w:type="dxa"/>
            <w:tcBorders>
              <w:tl2br w:val="nil"/>
              <w:tr2bl w:val="nil"/>
            </w:tcBorders>
            <w:vAlign w:val="center"/>
          </w:tcPr>
          <w:p w14:paraId="7D51164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61.52平米</w:t>
            </w:r>
          </w:p>
        </w:tc>
        <w:tc>
          <w:tcPr>
            <w:tcW w:w="1689" w:type="dxa"/>
            <w:tcBorders>
              <w:tl2br w:val="nil"/>
              <w:tr2bl w:val="nil"/>
            </w:tcBorders>
            <w:vAlign w:val="center"/>
          </w:tcPr>
          <w:p w14:paraId="06E6290B">
            <w:pPr>
              <w:spacing w:line="440" w:lineRule="exact"/>
              <w:rPr>
                <w:rFonts w:hint="eastAsia" w:ascii="宋体" w:hAnsi="宋体" w:cs="宋体"/>
                <w:color w:val="000000" w:themeColor="text1"/>
                <w:highlight w:val="none"/>
                <w14:textFill>
                  <w14:solidFill>
                    <w14:schemeClr w14:val="tx1"/>
                  </w14:solidFill>
                </w14:textFill>
              </w:rPr>
            </w:pPr>
          </w:p>
        </w:tc>
      </w:tr>
      <w:tr w14:paraId="71CF7D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4FC991C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w:t>
            </w:r>
          </w:p>
        </w:tc>
        <w:tc>
          <w:tcPr>
            <w:tcW w:w="1984" w:type="dxa"/>
            <w:tcBorders>
              <w:tl2br w:val="nil"/>
              <w:tr2bl w:val="nil"/>
            </w:tcBorders>
            <w:vAlign w:val="center"/>
          </w:tcPr>
          <w:p w14:paraId="25E100C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膜生物反应器外防腐</w:t>
            </w:r>
          </w:p>
        </w:tc>
        <w:tc>
          <w:tcPr>
            <w:tcW w:w="8363" w:type="dxa"/>
            <w:tcBorders>
              <w:tl2br w:val="nil"/>
              <w:tr2bl w:val="nil"/>
            </w:tcBorders>
            <w:vAlign w:val="center"/>
          </w:tcPr>
          <w:p w14:paraId="3C52C8A1">
            <w:pPr>
              <w:pStyle w:val="7"/>
              <w:spacing w:after="0"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箱体外防腐采用环氧富锌底漆三道约80 umX3,环氧云铁中间漆二道约80 umX2,米自色丙烯酸聚氨酯面漆一道。</w:t>
            </w:r>
          </w:p>
        </w:tc>
        <w:tc>
          <w:tcPr>
            <w:tcW w:w="1106" w:type="dxa"/>
            <w:tcBorders>
              <w:tl2br w:val="nil"/>
              <w:tr2bl w:val="nil"/>
            </w:tcBorders>
            <w:vAlign w:val="center"/>
          </w:tcPr>
          <w:p w14:paraId="3F93D85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53.12平米</w:t>
            </w:r>
          </w:p>
        </w:tc>
        <w:tc>
          <w:tcPr>
            <w:tcW w:w="1689" w:type="dxa"/>
            <w:tcBorders>
              <w:tl2br w:val="nil"/>
              <w:tr2bl w:val="nil"/>
            </w:tcBorders>
            <w:vAlign w:val="center"/>
          </w:tcPr>
          <w:p w14:paraId="4576CF5D">
            <w:pPr>
              <w:spacing w:line="440" w:lineRule="exact"/>
              <w:rPr>
                <w:rFonts w:hint="eastAsia" w:ascii="宋体" w:hAnsi="宋体" w:cs="宋体"/>
                <w:color w:val="000000" w:themeColor="text1"/>
                <w:highlight w:val="none"/>
                <w14:textFill>
                  <w14:solidFill>
                    <w14:schemeClr w14:val="tx1"/>
                  </w14:solidFill>
                </w14:textFill>
              </w:rPr>
            </w:pPr>
          </w:p>
        </w:tc>
      </w:tr>
      <w:tr w14:paraId="3A55F5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0E2F3A6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37</w:t>
            </w:r>
          </w:p>
        </w:tc>
        <w:tc>
          <w:tcPr>
            <w:tcW w:w="1984" w:type="dxa"/>
            <w:tcBorders>
              <w:tl2br w:val="nil"/>
              <w:tr2bl w:val="nil"/>
            </w:tcBorders>
            <w:vAlign w:val="center"/>
          </w:tcPr>
          <w:p w14:paraId="23D0D01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回用水池内防腐</w:t>
            </w:r>
          </w:p>
        </w:tc>
        <w:tc>
          <w:tcPr>
            <w:tcW w:w="8363" w:type="dxa"/>
            <w:tcBorders>
              <w:tl2br w:val="nil"/>
              <w:tr2bl w:val="nil"/>
            </w:tcBorders>
            <w:vAlign w:val="center"/>
          </w:tcPr>
          <w:p w14:paraId="4A545E79">
            <w:pPr>
              <w:pStyle w:val="7"/>
              <w:spacing w:after="0"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内防腐底漆采用KY-2021厚浆型环氧重防腐涂料,三道约80umX3;面漆采用KY-2026高抗水性环氧重防水涂料,棕褐色，4道80 umx4;涂层干膜厚度560um。</w:t>
            </w:r>
          </w:p>
        </w:tc>
        <w:tc>
          <w:tcPr>
            <w:tcW w:w="1106" w:type="dxa"/>
            <w:tcBorders>
              <w:tl2br w:val="nil"/>
              <w:tr2bl w:val="nil"/>
            </w:tcBorders>
            <w:vAlign w:val="center"/>
          </w:tcPr>
          <w:p w14:paraId="6848D0C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114平米</w:t>
            </w:r>
          </w:p>
        </w:tc>
        <w:tc>
          <w:tcPr>
            <w:tcW w:w="1689" w:type="dxa"/>
            <w:tcBorders>
              <w:tl2br w:val="nil"/>
              <w:tr2bl w:val="nil"/>
            </w:tcBorders>
            <w:vAlign w:val="center"/>
          </w:tcPr>
          <w:p w14:paraId="3E6ABB7A">
            <w:pPr>
              <w:spacing w:line="440" w:lineRule="exact"/>
              <w:rPr>
                <w:rFonts w:hint="eastAsia" w:ascii="宋体" w:hAnsi="宋体" w:cs="宋体"/>
                <w:color w:val="000000" w:themeColor="text1"/>
                <w:highlight w:val="none"/>
                <w14:textFill>
                  <w14:solidFill>
                    <w14:schemeClr w14:val="tx1"/>
                  </w14:solidFill>
                </w14:textFill>
              </w:rPr>
            </w:pPr>
          </w:p>
        </w:tc>
      </w:tr>
      <w:tr w14:paraId="4D09A7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1A79E87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38</w:t>
            </w:r>
          </w:p>
        </w:tc>
        <w:tc>
          <w:tcPr>
            <w:tcW w:w="1984" w:type="dxa"/>
            <w:tcBorders>
              <w:tl2br w:val="nil"/>
              <w:tr2bl w:val="nil"/>
            </w:tcBorders>
            <w:vAlign w:val="center"/>
          </w:tcPr>
          <w:p w14:paraId="7D7409F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回用水池外防腐</w:t>
            </w:r>
          </w:p>
        </w:tc>
        <w:tc>
          <w:tcPr>
            <w:tcW w:w="8363" w:type="dxa"/>
            <w:tcBorders>
              <w:tl2br w:val="nil"/>
              <w:tr2bl w:val="nil"/>
            </w:tcBorders>
            <w:vAlign w:val="center"/>
          </w:tcPr>
          <w:p w14:paraId="22610C25">
            <w:pPr>
              <w:pStyle w:val="7"/>
              <w:spacing w:after="0"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箱体外防腐采用环氧富锌底漆三道约80 umX3,环氧云铁中间漆二道约80 umX2,米自色丙烯酸聚氨酯面漆一道。</w:t>
            </w:r>
          </w:p>
        </w:tc>
        <w:tc>
          <w:tcPr>
            <w:tcW w:w="1106" w:type="dxa"/>
            <w:tcBorders>
              <w:tl2br w:val="nil"/>
              <w:tr2bl w:val="nil"/>
            </w:tcBorders>
            <w:vAlign w:val="center"/>
          </w:tcPr>
          <w:p w14:paraId="21ED44E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114平米</w:t>
            </w:r>
          </w:p>
        </w:tc>
        <w:tc>
          <w:tcPr>
            <w:tcW w:w="1689" w:type="dxa"/>
            <w:tcBorders>
              <w:tl2br w:val="nil"/>
              <w:tr2bl w:val="nil"/>
            </w:tcBorders>
            <w:vAlign w:val="center"/>
          </w:tcPr>
          <w:p w14:paraId="0B979A27">
            <w:pPr>
              <w:spacing w:line="440" w:lineRule="exact"/>
              <w:rPr>
                <w:rFonts w:hint="eastAsia" w:ascii="宋体" w:hAnsi="宋体" w:cs="宋体"/>
                <w:color w:val="000000" w:themeColor="text1"/>
                <w:highlight w:val="none"/>
                <w14:textFill>
                  <w14:solidFill>
                    <w14:schemeClr w14:val="tx1"/>
                  </w14:solidFill>
                </w14:textFill>
              </w:rPr>
            </w:pPr>
          </w:p>
        </w:tc>
      </w:tr>
      <w:tr w14:paraId="4D89CE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6867AC4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39</w:t>
            </w:r>
          </w:p>
        </w:tc>
        <w:tc>
          <w:tcPr>
            <w:tcW w:w="1984" w:type="dxa"/>
            <w:tcBorders>
              <w:tl2br w:val="nil"/>
              <w:tr2bl w:val="nil"/>
            </w:tcBorders>
            <w:vAlign w:val="center"/>
          </w:tcPr>
          <w:p w14:paraId="37319F1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分气包</w:t>
            </w:r>
          </w:p>
        </w:tc>
        <w:tc>
          <w:tcPr>
            <w:tcW w:w="8363" w:type="dxa"/>
            <w:tcBorders>
              <w:tl2br w:val="nil"/>
              <w:tr2bl w:val="nil"/>
            </w:tcBorders>
            <w:vAlign w:val="center"/>
          </w:tcPr>
          <w:p w14:paraId="5602D381">
            <w:pPr>
              <w:pStyle w:val="7"/>
              <w:spacing w:after="0" w:line="440" w:lineRule="exact"/>
              <w:rPr>
                <w:rFonts w:hint="eastAsia" w:ascii="宋体" w:hAnsi="宋体" w:cs="宋体"/>
                <w:b/>
                <w:bCs/>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尺寸：1500*Φ200，碳钢防腐</w:t>
            </w:r>
          </w:p>
        </w:tc>
        <w:tc>
          <w:tcPr>
            <w:tcW w:w="1106" w:type="dxa"/>
            <w:tcBorders>
              <w:tl2br w:val="nil"/>
              <w:tr2bl w:val="nil"/>
            </w:tcBorders>
            <w:vAlign w:val="center"/>
          </w:tcPr>
          <w:p w14:paraId="64D0726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1个</w:t>
            </w:r>
          </w:p>
        </w:tc>
        <w:tc>
          <w:tcPr>
            <w:tcW w:w="1689" w:type="dxa"/>
            <w:tcBorders>
              <w:tl2br w:val="nil"/>
              <w:tr2bl w:val="nil"/>
            </w:tcBorders>
            <w:vAlign w:val="center"/>
          </w:tcPr>
          <w:p w14:paraId="69FA8A88">
            <w:pPr>
              <w:spacing w:line="440" w:lineRule="exact"/>
              <w:rPr>
                <w:rFonts w:hint="eastAsia" w:ascii="宋体" w:hAnsi="宋体" w:cs="宋体"/>
                <w:color w:val="000000" w:themeColor="text1"/>
                <w:highlight w:val="none"/>
                <w14:textFill>
                  <w14:solidFill>
                    <w14:schemeClr w14:val="tx1"/>
                  </w14:solidFill>
                </w14:textFill>
              </w:rPr>
            </w:pPr>
          </w:p>
        </w:tc>
      </w:tr>
      <w:tr w14:paraId="72D56E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601047E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40</w:t>
            </w:r>
          </w:p>
        </w:tc>
        <w:tc>
          <w:tcPr>
            <w:tcW w:w="1984" w:type="dxa"/>
            <w:tcBorders>
              <w:tl2br w:val="nil"/>
              <w:tr2bl w:val="nil"/>
            </w:tcBorders>
            <w:vAlign w:val="center"/>
          </w:tcPr>
          <w:p w14:paraId="1582D9C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生物复合菌种</w:t>
            </w:r>
          </w:p>
        </w:tc>
        <w:tc>
          <w:tcPr>
            <w:tcW w:w="8363" w:type="dxa"/>
            <w:tcBorders>
              <w:tl2br w:val="nil"/>
              <w:tr2bl w:val="nil"/>
            </w:tcBorders>
            <w:vAlign w:val="center"/>
          </w:tcPr>
          <w:p w14:paraId="69586515">
            <w:pPr>
              <w:pStyle w:val="7"/>
              <w:spacing w:after="0"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污水处理用有效活菌种：&gt;200亿/克，水分&lt;6%，杂菌&lt;1%</w:t>
            </w:r>
          </w:p>
        </w:tc>
        <w:tc>
          <w:tcPr>
            <w:tcW w:w="1106" w:type="dxa"/>
            <w:tcBorders>
              <w:tl2br w:val="nil"/>
              <w:tr2bl w:val="nil"/>
            </w:tcBorders>
            <w:vAlign w:val="center"/>
          </w:tcPr>
          <w:p w14:paraId="3BADA61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500kg</w:t>
            </w:r>
          </w:p>
        </w:tc>
        <w:tc>
          <w:tcPr>
            <w:tcW w:w="1689" w:type="dxa"/>
            <w:tcBorders>
              <w:tl2br w:val="nil"/>
              <w:tr2bl w:val="nil"/>
            </w:tcBorders>
            <w:vAlign w:val="center"/>
          </w:tcPr>
          <w:p w14:paraId="192010E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生物培养调试至出水达标回用</w:t>
            </w:r>
          </w:p>
        </w:tc>
      </w:tr>
      <w:tr w14:paraId="02B02F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14ADB7D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41</w:t>
            </w:r>
          </w:p>
        </w:tc>
        <w:tc>
          <w:tcPr>
            <w:tcW w:w="1984" w:type="dxa"/>
            <w:tcBorders>
              <w:tl2br w:val="nil"/>
              <w:tr2bl w:val="nil"/>
            </w:tcBorders>
            <w:vAlign w:val="center"/>
          </w:tcPr>
          <w:p w14:paraId="23CF014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土方开挖</w:t>
            </w:r>
          </w:p>
        </w:tc>
        <w:tc>
          <w:tcPr>
            <w:tcW w:w="8363" w:type="dxa"/>
            <w:tcBorders>
              <w:tl2br w:val="nil"/>
              <w:tr2bl w:val="nil"/>
            </w:tcBorders>
            <w:vAlign w:val="center"/>
          </w:tcPr>
          <w:p w14:paraId="07C5884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二类土</w:t>
            </w:r>
          </w:p>
        </w:tc>
        <w:tc>
          <w:tcPr>
            <w:tcW w:w="1106" w:type="dxa"/>
            <w:tcBorders>
              <w:tl2br w:val="nil"/>
              <w:tr2bl w:val="nil"/>
            </w:tcBorders>
            <w:vAlign w:val="center"/>
          </w:tcPr>
          <w:p w14:paraId="082F093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165方</w:t>
            </w:r>
          </w:p>
        </w:tc>
        <w:tc>
          <w:tcPr>
            <w:tcW w:w="1689" w:type="dxa"/>
            <w:tcBorders>
              <w:tl2br w:val="nil"/>
              <w:tr2bl w:val="nil"/>
            </w:tcBorders>
            <w:vAlign w:val="center"/>
          </w:tcPr>
          <w:p w14:paraId="7185849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生化池、回用水池</w:t>
            </w:r>
          </w:p>
        </w:tc>
      </w:tr>
      <w:tr w14:paraId="13CAD6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6C32BB0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w:t>
            </w:r>
          </w:p>
        </w:tc>
        <w:tc>
          <w:tcPr>
            <w:tcW w:w="1984" w:type="dxa"/>
            <w:tcBorders>
              <w:tl2br w:val="nil"/>
              <w:tr2bl w:val="nil"/>
            </w:tcBorders>
            <w:vAlign w:val="center"/>
          </w:tcPr>
          <w:p w14:paraId="5E98B55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土方回填</w:t>
            </w:r>
          </w:p>
        </w:tc>
        <w:tc>
          <w:tcPr>
            <w:tcW w:w="8363" w:type="dxa"/>
            <w:tcBorders>
              <w:tl2br w:val="nil"/>
              <w:tr2bl w:val="nil"/>
            </w:tcBorders>
            <w:vAlign w:val="center"/>
          </w:tcPr>
          <w:p w14:paraId="69A52F5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二类土，压实系数0.92</w:t>
            </w:r>
          </w:p>
        </w:tc>
        <w:tc>
          <w:tcPr>
            <w:tcW w:w="1106" w:type="dxa"/>
            <w:tcBorders>
              <w:tl2br w:val="nil"/>
              <w:tr2bl w:val="nil"/>
            </w:tcBorders>
            <w:vAlign w:val="center"/>
          </w:tcPr>
          <w:p w14:paraId="611C913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89方</w:t>
            </w:r>
          </w:p>
        </w:tc>
        <w:tc>
          <w:tcPr>
            <w:tcW w:w="1689" w:type="dxa"/>
            <w:tcBorders>
              <w:tl2br w:val="nil"/>
              <w:tr2bl w:val="nil"/>
            </w:tcBorders>
            <w:vAlign w:val="center"/>
          </w:tcPr>
          <w:p w14:paraId="2EE1848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生化池、回用水池</w:t>
            </w:r>
          </w:p>
        </w:tc>
      </w:tr>
      <w:tr w14:paraId="3EF15C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7349280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w:t>
            </w:r>
          </w:p>
        </w:tc>
        <w:tc>
          <w:tcPr>
            <w:tcW w:w="1984" w:type="dxa"/>
            <w:tcBorders>
              <w:tl2br w:val="nil"/>
              <w:tr2bl w:val="nil"/>
            </w:tcBorders>
            <w:vAlign w:val="center"/>
          </w:tcPr>
          <w:p w14:paraId="38CE4BB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土方外运</w:t>
            </w:r>
          </w:p>
        </w:tc>
        <w:tc>
          <w:tcPr>
            <w:tcW w:w="8363" w:type="dxa"/>
            <w:tcBorders>
              <w:tl2br w:val="nil"/>
              <w:tr2bl w:val="nil"/>
            </w:tcBorders>
            <w:vAlign w:val="center"/>
          </w:tcPr>
          <w:p w14:paraId="7B92CE4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二类土</w:t>
            </w:r>
          </w:p>
        </w:tc>
        <w:tc>
          <w:tcPr>
            <w:tcW w:w="1106" w:type="dxa"/>
            <w:tcBorders>
              <w:tl2br w:val="nil"/>
              <w:tr2bl w:val="nil"/>
            </w:tcBorders>
            <w:vAlign w:val="center"/>
          </w:tcPr>
          <w:p w14:paraId="3C34742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76方</w:t>
            </w:r>
          </w:p>
        </w:tc>
        <w:tc>
          <w:tcPr>
            <w:tcW w:w="1689" w:type="dxa"/>
            <w:tcBorders>
              <w:tl2br w:val="nil"/>
              <w:tr2bl w:val="nil"/>
            </w:tcBorders>
            <w:vAlign w:val="center"/>
          </w:tcPr>
          <w:p w14:paraId="1218E29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生化池、回用水池</w:t>
            </w:r>
          </w:p>
        </w:tc>
      </w:tr>
      <w:tr w14:paraId="47FAF6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290E211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44</w:t>
            </w:r>
          </w:p>
        </w:tc>
        <w:tc>
          <w:tcPr>
            <w:tcW w:w="1984" w:type="dxa"/>
            <w:tcBorders>
              <w:tl2br w:val="nil"/>
              <w:tr2bl w:val="nil"/>
            </w:tcBorders>
            <w:vAlign w:val="center"/>
          </w:tcPr>
          <w:p w14:paraId="28C5CCA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垫层</w:t>
            </w:r>
          </w:p>
        </w:tc>
        <w:tc>
          <w:tcPr>
            <w:tcW w:w="8363" w:type="dxa"/>
            <w:tcBorders>
              <w:tl2br w:val="nil"/>
              <w:tr2bl w:val="nil"/>
            </w:tcBorders>
            <w:vAlign w:val="center"/>
          </w:tcPr>
          <w:p w14:paraId="4EEDEF6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混凝土C30，平面尺寸：8.2×7.25m，厚度200mm</w:t>
            </w:r>
          </w:p>
        </w:tc>
        <w:tc>
          <w:tcPr>
            <w:tcW w:w="1106" w:type="dxa"/>
            <w:tcBorders>
              <w:tl2br w:val="nil"/>
              <w:tr2bl w:val="nil"/>
            </w:tcBorders>
            <w:vAlign w:val="center"/>
          </w:tcPr>
          <w:p w14:paraId="131DD90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11.8方</w:t>
            </w:r>
          </w:p>
        </w:tc>
        <w:tc>
          <w:tcPr>
            <w:tcW w:w="1689" w:type="dxa"/>
            <w:tcBorders>
              <w:tl2br w:val="nil"/>
              <w:tr2bl w:val="nil"/>
            </w:tcBorders>
            <w:vAlign w:val="center"/>
          </w:tcPr>
          <w:p w14:paraId="27F0020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生化池、回用水池</w:t>
            </w:r>
          </w:p>
        </w:tc>
      </w:tr>
      <w:tr w14:paraId="3E0256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5413200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45</w:t>
            </w:r>
          </w:p>
        </w:tc>
        <w:tc>
          <w:tcPr>
            <w:tcW w:w="1984" w:type="dxa"/>
            <w:tcBorders>
              <w:tl2br w:val="nil"/>
              <w:tr2bl w:val="nil"/>
            </w:tcBorders>
            <w:vAlign w:val="center"/>
          </w:tcPr>
          <w:p w14:paraId="067F645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垫层</w:t>
            </w:r>
          </w:p>
        </w:tc>
        <w:tc>
          <w:tcPr>
            <w:tcW w:w="8363" w:type="dxa"/>
            <w:tcBorders>
              <w:tl2br w:val="nil"/>
              <w:tr2bl w:val="nil"/>
            </w:tcBorders>
            <w:vAlign w:val="center"/>
          </w:tcPr>
          <w:p w14:paraId="30C0F826">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混凝土C20，平面尺寸：7.8×4.8m，厚度150mm</w:t>
            </w:r>
          </w:p>
        </w:tc>
        <w:tc>
          <w:tcPr>
            <w:tcW w:w="1106" w:type="dxa"/>
            <w:tcBorders>
              <w:tl2br w:val="nil"/>
              <w:tr2bl w:val="nil"/>
            </w:tcBorders>
            <w:vAlign w:val="center"/>
          </w:tcPr>
          <w:p w14:paraId="7DADDF1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5.6方</w:t>
            </w:r>
          </w:p>
        </w:tc>
        <w:tc>
          <w:tcPr>
            <w:tcW w:w="1689" w:type="dxa"/>
            <w:tcBorders>
              <w:tl2br w:val="nil"/>
              <w:tr2bl w:val="nil"/>
            </w:tcBorders>
            <w:vAlign w:val="center"/>
          </w:tcPr>
          <w:p w14:paraId="5DA33EC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设备间</w:t>
            </w:r>
          </w:p>
        </w:tc>
      </w:tr>
      <w:tr w14:paraId="3D2D1D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3401E52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46</w:t>
            </w:r>
          </w:p>
        </w:tc>
        <w:tc>
          <w:tcPr>
            <w:tcW w:w="1984" w:type="dxa"/>
            <w:tcBorders>
              <w:tl2br w:val="nil"/>
              <w:tr2bl w:val="nil"/>
            </w:tcBorders>
            <w:vAlign w:val="center"/>
          </w:tcPr>
          <w:p w14:paraId="5582D57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垫层基础摸板</w:t>
            </w:r>
          </w:p>
        </w:tc>
        <w:tc>
          <w:tcPr>
            <w:tcW w:w="8363" w:type="dxa"/>
            <w:tcBorders>
              <w:tl2br w:val="nil"/>
              <w:tr2bl w:val="nil"/>
            </w:tcBorders>
            <w:vAlign w:val="center"/>
          </w:tcPr>
          <w:p w14:paraId="27ED86E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含模板制作、安装及拆除</w:t>
            </w:r>
          </w:p>
        </w:tc>
        <w:tc>
          <w:tcPr>
            <w:tcW w:w="1106" w:type="dxa"/>
            <w:tcBorders>
              <w:tl2br w:val="nil"/>
              <w:tr2bl w:val="nil"/>
            </w:tcBorders>
            <w:vAlign w:val="center"/>
          </w:tcPr>
          <w:p w14:paraId="49C8D1D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10平米</w:t>
            </w:r>
          </w:p>
        </w:tc>
        <w:tc>
          <w:tcPr>
            <w:tcW w:w="1689" w:type="dxa"/>
            <w:tcBorders>
              <w:tl2br w:val="nil"/>
              <w:tr2bl w:val="nil"/>
            </w:tcBorders>
            <w:vAlign w:val="center"/>
          </w:tcPr>
          <w:p w14:paraId="302B9628">
            <w:pPr>
              <w:spacing w:line="440" w:lineRule="exact"/>
              <w:jc w:val="center"/>
              <w:rPr>
                <w:rFonts w:hint="eastAsia" w:ascii="宋体" w:hAnsi="宋体" w:cs="宋体"/>
                <w:color w:val="000000" w:themeColor="text1"/>
                <w:highlight w:val="none"/>
                <w14:textFill>
                  <w14:solidFill>
                    <w14:schemeClr w14:val="tx1"/>
                  </w14:solidFill>
                </w14:textFill>
              </w:rPr>
            </w:pPr>
          </w:p>
        </w:tc>
      </w:tr>
      <w:tr w14:paraId="329E76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18F9306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47</w:t>
            </w:r>
          </w:p>
        </w:tc>
        <w:tc>
          <w:tcPr>
            <w:tcW w:w="1984" w:type="dxa"/>
            <w:tcBorders>
              <w:tl2br w:val="nil"/>
              <w:tr2bl w:val="nil"/>
            </w:tcBorders>
            <w:vAlign w:val="center"/>
          </w:tcPr>
          <w:p w14:paraId="7370954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主电缆铺设开挖土方</w:t>
            </w:r>
          </w:p>
        </w:tc>
        <w:tc>
          <w:tcPr>
            <w:tcW w:w="8363" w:type="dxa"/>
            <w:tcBorders>
              <w:tl2br w:val="nil"/>
              <w:tr2bl w:val="nil"/>
            </w:tcBorders>
            <w:vAlign w:val="center"/>
          </w:tcPr>
          <w:p w14:paraId="4ABA636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开挖宽度1米，均深1.2米</w:t>
            </w:r>
          </w:p>
        </w:tc>
        <w:tc>
          <w:tcPr>
            <w:tcW w:w="1106" w:type="dxa"/>
            <w:tcBorders>
              <w:tl2br w:val="nil"/>
              <w:tr2bl w:val="nil"/>
            </w:tcBorders>
            <w:vAlign w:val="center"/>
          </w:tcPr>
          <w:p w14:paraId="3806344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192方</w:t>
            </w:r>
          </w:p>
        </w:tc>
        <w:tc>
          <w:tcPr>
            <w:tcW w:w="1689" w:type="dxa"/>
            <w:tcBorders>
              <w:tl2br w:val="nil"/>
              <w:tr2bl w:val="nil"/>
            </w:tcBorders>
            <w:vAlign w:val="center"/>
          </w:tcPr>
          <w:p w14:paraId="04500F97">
            <w:pPr>
              <w:spacing w:line="440" w:lineRule="exact"/>
              <w:jc w:val="center"/>
              <w:rPr>
                <w:rFonts w:hint="eastAsia" w:ascii="宋体" w:hAnsi="宋体" w:cs="宋体"/>
                <w:color w:val="000000" w:themeColor="text1"/>
                <w:highlight w:val="none"/>
                <w14:textFill>
                  <w14:solidFill>
                    <w14:schemeClr w14:val="tx1"/>
                  </w14:solidFill>
                </w14:textFill>
              </w:rPr>
            </w:pPr>
          </w:p>
        </w:tc>
      </w:tr>
      <w:tr w14:paraId="0078F2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356F55B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48</w:t>
            </w:r>
          </w:p>
        </w:tc>
        <w:tc>
          <w:tcPr>
            <w:tcW w:w="1984" w:type="dxa"/>
            <w:tcBorders>
              <w:tl2br w:val="nil"/>
              <w:tr2bl w:val="nil"/>
            </w:tcBorders>
            <w:vAlign w:val="center"/>
          </w:tcPr>
          <w:p w14:paraId="06AD12F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主电缆回填土方</w:t>
            </w:r>
          </w:p>
        </w:tc>
        <w:tc>
          <w:tcPr>
            <w:tcW w:w="8363" w:type="dxa"/>
            <w:tcBorders>
              <w:tl2br w:val="nil"/>
              <w:tr2bl w:val="nil"/>
            </w:tcBorders>
            <w:vAlign w:val="center"/>
          </w:tcPr>
          <w:p w14:paraId="414A82A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回填密实度0.92</w:t>
            </w:r>
          </w:p>
        </w:tc>
        <w:tc>
          <w:tcPr>
            <w:tcW w:w="1106" w:type="dxa"/>
            <w:tcBorders>
              <w:tl2br w:val="nil"/>
              <w:tr2bl w:val="nil"/>
            </w:tcBorders>
            <w:vAlign w:val="center"/>
          </w:tcPr>
          <w:p w14:paraId="0BB3367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192方</w:t>
            </w:r>
          </w:p>
        </w:tc>
        <w:tc>
          <w:tcPr>
            <w:tcW w:w="1689" w:type="dxa"/>
            <w:tcBorders>
              <w:tl2br w:val="nil"/>
              <w:tr2bl w:val="nil"/>
            </w:tcBorders>
            <w:vAlign w:val="center"/>
          </w:tcPr>
          <w:p w14:paraId="65C1ED05">
            <w:pPr>
              <w:spacing w:line="440" w:lineRule="exact"/>
              <w:jc w:val="center"/>
              <w:rPr>
                <w:rFonts w:hint="eastAsia" w:ascii="宋体" w:hAnsi="宋体" w:cs="宋体"/>
                <w:color w:val="000000" w:themeColor="text1"/>
                <w:highlight w:val="none"/>
                <w14:textFill>
                  <w14:solidFill>
                    <w14:schemeClr w14:val="tx1"/>
                  </w14:solidFill>
                </w14:textFill>
              </w:rPr>
            </w:pPr>
          </w:p>
        </w:tc>
      </w:tr>
      <w:tr w14:paraId="0E4754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2294E11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49</w:t>
            </w:r>
          </w:p>
        </w:tc>
        <w:tc>
          <w:tcPr>
            <w:tcW w:w="1984" w:type="dxa"/>
            <w:tcBorders>
              <w:tl2br w:val="nil"/>
              <w:tr2bl w:val="nil"/>
            </w:tcBorders>
            <w:vAlign w:val="center"/>
          </w:tcPr>
          <w:p w14:paraId="4C78A46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主电缆开挖破除路面</w:t>
            </w:r>
          </w:p>
        </w:tc>
        <w:tc>
          <w:tcPr>
            <w:tcW w:w="8363" w:type="dxa"/>
            <w:tcBorders>
              <w:tl2br w:val="nil"/>
              <w:tr2bl w:val="nil"/>
            </w:tcBorders>
            <w:vAlign w:val="center"/>
          </w:tcPr>
          <w:p w14:paraId="0E6CCEB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C30混凝土路面6.2米长，厚30cm，宽1.12米</w:t>
            </w:r>
          </w:p>
        </w:tc>
        <w:tc>
          <w:tcPr>
            <w:tcW w:w="1106" w:type="dxa"/>
            <w:tcBorders>
              <w:tl2br w:val="nil"/>
              <w:tr2bl w:val="nil"/>
            </w:tcBorders>
            <w:vAlign w:val="center"/>
          </w:tcPr>
          <w:p w14:paraId="2CAAB41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7平米</w:t>
            </w:r>
          </w:p>
        </w:tc>
        <w:tc>
          <w:tcPr>
            <w:tcW w:w="1689" w:type="dxa"/>
            <w:tcBorders>
              <w:tl2br w:val="nil"/>
              <w:tr2bl w:val="nil"/>
            </w:tcBorders>
            <w:vAlign w:val="center"/>
          </w:tcPr>
          <w:p w14:paraId="10C67692">
            <w:pPr>
              <w:spacing w:line="440" w:lineRule="exact"/>
              <w:jc w:val="center"/>
              <w:rPr>
                <w:rFonts w:hint="eastAsia" w:ascii="宋体" w:hAnsi="宋体" w:cs="宋体"/>
                <w:color w:val="000000" w:themeColor="text1"/>
                <w:highlight w:val="none"/>
                <w14:textFill>
                  <w14:solidFill>
                    <w14:schemeClr w14:val="tx1"/>
                  </w14:solidFill>
                </w14:textFill>
              </w:rPr>
            </w:pPr>
          </w:p>
        </w:tc>
      </w:tr>
      <w:tr w14:paraId="5D215D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1DCD1B9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50</w:t>
            </w:r>
          </w:p>
        </w:tc>
        <w:tc>
          <w:tcPr>
            <w:tcW w:w="1984" w:type="dxa"/>
            <w:tcBorders>
              <w:tl2br w:val="nil"/>
              <w:tr2bl w:val="nil"/>
            </w:tcBorders>
            <w:vAlign w:val="center"/>
          </w:tcPr>
          <w:p w14:paraId="1207DF0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主电缆开挖路面恢复</w:t>
            </w:r>
          </w:p>
        </w:tc>
        <w:tc>
          <w:tcPr>
            <w:tcW w:w="8363" w:type="dxa"/>
            <w:tcBorders>
              <w:tl2br w:val="nil"/>
              <w:tr2bl w:val="nil"/>
            </w:tcBorders>
            <w:vAlign w:val="center"/>
          </w:tcPr>
          <w:p w14:paraId="5D23DC9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C30混凝土路面6.2米长，厚30cm，宽1.12米</w:t>
            </w:r>
          </w:p>
        </w:tc>
        <w:tc>
          <w:tcPr>
            <w:tcW w:w="1106" w:type="dxa"/>
            <w:tcBorders>
              <w:tl2br w:val="nil"/>
              <w:tr2bl w:val="nil"/>
            </w:tcBorders>
            <w:vAlign w:val="center"/>
          </w:tcPr>
          <w:p w14:paraId="07EC8A8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7平米</w:t>
            </w:r>
          </w:p>
        </w:tc>
        <w:tc>
          <w:tcPr>
            <w:tcW w:w="1689" w:type="dxa"/>
            <w:tcBorders>
              <w:tl2br w:val="nil"/>
              <w:tr2bl w:val="nil"/>
            </w:tcBorders>
            <w:vAlign w:val="center"/>
          </w:tcPr>
          <w:p w14:paraId="487E1A85">
            <w:pPr>
              <w:spacing w:line="440" w:lineRule="exact"/>
              <w:jc w:val="center"/>
              <w:rPr>
                <w:rFonts w:hint="eastAsia" w:ascii="宋体" w:hAnsi="宋体" w:cs="宋体"/>
                <w:color w:val="000000" w:themeColor="text1"/>
                <w:highlight w:val="none"/>
                <w14:textFill>
                  <w14:solidFill>
                    <w14:schemeClr w14:val="tx1"/>
                  </w14:solidFill>
                </w14:textFill>
              </w:rPr>
            </w:pPr>
          </w:p>
        </w:tc>
      </w:tr>
      <w:tr w14:paraId="31B48F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7DE8201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51</w:t>
            </w:r>
          </w:p>
        </w:tc>
        <w:tc>
          <w:tcPr>
            <w:tcW w:w="1984" w:type="dxa"/>
            <w:tcBorders>
              <w:tl2br w:val="nil"/>
              <w:tr2bl w:val="nil"/>
            </w:tcBorders>
            <w:vAlign w:val="center"/>
          </w:tcPr>
          <w:p w14:paraId="3B033C4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绿化恢复</w:t>
            </w:r>
          </w:p>
        </w:tc>
        <w:tc>
          <w:tcPr>
            <w:tcW w:w="8363" w:type="dxa"/>
            <w:tcBorders>
              <w:tl2br w:val="nil"/>
              <w:tr2bl w:val="nil"/>
            </w:tcBorders>
            <w:vAlign w:val="center"/>
          </w:tcPr>
          <w:p w14:paraId="5399C56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种植草皮</w:t>
            </w:r>
          </w:p>
        </w:tc>
        <w:tc>
          <w:tcPr>
            <w:tcW w:w="1106" w:type="dxa"/>
            <w:tcBorders>
              <w:tl2br w:val="nil"/>
              <w:tr2bl w:val="nil"/>
            </w:tcBorders>
            <w:vAlign w:val="center"/>
          </w:tcPr>
          <w:p w14:paraId="5C938C7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173平米</w:t>
            </w:r>
          </w:p>
        </w:tc>
        <w:tc>
          <w:tcPr>
            <w:tcW w:w="1689" w:type="dxa"/>
            <w:tcBorders>
              <w:tl2br w:val="nil"/>
              <w:tr2bl w:val="nil"/>
            </w:tcBorders>
            <w:vAlign w:val="center"/>
          </w:tcPr>
          <w:p w14:paraId="27D51695">
            <w:pPr>
              <w:spacing w:line="440" w:lineRule="exact"/>
              <w:jc w:val="center"/>
              <w:rPr>
                <w:rFonts w:hint="eastAsia" w:ascii="宋体" w:hAnsi="宋体" w:cs="宋体"/>
                <w:color w:val="000000" w:themeColor="text1"/>
                <w:highlight w:val="none"/>
                <w14:textFill>
                  <w14:solidFill>
                    <w14:schemeClr w14:val="tx1"/>
                  </w14:solidFill>
                </w14:textFill>
              </w:rPr>
            </w:pPr>
          </w:p>
        </w:tc>
      </w:tr>
      <w:tr w14:paraId="1E6251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3FF5E61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52</w:t>
            </w:r>
          </w:p>
        </w:tc>
        <w:tc>
          <w:tcPr>
            <w:tcW w:w="1984" w:type="dxa"/>
            <w:tcBorders>
              <w:tl2br w:val="nil"/>
              <w:tr2bl w:val="nil"/>
            </w:tcBorders>
            <w:vAlign w:val="center"/>
          </w:tcPr>
          <w:p w14:paraId="1663BB1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蝶阀</w:t>
            </w:r>
          </w:p>
        </w:tc>
        <w:tc>
          <w:tcPr>
            <w:tcW w:w="8363" w:type="dxa"/>
            <w:tcBorders>
              <w:tl2br w:val="nil"/>
              <w:tr2bl w:val="nil"/>
            </w:tcBorders>
            <w:vAlign w:val="center"/>
          </w:tcPr>
          <w:p w14:paraId="3AA03FC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DN50PN16，材质：铸铁</w:t>
            </w:r>
          </w:p>
        </w:tc>
        <w:tc>
          <w:tcPr>
            <w:tcW w:w="1106" w:type="dxa"/>
            <w:tcBorders>
              <w:tl2br w:val="nil"/>
              <w:tr2bl w:val="nil"/>
            </w:tcBorders>
            <w:vAlign w:val="center"/>
          </w:tcPr>
          <w:p w14:paraId="39F113E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10个</w:t>
            </w:r>
          </w:p>
        </w:tc>
        <w:tc>
          <w:tcPr>
            <w:tcW w:w="1689" w:type="dxa"/>
            <w:tcBorders>
              <w:tl2br w:val="nil"/>
              <w:tr2bl w:val="nil"/>
            </w:tcBorders>
            <w:vAlign w:val="center"/>
          </w:tcPr>
          <w:p w14:paraId="31CF14F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提升泵/自吸泵/清洗泵/风机</w:t>
            </w:r>
          </w:p>
        </w:tc>
      </w:tr>
      <w:tr w14:paraId="35750C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61FCF7F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53</w:t>
            </w:r>
          </w:p>
        </w:tc>
        <w:tc>
          <w:tcPr>
            <w:tcW w:w="1984" w:type="dxa"/>
            <w:tcBorders>
              <w:tl2br w:val="nil"/>
              <w:tr2bl w:val="nil"/>
            </w:tcBorders>
            <w:vAlign w:val="center"/>
          </w:tcPr>
          <w:p w14:paraId="5CCDC24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快速接头</w:t>
            </w:r>
          </w:p>
        </w:tc>
        <w:tc>
          <w:tcPr>
            <w:tcW w:w="8363" w:type="dxa"/>
            <w:tcBorders>
              <w:tl2br w:val="nil"/>
              <w:tr2bl w:val="nil"/>
            </w:tcBorders>
            <w:vAlign w:val="center"/>
          </w:tcPr>
          <w:p w14:paraId="409B3AD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DN65，材质：铸钢</w:t>
            </w:r>
          </w:p>
        </w:tc>
        <w:tc>
          <w:tcPr>
            <w:tcW w:w="1106" w:type="dxa"/>
            <w:tcBorders>
              <w:tl2br w:val="nil"/>
              <w:tr2bl w:val="nil"/>
            </w:tcBorders>
            <w:vAlign w:val="center"/>
          </w:tcPr>
          <w:p w14:paraId="53F3959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1个</w:t>
            </w:r>
          </w:p>
        </w:tc>
        <w:tc>
          <w:tcPr>
            <w:tcW w:w="1689" w:type="dxa"/>
            <w:tcBorders>
              <w:tl2br w:val="nil"/>
              <w:tr2bl w:val="nil"/>
            </w:tcBorders>
            <w:vAlign w:val="center"/>
          </w:tcPr>
          <w:p w14:paraId="5900DB2A">
            <w:pPr>
              <w:spacing w:line="440" w:lineRule="exact"/>
              <w:jc w:val="center"/>
              <w:rPr>
                <w:rFonts w:hint="eastAsia" w:ascii="宋体" w:hAnsi="宋体" w:cs="宋体"/>
                <w:color w:val="000000" w:themeColor="text1"/>
                <w:highlight w:val="none"/>
                <w14:textFill>
                  <w14:solidFill>
                    <w14:schemeClr w14:val="tx1"/>
                  </w14:solidFill>
                </w14:textFill>
              </w:rPr>
            </w:pPr>
          </w:p>
        </w:tc>
      </w:tr>
      <w:tr w14:paraId="5DD137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16DA509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54</w:t>
            </w:r>
          </w:p>
        </w:tc>
        <w:tc>
          <w:tcPr>
            <w:tcW w:w="1984" w:type="dxa"/>
            <w:tcBorders>
              <w:tl2br w:val="nil"/>
              <w:tr2bl w:val="nil"/>
            </w:tcBorders>
            <w:vAlign w:val="center"/>
          </w:tcPr>
          <w:p w14:paraId="745EB00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止回阀</w:t>
            </w:r>
          </w:p>
        </w:tc>
        <w:tc>
          <w:tcPr>
            <w:tcW w:w="8363" w:type="dxa"/>
            <w:tcBorders>
              <w:tl2br w:val="nil"/>
              <w:tr2bl w:val="nil"/>
            </w:tcBorders>
            <w:vAlign w:val="center"/>
          </w:tcPr>
          <w:p w14:paraId="0F87748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DN50PN16，材质：铸铁</w:t>
            </w:r>
          </w:p>
        </w:tc>
        <w:tc>
          <w:tcPr>
            <w:tcW w:w="1106" w:type="dxa"/>
            <w:tcBorders>
              <w:tl2br w:val="nil"/>
              <w:tr2bl w:val="nil"/>
            </w:tcBorders>
            <w:vAlign w:val="center"/>
          </w:tcPr>
          <w:p w14:paraId="58CEB5F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7个</w:t>
            </w:r>
          </w:p>
        </w:tc>
        <w:tc>
          <w:tcPr>
            <w:tcW w:w="1689" w:type="dxa"/>
            <w:tcBorders>
              <w:tl2br w:val="nil"/>
              <w:tr2bl w:val="nil"/>
            </w:tcBorders>
            <w:vAlign w:val="center"/>
          </w:tcPr>
          <w:p w14:paraId="11D3AD0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提升泵/自吸泵/清洗泵/风机</w:t>
            </w:r>
          </w:p>
        </w:tc>
      </w:tr>
      <w:tr w14:paraId="23AB71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76D92C8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55</w:t>
            </w:r>
          </w:p>
        </w:tc>
        <w:tc>
          <w:tcPr>
            <w:tcW w:w="1984" w:type="dxa"/>
            <w:tcBorders>
              <w:tl2br w:val="nil"/>
              <w:tr2bl w:val="nil"/>
            </w:tcBorders>
            <w:vAlign w:val="center"/>
          </w:tcPr>
          <w:p w14:paraId="273A599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加药管</w:t>
            </w:r>
          </w:p>
        </w:tc>
        <w:tc>
          <w:tcPr>
            <w:tcW w:w="8363" w:type="dxa"/>
            <w:tcBorders>
              <w:tl2br w:val="nil"/>
              <w:tr2bl w:val="nil"/>
            </w:tcBorders>
            <w:vAlign w:val="center"/>
          </w:tcPr>
          <w:p w14:paraId="13A7085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DN25，1.25Mpa 材质UPVC</w:t>
            </w:r>
          </w:p>
        </w:tc>
        <w:tc>
          <w:tcPr>
            <w:tcW w:w="1106" w:type="dxa"/>
            <w:tcBorders>
              <w:tl2br w:val="nil"/>
              <w:tr2bl w:val="nil"/>
            </w:tcBorders>
            <w:vAlign w:val="center"/>
          </w:tcPr>
          <w:p w14:paraId="6AA9979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11.3米</w:t>
            </w:r>
          </w:p>
        </w:tc>
        <w:tc>
          <w:tcPr>
            <w:tcW w:w="1689" w:type="dxa"/>
            <w:tcBorders>
              <w:tl2br w:val="nil"/>
              <w:tr2bl w:val="nil"/>
            </w:tcBorders>
            <w:vAlign w:val="center"/>
          </w:tcPr>
          <w:p w14:paraId="45F12FD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加药装置</w:t>
            </w:r>
          </w:p>
        </w:tc>
      </w:tr>
      <w:tr w14:paraId="28B17F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60ECA86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56</w:t>
            </w:r>
          </w:p>
        </w:tc>
        <w:tc>
          <w:tcPr>
            <w:tcW w:w="1984" w:type="dxa"/>
            <w:tcBorders>
              <w:tl2br w:val="nil"/>
              <w:tr2bl w:val="nil"/>
            </w:tcBorders>
            <w:vAlign w:val="center"/>
          </w:tcPr>
          <w:p w14:paraId="0E14735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污泥回流管</w:t>
            </w:r>
          </w:p>
        </w:tc>
        <w:tc>
          <w:tcPr>
            <w:tcW w:w="8363" w:type="dxa"/>
            <w:tcBorders>
              <w:tl2br w:val="nil"/>
              <w:tr2bl w:val="nil"/>
            </w:tcBorders>
            <w:vAlign w:val="center"/>
          </w:tcPr>
          <w:p w14:paraId="5C8AD6C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DN80*4.0，镀锌管道</w:t>
            </w:r>
          </w:p>
        </w:tc>
        <w:tc>
          <w:tcPr>
            <w:tcW w:w="1106" w:type="dxa"/>
            <w:tcBorders>
              <w:tl2br w:val="nil"/>
              <w:tr2bl w:val="nil"/>
            </w:tcBorders>
            <w:vAlign w:val="center"/>
          </w:tcPr>
          <w:p w14:paraId="0B04534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8.4米</w:t>
            </w:r>
          </w:p>
        </w:tc>
        <w:tc>
          <w:tcPr>
            <w:tcW w:w="1689" w:type="dxa"/>
            <w:tcBorders>
              <w:tl2br w:val="nil"/>
              <w:tr2bl w:val="nil"/>
            </w:tcBorders>
            <w:vAlign w:val="center"/>
          </w:tcPr>
          <w:p w14:paraId="5919FCA5">
            <w:pPr>
              <w:spacing w:line="440" w:lineRule="exact"/>
              <w:jc w:val="center"/>
              <w:rPr>
                <w:rFonts w:hint="eastAsia" w:ascii="宋体" w:hAnsi="宋体" w:cs="宋体"/>
                <w:color w:val="000000" w:themeColor="text1"/>
                <w:highlight w:val="none"/>
                <w14:textFill>
                  <w14:solidFill>
                    <w14:schemeClr w14:val="tx1"/>
                  </w14:solidFill>
                </w14:textFill>
              </w:rPr>
            </w:pPr>
          </w:p>
        </w:tc>
      </w:tr>
      <w:tr w14:paraId="5A9796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6B4F1B2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57</w:t>
            </w:r>
          </w:p>
        </w:tc>
        <w:tc>
          <w:tcPr>
            <w:tcW w:w="1984" w:type="dxa"/>
            <w:tcBorders>
              <w:tl2br w:val="nil"/>
              <w:tr2bl w:val="nil"/>
            </w:tcBorders>
            <w:vAlign w:val="center"/>
          </w:tcPr>
          <w:p w14:paraId="7C1260A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曝气风管</w:t>
            </w:r>
          </w:p>
        </w:tc>
        <w:tc>
          <w:tcPr>
            <w:tcW w:w="8363" w:type="dxa"/>
            <w:tcBorders>
              <w:tl2br w:val="nil"/>
              <w:tr2bl w:val="nil"/>
            </w:tcBorders>
            <w:vAlign w:val="center"/>
          </w:tcPr>
          <w:p w14:paraId="5D2DF2D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DN80*4.0，镀锌管道</w:t>
            </w:r>
          </w:p>
        </w:tc>
        <w:tc>
          <w:tcPr>
            <w:tcW w:w="1106" w:type="dxa"/>
            <w:tcBorders>
              <w:tl2br w:val="nil"/>
              <w:tr2bl w:val="nil"/>
            </w:tcBorders>
            <w:vAlign w:val="center"/>
          </w:tcPr>
          <w:p w14:paraId="7A34CA4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15.8米</w:t>
            </w:r>
          </w:p>
        </w:tc>
        <w:tc>
          <w:tcPr>
            <w:tcW w:w="1689" w:type="dxa"/>
            <w:tcBorders>
              <w:tl2br w:val="nil"/>
              <w:tr2bl w:val="nil"/>
            </w:tcBorders>
            <w:vAlign w:val="center"/>
          </w:tcPr>
          <w:p w14:paraId="28E93441">
            <w:pPr>
              <w:spacing w:line="440" w:lineRule="exact"/>
              <w:jc w:val="center"/>
              <w:rPr>
                <w:rFonts w:hint="eastAsia" w:ascii="宋体" w:hAnsi="宋体" w:cs="宋体"/>
                <w:color w:val="000000" w:themeColor="text1"/>
                <w:highlight w:val="none"/>
                <w14:textFill>
                  <w14:solidFill>
                    <w14:schemeClr w14:val="tx1"/>
                  </w14:solidFill>
                </w14:textFill>
              </w:rPr>
            </w:pPr>
          </w:p>
        </w:tc>
      </w:tr>
      <w:tr w14:paraId="470E9F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0A3D7BB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58</w:t>
            </w:r>
          </w:p>
        </w:tc>
        <w:tc>
          <w:tcPr>
            <w:tcW w:w="1984" w:type="dxa"/>
            <w:tcBorders>
              <w:tl2br w:val="nil"/>
              <w:tr2bl w:val="nil"/>
            </w:tcBorders>
            <w:vAlign w:val="center"/>
          </w:tcPr>
          <w:p w14:paraId="38A108B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塑料给水管</w:t>
            </w:r>
          </w:p>
        </w:tc>
        <w:tc>
          <w:tcPr>
            <w:tcW w:w="8363" w:type="dxa"/>
            <w:tcBorders>
              <w:tl2br w:val="nil"/>
              <w:tr2bl w:val="nil"/>
            </w:tcBorders>
            <w:vAlign w:val="center"/>
          </w:tcPr>
          <w:p w14:paraId="0FDD523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¢75，1.25Mpa 材质UPVC</w:t>
            </w:r>
          </w:p>
        </w:tc>
        <w:tc>
          <w:tcPr>
            <w:tcW w:w="1106" w:type="dxa"/>
            <w:tcBorders>
              <w:tl2br w:val="nil"/>
              <w:tr2bl w:val="nil"/>
            </w:tcBorders>
            <w:vAlign w:val="center"/>
          </w:tcPr>
          <w:p w14:paraId="00C2772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41米</w:t>
            </w:r>
          </w:p>
        </w:tc>
        <w:tc>
          <w:tcPr>
            <w:tcW w:w="1689" w:type="dxa"/>
            <w:tcBorders>
              <w:tl2br w:val="nil"/>
              <w:tr2bl w:val="nil"/>
            </w:tcBorders>
            <w:vAlign w:val="center"/>
          </w:tcPr>
          <w:p w14:paraId="4F0004C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自吸泵</w:t>
            </w:r>
          </w:p>
        </w:tc>
      </w:tr>
      <w:tr w14:paraId="7F94FB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734CB5C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59</w:t>
            </w:r>
          </w:p>
        </w:tc>
        <w:tc>
          <w:tcPr>
            <w:tcW w:w="1984" w:type="dxa"/>
            <w:tcBorders>
              <w:tl2br w:val="nil"/>
              <w:tr2bl w:val="nil"/>
            </w:tcBorders>
            <w:vAlign w:val="center"/>
          </w:tcPr>
          <w:p w14:paraId="382C34C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回用给水管</w:t>
            </w:r>
          </w:p>
        </w:tc>
        <w:tc>
          <w:tcPr>
            <w:tcW w:w="8363" w:type="dxa"/>
            <w:tcBorders>
              <w:tl2br w:val="nil"/>
              <w:tr2bl w:val="nil"/>
            </w:tcBorders>
            <w:vAlign w:val="center"/>
          </w:tcPr>
          <w:p w14:paraId="2CCE06F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DN80*4.0，镀锌管道</w:t>
            </w:r>
          </w:p>
        </w:tc>
        <w:tc>
          <w:tcPr>
            <w:tcW w:w="1106" w:type="dxa"/>
            <w:tcBorders>
              <w:tl2br w:val="nil"/>
              <w:tr2bl w:val="nil"/>
            </w:tcBorders>
            <w:vAlign w:val="center"/>
          </w:tcPr>
          <w:p w14:paraId="1CF990D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21米</w:t>
            </w:r>
          </w:p>
        </w:tc>
        <w:tc>
          <w:tcPr>
            <w:tcW w:w="1689" w:type="dxa"/>
            <w:tcBorders>
              <w:tl2br w:val="nil"/>
              <w:tr2bl w:val="nil"/>
            </w:tcBorders>
            <w:vAlign w:val="center"/>
          </w:tcPr>
          <w:p w14:paraId="2AB21CF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回用水泵</w:t>
            </w:r>
          </w:p>
        </w:tc>
      </w:tr>
      <w:tr w14:paraId="0B584F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20EB234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60</w:t>
            </w:r>
          </w:p>
        </w:tc>
        <w:tc>
          <w:tcPr>
            <w:tcW w:w="1984" w:type="dxa"/>
            <w:tcBorders>
              <w:tl2br w:val="nil"/>
              <w:tr2bl w:val="nil"/>
            </w:tcBorders>
            <w:vAlign w:val="center"/>
          </w:tcPr>
          <w:p w14:paraId="4280FA3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活接球阀</w:t>
            </w:r>
          </w:p>
        </w:tc>
        <w:tc>
          <w:tcPr>
            <w:tcW w:w="8363" w:type="dxa"/>
            <w:tcBorders>
              <w:tl2br w:val="nil"/>
              <w:tr2bl w:val="nil"/>
            </w:tcBorders>
            <w:vAlign w:val="center"/>
          </w:tcPr>
          <w:p w14:paraId="7A4803E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DN80，材质UPVC</w:t>
            </w:r>
          </w:p>
        </w:tc>
        <w:tc>
          <w:tcPr>
            <w:tcW w:w="1106" w:type="dxa"/>
            <w:tcBorders>
              <w:tl2br w:val="nil"/>
              <w:tr2bl w:val="nil"/>
            </w:tcBorders>
            <w:vAlign w:val="center"/>
          </w:tcPr>
          <w:p w14:paraId="7D542A0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4个</w:t>
            </w:r>
          </w:p>
        </w:tc>
        <w:tc>
          <w:tcPr>
            <w:tcW w:w="1689" w:type="dxa"/>
            <w:tcBorders>
              <w:tl2br w:val="nil"/>
              <w:tr2bl w:val="nil"/>
            </w:tcBorders>
            <w:vAlign w:val="center"/>
          </w:tcPr>
          <w:p w14:paraId="41E07DFF">
            <w:pPr>
              <w:spacing w:line="440" w:lineRule="exact"/>
              <w:jc w:val="center"/>
              <w:rPr>
                <w:rFonts w:hint="eastAsia" w:ascii="宋体" w:hAnsi="宋体" w:cs="宋体"/>
                <w:color w:val="000000" w:themeColor="text1"/>
                <w:highlight w:val="none"/>
                <w14:textFill>
                  <w14:solidFill>
                    <w14:schemeClr w14:val="tx1"/>
                  </w14:solidFill>
                </w14:textFill>
              </w:rPr>
            </w:pPr>
          </w:p>
        </w:tc>
      </w:tr>
      <w:tr w14:paraId="6B4DB6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3E224AA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w:t>
            </w:r>
          </w:p>
        </w:tc>
        <w:tc>
          <w:tcPr>
            <w:tcW w:w="1984" w:type="dxa"/>
            <w:tcBorders>
              <w:tl2br w:val="nil"/>
              <w:tr2bl w:val="nil"/>
            </w:tcBorders>
            <w:vAlign w:val="center"/>
          </w:tcPr>
          <w:p w14:paraId="664419C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双法兰止回阀</w:t>
            </w:r>
          </w:p>
        </w:tc>
        <w:tc>
          <w:tcPr>
            <w:tcW w:w="8363" w:type="dxa"/>
            <w:tcBorders>
              <w:tl2br w:val="nil"/>
              <w:tr2bl w:val="nil"/>
            </w:tcBorders>
            <w:vAlign w:val="center"/>
          </w:tcPr>
          <w:p w14:paraId="02CC399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DN80PN16，材质：铸铁</w:t>
            </w:r>
          </w:p>
        </w:tc>
        <w:tc>
          <w:tcPr>
            <w:tcW w:w="1106" w:type="dxa"/>
            <w:tcBorders>
              <w:tl2br w:val="nil"/>
              <w:tr2bl w:val="nil"/>
            </w:tcBorders>
            <w:vAlign w:val="center"/>
          </w:tcPr>
          <w:p w14:paraId="4158CD4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2个</w:t>
            </w:r>
          </w:p>
        </w:tc>
        <w:tc>
          <w:tcPr>
            <w:tcW w:w="1689" w:type="dxa"/>
            <w:tcBorders>
              <w:tl2br w:val="nil"/>
              <w:tr2bl w:val="nil"/>
            </w:tcBorders>
            <w:vAlign w:val="center"/>
          </w:tcPr>
          <w:p w14:paraId="5BCECFC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回用水泵</w:t>
            </w:r>
          </w:p>
        </w:tc>
      </w:tr>
      <w:tr w14:paraId="14D0E8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279FD36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62</w:t>
            </w:r>
          </w:p>
        </w:tc>
        <w:tc>
          <w:tcPr>
            <w:tcW w:w="1984" w:type="dxa"/>
            <w:tcBorders>
              <w:tl2br w:val="nil"/>
              <w:tr2bl w:val="nil"/>
            </w:tcBorders>
            <w:vAlign w:val="center"/>
          </w:tcPr>
          <w:p w14:paraId="6FB2596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双法兰橡胶软接头</w:t>
            </w:r>
          </w:p>
        </w:tc>
        <w:tc>
          <w:tcPr>
            <w:tcW w:w="8363" w:type="dxa"/>
            <w:tcBorders>
              <w:tl2br w:val="nil"/>
              <w:tr2bl w:val="nil"/>
            </w:tcBorders>
            <w:vAlign w:val="center"/>
          </w:tcPr>
          <w:p w14:paraId="7933DB6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DN80PN16</w:t>
            </w:r>
          </w:p>
        </w:tc>
        <w:tc>
          <w:tcPr>
            <w:tcW w:w="1106" w:type="dxa"/>
            <w:tcBorders>
              <w:tl2br w:val="nil"/>
              <w:tr2bl w:val="nil"/>
            </w:tcBorders>
            <w:vAlign w:val="center"/>
          </w:tcPr>
          <w:p w14:paraId="1E470B0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2个</w:t>
            </w:r>
          </w:p>
        </w:tc>
        <w:tc>
          <w:tcPr>
            <w:tcW w:w="1689" w:type="dxa"/>
            <w:tcBorders>
              <w:tl2br w:val="nil"/>
              <w:tr2bl w:val="nil"/>
            </w:tcBorders>
            <w:vAlign w:val="center"/>
          </w:tcPr>
          <w:p w14:paraId="5AB9B7F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回用水泵</w:t>
            </w:r>
          </w:p>
        </w:tc>
      </w:tr>
      <w:tr w14:paraId="13EC42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13CC45F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63</w:t>
            </w:r>
          </w:p>
        </w:tc>
        <w:tc>
          <w:tcPr>
            <w:tcW w:w="1984" w:type="dxa"/>
            <w:tcBorders>
              <w:tl2br w:val="nil"/>
              <w:tr2bl w:val="nil"/>
            </w:tcBorders>
            <w:vAlign w:val="center"/>
          </w:tcPr>
          <w:p w14:paraId="070419F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钢法兰</w:t>
            </w:r>
          </w:p>
        </w:tc>
        <w:tc>
          <w:tcPr>
            <w:tcW w:w="8363" w:type="dxa"/>
            <w:tcBorders>
              <w:tl2br w:val="nil"/>
              <w:tr2bl w:val="nil"/>
            </w:tcBorders>
            <w:vAlign w:val="center"/>
          </w:tcPr>
          <w:p w14:paraId="40292FB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DN80PN16</w:t>
            </w:r>
          </w:p>
        </w:tc>
        <w:tc>
          <w:tcPr>
            <w:tcW w:w="1106" w:type="dxa"/>
            <w:tcBorders>
              <w:tl2br w:val="nil"/>
              <w:tr2bl w:val="nil"/>
            </w:tcBorders>
            <w:vAlign w:val="center"/>
          </w:tcPr>
          <w:p w14:paraId="4B09BF8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21套</w:t>
            </w:r>
          </w:p>
        </w:tc>
        <w:tc>
          <w:tcPr>
            <w:tcW w:w="1689" w:type="dxa"/>
            <w:tcBorders>
              <w:tl2br w:val="nil"/>
              <w:tr2bl w:val="nil"/>
            </w:tcBorders>
            <w:vAlign w:val="center"/>
          </w:tcPr>
          <w:p w14:paraId="75D5FB1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含螺栓螺母平垫等</w:t>
            </w:r>
          </w:p>
        </w:tc>
      </w:tr>
      <w:tr w14:paraId="3D108B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6D0265B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64</w:t>
            </w:r>
          </w:p>
        </w:tc>
        <w:tc>
          <w:tcPr>
            <w:tcW w:w="1984" w:type="dxa"/>
            <w:tcBorders>
              <w:tl2br w:val="nil"/>
              <w:tr2bl w:val="nil"/>
            </w:tcBorders>
            <w:vAlign w:val="center"/>
          </w:tcPr>
          <w:p w14:paraId="6D86C68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压力表</w:t>
            </w:r>
          </w:p>
        </w:tc>
        <w:tc>
          <w:tcPr>
            <w:tcW w:w="8363" w:type="dxa"/>
            <w:tcBorders>
              <w:tl2br w:val="nil"/>
              <w:tr2bl w:val="nil"/>
            </w:tcBorders>
            <w:vAlign w:val="center"/>
          </w:tcPr>
          <w:p w14:paraId="186B70F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0-0.6Mpa，带缓存弯，Y-100，精度等级：1.6级，表壳材质铸铝，纯铜螺纹接头</w:t>
            </w:r>
          </w:p>
        </w:tc>
        <w:tc>
          <w:tcPr>
            <w:tcW w:w="1106" w:type="dxa"/>
            <w:tcBorders>
              <w:tl2br w:val="nil"/>
              <w:tr2bl w:val="nil"/>
            </w:tcBorders>
            <w:vAlign w:val="center"/>
          </w:tcPr>
          <w:p w14:paraId="021ACD9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1个</w:t>
            </w:r>
          </w:p>
        </w:tc>
        <w:tc>
          <w:tcPr>
            <w:tcW w:w="1689" w:type="dxa"/>
            <w:tcBorders>
              <w:tl2br w:val="nil"/>
              <w:tr2bl w:val="nil"/>
            </w:tcBorders>
            <w:vAlign w:val="center"/>
          </w:tcPr>
          <w:p w14:paraId="31D43D9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清洗管道</w:t>
            </w:r>
          </w:p>
        </w:tc>
      </w:tr>
      <w:tr w14:paraId="742176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3A6469D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65</w:t>
            </w:r>
          </w:p>
        </w:tc>
        <w:tc>
          <w:tcPr>
            <w:tcW w:w="1984" w:type="dxa"/>
            <w:tcBorders>
              <w:tl2br w:val="nil"/>
              <w:tr2bl w:val="nil"/>
            </w:tcBorders>
            <w:vAlign w:val="center"/>
          </w:tcPr>
          <w:p w14:paraId="38BBA0F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室外地上式消防栓</w:t>
            </w:r>
          </w:p>
        </w:tc>
        <w:tc>
          <w:tcPr>
            <w:tcW w:w="8363" w:type="dxa"/>
            <w:tcBorders>
              <w:tl2br w:val="nil"/>
              <w:tr2bl w:val="nil"/>
            </w:tcBorders>
            <w:vAlign w:val="center"/>
          </w:tcPr>
          <w:p w14:paraId="32D9105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出水口径100*65，公称压力1.6Mpa</w:t>
            </w:r>
          </w:p>
        </w:tc>
        <w:tc>
          <w:tcPr>
            <w:tcW w:w="1106" w:type="dxa"/>
            <w:tcBorders>
              <w:tl2br w:val="nil"/>
              <w:tr2bl w:val="nil"/>
            </w:tcBorders>
            <w:vAlign w:val="center"/>
          </w:tcPr>
          <w:p w14:paraId="495CA20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1套</w:t>
            </w:r>
          </w:p>
        </w:tc>
        <w:tc>
          <w:tcPr>
            <w:tcW w:w="1689" w:type="dxa"/>
            <w:tcBorders>
              <w:tl2br w:val="nil"/>
              <w:tr2bl w:val="nil"/>
            </w:tcBorders>
            <w:vAlign w:val="center"/>
          </w:tcPr>
          <w:p w14:paraId="1EC0318E">
            <w:pPr>
              <w:spacing w:line="440" w:lineRule="exact"/>
              <w:jc w:val="center"/>
              <w:rPr>
                <w:rFonts w:hint="eastAsia" w:ascii="宋体" w:hAnsi="宋体" w:cs="宋体"/>
                <w:color w:val="000000" w:themeColor="text1"/>
                <w:highlight w:val="none"/>
                <w14:textFill>
                  <w14:solidFill>
                    <w14:schemeClr w14:val="tx1"/>
                  </w14:solidFill>
                </w14:textFill>
              </w:rPr>
            </w:pPr>
          </w:p>
        </w:tc>
      </w:tr>
      <w:tr w14:paraId="0E2D48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44D983E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66</w:t>
            </w:r>
          </w:p>
        </w:tc>
        <w:tc>
          <w:tcPr>
            <w:tcW w:w="1984" w:type="dxa"/>
            <w:tcBorders>
              <w:tl2br w:val="nil"/>
              <w:tr2bl w:val="nil"/>
            </w:tcBorders>
            <w:vAlign w:val="center"/>
          </w:tcPr>
          <w:p w14:paraId="4016946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气提风管</w:t>
            </w:r>
          </w:p>
        </w:tc>
        <w:tc>
          <w:tcPr>
            <w:tcW w:w="8363" w:type="dxa"/>
            <w:tcBorders>
              <w:tl2br w:val="nil"/>
              <w:tr2bl w:val="nil"/>
            </w:tcBorders>
            <w:vAlign w:val="center"/>
          </w:tcPr>
          <w:p w14:paraId="723E582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DN32*3.0，镀锌钢管</w:t>
            </w:r>
          </w:p>
        </w:tc>
        <w:tc>
          <w:tcPr>
            <w:tcW w:w="1106" w:type="dxa"/>
            <w:tcBorders>
              <w:tl2br w:val="nil"/>
              <w:tr2bl w:val="nil"/>
            </w:tcBorders>
            <w:vAlign w:val="center"/>
          </w:tcPr>
          <w:p w14:paraId="0B040EE6">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9米</w:t>
            </w:r>
          </w:p>
        </w:tc>
        <w:tc>
          <w:tcPr>
            <w:tcW w:w="1689" w:type="dxa"/>
            <w:tcBorders>
              <w:tl2br w:val="nil"/>
              <w:tr2bl w:val="nil"/>
            </w:tcBorders>
            <w:vAlign w:val="center"/>
          </w:tcPr>
          <w:p w14:paraId="5949361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气提风机</w:t>
            </w:r>
          </w:p>
        </w:tc>
      </w:tr>
      <w:tr w14:paraId="79ADDF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15FE2E1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67</w:t>
            </w:r>
          </w:p>
        </w:tc>
        <w:tc>
          <w:tcPr>
            <w:tcW w:w="1984" w:type="dxa"/>
            <w:tcBorders>
              <w:tl2br w:val="nil"/>
              <w:tr2bl w:val="nil"/>
            </w:tcBorders>
            <w:vAlign w:val="center"/>
          </w:tcPr>
          <w:p w14:paraId="638C6AC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钢法兰</w:t>
            </w:r>
          </w:p>
        </w:tc>
        <w:tc>
          <w:tcPr>
            <w:tcW w:w="8363" w:type="dxa"/>
            <w:tcBorders>
              <w:tl2br w:val="nil"/>
              <w:tr2bl w:val="nil"/>
            </w:tcBorders>
            <w:vAlign w:val="center"/>
          </w:tcPr>
          <w:p w14:paraId="48F83CD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DN50PN16      </w:t>
            </w:r>
          </w:p>
        </w:tc>
        <w:tc>
          <w:tcPr>
            <w:tcW w:w="1106" w:type="dxa"/>
            <w:tcBorders>
              <w:tl2br w:val="nil"/>
              <w:tr2bl w:val="nil"/>
            </w:tcBorders>
            <w:vAlign w:val="center"/>
          </w:tcPr>
          <w:p w14:paraId="6F156D2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24套</w:t>
            </w:r>
          </w:p>
        </w:tc>
        <w:tc>
          <w:tcPr>
            <w:tcW w:w="1689" w:type="dxa"/>
            <w:tcBorders>
              <w:tl2br w:val="nil"/>
              <w:tr2bl w:val="nil"/>
            </w:tcBorders>
            <w:vAlign w:val="center"/>
          </w:tcPr>
          <w:p w14:paraId="3306D7B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含螺栓螺母平垫等</w:t>
            </w:r>
          </w:p>
        </w:tc>
      </w:tr>
      <w:tr w14:paraId="213878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6E142E6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68</w:t>
            </w:r>
          </w:p>
        </w:tc>
        <w:tc>
          <w:tcPr>
            <w:tcW w:w="1984" w:type="dxa"/>
            <w:tcBorders>
              <w:tl2br w:val="nil"/>
              <w:tr2bl w:val="nil"/>
            </w:tcBorders>
            <w:vAlign w:val="center"/>
          </w:tcPr>
          <w:p w14:paraId="24BB235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电缆</w:t>
            </w:r>
          </w:p>
        </w:tc>
        <w:tc>
          <w:tcPr>
            <w:tcW w:w="8363" w:type="dxa"/>
            <w:tcBorders>
              <w:tl2br w:val="nil"/>
              <w:tr2bl w:val="nil"/>
            </w:tcBorders>
            <w:vAlign w:val="center"/>
          </w:tcPr>
          <w:p w14:paraId="7738202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国标YJV-0.6/1KV-4×16+1×10，SC50</w:t>
            </w:r>
          </w:p>
          <w:p w14:paraId="069C908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技术要求：</w:t>
            </w:r>
          </w:p>
          <w:p w14:paraId="2A2C554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1、本工程的电缆型号的含义及使用的主要材料见下表：</w:t>
            </w:r>
          </w:p>
          <w:tbl>
            <w:tblPr>
              <w:tblStyle w:val="18"/>
              <w:tblW w:w="78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228"/>
              <w:gridCol w:w="3925"/>
              <w:gridCol w:w="2024"/>
            </w:tblGrid>
            <w:tr w14:paraId="3861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01" w:type="dxa"/>
                  <w:vAlign w:val="center"/>
                </w:tcPr>
                <w:p w14:paraId="15EF81EF">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序号</w:t>
                  </w:r>
                </w:p>
              </w:tc>
              <w:tc>
                <w:tcPr>
                  <w:tcW w:w="1228" w:type="dxa"/>
                  <w:vAlign w:val="center"/>
                </w:tcPr>
                <w:p w14:paraId="7748024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电缆型号</w:t>
                  </w:r>
                </w:p>
              </w:tc>
              <w:tc>
                <w:tcPr>
                  <w:tcW w:w="3925" w:type="dxa"/>
                  <w:vAlign w:val="center"/>
                </w:tcPr>
                <w:p w14:paraId="78E6D9A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电缆名称</w:t>
                  </w:r>
                </w:p>
              </w:tc>
              <w:tc>
                <w:tcPr>
                  <w:tcW w:w="2024" w:type="dxa"/>
                  <w:vAlign w:val="center"/>
                </w:tcPr>
                <w:p w14:paraId="7C196AA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主要材料</w:t>
                  </w:r>
                </w:p>
              </w:tc>
            </w:tr>
            <w:tr w14:paraId="1A6F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01" w:type="dxa"/>
                  <w:vAlign w:val="center"/>
                </w:tcPr>
                <w:p w14:paraId="7722143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p>
              </w:tc>
              <w:tc>
                <w:tcPr>
                  <w:tcW w:w="1228" w:type="dxa"/>
                  <w:vAlign w:val="center"/>
                </w:tcPr>
                <w:p w14:paraId="440D7E8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YJV</w:t>
                  </w:r>
                </w:p>
              </w:tc>
              <w:tc>
                <w:tcPr>
                  <w:tcW w:w="3925" w:type="dxa"/>
                  <w:vAlign w:val="center"/>
                </w:tcPr>
                <w:p w14:paraId="6981369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交联聚乙烯绝缘聚氯乙烯护套电力电缆</w:t>
                  </w:r>
                </w:p>
              </w:tc>
              <w:tc>
                <w:tcPr>
                  <w:tcW w:w="2024" w:type="dxa"/>
                  <w:vAlign w:val="center"/>
                </w:tcPr>
                <w:p w14:paraId="3544453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XLPE/（STA）/PVC</w:t>
                  </w:r>
                </w:p>
              </w:tc>
            </w:tr>
            <w:tr w14:paraId="2464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01" w:type="dxa"/>
                  <w:vAlign w:val="center"/>
                </w:tcPr>
                <w:p w14:paraId="33FEE17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p>
              </w:tc>
              <w:tc>
                <w:tcPr>
                  <w:tcW w:w="1228" w:type="dxa"/>
                  <w:vAlign w:val="center"/>
                </w:tcPr>
                <w:p w14:paraId="637454A9">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VV</w:t>
                  </w:r>
                </w:p>
              </w:tc>
              <w:tc>
                <w:tcPr>
                  <w:tcW w:w="3925" w:type="dxa"/>
                  <w:vAlign w:val="center"/>
                </w:tcPr>
                <w:p w14:paraId="63330D1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聚氯乙烯绝缘聚氯乙烯护套电力电缆</w:t>
                  </w:r>
                </w:p>
              </w:tc>
              <w:tc>
                <w:tcPr>
                  <w:tcW w:w="2024" w:type="dxa"/>
                  <w:vAlign w:val="center"/>
                </w:tcPr>
                <w:p w14:paraId="51CAB5A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PVC/（STA）/PVC</w:t>
                  </w:r>
                </w:p>
              </w:tc>
            </w:tr>
          </w:tbl>
          <w:p w14:paraId="00AFD21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所有电缆须满足GB12706.1～3-2020标准，可直接安装在管道、支架、或直接用夹子固定，所有电力电缆必须有足够的强度以满足电力排管施工的需要。</w:t>
            </w:r>
          </w:p>
          <w:p w14:paraId="4196549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2、在制造厂检查和试验</w:t>
            </w:r>
          </w:p>
          <w:p w14:paraId="2B817B4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在制造厂须做的试验及其方法在GB12706.1～3 标准中已提到。</w:t>
            </w:r>
          </w:p>
          <w:p w14:paraId="1EE43E6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1）检查的通知和试验</w:t>
            </w:r>
          </w:p>
          <w:p w14:paraId="4700AEA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承包人发出检查时间的通知，采购人有权派出工程师参加检查和制造厂试验，派出费用由承包人承担。</w:t>
            </w:r>
          </w:p>
          <w:p w14:paraId="39DD6B1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2）批准的证书</w:t>
            </w:r>
          </w:p>
          <w:p w14:paraId="669EAE6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在制造厂检查和试验以前，一切相关权威机构以及专业的试验实验室批准的证书，应提交采购人委派的监理工程师研究。</w:t>
            </w:r>
          </w:p>
          <w:p w14:paraId="78DAD58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3）试验的范围和方法</w:t>
            </w:r>
          </w:p>
          <w:p w14:paraId="4C1C70C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所有电缆须按GB12706 1～ 3、GB12666标准要求进行试验，所有的试验方法在这些标准中涉及到。</w:t>
            </w:r>
          </w:p>
          <w:p w14:paraId="69478CD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3、技术要求及生产工艺</w:t>
            </w:r>
          </w:p>
          <w:p w14:paraId="11C5B4D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电力电缆须按国标GB12706 1～3、GB12666规定考核。电缆采用全干式交联生产线上三层共挤的生产工艺。</w:t>
            </w:r>
          </w:p>
          <w:p w14:paraId="2F5CD37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1）电力电缆</w:t>
            </w:r>
          </w:p>
          <w:p w14:paraId="0DB410D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电缆的各项电气参数符合其使用条件下的要求，且考虑以下因素：</w:t>
            </w:r>
          </w:p>
          <w:p w14:paraId="4C7C9556">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连接负载加上30%的容量以及敷设方法引起的降容量。</w:t>
            </w:r>
          </w:p>
          <w:p w14:paraId="4A3ECF4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电缆电压等级及敷设方法</w:t>
            </w:r>
          </w:p>
          <w:p w14:paraId="3E34828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系统的故障水平及持续时间</w:t>
            </w:r>
          </w:p>
          <w:p w14:paraId="00CD657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最大环境温度</w:t>
            </w:r>
          </w:p>
          <w:p w14:paraId="4C11651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电缆平行敷设的数量</w:t>
            </w:r>
          </w:p>
          <w:p w14:paraId="1FD9A70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电缆均采用铜芯电缆且敷设时不受落差影响，电缆性能全部达到国标的有关要求。</w:t>
            </w:r>
          </w:p>
          <w:p w14:paraId="10CE309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A、导体</w:t>
            </w:r>
          </w:p>
          <w:p w14:paraId="1CCD83A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导体表面光洁、无油污、无损伤屏蔽及绝缘的毛刺、锐边，无突起或断裂的单线。导体须采用圆型单线绞合紧压导体，其组成、性能和外观须符合GB/T3956 标准的规定，紧压系数不小于0.89。</w:t>
            </w:r>
          </w:p>
          <w:p w14:paraId="759C001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B、绝缘</w:t>
            </w:r>
          </w:p>
          <w:p w14:paraId="7F3E33F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绝缘采用交联聚乙烯（XLPE）材料，其性能符合GB12706-2002 标准。</w:t>
            </w:r>
          </w:p>
          <w:p w14:paraId="4D952AA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采用国际先进的自交联工艺生产，绝缘偏心度不大于10%。绝缘标称厚度为按最新国标GB/T12706.1—2020，最薄点厚度不小于标称值的90%，优于国标的要求。</w:t>
            </w:r>
          </w:p>
          <w:p w14:paraId="6BDF914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C、护套</w:t>
            </w:r>
          </w:p>
          <w:p w14:paraId="2A7D49E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护套表面须光亮，印字清晰（采用激光喷墨打印系统），并有正确的计米标志，电缆截面须呈圆形，不圆度：（电缆最大外径 －电缆最小外径） ÷标称外径 ≤15%。</w:t>
            </w:r>
          </w:p>
          <w:p w14:paraId="6388135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PVC（聚氯乙烯）护套，符合GB2952-2008标准的规定。正常运行导体最高额定温度为70℃。</w:t>
            </w:r>
          </w:p>
          <w:p w14:paraId="2EC1E7F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XLPE（交联聚乙烯）护套，符合GB2952 标准的规定。正常运行导体最高额定温度为90℃。</w:t>
            </w:r>
          </w:p>
          <w:p w14:paraId="6C04DFEB">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D、电压</w:t>
            </w:r>
          </w:p>
          <w:p w14:paraId="781416A6">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0.4kV 电缆的额定工频线电压1kV，额定工频相电压0.6kV。</w:t>
            </w:r>
          </w:p>
          <w:p w14:paraId="4B82161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E、直流电阻</w:t>
            </w:r>
          </w:p>
          <w:p w14:paraId="445D57C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0.4kV 低压PVC/PVC 电缆导体的电阻20℃时须小于下列数值：</w:t>
            </w:r>
          </w:p>
          <w:p w14:paraId="62EB41F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导体标称截面 4（mm2）：最大导体直流电阻4.61（Ω/km）</w:t>
            </w:r>
          </w:p>
          <w:p w14:paraId="7D3CBB5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导体标称截面 6（mm2）：最大导体直流电阻3.08（Ω/km）</w:t>
            </w:r>
          </w:p>
          <w:p w14:paraId="12636456">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导体标称截面 10（mm2）：最大导体直流电阻1.83（Ω/km）</w:t>
            </w:r>
          </w:p>
          <w:p w14:paraId="3F3CF7B6">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导体标称截面 16（mm2）：最大导体直流电阻01.15（Ω/km）</w:t>
            </w:r>
          </w:p>
          <w:p w14:paraId="01654B7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2）控制电缆</w:t>
            </w:r>
          </w:p>
          <w:p w14:paraId="1E699466">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电缆的各项电气参数须符合其使用条件下的要求，电缆性能达到国标的要求。电缆均采用铜芯电缆。</w:t>
            </w:r>
          </w:p>
          <w:p w14:paraId="6B91878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4、电缆长度要求</w:t>
            </w:r>
          </w:p>
          <w:p w14:paraId="51A7FFC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同型号、同规格电缆要求做成一根电缆供货。当不能做成一根时，应按甲方提供的电缆详细规格表的相应长度合并后分根，但应尽量减少电缆根数。</w:t>
            </w:r>
          </w:p>
        </w:tc>
        <w:tc>
          <w:tcPr>
            <w:tcW w:w="1106" w:type="dxa"/>
            <w:tcBorders>
              <w:tl2br w:val="nil"/>
              <w:tr2bl w:val="nil"/>
            </w:tcBorders>
            <w:vAlign w:val="center"/>
          </w:tcPr>
          <w:p w14:paraId="38DCF5F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167米</w:t>
            </w:r>
          </w:p>
        </w:tc>
        <w:tc>
          <w:tcPr>
            <w:tcW w:w="1689" w:type="dxa"/>
            <w:tcBorders>
              <w:tl2br w:val="nil"/>
              <w:tr2bl w:val="nil"/>
            </w:tcBorders>
            <w:vAlign w:val="center"/>
          </w:tcPr>
          <w:p w14:paraId="523F12A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含穿线管和电缆头制作安装</w:t>
            </w:r>
          </w:p>
        </w:tc>
      </w:tr>
      <w:tr w14:paraId="2AC8A6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985" w:type="dxa"/>
            <w:tcBorders>
              <w:tl2br w:val="nil"/>
              <w:tr2bl w:val="nil"/>
            </w:tcBorders>
            <w:vAlign w:val="center"/>
          </w:tcPr>
          <w:p w14:paraId="4906B73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69</w:t>
            </w:r>
          </w:p>
        </w:tc>
        <w:tc>
          <w:tcPr>
            <w:tcW w:w="1984" w:type="dxa"/>
            <w:tcBorders>
              <w:tl2br w:val="nil"/>
              <w:tr2bl w:val="nil"/>
            </w:tcBorders>
            <w:vAlign w:val="center"/>
          </w:tcPr>
          <w:p w14:paraId="7579D26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电缆</w:t>
            </w:r>
          </w:p>
        </w:tc>
        <w:tc>
          <w:tcPr>
            <w:tcW w:w="8363" w:type="dxa"/>
            <w:tcBorders>
              <w:tl2br w:val="nil"/>
              <w:tr2bl w:val="nil"/>
            </w:tcBorders>
            <w:vAlign w:val="center"/>
          </w:tcPr>
          <w:p w14:paraId="0A34C17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国标YJV-0.6/1KV-5×6，SC25，见第68项技术要求</w:t>
            </w:r>
          </w:p>
        </w:tc>
        <w:tc>
          <w:tcPr>
            <w:tcW w:w="1106" w:type="dxa"/>
            <w:tcBorders>
              <w:tl2br w:val="nil"/>
              <w:tr2bl w:val="nil"/>
            </w:tcBorders>
            <w:vAlign w:val="center"/>
          </w:tcPr>
          <w:p w14:paraId="003025F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12米</w:t>
            </w:r>
          </w:p>
        </w:tc>
        <w:tc>
          <w:tcPr>
            <w:tcW w:w="1689" w:type="dxa"/>
            <w:tcBorders>
              <w:tl2br w:val="nil"/>
              <w:tr2bl w:val="nil"/>
            </w:tcBorders>
            <w:vAlign w:val="center"/>
          </w:tcPr>
          <w:p w14:paraId="148C7F2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含穿线管</w:t>
            </w:r>
          </w:p>
        </w:tc>
      </w:tr>
      <w:tr w14:paraId="54F6F7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0AA5E9C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70</w:t>
            </w:r>
          </w:p>
        </w:tc>
        <w:tc>
          <w:tcPr>
            <w:tcW w:w="1984" w:type="dxa"/>
            <w:tcBorders>
              <w:tl2br w:val="nil"/>
              <w:tr2bl w:val="nil"/>
            </w:tcBorders>
            <w:vAlign w:val="center"/>
          </w:tcPr>
          <w:p w14:paraId="4521767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电缆</w:t>
            </w:r>
          </w:p>
        </w:tc>
        <w:tc>
          <w:tcPr>
            <w:tcW w:w="8363" w:type="dxa"/>
            <w:tcBorders>
              <w:tl2br w:val="nil"/>
              <w:tr2bl w:val="nil"/>
            </w:tcBorders>
            <w:vAlign w:val="center"/>
          </w:tcPr>
          <w:p w14:paraId="0D9EF1BB">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国标YJV-0.6/1KV-4×2.5，SC25，见第68项技术要求</w:t>
            </w:r>
          </w:p>
        </w:tc>
        <w:tc>
          <w:tcPr>
            <w:tcW w:w="1106" w:type="dxa"/>
            <w:tcBorders>
              <w:tl2br w:val="nil"/>
              <w:tr2bl w:val="nil"/>
            </w:tcBorders>
            <w:vAlign w:val="center"/>
          </w:tcPr>
          <w:p w14:paraId="68663EE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97米</w:t>
            </w:r>
          </w:p>
        </w:tc>
        <w:tc>
          <w:tcPr>
            <w:tcW w:w="1689" w:type="dxa"/>
            <w:tcBorders>
              <w:tl2br w:val="nil"/>
              <w:tr2bl w:val="nil"/>
            </w:tcBorders>
            <w:vAlign w:val="center"/>
          </w:tcPr>
          <w:p w14:paraId="5F7AFA0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含穿线管</w:t>
            </w:r>
          </w:p>
        </w:tc>
      </w:tr>
      <w:tr w14:paraId="7EB66F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3BECD21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71</w:t>
            </w:r>
          </w:p>
        </w:tc>
        <w:tc>
          <w:tcPr>
            <w:tcW w:w="1984" w:type="dxa"/>
            <w:tcBorders>
              <w:tl2br w:val="nil"/>
              <w:tr2bl w:val="nil"/>
            </w:tcBorders>
            <w:vAlign w:val="center"/>
          </w:tcPr>
          <w:p w14:paraId="50F5B40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电缆</w:t>
            </w:r>
          </w:p>
        </w:tc>
        <w:tc>
          <w:tcPr>
            <w:tcW w:w="8363" w:type="dxa"/>
            <w:tcBorders>
              <w:tl2br w:val="nil"/>
              <w:tr2bl w:val="nil"/>
            </w:tcBorders>
            <w:vAlign w:val="center"/>
          </w:tcPr>
          <w:p w14:paraId="765F004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国标KVV-8×1.0，SC20，见第68项技术要求</w:t>
            </w:r>
          </w:p>
        </w:tc>
        <w:tc>
          <w:tcPr>
            <w:tcW w:w="1106" w:type="dxa"/>
            <w:tcBorders>
              <w:tl2br w:val="nil"/>
              <w:tr2bl w:val="nil"/>
            </w:tcBorders>
            <w:vAlign w:val="center"/>
          </w:tcPr>
          <w:p w14:paraId="2A52AA5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60米</w:t>
            </w:r>
          </w:p>
        </w:tc>
        <w:tc>
          <w:tcPr>
            <w:tcW w:w="1689" w:type="dxa"/>
            <w:tcBorders>
              <w:tl2br w:val="nil"/>
              <w:tr2bl w:val="nil"/>
            </w:tcBorders>
            <w:vAlign w:val="center"/>
          </w:tcPr>
          <w:p w14:paraId="646F531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含穿线管</w:t>
            </w:r>
          </w:p>
        </w:tc>
      </w:tr>
      <w:tr w14:paraId="457E2A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4F0EA2E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72</w:t>
            </w:r>
          </w:p>
        </w:tc>
        <w:tc>
          <w:tcPr>
            <w:tcW w:w="1984" w:type="dxa"/>
            <w:tcBorders>
              <w:tl2br w:val="nil"/>
              <w:tr2bl w:val="nil"/>
            </w:tcBorders>
            <w:vAlign w:val="center"/>
          </w:tcPr>
          <w:p w14:paraId="0F9D976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电缆</w:t>
            </w:r>
          </w:p>
        </w:tc>
        <w:tc>
          <w:tcPr>
            <w:tcW w:w="8363" w:type="dxa"/>
            <w:tcBorders>
              <w:tl2br w:val="nil"/>
              <w:tr2bl w:val="nil"/>
            </w:tcBorders>
            <w:vAlign w:val="center"/>
          </w:tcPr>
          <w:p w14:paraId="1319638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国标RVV-3×1.0，SC20，见第68项技术要求</w:t>
            </w:r>
          </w:p>
        </w:tc>
        <w:tc>
          <w:tcPr>
            <w:tcW w:w="1106" w:type="dxa"/>
            <w:tcBorders>
              <w:tl2br w:val="nil"/>
              <w:tr2bl w:val="nil"/>
            </w:tcBorders>
            <w:vAlign w:val="center"/>
          </w:tcPr>
          <w:p w14:paraId="7A7ED09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65米</w:t>
            </w:r>
          </w:p>
        </w:tc>
        <w:tc>
          <w:tcPr>
            <w:tcW w:w="1689" w:type="dxa"/>
            <w:tcBorders>
              <w:tl2br w:val="nil"/>
              <w:tr2bl w:val="nil"/>
            </w:tcBorders>
            <w:vAlign w:val="center"/>
          </w:tcPr>
          <w:p w14:paraId="6E597CD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含穿线管</w:t>
            </w:r>
          </w:p>
        </w:tc>
      </w:tr>
      <w:tr w14:paraId="6E1BF5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4331D364">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73</w:t>
            </w:r>
          </w:p>
        </w:tc>
        <w:tc>
          <w:tcPr>
            <w:tcW w:w="1984" w:type="dxa"/>
            <w:tcBorders>
              <w:tl2br w:val="nil"/>
              <w:tr2bl w:val="nil"/>
            </w:tcBorders>
            <w:vAlign w:val="center"/>
          </w:tcPr>
          <w:p w14:paraId="28C636B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电缆</w:t>
            </w:r>
          </w:p>
        </w:tc>
        <w:tc>
          <w:tcPr>
            <w:tcW w:w="8363" w:type="dxa"/>
            <w:tcBorders>
              <w:tl2br w:val="nil"/>
              <w:tr2bl w:val="nil"/>
            </w:tcBorders>
            <w:vAlign w:val="center"/>
          </w:tcPr>
          <w:p w14:paraId="64B13EE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国标RVVP-3×1.0，SC20 </w:t>
            </w:r>
          </w:p>
        </w:tc>
        <w:tc>
          <w:tcPr>
            <w:tcW w:w="1106" w:type="dxa"/>
            <w:tcBorders>
              <w:tl2br w:val="nil"/>
              <w:tr2bl w:val="nil"/>
            </w:tcBorders>
            <w:vAlign w:val="center"/>
          </w:tcPr>
          <w:p w14:paraId="3141538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65米</w:t>
            </w:r>
          </w:p>
        </w:tc>
        <w:tc>
          <w:tcPr>
            <w:tcW w:w="1689" w:type="dxa"/>
            <w:tcBorders>
              <w:tl2br w:val="nil"/>
              <w:tr2bl w:val="nil"/>
            </w:tcBorders>
            <w:vAlign w:val="center"/>
          </w:tcPr>
          <w:p w14:paraId="0A8C0918">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含穿线管</w:t>
            </w:r>
          </w:p>
        </w:tc>
      </w:tr>
      <w:tr w14:paraId="679772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c>
          <w:tcPr>
            <w:tcW w:w="985" w:type="dxa"/>
            <w:tcBorders>
              <w:tl2br w:val="nil"/>
              <w:tr2bl w:val="nil"/>
            </w:tcBorders>
            <w:vAlign w:val="center"/>
          </w:tcPr>
          <w:p w14:paraId="091CDA2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74</w:t>
            </w:r>
          </w:p>
        </w:tc>
        <w:tc>
          <w:tcPr>
            <w:tcW w:w="1984" w:type="dxa"/>
            <w:tcBorders>
              <w:tl2br w:val="nil"/>
              <w:tr2bl w:val="nil"/>
            </w:tcBorders>
            <w:vAlign w:val="center"/>
          </w:tcPr>
          <w:p w14:paraId="7779170B">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电缆</w:t>
            </w:r>
          </w:p>
        </w:tc>
        <w:tc>
          <w:tcPr>
            <w:tcW w:w="8363" w:type="dxa"/>
            <w:tcBorders>
              <w:tl2br w:val="nil"/>
              <w:tr2bl w:val="nil"/>
            </w:tcBorders>
            <w:vAlign w:val="center"/>
          </w:tcPr>
          <w:p w14:paraId="493089A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国标RVVP-3×0.75，SC20 </w:t>
            </w:r>
          </w:p>
        </w:tc>
        <w:tc>
          <w:tcPr>
            <w:tcW w:w="1106" w:type="dxa"/>
            <w:tcBorders>
              <w:tl2br w:val="nil"/>
              <w:tr2bl w:val="nil"/>
            </w:tcBorders>
            <w:vAlign w:val="center"/>
          </w:tcPr>
          <w:p w14:paraId="39201D6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16米</w:t>
            </w:r>
          </w:p>
        </w:tc>
        <w:tc>
          <w:tcPr>
            <w:tcW w:w="1689" w:type="dxa"/>
            <w:tcBorders>
              <w:tl2br w:val="nil"/>
              <w:tr2bl w:val="nil"/>
            </w:tcBorders>
            <w:vAlign w:val="center"/>
          </w:tcPr>
          <w:p w14:paraId="01DC262A">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含穿线管</w:t>
            </w:r>
          </w:p>
        </w:tc>
      </w:tr>
    </w:tbl>
    <w:p w14:paraId="3D86B682">
      <w:pP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br w:type="page"/>
      </w:r>
    </w:p>
    <w:p w14:paraId="579FC7E0">
      <w:pPr>
        <w:ind w:firstLine="560" w:firstLineChars="200"/>
        <w:rPr>
          <w:rFonts w:hint="eastAsia" w:ascii="宋体" w:hAnsi="宋体" w:cs="宋体"/>
          <w:b/>
          <w:bCs/>
          <w:color w:val="000000" w:themeColor="text1"/>
          <w:sz w:val="28"/>
          <w:szCs w:val="28"/>
          <w:highlight w:val="none"/>
          <w14:textFill>
            <w14:solidFill>
              <w14:schemeClr w14:val="tx1"/>
            </w14:solidFill>
          </w14:textFill>
        </w:rPr>
        <w:sectPr>
          <w:headerReference r:id="rId8" w:type="default"/>
          <w:footerReference r:id="rId9" w:type="default"/>
          <w:pgSz w:w="16838" w:h="11906" w:orient="landscape"/>
          <w:pgMar w:top="1440" w:right="1440" w:bottom="1440" w:left="1440" w:header="851" w:footer="992" w:gutter="0"/>
          <w:cols w:space="720" w:num="1"/>
          <w:docGrid w:type="linesAndChars" w:linePitch="312" w:charSpace="0"/>
        </w:sectPr>
      </w:pPr>
    </w:p>
    <w:bookmarkEnd w:id="122"/>
    <w:p w14:paraId="6FB173DD">
      <w:pP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商务要求：</w:t>
      </w:r>
    </w:p>
    <w:p w14:paraId="4E66FE68">
      <w:pPr>
        <w:ind w:firstLine="560" w:firstLineChars="200"/>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val="en-US" w:eastAsia="zh-CN"/>
          <w14:textFill>
            <w14:solidFill>
              <w14:schemeClr w14:val="tx1"/>
            </w14:solidFill>
          </w14:textFill>
        </w:rPr>
        <w:t>1</w:t>
      </w:r>
      <w:r>
        <w:rPr>
          <w:rFonts w:hint="eastAsia" w:ascii="宋体" w:hAnsi="宋体" w:cs="宋体"/>
          <w:color w:val="000000" w:themeColor="text1"/>
          <w:sz w:val="28"/>
          <w:szCs w:val="28"/>
          <w:highlight w:val="none"/>
          <w14:textFill>
            <w14:solidFill>
              <w14:schemeClr w14:val="tx1"/>
            </w14:solidFill>
          </w14:textFill>
        </w:rPr>
        <w:t>.质保期：产品验收合格后3年保修期，保修期间如产品有质量问题，乙方无条件负责退换整改。</w:t>
      </w:r>
    </w:p>
    <w:p w14:paraId="6FD439B5">
      <w:pPr>
        <w:ind w:firstLine="560" w:firstLineChars="200"/>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质保期内每年提供1次第三方出具的合格水质检测报告，处理后的水源不合格的，需整改处理再提供合格检测报告。</w:t>
      </w:r>
    </w:p>
    <w:p w14:paraId="0FE511F5">
      <w:pPr>
        <w:ind w:firstLine="560" w:firstLineChars="200"/>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质保期内1年至少免费上门维保2次。包括检查设备、管道清洁、生物复合菌种的培养调试等服务；质保期内备品、备件免费更换。</w:t>
      </w:r>
    </w:p>
    <w:p w14:paraId="7AB0F4B1">
      <w:pPr>
        <w:numPr>
          <w:ilvl w:val="0"/>
          <w:numId w:val="0"/>
        </w:numPr>
        <w:ind w:firstLine="560" w:firstLineChars="200"/>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2.</w:t>
      </w:r>
      <w:r>
        <w:rPr>
          <w:rFonts w:hint="eastAsia" w:ascii="宋体" w:hAnsi="宋体" w:cs="宋体"/>
          <w:color w:val="000000" w:themeColor="text1"/>
          <w:sz w:val="28"/>
          <w:szCs w:val="28"/>
          <w:highlight w:val="none"/>
          <w14:textFill>
            <w14:solidFill>
              <w14:schemeClr w14:val="tx1"/>
            </w14:solidFill>
          </w14:textFill>
        </w:rPr>
        <w:t>响应时间：乙方负责对其提供的产品上门进行硬件维修、软件维护和升级等服务，服务免费。自接到甲方报修后，2小时内响应，48小时内到达现场并解决问题。如期限内无法修复，乙方应当提供备机供甲方使用。</w:t>
      </w:r>
    </w:p>
    <w:p w14:paraId="5E2BD797">
      <w:pPr>
        <w:keepNext w:val="0"/>
        <w:keepLines w:val="0"/>
        <w:pageBreakBefore w:val="0"/>
        <w:widowControl/>
        <w:numPr>
          <w:ilvl w:val="0"/>
          <w:numId w:val="0"/>
        </w:numPr>
        <w:kinsoku/>
        <w:wordWrap/>
        <w:overflowPunct/>
        <w:topLinePunct w:val="0"/>
        <w:autoSpaceDE/>
        <w:autoSpaceDN/>
        <w:bidi w:val="0"/>
        <w:adjustRightInd/>
        <w:snapToGrid/>
        <w:ind w:firstLine="560" w:firstLineChars="200"/>
        <w:jc w:val="both"/>
        <w:textAlignment w:val="auto"/>
        <w:rPr>
          <w:rFonts w:hint="eastAsia" w:ascii="宋体" w:hAnsi="宋体" w:cs="宋体"/>
          <w:b/>
          <w:bCs/>
          <w:color w:val="000000" w:themeColor="text1"/>
          <w:sz w:val="28"/>
          <w:szCs w:val="28"/>
          <w:highlight w:val="none"/>
          <w:lang w:val="en-US" w:eastAsia="zh-CN"/>
          <w14:textFill>
            <w14:solidFill>
              <w14:schemeClr w14:val="tx1"/>
            </w14:solidFill>
          </w14:textFill>
        </w:rPr>
      </w:pPr>
      <w:r>
        <w:rPr>
          <w:rFonts w:hint="eastAsia" w:ascii="宋体" w:hAnsi="宋体" w:cs="宋体"/>
          <w:b/>
          <w:bCs/>
          <w:color w:val="000000" w:themeColor="text1"/>
          <w:sz w:val="28"/>
          <w:szCs w:val="28"/>
          <w:highlight w:val="none"/>
          <w:lang w:val="en-US" w:eastAsia="zh-CN"/>
          <w14:textFill>
            <w14:solidFill>
              <w14:schemeClr w14:val="tx1"/>
            </w14:solidFill>
          </w14:textFill>
        </w:rPr>
        <w:t>3.核心产品：MBR膜组件</w:t>
      </w:r>
    </w:p>
    <w:p w14:paraId="1684AAE9">
      <w:pPr>
        <w:keepNext w:val="0"/>
        <w:keepLines w:val="0"/>
        <w:pageBreakBefore w:val="0"/>
        <w:widowControl/>
        <w:numPr>
          <w:ilvl w:val="0"/>
          <w:numId w:val="0"/>
        </w:numPr>
        <w:kinsoku/>
        <w:wordWrap/>
        <w:overflowPunct/>
        <w:topLinePunct w:val="0"/>
        <w:autoSpaceDE/>
        <w:autoSpaceDN/>
        <w:bidi w:val="0"/>
        <w:adjustRightInd/>
        <w:snapToGrid/>
        <w:ind w:firstLine="560" w:firstLineChars="200"/>
        <w:jc w:val="both"/>
        <w:textAlignment w:val="auto"/>
        <w:rPr>
          <w:rFonts w:hint="eastAsia" w:ascii="宋体" w:hAnsi="宋体" w:cs="宋体"/>
          <w:b/>
          <w:bCs/>
          <w:color w:val="000000" w:themeColor="text1"/>
          <w:sz w:val="28"/>
          <w:szCs w:val="28"/>
          <w:highlight w:val="none"/>
          <w:lang w:val="en-US" w:eastAsia="zh-CN"/>
          <w14:textFill>
            <w14:solidFill>
              <w14:schemeClr w14:val="tx1"/>
            </w14:solidFill>
          </w14:textFill>
        </w:rPr>
      </w:pPr>
      <w:r>
        <w:rPr>
          <w:rFonts w:hint="eastAsia" w:ascii="宋体" w:hAnsi="宋体" w:cs="宋体"/>
          <w:b/>
          <w:bCs/>
          <w:color w:val="000000" w:themeColor="text1"/>
          <w:sz w:val="28"/>
          <w:szCs w:val="28"/>
          <w:highlight w:val="none"/>
          <w:lang w:val="en-US" w:eastAsia="zh-CN"/>
          <w14:textFill>
            <w14:solidFill>
              <w14:schemeClr w14:val="tx1"/>
            </w14:solidFill>
          </w14:textFill>
        </w:rPr>
        <w:t>注：</w:t>
      </w:r>
    </w:p>
    <w:p w14:paraId="23AF8EBA">
      <w:pPr>
        <w:keepNext w:val="0"/>
        <w:keepLines w:val="0"/>
        <w:pageBreakBefore w:val="0"/>
        <w:widowControl/>
        <w:numPr>
          <w:ilvl w:val="0"/>
          <w:numId w:val="0"/>
        </w:numPr>
        <w:kinsoku/>
        <w:wordWrap/>
        <w:overflowPunct/>
        <w:topLinePunct w:val="0"/>
        <w:autoSpaceDE/>
        <w:autoSpaceDN/>
        <w:bidi w:val="0"/>
        <w:adjustRightInd/>
        <w:snapToGrid/>
        <w:ind w:firstLine="560" w:firstLineChars="200"/>
        <w:jc w:val="both"/>
        <w:textAlignment w:val="auto"/>
        <w:rPr>
          <w:rFonts w:hint="eastAsia" w:ascii="宋体" w:hAnsi="宋体" w:cs="宋体"/>
          <w:b/>
          <w:bCs/>
          <w:color w:val="000000" w:themeColor="text1"/>
          <w:sz w:val="28"/>
          <w:szCs w:val="28"/>
          <w:highlight w:val="none"/>
          <w:lang w:val="en-US" w:eastAsia="zh-CN"/>
          <w14:textFill>
            <w14:solidFill>
              <w14:schemeClr w14:val="tx1"/>
            </w14:solidFill>
          </w14:textFill>
        </w:rPr>
      </w:pPr>
      <w:r>
        <w:rPr>
          <w:rFonts w:hint="eastAsia" w:ascii="宋体" w:hAnsi="宋体" w:cs="宋体"/>
          <w:b/>
          <w:bCs/>
          <w:color w:val="000000" w:themeColor="text1"/>
          <w:sz w:val="28"/>
          <w:szCs w:val="28"/>
          <w:highlight w:val="none"/>
          <w:lang w:val="en-US" w:eastAsia="zh-CN"/>
          <w14:textFill>
            <w14:solidFill>
              <w14:schemeClr w14:val="tx1"/>
            </w14:solidFill>
          </w14:textFill>
        </w:rPr>
        <w:t>1.投标文件中的检测报告，业绩，售后服务承诺函等证明材料，投标人应将证明材料彩色扫描后放投标文件中。</w:t>
      </w:r>
    </w:p>
    <w:p w14:paraId="055B7A1B">
      <w:pPr>
        <w:keepNext w:val="0"/>
        <w:keepLines w:val="0"/>
        <w:pageBreakBefore w:val="0"/>
        <w:widowControl/>
        <w:numPr>
          <w:ilvl w:val="0"/>
          <w:numId w:val="0"/>
        </w:numPr>
        <w:kinsoku/>
        <w:wordWrap/>
        <w:overflowPunct/>
        <w:topLinePunct w:val="0"/>
        <w:autoSpaceDE/>
        <w:autoSpaceDN/>
        <w:bidi w:val="0"/>
        <w:adjustRightInd/>
        <w:snapToGrid/>
        <w:ind w:firstLine="560" w:firstLineChars="200"/>
        <w:jc w:val="both"/>
        <w:textAlignment w:val="auto"/>
        <w:rPr>
          <w:rFonts w:hint="eastAsia" w:ascii="宋体" w:hAnsi="宋体" w:cs="宋体"/>
          <w:b/>
          <w:bCs/>
          <w:color w:val="000000" w:themeColor="text1"/>
          <w:sz w:val="28"/>
          <w:szCs w:val="28"/>
          <w:highlight w:val="none"/>
          <w:lang w:val="en-US" w:eastAsia="zh-CN"/>
          <w14:textFill>
            <w14:solidFill>
              <w14:schemeClr w14:val="tx1"/>
            </w14:solidFill>
          </w14:textFill>
        </w:rPr>
      </w:pPr>
      <w:r>
        <w:rPr>
          <w:rFonts w:hint="eastAsia" w:ascii="宋体" w:hAnsi="宋体" w:cs="宋体"/>
          <w:b/>
          <w:bCs/>
          <w:color w:val="000000" w:themeColor="text1"/>
          <w:sz w:val="28"/>
          <w:szCs w:val="28"/>
          <w:highlight w:val="none"/>
          <w:lang w:val="en-US" w:eastAsia="zh-CN"/>
          <w14:textFill>
            <w14:solidFill>
              <w14:schemeClr w14:val="tx1"/>
            </w14:solidFill>
          </w14:textFill>
        </w:rPr>
        <w:t>2.投标人提供的货物必须是全新、高于或等于招标文件规定技术参数，具有生产厂家质量合格证明的设备或产品。</w:t>
      </w:r>
    </w:p>
    <w:p w14:paraId="40C97346">
      <w:pPr>
        <w:keepNext w:val="0"/>
        <w:keepLines w:val="0"/>
        <w:pageBreakBefore w:val="0"/>
        <w:widowControl/>
        <w:numPr>
          <w:ilvl w:val="0"/>
          <w:numId w:val="0"/>
        </w:numPr>
        <w:kinsoku/>
        <w:wordWrap/>
        <w:overflowPunct/>
        <w:topLinePunct w:val="0"/>
        <w:autoSpaceDE/>
        <w:autoSpaceDN/>
        <w:bidi w:val="0"/>
        <w:adjustRightInd/>
        <w:snapToGrid/>
        <w:ind w:firstLine="560" w:firstLineChars="200"/>
        <w:jc w:val="both"/>
        <w:textAlignment w:val="auto"/>
        <w:rPr>
          <w:rFonts w:hint="default"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cs="宋体"/>
          <w:b/>
          <w:bCs/>
          <w:color w:val="000000" w:themeColor="text1"/>
          <w:sz w:val="28"/>
          <w:szCs w:val="28"/>
          <w:highlight w:val="none"/>
          <w:lang w:val="en-US" w:eastAsia="zh-CN"/>
          <w14:textFill>
            <w14:solidFill>
              <w14:schemeClr w14:val="tx1"/>
            </w14:solidFill>
          </w14:textFill>
        </w:rPr>
        <w:t>3.同一品牌的认定及核心产品的确定：依据中华人民共和国财政部令第87号令《政府采购货物和服务招标投标管理办法》第三十一条要求。提供相同品牌产品且通过资格审查、符合性审查的不同投标人参加同一标段投标的，按一家投标人计算，评审后得分最高的同品牌投标人获得中标人推荐资格；评审得分相同的，按照价格分得分最高的同品牌投标人获得中标人推荐资格，其他同品牌投标人不作为中标候选人。非单一产品采购项目中，多家投标人提供的核心产品品牌完全相同的，视为提供相同品牌产品。依据项目占比及技术复杂性。</w:t>
      </w:r>
    </w:p>
    <w:p w14:paraId="25B2539B">
      <w:pPr>
        <w:numPr>
          <w:ilvl w:val="0"/>
          <w:numId w:val="0"/>
        </w:numPr>
        <w:jc w:val="both"/>
        <w:rPr>
          <w:rFonts w:hint="eastAsia" w:ascii="宋体" w:hAnsi="宋体" w:cs="宋体"/>
          <w:color w:val="000000" w:themeColor="text1"/>
          <w:sz w:val="28"/>
          <w:szCs w:val="28"/>
          <w:highlight w:val="none"/>
          <w14:textFill>
            <w14:solidFill>
              <w14:schemeClr w14:val="tx1"/>
            </w14:solidFill>
          </w14:textFill>
        </w:rPr>
      </w:pPr>
    </w:p>
    <w:p w14:paraId="492A8F6C">
      <w:pPr>
        <w:numPr>
          <w:ilvl w:val="0"/>
          <w:numId w:val="0"/>
        </w:numPr>
        <w:jc w:val="both"/>
        <w:rPr>
          <w:rFonts w:hint="eastAsia" w:ascii="宋体" w:hAnsi="宋体" w:cs="宋体"/>
          <w:color w:val="000000" w:themeColor="text1"/>
          <w:sz w:val="28"/>
          <w:szCs w:val="28"/>
          <w:highlight w:val="none"/>
          <w14:textFill>
            <w14:solidFill>
              <w14:schemeClr w14:val="tx1"/>
            </w14:solidFill>
          </w14:textFill>
        </w:rPr>
        <w:sectPr>
          <w:headerReference r:id="rId10" w:type="default"/>
          <w:footerReference r:id="rId11" w:type="default"/>
          <w:pgSz w:w="11906" w:h="16838"/>
          <w:pgMar w:top="1440" w:right="1440" w:bottom="1440" w:left="1440" w:header="851" w:footer="992" w:gutter="0"/>
          <w:pgNumType w:start="1"/>
          <w:cols w:space="720" w:num="1"/>
          <w:docGrid w:type="linesAndChars" w:linePitch="312" w:charSpace="0"/>
        </w:sectPr>
      </w:pPr>
    </w:p>
    <w:p w14:paraId="1A318AD5">
      <w:pPr>
        <w:pStyle w:val="29"/>
        <w:jc w:val="center"/>
        <w:rPr>
          <w:rFonts w:hint="eastAsia" w:ascii="宋体" w:hAnsi="宋体"/>
          <w:color w:val="000000" w:themeColor="text1"/>
          <w:sz w:val="36"/>
          <w:szCs w:val="36"/>
          <w:highlight w:val="none"/>
          <w14:textFill>
            <w14:solidFill>
              <w14:schemeClr w14:val="tx1"/>
            </w14:solidFill>
          </w14:textFill>
        </w:rPr>
      </w:pPr>
      <w:bookmarkStart w:id="124" w:name="_Toc19501"/>
      <w:r>
        <w:rPr>
          <w:rFonts w:hint="eastAsia" w:ascii="宋体" w:hAnsi="宋体"/>
          <w:color w:val="000000" w:themeColor="text1"/>
          <w:sz w:val="36"/>
          <w:szCs w:val="36"/>
          <w:highlight w:val="none"/>
          <w14:textFill>
            <w14:solidFill>
              <w14:schemeClr w14:val="tx1"/>
            </w14:solidFill>
          </w14:textFill>
        </w:rPr>
        <w:t>第六章  投标文件格式</w:t>
      </w:r>
      <w:bookmarkEnd w:id="124"/>
    </w:p>
    <w:p w14:paraId="514066BC">
      <w:pPr>
        <w:spacing w:before="312"/>
        <w:jc w:val="center"/>
        <w:rPr>
          <w:rFonts w:hint="eastAsia" w:ascii="宋体" w:hAnsi="宋体"/>
          <w:b/>
          <w:bCs/>
          <w:color w:val="000000" w:themeColor="text1"/>
          <w:kern w:val="0"/>
          <w:sz w:val="40"/>
          <w:szCs w:val="40"/>
          <w:highlight w:val="none"/>
          <w14:textFill>
            <w14:solidFill>
              <w14:schemeClr w14:val="tx1"/>
            </w14:solidFill>
          </w14:textFill>
        </w:rPr>
      </w:pPr>
      <w:r>
        <w:rPr>
          <w:rFonts w:hint="eastAsia" w:ascii="宋体" w:hAnsi="宋体"/>
          <w:b/>
          <w:bCs/>
          <w:color w:val="000000" w:themeColor="text1"/>
          <w:kern w:val="0"/>
          <w:sz w:val="40"/>
          <w:szCs w:val="40"/>
          <w:highlight w:val="none"/>
          <w14:textFill>
            <w14:solidFill>
              <w14:schemeClr w14:val="tx1"/>
            </w14:solidFill>
          </w14:textFill>
        </w:rPr>
        <w:t>平顶山职业技术学院非常规水源利用项目</w:t>
      </w:r>
    </w:p>
    <w:p w14:paraId="68DC80BE">
      <w:pPr>
        <w:spacing w:before="312"/>
        <w:jc w:val="center"/>
        <w:rPr>
          <w:rFonts w:hint="eastAsia" w:ascii="宋体" w:hAnsi="宋体"/>
          <w:color w:val="000000" w:themeColor="text1"/>
          <w:sz w:val="72"/>
          <w:szCs w:val="72"/>
          <w:highlight w:val="none"/>
          <w14:textFill>
            <w14:solidFill>
              <w14:schemeClr w14:val="tx1"/>
            </w14:solidFill>
          </w14:textFill>
        </w:rPr>
      </w:pPr>
    </w:p>
    <w:p w14:paraId="198A4FE3">
      <w:pPr>
        <w:spacing w:before="312"/>
        <w:jc w:val="center"/>
        <w:rPr>
          <w:rFonts w:hint="eastAsia" w:ascii="宋体" w:hAnsi="宋体"/>
          <w:color w:val="000000" w:themeColor="text1"/>
          <w:sz w:val="72"/>
          <w:szCs w:val="72"/>
          <w:highlight w:val="none"/>
          <w14:textFill>
            <w14:solidFill>
              <w14:schemeClr w14:val="tx1"/>
            </w14:solidFill>
          </w14:textFill>
        </w:rPr>
      </w:pPr>
      <w:r>
        <w:rPr>
          <w:rFonts w:hint="eastAsia" w:ascii="宋体" w:hAnsi="宋体"/>
          <w:color w:val="000000" w:themeColor="text1"/>
          <w:sz w:val="72"/>
          <w:szCs w:val="72"/>
          <w:highlight w:val="none"/>
          <w14:textFill>
            <w14:solidFill>
              <w14:schemeClr w14:val="tx1"/>
            </w14:solidFill>
          </w14:textFill>
        </w:rPr>
        <w:t>投  标  文  件</w:t>
      </w:r>
    </w:p>
    <w:p w14:paraId="2BCFF09F">
      <w:pPr>
        <w:jc w:val="center"/>
        <w:rPr>
          <w:rFonts w:hint="eastAsia" w:ascii="宋体" w:hAnsi="宋体"/>
          <w:color w:val="000000" w:themeColor="text1"/>
          <w:sz w:val="30"/>
          <w:szCs w:val="30"/>
          <w:highlight w:val="none"/>
          <w14:textFill>
            <w14:solidFill>
              <w14:schemeClr w14:val="tx1"/>
            </w14:solidFill>
          </w14:textFill>
        </w:rPr>
      </w:pPr>
    </w:p>
    <w:p w14:paraId="5699DE19">
      <w:pPr>
        <w:jc w:val="center"/>
        <w:rPr>
          <w:rFonts w:hint="eastAsia" w:ascii="宋体" w:hAnsi="宋体"/>
          <w:color w:val="000000" w:themeColor="text1"/>
          <w:sz w:val="30"/>
          <w:szCs w:val="30"/>
          <w:highlight w:val="none"/>
          <w14:textFill>
            <w14:solidFill>
              <w14:schemeClr w14:val="tx1"/>
            </w14:solidFill>
          </w14:textFill>
        </w:rPr>
      </w:pPr>
    </w:p>
    <w:p w14:paraId="5F59CB40">
      <w:pPr>
        <w:jc w:val="center"/>
        <w:rPr>
          <w:rFonts w:hint="eastAsia" w:ascii="宋体" w:hAnsi="宋体"/>
          <w:b/>
          <w:color w:val="000000" w:themeColor="text1"/>
          <w:sz w:val="30"/>
          <w:highlight w:val="none"/>
          <w14:textFill>
            <w14:solidFill>
              <w14:schemeClr w14:val="tx1"/>
            </w14:solidFill>
          </w14:textFill>
        </w:rPr>
      </w:pPr>
      <w:r>
        <w:rPr>
          <w:rFonts w:hint="eastAsia" w:ascii="宋体" w:hAnsi="宋体"/>
          <w:b/>
          <w:color w:val="000000" w:themeColor="text1"/>
          <w:sz w:val="30"/>
          <w:highlight w:val="none"/>
          <w14:textFill>
            <w14:solidFill>
              <w14:schemeClr w14:val="tx1"/>
            </w14:solidFill>
          </w14:textFill>
        </w:rPr>
        <w:t>项目编号：</w:t>
      </w:r>
    </w:p>
    <w:p w14:paraId="32416DC0">
      <w:pPr>
        <w:ind w:firstLine="2520" w:firstLineChars="1050"/>
        <w:rPr>
          <w:rFonts w:hint="eastAsia" w:ascii="宋体" w:hAnsi="宋体"/>
          <w:color w:val="000000" w:themeColor="text1"/>
          <w:sz w:val="24"/>
          <w:szCs w:val="24"/>
          <w:highlight w:val="none"/>
          <w14:textFill>
            <w14:solidFill>
              <w14:schemeClr w14:val="tx1"/>
            </w14:solidFill>
          </w14:textFill>
        </w:rPr>
      </w:pPr>
    </w:p>
    <w:p w14:paraId="227B4CD9">
      <w:pPr>
        <w:jc w:val="center"/>
        <w:rPr>
          <w:rFonts w:hint="eastAsia" w:ascii="宋体" w:hAnsi="宋体"/>
          <w:color w:val="000000" w:themeColor="text1"/>
          <w:sz w:val="24"/>
          <w:szCs w:val="24"/>
          <w:highlight w:val="none"/>
          <w14:textFill>
            <w14:solidFill>
              <w14:schemeClr w14:val="tx1"/>
            </w14:solidFill>
          </w14:textFill>
        </w:rPr>
      </w:pPr>
    </w:p>
    <w:p w14:paraId="0B02FFC9">
      <w:pPr>
        <w:jc w:val="center"/>
        <w:rPr>
          <w:rFonts w:hint="eastAsia" w:ascii="宋体" w:hAnsi="宋体"/>
          <w:color w:val="000000" w:themeColor="text1"/>
          <w:sz w:val="24"/>
          <w:szCs w:val="24"/>
          <w:highlight w:val="none"/>
          <w14:textFill>
            <w14:solidFill>
              <w14:schemeClr w14:val="tx1"/>
            </w14:solidFill>
          </w14:textFill>
        </w:rPr>
      </w:pPr>
    </w:p>
    <w:p w14:paraId="7672591F">
      <w:pPr>
        <w:jc w:val="center"/>
        <w:rPr>
          <w:rFonts w:hint="eastAsia" w:ascii="宋体" w:hAnsi="宋体"/>
          <w:color w:val="000000" w:themeColor="text1"/>
          <w:sz w:val="24"/>
          <w:szCs w:val="24"/>
          <w:highlight w:val="none"/>
          <w14:textFill>
            <w14:solidFill>
              <w14:schemeClr w14:val="tx1"/>
            </w14:solidFill>
          </w14:textFill>
        </w:rPr>
      </w:pPr>
    </w:p>
    <w:p w14:paraId="5E2036F2">
      <w:pPr>
        <w:jc w:val="center"/>
        <w:rPr>
          <w:rFonts w:hint="eastAsia" w:ascii="宋体" w:hAnsi="宋体"/>
          <w:color w:val="000000" w:themeColor="text1"/>
          <w:sz w:val="24"/>
          <w:szCs w:val="24"/>
          <w:highlight w:val="none"/>
          <w14:textFill>
            <w14:solidFill>
              <w14:schemeClr w14:val="tx1"/>
            </w14:solidFill>
          </w14:textFill>
        </w:rPr>
      </w:pPr>
    </w:p>
    <w:p w14:paraId="43939078">
      <w:pPr>
        <w:jc w:val="center"/>
        <w:rPr>
          <w:rFonts w:hint="eastAsia" w:ascii="宋体" w:hAnsi="宋体"/>
          <w:color w:val="000000" w:themeColor="text1"/>
          <w:sz w:val="24"/>
          <w:szCs w:val="24"/>
          <w:highlight w:val="none"/>
          <w14:textFill>
            <w14:solidFill>
              <w14:schemeClr w14:val="tx1"/>
            </w14:solidFill>
          </w14:textFill>
        </w:rPr>
      </w:pPr>
    </w:p>
    <w:p w14:paraId="482220B4">
      <w:pPr>
        <w:jc w:val="center"/>
        <w:rPr>
          <w:rFonts w:hint="eastAsia" w:ascii="宋体" w:hAnsi="宋体"/>
          <w:color w:val="000000" w:themeColor="text1"/>
          <w:sz w:val="24"/>
          <w:szCs w:val="24"/>
          <w:highlight w:val="none"/>
          <w14:textFill>
            <w14:solidFill>
              <w14:schemeClr w14:val="tx1"/>
            </w14:solidFill>
          </w14:textFill>
        </w:rPr>
      </w:pPr>
    </w:p>
    <w:p w14:paraId="0AC35EBB">
      <w:pPr>
        <w:rPr>
          <w:rFonts w:hint="eastAsia" w:ascii="宋体" w:hAnsi="宋体"/>
          <w:color w:val="000000" w:themeColor="text1"/>
          <w:sz w:val="24"/>
          <w:szCs w:val="24"/>
          <w:highlight w:val="none"/>
          <w14:textFill>
            <w14:solidFill>
              <w14:schemeClr w14:val="tx1"/>
            </w14:solidFill>
          </w14:textFill>
        </w:rPr>
      </w:pPr>
    </w:p>
    <w:p w14:paraId="3363A92B">
      <w:pPr>
        <w:jc w:val="center"/>
        <w:rPr>
          <w:rFonts w:hint="eastAsia" w:ascii="宋体" w:hAnsi="宋体"/>
          <w:color w:val="000000" w:themeColor="text1"/>
          <w:sz w:val="24"/>
          <w:szCs w:val="24"/>
          <w:highlight w:val="none"/>
          <w14:textFill>
            <w14:solidFill>
              <w14:schemeClr w14:val="tx1"/>
            </w14:solidFill>
          </w14:textFill>
        </w:rPr>
      </w:pPr>
    </w:p>
    <w:p w14:paraId="1F030957">
      <w:pPr>
        <w:rPr>
          <w:rFonts w:hint="eastAsia" w:ascii="宋体" w:hAnsi="宋体"/>
          <w:color w:val="000000" w:themeColor="text1"/>
          <w:sz w:val="24"/>
          <w:szCs w:val="24"/>
          <w:highlight w:val="none"/>
          <w14:textFill>
            <w14:solidFill>
              <w14:schemeClr w14:val="tx1"/>
            </w14:solidFill>
          </w14:textFill>
        </w:rPr>
      </w:pPr>
    </w:p>
    <w:p w14:paraId="353D93F6">
      <w:pPr>
        <w:jc w:val="center"/>
        <w:rPr>
          <w:rFonts w:hint="eastAsia" w:ascii="宋体" w:hAnsi="宋体"/>
          <w:color w:val="000000" w:themeColor="text1"/>
          <w:sz w:val="24"/>
          <w:szCs w:val="24"/>
          <w:highlight w:val="none"/>
          <w14:textFill>
            <w14:solidFill>
              <w14:schemeClr w14:val="tx1"/>
            </w14:solidFill>
          </w14:textFill>
        </w:rPr>
      </w:pPr>
    </w:p>
    <w:p w14:paraId="06E56E7C">
      <w:pPr>
        <w:spacing w:line="600" w:lineRule="exact"/>
        <w:ind w:right="560" w:firstLine="1400" w:firstLineChars="500"/>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    标    人：（电子印章）</w:t>
      </w:r>
      <w:r>
        <w:rPr>
          <w:rFonts w:hint="eastAsia" w:ascii="宋体" w:hAnsi="宋体"/>
          <w:color w:val="000000" w:themeColor="text1"/>
          <w:sz w:val="28"/>
          <w:szCs w:val="28"/>
          <w:highlight w:val="none"/>
          <w:u w:val="single"/>
          <w14:textFill>
            <w14:solidFill>
              <w14:schemeClr w14:val="tx1"/>
            </w14:solidFill>
          </w14:textFill>
        </w:rPr>
        <w:t xml:space="preserve">             </w:t>
      </w:r>
    </w:p>
    <w:p w14:paraId="5714B833">
      <w:pPr>
        <w:spacing w:line="600" w:lineRule="exact"/>
        <w:ind w:right="561" w:firstLine="1400" w:firstLineChars="500"/>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法 定 代 表 人：（电子签章）</w:t>
      </w:r>
      <w:r>
        <w:rPr>
          <w:rFonts w:hint="eastAsia" w:ascii="宋体" w:hAnsi="宋体"/>
          <w:color w:val="000000" w:themeColor="text1"/>
          <w:sz w:val="28"/>
          <w:szCs w:val="28"/>
          <w:highlight w:val="none"/>
          <w:u w:val="single"/>
          <w14:textFill>
            <w14:solidFill>
              <w14:schemeClr w14:val="tx1"/>
            </w14:solidFill>
          </w14:textFill>
        </w:rPr>
        <w:t xml:space="preserve">             </w:t>
      </w:r>
    </w:p>
    <w:p w14:paraId="645A5BD4">
      <w:pPr>
        <w:spacing w:line="600" w:lineRule="exact"/>
        <w:jc w:val="center"/>
        <w:rPr>
          <w:rFonts w:hint="eastAsia" w:ascii="宋体" w:hAnsi="宋体"/>
          <w:color w:val="000000" w:themeColor="text1"/>
          <w:sz w:val="28"/>
          <w:szCs w:val="28"/>
          <w:highlight w:val="none"/>
          <w14:textFill>
            <w14:solidFill>
              <w14:schemeClr w14:val="tx1"/>
            </w14:solidFill>
          </w14:textFill>
        </w:rPr>
      </w:pPr>
    </w:p>
    <w:p w14:paraId="667CBAED">
      <w:pPr>
        <w:jc w:val="center"/>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年  月  日</w:t>
      </w:r>
    </w:p>
    <w:p w14:paraId="67358277">
      <w:pPr>
        <w:jc w:val="center"/>
        <w:rPr>
          <w:rFonts w:hint="eastAsia"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br w:type="page"/>
      </w:r>
      <w:r>
        <w:rPr>
          <w:rFonts w:hint="eastAsia" w:ascii="宋体" w:hAnsi="宋体"/>
          <w:color w:val="000000" w:themeColor="text1"/>
          <w:sz w:val="36"/>
          <w:szCs w:val="36"/>
          <w:highlight w:val="none"/>
          <w14:textFill>
            <w14:solidFill>
              <w14:schemeClr w14:val="tx1"/>
            </w14:solidFill>
          </w14:textFill>
        </w:rPr>
        <w:t>目    录</w:t>
      </w:r>
    </w:p>
    <w:p w14:paraId="033DE9A4">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一.投标函</w:t>
      </w:r>
    </w:p>
    <w:p w14:paraId="7917C859">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二.投标报价一览表</w:t>
      </w:r>
    </w:p>
    <w:p w14:paraId="64FBD7D7">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三.分项报价表</w:t>
      </w:r>
    </w:p>
    <w:p w14:paraId="631336DF">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四.偏离表</w:t>
      </w:r>
    </w:p>
    <w:p w14:paraId="42C7324F">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五.法定代表人身份证明及授权委托书</w:t>
      </w:r>
    </w:p>
    <w:p w14:paraId="41E49D62">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六.服务承诺书</w:t>
      </w:r>
    </w:p>
    <w:p w14:paraId="6F7CCC6F">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七.投标承诺书</w:t>
      </w:r>
    </w:p>
    <w:p w14:paraId="77FAA763">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八.资格审查资料</w:t>
      </w:r>
    </w:p>
    <w:p w14:paraId="05E1EDAA">
      <w:pPr>
        <w:spacing w:line="440" w:lineRule="exact"/>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九.投标人认为有必要的其它资料</w:t>
      </w:r>
    </w:p>
    <w:p w14:paraId="1D427A7E">
      <w:pPr>
        <w:ind w:firstLine="600" w:firstLineChars="200"/>
        <w:rPr>
          <w:rFonts w:hint="eastAsia" w:ascii="宋体" w:hAnsi="宋体"/>
          <w:color w:val="000000" w:themeColor="text1"/>
          <w:sz w:val="30"/>
          <w:szCs w:val="30"/>
          <w:highlight w:val="none"/>
          <w14:textFill>
            <w14:solidFill>
              <w14:schemeClr w14:val="tx1"/>
            </w14:solidFill>
          </w14:textFill>
        </w:rPr>
      </w:pPr>
    </w:p>
    <w:p w14:paraId="1672C99A">
      <w:pPr>
        <w:spacing w:line="440" w:lineRule="exact"/>
        <w:rPr>
          <w:rFonts w:hint="eastAsia" w:ascii="宋体" w:hAnsi="宋体"/>
          <w:color w:val="000000" w:themeColor="text1"/>
          <w:sz w:val="30"/>
          <w:szCs w:val="30"/>
          <w:highlight w:val="none"/>
          <w14:textFill>
            <w14:solidFill>
              <w14:schemeClr w14:val="tx1"/>
            </w14:solidFill>
          </w14:textFill>
        </w:rPr>
      </w:pPr>
    </w:p>
    <w:p w14:paraId="5EDFCB37">
      <w:pPr>
        <w:jc w:val="center"/>
        <w:rPr>
          <w:rFonts w:hint="eastAsia" w:ascii="宋体" w:hAnsi="宋体"/>
          <w:b/>
          <w:bCs/>
          <w:color w:val="000000" w:themeColor="text1"/>
          <w:sz w:val="32"/>
          <w:szCs w:val="32"/>
          <w:highlight w:val="none"/>
          <w14:textFill>
            <w14:solidFill>
              <w14:schemeClr w14:val="tx1"/>
            </w14:solidFill>
          </w14:textFill>
        </w:rPr>
      </w:pPr>
    </w:p>
    <w:p w14:paraId="25A185AA">
      <w:pPr>
        <w:jc w:val="center"/>
        <w:rPr>
          <w:rFonts w:hint="eastAsia" w:ascii="宋体" w:hAnsi="宋体"/>
          <w:b/>
          <w:bCs/>
          <w:color w:val="000000" w:themeColor="text1"/>
          <w:sz w:val="32"/>
          <w:szCs w:val="32"/>
          <w:highlight w:val="none"/>
          <w14:textFill>
            <w14:solidFill>
              <w14:schemeClr w14:val="tx1"/>
            </w14:solidFill>
          </w14:textFill>
        </w:rPr>
      </w:pPr>
    </w:p>
    <w:p w14:paraId="53D617E6">
      <w:pPr>
        <w:jc w:val="center"/>
        <w:rPr>
          <w:rFonts w:hint="eastAsia" w:ascii="宋体" w:hAnsi="宋体"/>
          <w:b/>
          <w:bCs/>
          <w:color w:val="000000" w:themeColor="text1"/>
          <w:sz w:val="32"/>
          <w:szCs w:val="32"/>
          <w:highlight w:val="none"/>
          <w14:textFill>
            <w14:solidFill>
              <w14:schemeClr w14:val="tx1"/>
            </w14:solidFill>
          </w14:textFill>
        </w:rPr>
      </w:pPr>
    </w:p>
    <w:p w14:paraId="43402DD3">
      <w:pPr>
        <w:jc w:val="center"/>
        <w:rPr>
          <w:rFonts w:hint="eastAsia" w:ascii="宋体" w:hAnsi="宋体"/>
          <w:b/>
          <w:bCs/>
          <w:color w:val="000000" w:themeColor="text1"/>
          <w:sz w:val="32"/>
          <w:szCs w:val="32"/>
          <w:highlight w:val="none"/>
          <w14:textFill>
            <w14:solidFill>
              <w14:schemeClr w14:val="tx1"/>
            </w14:solidFill>
          </w14:textFill>
        </w:rPr>
      </w:pPr>
    </w:p>
    <w:p w14:paraId="7A2D70CE">
      <w:pPr>
        <w:jc w:val="center"/>
        <w:rPr>
          <w:rFonts w:hint="eastAsia" w:ascii="宋体" w:hAnsi="宋体"/>
          <w:b/>
          <w:bCs/>
          <w:color w:val="000000" w:themeColor="text1"/>
          <w:sz w:val="32"/>
          <w:szCs w:val="32"/>
          <w:highlight w:val="none"/>
          <w14:textFill>
            <w14:solidFill>
              <w14:schemeClr w14:val="tx1"/>
            </w14:solidFill>
          </w14:textFill>
        </w:rPr>
      </w:pPr>
    </w:p>
    <w:p w14:paraId="564DC4E3">
      <w:pPr>
        <w:jc w:val="center"/>
        <w:rPr>
          <w:rFonts w:hint="eastAsia" w:ascii="宋体" w:hAnsi="宋体"/>
          <w:b/>
          <w:bCs/>
          <w:color w:val="000000" w:themeColor="text1"/>
          <w:sz w:val="32"/>
          <w:szCs w:val="32"/>
          <w:highlight w:val="none"/>
          <w14:textFill>
            <w14:solidFill>
              <w14:schemeClr w14:val="tx1"/>
            </w14:solidFill>
          </w14:textFill>
        </w:rPr>
      </w:pPr>
    </w:p>
    <w:p w14:paraId="6F3FDBC8">
      <w:pPr>
        <w:jc w:val="center"/>
        <w:rPr>
          <w:rFonts w:hint="eastAsia" w:ascii="宋体" w:hAnsi="宋体"/>
          <w:b/>
          <w:bCs/>
          <w:color w:val="000000" w:themeColor="text1"/>
          <w:sz w:val="32"/>
          <w:szCs w:val="32"/>
          <w:highlight w:val="none"/>
          <w14:textFill>
            <w14:solidFill>
              <w14:schemeClr w14:val="tx1"/>
            </w14:solidFill>
          </w14:textFill>
        </w:rPr>
      </w:pPr>
    </w:p>
    <w:p w14:paraId="6768441A">
      <w:pPr>
        <w:jc w:val="center"/>
        <w:rPr>
          <w:rFonts w:hint="eastAsia" w:ascii="宋体" w:hAnsi="宋体"/>
          <w:b/>
          <w:bCs/>
          <w:color w:val="000000" w:themeColor="text1"/>
          <w:sz w:val="32"/>
          <w:szCs w:val="32"/>
          <w:highlight w:val="none"/>
          <w14:textFill>
            <w14:solidFill>
              <w14:schemeClr w14:val="tx1"/>
            </w14:solidFill>
          </w14:textFill>
        </w:rPr>
      </w:pPr>
    </w:p>
    <w:p w14:paraId="734143F4">
      <w:pPr>
        <w:jc w:val="center"/>
        <w:rPr>
          <w:rFonts w:hint="eastAsia" w:ascii="宋体" w:hAnsi="宋体"/>
          <w:b/>
          <w:bCs/>
          <w:color w:val="000000" w:themeColor="text1"/>
          <w:sz w:val="32"/>
          <w:szCs w:val="32"/>
          <w:highlight w:val="none"/>
          <w14:textFill>
            <w14:solidFill>
              <w14:schemeClr w14:val="tx1"/>
            </w14:solidFill>
          </w14:textFill>
        </w:rPr>
      </w:pPr>
    </w:p>
    <w:p w14:paraId="0C883050">
      <w:pPr>
        <w:rPr>
          <w:rFonts w:hint="eastAsia" w:ascii="宋体" w:hAnsi="宋体"/>
          <w:b/>
          <w:bCs/>
          <w:color w:val="000000" w:themeColor="text1"/>
          <w:sz w:val="32"/>
          <w:szCs w:val="32"/>
          <w:highlight w:val="none"/>
          <w14:textFill>
            <w14:solidFill>
              <w14:schemeClr w14:val="tx1"/>
            </w14:solidFill>
          </w14:textFill>
        </w:rPr>
      </w:pPr>
    </w:p>
    <w:p w14:paraId="28F0AEA2">
      <w:pPr>
        <w:snapToGrid w:val="0"/>
        <w:jc w:val="center"/>
        <w:outlineLvl w:val="1"/>
        <w:rPr>
          <w:rFonts w:hint="eastAsia" w:ascii="宋体" w:hAnsi="宋体"/>
          <w:b/>
          <w:bCs/>
          <w:color w:val="000000" w:themeColor="text1"/>
          <w:sz w:val="32"/>
          <w:szCs w:val="32"/>
          <w:highlight w:val="none"/>
          <w14:textFill>
            <w14:solidFill>
              <w14:schemeClr w14:val="tx1"/>
            </w14:solidFill>
          </w14:textFill>
        </w:rPr>
      </w:pPr>
      <w:bookmarkStart w:id="125" w:name="_Toc1281"/>
      <w:bookmarkEnd w:id="125"/>
      <w:bookmarkStart w:id="126" w:name="_Toc17855"/>
      <w:bookmarkStart w:id="127" w:name="_Toc5955"/>
      <w:r>
        <w:rPr>
          <w:rFonts w:hint="eastAsia" w:ascii="宋体" w:hAnsi="宋体"/>
          <w:b/>
          <w:bCs/>
          <w:color w:val="000000" w:themeColor="text1"/>
          <w:sz w:val="32"/>
          <w:szCs w:val="32"/>
          <w:highlight w:val="none"/>
          <w14:textFill>
            <w14:solidFill>
              <w14:schemeClr w14:val="tx1"/>
            </w14:solidFill>
          </w14:textFill>
        </w:rPr>
        <w:t>一．投标函</w:t>
      </w:r>
      <w:bookmarkEnd w:id="126"/>
      <w:bookmarkEnd w:id="127"/>
    </w:p>
    <w:p w14:paraId="095C3AE6">
      <w:pPr>
        <w:spacing w:line="420" w:lineRule="exact"/>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致：平顶山职业技术学院：</w:t>
      </w:r>
    </w:p>
    <w:p w14:paraId="1F4C3CA2">
      <w:pPr>
        <w:pStyle w:val="98"/>
        <w:snapToGrid w:val="0"/>
        <w:spacing w:line="40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我方已仔细研究</w:t>
      </w:r>
      <w:r>
        <w:rPr>
          <w:rFonts w:hint="eastAsia" w:ascii="宋体" w:hAnsi="宋体"/>
          <w:color w:val="000000" w:themeColor="text1"/>
          <w:sz w:val="24"/>
          <w:szCs w:val="24"/>
          <w:highlight w:val="none"/>
          <w:u w:val="single"/>
          <w14:textFill>
            <w14:solidFill>
              <w14:schemeClr w14:val="tx1"/>
            </w14:solidFill>
          </w14:textFill>
        </w:rPr>
        <w:t xml:space="preserve">  （项目名称）  </w:t>
      </w:r>
      <w:r>
        <w:rPr>
          <w:rFonts w:hint="eastAsia" w:ascii="宋体" w:hAnsi="宋体"/>
          <w:color w:val="000000" w:themeColor="text1"/>
          <w:sz w:val="24"/>
          <w:szCs w:val="24"/>
          <w:highlight w:val="none"/>
          <w14:textFill>
            <w14:solidFill>
              <w14:schemeClr w14:val="tx1"/>
            </w14:solidFill>
          </w14:textFill>
        </w:rPr>
        <w:t>招标文件的全部内容。综合项目实际情况并研究该项目招标文件的内容后，针对该项目，我方愿意以大写</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，小写</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元的投标报价，按招标文件要求供货并安装。签字代表</w:t>
      </w:r>
      <w:r>
        <w:rPr>
          <w:rFonts w:hint="eastAsia" w:ascii="宋体" w:hAnsi="宋体"/>
          <w:color w:val="000000" w:themeColor="text1"/>
          <w:sz w:val="24"/>
          <w:szCs w:val="24"/>
          <w:highlight w:val="none"/>
          <w:u w:val="single"/>
          <w14:textFill>
            <w14:solidFill>
              <w14:schemeClr w14:val="tx1"/>
            </w14:solidFill>
          </w14:textFill>
        </w:rPr>
        <w:t xml:space="preserve"> （姓名）</w:t>
      </w:r>
      <w:r>
        <w:rPr>
          <w:rFonts w:hint="eastAsia" w:ascii="宋体" w:hAnsi="宋体"/>
          <w:color w:val="000000" w:themeColor="text1"/>
          <w:sz w:val="24"/>
          <w:szCs w:val="24"/>
          <w:highlight w:val="none"/>
          <w14:textFill>
            <w14:solidFill>
              <w14:schemeClr w14:val="tx1"/>
            </w14:solidFill>
          </w14:textFill>
        </w:rPr>
        <w:t>经正式授权并代表投标人</w:t>
      </w:r>
      <w:r>
        <w:rPr>
          <w:rFonts w:hint="eastAsia" w:ascii="宋体" w:hAnsi="宋体"/>
          <w:color w:val="000000" w:themeColor="text1"/>
          <w:sz w:val="24"/>
          <w:szCs w:val="24"/>
          <w:highlight w:val="none"/>
          <w:u w:val="single"/>
          <w14:textFill>
            <w14:solidFill>
              <w14:schemeClr w14:val="tx1"/>
            </w14:solidFill>
          </w14:textFill>
        </w:rPr>
        <w:t xml:space="preserve">  （投标人名称） </w:t>
      </w:r>
      <w:r>
        <w:rPr>
          <w:rFonts w:hint="eastAsia" w:ascii="宋体" w:hAnsi="宋体"/>
          <w:color w:val="000000" w:themeColor="text1"/>
          <w:sz w:val="24"/>
          <w:szCs w:val="24"/>
          <w:highlight w:val="none"/>
          <w14:textFill>
            <w14:solidFill>
              <w14:schemeClr w14:val="tx1"/>
            </w14:solidFill>
          </w14:textFill>
        </w:rPr>
        <w:t>提交招标文件要求的全套投标文件，包括：</w:t>
      </w:r>
    </w:p>
    <w:p w14:paraId="694B76D1">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 招标文件 “投标文件及格式”中要求的投标文件；</w:t>
      </w:r>
    </w:p>
    <w:p w14:paraId="64DED659">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 其他资料。</w:t>
      </w:r>
    </w:p>
    <w:p w14:paraId="39BB6224">
      <w:pPr>
        <w:pStyle w:val="102"/>
        <w:spacing w:line="420" w:lineRule="exact"/>
        <w:ind w:firstLine="48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据此函，签字人宣布同意如下：</w:t>
      </w:r>
    </w:p>
    <w:p w14:paraId="74434D3C">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 我方将按招标文件的规定履行合同责任和义务。</w:t>
      </w:r>
    </w:p>
    <w:p w14:paraId="2BE7B4EF">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 我方已详细审查全部招标文件，包括修改文件（如有）及全部参考资料和附件。我们完全理解并同意放弃对这方面有不明及误解的权力。</w:t>
      </w:r>
    </w:p>
    <w:p w14:paraId="65B366CB">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 我方同意所提交的投标文件在招标文件的供应商须知规定的投标有效期内有效并在此期间接受约束。</w:t>
      </w:r>
    </w:p>
    <w:p w14:paraId="12E772F3">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 我方同意提供按照贵方可能要求的与其投标有关的一切数据或资料，完全理解贵方不一定接受最低投标报价的投标或收到的任何投标。</w:t>
      </w:r>
    </w:p>
    <w:p w14:paraId="29E9FE10">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 一旦我方中标，我们将根据招标文件的规定，严格按照《中华人民共和国合同法》履行自己的责任和义务,并保证于投标报价表中规定的时间交货，交付使用、验收。</w:t>
      </w:r>
    </w:p>
    <w:p w14:paraId="331C06AA">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 我方若获得中标，保证按有关规定向代理公司支付中标服务费。</w:t>
      </w:r>
    </w:p>
    <w:p w14:paraId="577C9700">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 其他补充说明：</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w:t>
      </w:r>
    </w:p>
    <w:p w14:paraId="7FA102A2">
      <w:pPr>
        <w:tabs>
          <w:tab w:val="left" w:pos="6633"/>
        </w:tabs>
        <w:snapToGrid w:val="0"/>
        <w:spacing w:line="400" w:lineRule="exact"/>
        <w:jc w:val="left"/>
        <w:rPr>
          <w:rFonts w:hint="eastAsia" w:ascii="宋体" w:hAnsi="宋体"/>
          <w:color w:val="000000" w:themeColor="text1"/>
          <w:sz w:val="24"/>
          <w:szCs w:val="24"/>
          <w:highlight w:val="none"/>
          <w14:textFill>
            <w14:solidFill>
              <w14:schemeClr w14:val="tx1"/>
            </w14:solidFill>
          </w14:textFill>
        </w:rPr>
      </w:pPr>
    </w:p>
    <w:p w14:paraId="1B510CDA">
      <w:pPr>
        <w:tabs>
          <w:tab w:val="left" w:pos="6633"/>
        </w:tabs>
        <w:snapToGrid w:val="0"/>
        <w:spacing w:line="400" w:lineRule="exact"/>
        <w:jc w:val="left"/>
        <w:rPr>
          <w:rFonts w:hint="eastAsia" w:ascii="宋体" w:hAnsi="宋体"/>
          <w:color w:val="000000" w:themeColor="text1"/>
          <w:sz w:val="24"/>
          <w:szCs w:val="24"/>
          <w:highlight w:val="none"/>
          <w14:textFill>
            <w14:solidFill>
              <w14:schemeClr w14:val="tx1"/>
            </w14:solidFill>
          </w14:textFill>
        </w:rPr>
      </w:pPr>
    </w:p>
    <w:p w14:paraId="2F50B56F">
      <w:pPr>
        <w:pStyle w:val="51"/>
        <w:ind w:firstLine="0"/>
        <w:rPr>
          <w:rFonts w:hint="eastAsia" w:ascii="宋体" w:hAnsi="宋体"/>
          <w:color w:val="000000" w:themeColor="text1"/>
          <w:highlight w:val="none"/>
          <w14:textFill>
            <w14:solidFill>
              <w14:schemeClr w14:val="tx1"/>
            </w14:solidFill>
          </w14:textFill>
        </w:rPr>
      </w:pPr>
    </w:p>
    <w:p w14:paraId="49D5E643">
      <w:pPr>
        <w:tabs>
          <w:tab w:val="left" w:pos="6633"/>
        </w:tabs>
        <w:snapToGrid w:val="0"/>
        <w:spacing w:line="400" w:lineRule="exact"/>
        <w:jc w:val="left"/>
        <w:rPr>
          <w:rFonts w:hint="eastAsia" w:ascii="宋体" w:hAnsi="宋体"/>
          <w:color w:val="000000" w:themeColor="text1"/>
          <w:sz w:val="24"/>
          <w:szCs w:val="24"/>
          <w:highlight w:val="none"/>
          <w14:textFill>
            <w14:solidFill>
              <w14:schemeClr w14:val="tx1"/>
            </w14:solidFill>
          </w14:textFill>
        </w:rPr>
      </w:pPr>
    </w:p>
    <w:p w14:paraId="70514D0A">
      <w:pPr>
        <w:tabs>
          <w:tab w:val="left" w:pos="6633"/>
        </w:tabs>
        <w:snapToGrid w:val="0"/>
        <w:spacing w:line="400" w:lineRule="exact"/>
        <w:jc w:val="left"/>
        <w:rPr>
          <w:rFonts w:hint="eastAsia" w:ascii="宋体" w:hAnsi="宋体"/>
          <w:color w:val="000000" w:themeColor="text1"/>
          <w:sz w:val="24"/>
          <w:szCs w:val="24"/>
          <w:highlight w:val="none"/>
          <w14:textFill>
            <w14:solidFill>
              <w14:schemeClr w14:val="tx1"/>
            </w14:solidFill>
          </w14:textFill>
        </w:rPr>
      </w:pPr>
    </w:p>
    <w:p w14:paraId="29FC2CED">
      <w:pPr>
        <w:tabs>
          <w:tab w:val="left" w:pos="6633"/>
        </w:tabs>
        <w:spacing w:line="440" w:lineRule="exact"/>
        <w:ind w:firstLine="2880" w:firstLineChars="1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4DAAAC28">
      <w:pPr>
        <w:tabs>
          <w:tab w:val="left" w:pos="6633"/>
        </w:tabs>
        <w:snapToGrid w:val="0"/>
        <w:spacing w:line="400" w:lineRule="exact"/>
        <w:jc w:val="left"/>
        <w:rPr>
          <w:rFonts w:hint="eastAsia" w:ascii="宋体" w:hAnsi="宋体"/>
          <w:color w:val="000000" w:themeColor="text1"/>
          <w:sz w:val="24"/>
          <w:szCs w:val="24"/>
          <w:highlight w:val="none"/>
          <w14:textFill>
            <w14:solidFill>
              <w14:schemeClr w14:val="tx1"/>
            </w14:solidFill>
          </w14:textFill>
        </w:rPr>
      </w:pPr>
    </w:p>
    <w:p w14:paraId="7C5090B3">
      <w:pPr>
        <w:pStyle w:val="67"/>
        <w:ind w:firstLine="240"/>
        <w:rPr>
          <w:rFonts w:hint="eastAsia" w:ascii="宋体" w:hAnsi="宋体"/>
          <w:color w:val="000000" w:themeColor="text1"/>
          <w:sz w:val="24"/>
          <w:szCs w:val="24"/>
          <w:highlight w:val="none"/>
          <w14:textFill>
            <w14:solidFill>
              <w14:schemeClr w14:val="tx1"/>
            </w14:solidFill>
          </w14:textFill>
        </w:rPr>
      </w:pPr>
    </w:p>
    <w:p w14:paraId="0DCDAFB0">
      <w:pPr>
        <w:pStyle w:val="67"/>
        <w:ind w:firstLine="210"/>
        <w:rPr>
          <w:rFonts w:hint="eastAsia" w:ascii="宋体" w:hAnsi="宋体"/>
          <w:color w:val="000000" w:themeColor="text1"/>
          <w:highlight w:val="none"/>
          <w14:textFill>
            <w14:solidFill>
              <w14:schemeClr w14:val="tx1"/>
            </w14:solidFill>
          </w14:textFill>
        </w:rPr>
      </w:pPr>
    </w:p>
    <w:p w14:paraId="710102ED">
      <w:pPr>
        <w:pStyle w:val="67"/>
        <w:ind w:firstLine="210"/>
        <w:rPr>
          <w:rFonts w:hint="eastAsia" w:ascii="宋体" w:hAnsi="宋体"/>
          <w:color w:val="000000" w:themeColor="text1"/>
          <w:highlight w:val="none"/>
          <w14:textFill>
            <w14:solidFill>
              <w14:schemeClr w14:val="tx1"/>
            </w14:solidFill>
          </w14:textFill>
        </w:rPr>
      </w:pPr>
    </w:p>
    <w:p w14:paraId="022FC2FB">
      <w:pPr>
        <w:rPr>
          <w:color w:val="000000" w:themeColor="text1"/>
          <w:highlight w:val="none"/>
          <w14:textFill>
            <w14:solidFill>
              <w14:schemeClr w14:val="tx1"/>
            </w14:solidFill>
          </w14:textFill>
        </w:rPr>
      </w:pPr>
    </w:p>
    <w:p w14:paraId="3D6A2760">
      <w:pPr>
        <w:jc w:val="center"/>
        <w:outlineLvl w:val="1"/>
        <w:rPr>
          <w:rFonts w:hint="eastAsia" w:ascii="宋体" w:hAnsi="宋体"/>
          <w:b/>
          <w:bCs/>
          <w:color w:val="000000" w:themeColor="text1"/>
          <w:sz w:val="32"/>
          <w:szCs w:val="32"/>
          <w:highlight w:val="none"/>
          <w14:textFill>
            <w14:solidFill>
              <w14:schemeClr w14:val="tx1"/>
            </w14:solidFill>
          </w14:textFill>
        </w:rPr>
      </w:pPr>
      <w:bookmarkStart w:id="128" w:name="_Toc6618"/>
      <w:bookmarkEnd w:id="128"/>
      <w:bookmarkStart w:id="129" w:name="_Toc28865"/>
      <w:bookmarkStart w:id="130" w:name="_Toc3053"/>
      <w:r>
        <w:rPr>
          <w:rFonts w:hint="eastAsia" w:ascii="宋体" w:hAnsi="宋体"/>
          <w:b/>
          <w:bCs/>
          <w:color w:val="000000" w:themeColor="text1"/>
          <w:sz w:val="32"/>
          <w:szCs w:val="32"/>
          <w:highlight w:val="none"/>
          <w14:textFill>
            <w14:solidFill>
              <w14:schemeClr w14:val="tx1"/>
            </w14:solidFill>
          </w14:textFill>
        </w:rPr>
        <w:t>二．投标报价一览表</w:t>
      </w:r>
      <w:bookmarkEnd w:id="129"/>
      <w:bookmarkEnd w:id="130"/>
    </w:p>
    <w:tbl>
      <w:tblPr>
        <w:tblStyle w:val="1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479"/>
        <w:gridCol w:w="6301"/>
      </w:tblGrid>
      <w:tr w14:paraId="6A4FCA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53" w:hRule="atLeast"/>
          <w:jc w:val="center"/>
        </w:trPr>
        <w:tc>
          <w:tcPr>
            <w:tcW w:w="2479" w:type="dxa"/>
            <w:vAlign w:val="center"/>
          </w:tcPr>
          <w:p w14:paraId="5F1B2462">
            <w:pPr>
              <w:spacing w:line="40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投标单位名称</w:t>
            </w:r>
          </w:p>
        </w:tc>
        <w:tc>
          <w:tcPr>
            <w:tcW w:w="6301" w:type="dxa"/>
            <w:vAlign w:val="center"/>
          </w:tcPr>
          <w:p w14:paraId="41B3D010">
            <w:pPr>
              <w:spacing w:line="400" w:lineRule="exact"/>
              <w:jc w:val="center"/>
              <w:rPr>
                <w:rFonts w:hint="eastAsia" w:ascii="宋体" w:hAnsi="宋体"/>
                <w:color w:val="000000" w:themeColor="text1"/>
                <w:highlight w:val="none"/>
                <w14:textFill>
                  <w14:solidFill>
                    <w14:schemeClr w14:val="tx1"/>
                  </w14:solidFill>
                </w14:textFill>
              </w:rPr>
            </w:pPr>
          </w:p>
        </w:tc>
      </w:tr>
      <w:tr w14:paraId="16C8A3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1" w:hRule="atLeast"/>
          <w:jc w:val="center"/>
        </w:trPr>
        <w:tc>
          <w:tcPr>
            <w:tcW w:w="2479" w:type="dxa"/>
            <w:vAlign w:val="center"/>
          </w:tcPr>
          <w:p w14:paraId="5481B8ED">
            <w:pPr>
              <w:spacing w:line="40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项目名称</w:t>
            </w:r>
          </w:p>
        </w:tc>
        <w:tc>
          <w:tcPr>
            <w:tcW w:w="6301" w:type="dxa"/>
            <w:vAlign w:val="center"/>
          </w:tcPr>
          <w:p w14:paraId="1FC5C6FA">
            <w:pPr>
              <w:spacing w:line="400" w:lineRule="exact"/>
              <w:jc w:val="center"/>
              <w:rPr>
                <w:rFonts w:hint="eastAsia" w:ascii="宋体" w:hAnsi="宋体"/>
                <w:color w:val="000000" w:themeColor="text1"/>
                <w:highlight w:val="none"/>
                <w14:textFill>
                  <w14:solidFill>
                    <w14:schemeClr w14:val="tx1"/>
                  </w14:solidFill>
                </w14:textFill>
              </w:rPr>
            </w:pPr>
          </w:p>
        </w:tc>
      </w:tr>
      <w:tr w14:paraId="6EC011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9" w:hRule="atLeast"/>
          <w:jc w:val="center"/>
        </w:trPr>
        <w:tc>
          <w:tcPr>
            <w:tcW w:w="2479" w:type="dxa"/>
            <w:vAlign w:val="center"/>
          </w:tcPr>
          <w:p w14:paraId="21247647">
            <w:pPr>
              <w:spacing w:line="40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投标报价</w:t>
            </w:r>
          </w:p>
        </w:tc>
        <w:tc>
          <w:tcPr>
            <w:tcW w:w="6301" w:type="dxa"/>
            <w:vAlign w:val="center"/>
          </w:tcPr>
          <w:p w14:paraId="566DE89F">
            <w:pPr>
              <w:spacing w:line="400" w:lineRule="exact"/>
              <w:ind w:firstLine="1995" w:firstLineChars="95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大写</w:t>
            </w:r>
            <w:r>
              <w:rPr>
                <w:rFonts w:hint="eastAsia" w:ascii="宋体" w:hAnsi="宋体"/>
                <w:color w:val="000000" w:themeColor="text1"/>
                <w:highlight w:val="none"/>
                <w:u w:val="single"/>
                <w14:textFill>
                  <w14:solidFill>
                    <w14:schemeClr w14:val="tx1"/>
                  </w14:solidFill>
                </w14:textFill>
              </w:rPr>
              <w:t xml:space="preserve">              </w:t>
            </w:r>
          </w:p>
          <w:p w14:paraId="67C2EF79">
            <w:pPr>
              <w:spacing w:line="400" w:lineRule="exact"/>
              <w:ind w:firstLine="1995" w:firstLineChars="95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小写</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w:t>
            </w:r>
          </w:p>
        </w:tc>
      </w:tr>
      <w:tr w14:paraId="2C1A97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3" w:hRule="atLeast"/>
          <w:jc w:val="center"/>
        </w:trPr>
        <w:tc>
          <w:tcPr>
            <w:tcW w:w="2479" w:type="dxa"/>
            <w:vAlign w:val="center"/>
          </w:tcPr>
          <w:p w14:paraId="5A37C78D">
            <w:pPr>
              <w:spacing w:line="40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交货及安装周期</w:t>
            </w:r>
          </w:p>
        </w:tc>
        <w:tc>
          <w:tcPr>
            <w:tcW w:w="6301" w:type="dxa"/>
            <w:vAlign w:val="center"/>
          </w:tcPr>
          <w:p w14:paraId="1404FD15">
            <w:pPr>
              <w:spacing w:line="40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合同签订之日起</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日历天内安装调试完毕、交付使用</w:t>
            </w:r>
          </w:p>
        </w:tc>
      </w:tr>
      <w:tr w14:paraId="5F36EA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1" w:hRule="atLeast"/>
          <w:jc w:val="center"/>
        </w:trPr>
        <w:tc>
          <w:tcPr>
            <w:tcW w:w="2479" w:type="dxa"/>
            <w:vAlign w:val="center"/>
          </w:tcPr>
          <w:p w14:paraId="7224B10E">
            <w:pPr>
              <w:pStyle w:val="67"/>
              <w:spacing w:after="0" w:line="400" w:lineRule="exact"/>
              <w:ind w:firstLine="0" w:firstLineChars="0"/>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质量要求</w:t>
            </w:r>
          </w:p>
        </w:tc>
        <w:tc>
          <w:tcPr>
            <w:tcW w:w="6301" w:type="dxa"/>
            <w:vAlign w:val="center"/>
          </w:tcPr>
          <w:p w14:paraId="0C1F977D">
            <w:pPr>
              <w:spacing w:line="400" w:lineRule="exact"/>
              <w:jc w:val="center"/>
              <w:rPr>
                <w:rFonts w:hint="eastAsia" w:ascii="宋体" w:hAnsi="宋体"/>
                <w:color w:val="000000" w:themeColor="text1"/>
                <w:highlight w:val="none"/>
                <w14:textFill>
                  <w14:solidFill>
                    <w14:schemeClr w14:val="tx1"/>
                  </w14:solidFill>
                </w14:textFill>
              </w:rPr>
            </w:pPr>
          </w:p>
        </w:tc>
      </w:tr>
      <w:tr w14:paraId="79AA45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1" w:hRule="atLeast"/>
          <w:jc w:val="center"/>
        </w:trPr>
        <w:tc>
          <w:tcPr>
            <w:tcW w:w="2479" w:type="dxa"/>
            <w:vAlign w:val="center"/>
          </w:tcPr>
          <w:p w14:paraId="0ECF30AA">
            <w:pPr>
              <w:pStyle w:val="67"/>
              <w:spacing w:after="0" w:line="400" w:lineRule="exact"/>
              <w:ind w:firstLine="0" w:firstLineChars="0"/>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质保期</w:t>
            </w:r>
          </w:p>
        </w:tc>
        <w:tc>
          <w:tcPr>
            <w:tcW w:w="6301" w:type="dxa"/>
            <w:vAlign w:val="center"/>
          </w:tcPr>
          <w:p w14:paraId="080CDBAC">
            <w:pPr>
              <w:spacing w:line="400" w:lineRule="exact"/>
              <w:jc w:val="center"/>
              <w:rPr>
                <w:rFonts w:hint="eastAsia" w:ascii="宋体" w:hAnsi="宋体"/>
                <w:color w:val="000000" w:themeColor="text1"/>
                <w:highlight w:val="none"/>
                <w14:textFill>
                  <w14:solidFill>
                    <w14:schemeClr w14:val="tx1"/>
                  </w14:solidFill>
                </w14:textFill>
              </w:rPr>
            </w:pPr>
          </w:p>
        </w:tc>
      </w:tr>
      <w:tr w14:paraId="69C23F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1" w:hRule="atLeast"/>
          <w:jc w:val="center"/>
        </w:trPr>
        <w:tc>
          <w:tcPr>
            <w:tcW w:w="2479" w:type="dxa"/>
            <w:vAlign w:val="center"/>
          </w:tcPr>
          <w:p w14:paraId="525F02F6">
            <w:pPr>
              <w:spacing w:line="40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投标有效期</w:t>
            </w:r>
          </w:p>
        </w:tc>
        <w:tc>
          <w:tcPr>
            <w:tcW w:w="6301" w:type="dxa"/>
            <w:vAlign w:val="center"/>
          </w:tcPr>
          <w:p w14:paraId="49EEFA9D">
            <w:pPr>
              <w:spacing w:line="400" w:lineRule="exact"/>
              <w:jc w:val="center"/>
              <w:rPr>
                <w:rFonts w:hint="eastAsia" w:ascii="宋体" w:hAnsi="宋体"/>
                <w:color w:val="000000" w:themeColor="text1"/>
                <w:highlight w:val="none"/>
                <w14:textFill>
                  <w14:solidFill>
                    <w14:schemeClr w14:val="tx1"/>
                  </w14:solidFill>
                </w14:textFill>
              </w:rPr>
            </w:pPr>
          </w:p>
        </w:tc>
      </w:tr>
      <w:tr w14:paraId="4EF95A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94" w:hRule="atLeast"/>
          <w:jc w:val="center"/>
        </w:trPr>
        <w:tc>
          <w:tcPr>
            <w:tcW w:w="2479" w:type="dxa"/>
            <w:vAlign w:val="center"/>
          </w:tcPr>
          <w:p w14:paraId="10D4751B">
            <w:pPr>
              <w:spacing w:line="40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其它说明</w:t>
            </w:r>
          </w:p>
        </w:tc>
        <w:tc>
          <w:tcPr>
            <w:tcW w:w="6301" w:type="dxa"/>
            <w:vAlign w:val="center"/>
          </w:tcPr>
          <w:p w14:paraId="52C3D3C1">
            <w:pPr>
              <w:spacing w:line="400" w:lineRule="exact"/>
              <w:jc w:val="center"/>
              <w:rPr>
                <w:rFonts w:hint="eastAsia" w:ascii="宋体" w:hAnsi="宋体"/>
                <w:color w:val="000000" w:themeColor="text1"/>
                <w:highlight w:val="none"/>
                <w14:textFill>
                  <w14:solidFill>
                    <w14:schemeClr w14:val="tx1"/>
                  </w14:solidFill>
                </w14:textFill>
              </w:rPr>
            </w:pPr>
          </w:p>
        </w:tc>
      </w:tr>
    </w:tbl>
    <w:p w14:paraId="7A87516B">
      <w:pPr>
        <w:rPr>
          <w:rFonts w:hint="eastAsia" w:ascii="宋体" w:hAnsi="宋体"/>
          <w:color w:val="000000" w:themeColor="text1"/>
          <w:sz w:val="24"/>
          <w:szCs w:val="24"/>
          <w:highlight w:val="none"/>
          <w14:textFill>
            <w14:solidFill>
              <w14:schemeClr w14:val="tx1"/>
            </w14:solidFill>
          </w14:textFill>
        </w:rPr>
      </w:pPr>
    </w:p>
    <w:p w14:paraId="6ABB84F3">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投标人：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（电子印章）</w:t>
      </w:r>
    </w:p>
    <w:p w14:paraId="3F29902B">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（电子签章）</w:t>
      </w:r>
    </w:p>
    <w:p w14:paraId="3D25F3EC">
      <w:pPr>
        <w:spacing w:line="600" w:lineRule="exact"/>
        <w:ind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72DAE92E">
      <w:pPr>
        <w:rPr>
          <w:rFonts w:hint="eastAsia" w:ascii="宋体" w:hAnsi="宋体"/>
          <w:color w:val="000000" w:themeColor="text1"/>
          <w:sz w:val="24"/>
          <w:szCs w:val="24"/>
          <w:highlight w:val="none"/>
          <w14:textFill>
            <w14:solidFill>
              <w14:schemeClr w14:val="tx1"/>
            </w14:solidFill>
          </w14:textFill>
        </w:rPr>
      </w:pPr>
    </w:p>
    <w:p w14:paraId="5C511F94">
      <w:pPr>
        <w:spacing w:line="440" w:lineRule="exac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填写说明：                           </w:t>
      </w:r>
    </w:p>
    <w:p w14:paraId="170939BF">
      <w:pPr>
        <w:tabs>
          <w:tab w:val="left" w:pos="618"/>
        </w:tabs>
        <w:spacing w:line="4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报价包括设计图纸中的全部内容，同时包括且不限于采购产品的供货、运输、装卸、保险、国家规定的税金、施工安装调试、培训、验收、备案、售后服务及其他相关伴随服务等费用、货物本身已支付或将支付的各种税费以及其它交付使用前的所有费用。</w:t>
      </w:r>
    </w:p>
    <w:p w14:paraId="66E1ACAA">
      <w:pPr>
        <w:jc w:val="center"/>
        <w:outlineLvl w:val="1"/>
        <w:rPr>
          <w:rFonts w:hint="eastAsia" w:ascii="宋体" w:hAnsi="宋体"/>
          <w:b/>
          <w:bCs/>
          <w:color w:val="000000" w:themeColor="text1"/>
          <w:sz w:val="32"/>
          <w:szCs w:val="32"/>
          <w:highlight w:val="none"/>
          <w14:textFill>
            <w14:solidFill>
              <w14:schemeClr w14:val="tx1"/>
            </w14:solidFill>
          </w14:textFill>
        </w:rPr>
      </w:pPr>
      <w:bookmarkStart w:id="131" w:name="_Toc676"/>
      <w:bookmarkEnd w:id="131"/>
      <w:r>
        <w:rPr>
          <w:rFonts w:hint="eastAsia" w:ascii="宋体" w:hAnsi="宋体"/>
          <w:b/>
          <w:bCs/>
          <w:color w:val="000000" w:themeColor="text1"/>
          <w:sz w:val="32"/>
          <w:szCs w:val="32"/>
          <w:highlight w:val="none"/>
          <w14:textFill>
            <w14:solidFill>
              <w14:schemeClr w14:val="tx1"/>
            </w14:solidFill>
          </w14:textFill>
        </w:rPr>
        <w:br w:type="page"/>
      </w:r>
      <w:bookmarkStart w:id="132" w:name="_Toc29367"/>
      <w:bookmarkStart w:id="133" w:name="_Toc13631"/>
      <w:r>
        <w:rPr>
          <w:rFonts w:hint="eastAsia" w:ascii="宋体" w:hAnsi="宋体"/>
          <w:b/>
          <w:bCs/>
          <w:color w:val="000000" w:themeColor="text1"/>
          <w:sz w:val="32"/>
          <w:szCs w:val="32"/>
          <w:highlight w:val="none"/>
          <w14:textFill>
            <w14:solidFill>
              <w14:schemeClr w14:val="tx1"/>
            </w14:solidFill>
          </w14:textFill>
        </w:rPr>
        <w:t>三．分项报价表</w:t>
      </w:r>
      <w:bookmarkEnd w:id="132"/>
      <w:bookmarkEnd w:id="133"/>
    </w:p>
    <w:tbl>
      <w:tblPr>
        <w:tblStyle w:val="18"/>
        <w:tblW w:w="0" w:type="auto"/>
        <w:tblInd w:w="-10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108" w:type="dxa"/>
          <w:bottom w:w="0" w:type="dxa"/>
          <w:right w:w="108" w:type="dxa"/>
        </w:tblCellMar>
      </w:tblPr>
      <w:tblGrid>
        <w:gridCol w:w="881"/>
        <w:gridCol w:w="1408"/>
        <w:gridCol w:w="933"/>
        <w:gridCol w:w="2030"/>
        <w:gridCol w:w="901"/>
        <w:gridCol w:w="975"/>
        <w:gridCol w:w="967"/>
        <w:gridCol w:w="965"/>
      </w:tblGrid>
      <w:tr w14:paraId="750EE7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983" w:hRule="atLeast"/>
        </w:trPr>
        <w:tc>
          <w:tcPr>
            <w:tcW w:w="881" w:type="dxa"/>
            <w:vAlign w:val="center"/>
          </w:tcPr>
          <w:p w14:paraId="36452053">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序号</w:t>
            </w:r>
          </w:p>
        </w:tc>
        <w:tc>
          <w:tcPr>
            <w:tcW w:w="2341" w:type="dxa"/>
            <w:gridSpan w:val="2"/>
            <w:vAlign w:val="center"/>
          </w:tcPr>
          <w:p w14:paraId="4E2AC46B">
            <w:pPr>
              <w:snapToGrid w:val="0"/>
              <w:spacing w:line="4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货物名称</w:t>
            </w:r>
          </w:p>
        </w:tc>
        <w:tc>
          <w:tcPr>
            <w:tcW w:w="2030" w:type="dxa"/>
            <w:vAlign w:val="center"/>
          </w:tcPr>
          <w:p w14:paraId="78B0155E">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品牌（厂家）、型号和规格</w:t>
            </w:r>
          </w:p>
        </w:tc>
        <w:tc>
          <w:tcPr>
            <w:tcW w:w="901" w:type="dxa"/>
            <w:vAlign w:val="center"/>
          </w:tcPr>
          <w:p w14:paraId="1EE7B82E">
            <w:pPr>
              <w:snapToGrid w:val="0"/>
              <w:spacing w:line="4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单位</w:t>
            </w:r>
          </w:p>
        </w:tc>
        <w:tc>
          <w:tcPr>
            <w:tcW w:w="975" w:type="dxa"/>
            <w:vAlign w:val="center"/>
          </w:tcPr>
          <w:p w14:paraId="3DDFE0DA">
            <w:pPr>
              <w:snapToGrid w:val="0"/>
              <w:spacing w:line="4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数量</w:t>
            </w:r>
          </w:p>
        </w:tc>
        <w:tc>
          <w:tcPr>
            <w:tcW w:w="967" w:type="dxa"/>
            <w:vAlign w:val="center"/>
          </w:tcPr>
          <w:p w14:paraId="48C2A335">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单价</w:t>
            </w:r>
          </w:p>
          <w:p w14:paraId="7BD5F3CD">
            <w:pPr>
              <w:snapToGrid w:val="0"/>
              <w:spacing w:line="4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（元）</w:t>
            </w:r>
          </w:p>
        </w:tc>
        <w:tc>
          <w:tcPr>
            <w:tcW w:w="965" w:type="dxa"/>
            <w:vAlign w:val="center"/>
          </w:tcPr>
          <w:p w14:paraId="651CBB95">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合价</w:t>
            </w:r>
          </w:p>
          <w:p w14:paraId="3AC587A2">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（元）</w:t>
            </w:r>
          </w:p>
        </w:tc>
      </w:tr>
      <w:tr w14:paraId="1A7CF3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1246" w:hRule="atLeast"/>
        </w:trPr>
        <w:tc>
          <w:tcPr>
            <w:tcW w:w="881" w:type="dxa"/>
            <w:vAlign w:val="center"/>
          </w:tcPr>
          <w:p w14:paraId="70400CD2">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w:t>
            </w:r>
          </w:p>
        </w:tc>
        <w:tc>
          <w:tcPr>
            <w:tcW w:w="2341" w:type="dxa"/>
            <w:gridSpan w:val="2"/>
            <w:vAlign w:val="center"/>
          </w:tcPr>
          <w:p w14:paraId="7B438212">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2030" w:type="dxa"/>
            <w:vAlign w:val="center"/>
          </w:tcPr>
          <w:p w14:paraId="67F4C597">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901" w:type="dxa"/>
            <w:vAlign w:val="center"/>
          </w:tcPr>
          <w:p w14:paraId="3B727438">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p w14:paraId="03CB6465">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975" w:type="dxa"/>
            <w:vAlign w:val="center"/>
          </w:tcPr>
          <w:p w14:paraId="63A7A9F8">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c>
          <w:tcPr>
            <w:tcW w:w="967" w:type="dxa"/>
            <w:vAlign w:val="center"/>
          </w:tcPr>
          <w:p w14:paraId="719BA193">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c>
          <w:tcPr>
            <w:tcW w:w="965" w:type="dxa"/>
            <w:vAlign w:val="center"/>
          </w:tcPr>
          <w:p w14:paraId="4BB68B65">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r>
      <w:tr w14:paraId="19EA5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1246" w:hRule="atLeast"/>
        </w:trPr>
        <w:tc>
          <w:tcPr>
            <w:tcW w:w="881" w:type="dxa"/>
            <w:vAlign w:val="center"/>
          </w:tcPr>
          <w:p w14:paraId="77FB5671">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w:t>
            </w:r>
          </w:p>
        </w:tc>
        <w:tc>
          <w:tcPr>
            <w:tcW w:w="2341" w:type="dxa"/>
            <w:gridSpan w:val="2"/>
            <w:vAlign w:val="center"/>
          </w:tcPr>
          <w:p w14:paraId="07B8F909">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2030" w:type="dxa"/>
            <w:vAlign w:val="center"/>
          </w:tcPr>
          <w:p w14:paraId="1D222CDC">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901" w:type="dxa"/>
            <w:vAlign w:val="center"/>
          </w:tcPr>
          <w:p w14:paraId="24005872">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975" w:type="dxa"/>
            <w:vAlign w:val="center"/>
          </w:tcPr>
          <w:p w14:paraId="39BDDE16">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c>
          <w:tcPr>
            <w:tcW w:w="967" w:type="dxa"/>
            <w:vAlign w:val="center"/>
          </w:tcPr>
          <w:p w14:paraId="642A29F4">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c>
          <w:tcPr>
            <w:tcW w:w="965" w:type="dxa"/>
            <w:vAlign w:val="center"/>
          </w:tcPr>
          <w:p w14:paraId="7BB9DED9">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r>
      <w:tr w14:paraId="15DC9B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1246" w:hRule="atLeast"/>
        </w:trPr>
        <w:tc>
          <w:tcPr>
            <w:tcW w:w="881" w:type="dxa"/>
            <w:vAlign w:val="center"/>
          </w:tcPr>
          <w:p w14:paraId="42B0C929">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w:t>
            </w:r>
          </w:p>
        </w:tc>
        <w:tc>
          <w:tcPr>
            <w:tcW w:w="2341" w:type="dxa"/>
            <w:gridSpan w:val="2"/>
            <w:vAlign w:val="center"/>
          </w:tcPr>
          <w:p w14:paraId="706D504F">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2030" w:type="dxa"/>
            <w:vAlign w:val="center"/>
          </w:tcPr>
          <w:p w14:paraId="79FE473C">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901" w:type="dxa"/>
            <w:vAlign w:val="center"/>
          </w:tcPr>
          <w:p w14:paraId="0E1C291C">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975" w:type="dxa"/>
            <w:vAlign w:val="center"/>
          </w:tcPr>
          <w:p w14:paraId="63A386C1">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c>
          <w:tcPr>
            <w:tcW w:w="967" w:type="dxa"/>
            <w:vAlign w:val="center"/>
          </w:tcPr>
          <w:p w14:paraId="63332EA2">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c>
          <w:tcPr>
            <w:tcW w:w="965" w:type="dxa"/>
            <w:vAlign w:val="center"/>
          </w:tcPr>
          <w:p w14:paraId="75152375">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r>
      <w:tr w14:paraId="280179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1325" w:hRule="atLeast"/>
        </w:trPr>
        <w:tc>
          <w:tcPr>
            <w:tcW w:w="2289" w:type="dxa"/>
            <w:gridSpan w:val="2"/>
            <w:vAlign w:val="center"/>
          </w:tcPr>
          <w:p w14:paraId="06FF2F24">
            <w:pPr>
              <w:snapToGrid w:val="0"/>
              <w:spacing w:line="400" w:lineRule="exact"/>
              <w:jc w:val="center"/>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本表报价合计</w:t>
            </w:r>
          </w:p>
          <w:p w14:paraId="2C35E710">
            <w:pPr>
              <w:snapToGrid w:val="0"/>
              <w:spacing w:line="400" w:lineRule="exact"/>
              <w:jc w:val="center"/>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（大写）</w:t>
            </w:r>
          </w:p>
        </w:tc>
        <w:tc>
          <w:tcPr>
            <w:tcW w:w="5806" w:type="dxa"/>
            <w:gridSpan w:val="5"/>
            <w:vAlign w:val="center"/>
          </w:tcPr>
          <w:p w14:paraId="20F94153">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c>
          <w:tcPr>
            <w:tcW w:w="965" w:type="dxa"/>
            <w:vAlign w:val="center"/>
          </w:tcPr>
          <w:p w14:paraId="7336463E">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r>
    </w:tbl>
    <w:p w14:paraId="364242C4">
      <w:pPr>
        <w:jc w:val="center"/>
        <w:rPr>
          <w:rFonts w:hint="eastAsia" w:ascii="宋体" w:hAnsi="宋体"/>
          <w:color w:val="000000" w:themeColor="text1"/>
          <w:sz w:val="24"/>
          <w:szCs w:val="24"/>
          <w:highlight w:val="none"/>
          <w14:textFill>
            <w14:solidFill>
              <w14:schemeClr w14:val="tx1"/>
            </w14:solidFill>
          </w14:textFill>
        </w:rPr>
      </w:pPr>
    </w:p>
    <w:p w14:paraId="04E19F2E">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投标人：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（电子印章）</w:t>
      </w:r>
    </w:p>
    <w:p w14:paraId="3A897BA6">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（电子签章）</w:t>
      </w:r>
    </w:p>
    <w:p w14:paraId="0D28A577">
      <w:pPr>
        <w:spacing w:line="600" w:lineRule="exact"/>
        <w:ind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00BEC058">
      <w:pPr>
        <w:rPr>
          <w:rFonts w:hint="eastAsia" w:ascii="宋体" w:hAnsi="宋体"/>
          <w:color w:val="000000" w:themeColor="text1"/>
          <w:sz w:val="24"/>
          <w:szCs w:val="24"/>
          <w:highlight w:val="none"/>
          <w14:textFill>
            <w14:solidFill>
              <w14:schemeClr w14:val="tx1"/>
            </w14:solidFill>
          </w14:textFill>
        </w:rPr>
      </w:pPr>
    </w:p>
    <w:p w14:paraId="7B024D00">
      <w:pPr>
        <w:spacing w:line="360" w:lineRule="auto"/>
        <w:jc w:val="center"/>
        <w:rPr>
          <w:rFonts w:hint="eastAsia" w:ascii="宋体" w:hAnsi="宋体"/>
          <w:color w:val="000000" w:themeColor="text1"/>
          <w:sz w:val="24"/>
          <w:szCs w:val="24"/>
          <w:highlight w:val="none"/>
          <w14:textFill>
            <w14:solidFill>
              <w14:schemeClr w14:val="tx1"/>
            </w14:solidFill>
          </w14:textFill>
        </w:rPr>
      </w:pPr>
    </w:p>
    <w:p w14:paraId="60EFCE38">
      <w:pPr>
        <w:spacing w:line="360" w:lineRule="auto"/>
        <w:jc w:val="center"/>
        <w:rPr>
          <w:rFonts w:hint="eastAsia" w:ascii="宋体" w:hAnsi="宋体"/>
          <w:color w:val="000000" w:themeColor="text1"/>
          <w:sz w:val="24"/>
          <w:szCs w:val="24"/>
          <w:highlight w:val="none"/>
          <w14:textFill>
            <w14:solidFill>
              <w14:schemeClr w14:val="tx1"/>
            </w14:solidFill>
          </w14:textFill>
        </w:rPr>
      </w:pPr>
    </w:p>
    <w:p w14:paraId="6DF06275">
      <w:pPr>
        <w:spacing w:line="360" w:lineRule="auto"/>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注: 1.型号和规格必须详细说明。</w:t>
      </w:r>
    </w:p>
    <w:p w14:paraId="4285C4BF">
      <w:pPr>
        <w:spacing w:line="360" w:lineRule="auto"/>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2.此表仅为格式示例,不具有约束性,投标人可根据需要对表进行扩展或修改。</w:t>
      </w:r>
    </w:p>
    <w:p w14:paraId="6B116403">
      <w:pPr>
        <w:jc w:val="center"/>
        <w:rPr>
          <w:rFonts w:hint="eastAsia" w:ascii="宋体" w:hAnsi="宋体"/>
          <w:color w:val="000000" w:themeColor="text1"/>
          <w:sz w:val="24"/>
          <w:szCs w:val="24"/>
          <w:highlight w:val="none"/>
          <w14:textFill>
            <w14:solidFill>
              <w14:schemeClr w14:val="tx1"/>
            </w14:solidFill>
          </w14:textFill>
        </w:rPr>
      </w:pPr>
    </w:p>
    <w:p w14:paraId="4CB9241A">
      <w:pPr>
        <w:jc w:val="center"/>
        <w:rPr>
          <w:rFonts w:hint="eastAsia" w:ascii="宋体" w:hAnsi="宋体"/>
          <w:color w:val="000000" w:themeColor="text1"/>
          <w:sz w:val="24"/>
          <w:szCs w:val="24"/>
          <w:highlight w:val="none"/>
          <w14:textFill>
            <w14:solidFill>
              <w14:schemeClr w14:val="tx1"/>
            </w14:solidFill>
          </w14:textFill>
        </w:rPr>
      </w:pPr>
    </w:p>
    <w:p w14:paraId="5E4B7998">
      <w:pPr>
        <w:jc w:val="center"/>
        <w:rPr>
          <w:rFonts w:hint="eastAsia" w:ascii="宋体" w:hAnsi="宋体"/>
          <w:color w:val="000000" w:themeColor="text1"/>
          <w:sz w:val="24"/>
          <w:szCs w:val="24"/>
          <w:highlight w:val="none"/>
          <w14:textFill>
            <w14:solidFill>
              <w14:schemeClr w14:val="tx1"/>
            </w14:solidFill>
          </w14:textFill>
        </w:rPr>
      </w:pPr>
    </w:p>
    <w:p w14:paraId="113DB3F1">
      <w:pPr>
        <w:jc w:val="center"/>
        <w:rPr>
          <w:rFonts w:hint="eastAsia" w:ascii="宋体" w:hAnsi="宋体"/>
          <w:color w:val="000000" w:themeColor="text1"/>
          <w:sz w:val="24"/>
          <w:szCs w:val="24"/>
          <w:highlight w:val="none"/>
          <w14:textFill>
            <w14:solidFill>
              <w14:schemeClr w14:val="tx1"/>
            </w14:solidFill>
          </w14:textFill>
        </w:rPr>
      </w:pPr>
    </w:p>
    <w:p w14:paraId="2A2DD2D9">
      <w:pPr>
        <w:jc w:val="center"/>
        <w:rPr>
          <w:rFonts w:hint="eastAsia" w:ascii="宋体" w:hAnsi="宋体"/>
          <w:color w:val="000000" w:themeColor="text1"/>
          <w:sz w:val="24"/>
          <w:szCs w:val="24"/>
          <w:highlight w:val="none"/>
          <w14:textFill>
            <w14:solidFill>
              <w14:schemeClr w14:val="tx1"/>
            </w14:solidFill>
          </w14:textFill>
        </w:rPr>
      </w:pPr>
    </w:p>
    <w:p w14:paraId="215686E9">
      <w:pPr>
        <w:jc w:val="center"/>
        <w:rPr>
          <w:rFonts w:hint="eastAsia" w:ascii="宋体" w:hAnsi="宋体"/>
          <w:color w:val="000000" w:themeColor="text1"/>
          <w:sz w:val="24"/>
          <w:szCs w:val="24"/>
          <w:highlight w:val="none"/>
          <w14:textFill>
            <w14:solidFill>
              <w14:schemeClr w14:val="tx1"/>
            </w14:solidFill>
          </w14:textFill>
        </w:rPr>
      </w:pPr>
    </w:p>
    <w:p w14:paraId="537C0474">
      <w:pPr>
        <w:rPr>
          <w:rFonts w:hint="eastAsia" w:ascii="宋体" w:hAnsi="宋体"/>
          <w:b/>
          <w:bCs/>
          <w:color w:val="000000" w:themeColor="text1"/>
          <w:sz w:val="32"/>
          <w:szCs w:val="32"/>
          <w:highlight w:val="none"/>
          <w14:textFill>
            <w14:solidFill>
              <w14:schemeClr w14:val="tx1"/>
            </w14:solidFill>
          </w14:textFill>
        </w:rPr>
      </w:pPr>
      <w:bookmarkStart w:id="134" w:name="_Toc3446"/>
      <w:bookmarkEnd w:id="134"/>
      <w:bookmarkStart w:id="135" w:name="_Toc27111"/>
      <w:r>
        <w:rPr>
          <w:rFonts w:hint="eastAsia" w:ascii="宋体" w:hAnsi="宋体"/>
          <w:b/>
          <w:bCs/>
          <w:color w:val="000000" w:themeColor="text1"/>
          <w:sz w:val="32"/>
          <w:szCs w:val="32"/>
          <w:highlight w:val="none"/>
          <w14:textFill>
            <w14:solidFill>
              <w14:schemeClr w14:val="tx1"/>
            </w14:solidFill>
          </w14:textFill>
        </w:rPr>
        <w:br w:type="page"/>
      </w:r>
    </w:p>
    <w:p w14:paraId="784DA1CE">
      <w:pPr>
        <w:jc w:val="center"/>
        <w:outlineLvl w:val="1"/>
        <w:rPr>
          <w:rFonts w:hint="eastAsia" w:ascii="宋体" w:hAnsi="宋体"/>
          <w:b/>
          <w:bCs/>
          <w:color w:val="000000" w:themeColor="text1"/>
          <w:sz w:val="32"/>
          <w:szCs w:val="32"/>
          <w:highlight w:val="none"/>
          <w14:textFill>
            <w14:solidFill>
              <w14:schemeClr w14:val="tx1"/>
            </w14:solidFill>
          </w14:textFill>
        </w:rPr>
      </w:pPr>
      <w:bookmarkStart w:id="136" w:name="_Toc17780"/>
      <w:r>
        <w:rPr>
          <w:rFonts w:hint="eastAsia" w:ascii="宋体" w:hAnsi="宋体"/>
          <w:b/>
          <w:bCs/>
          <w:color w:val="000000" w:themeColor="text1"/>
          <w:sz w:val="32"/>
          <w:szCs w:val="32"/>
          <w:highlight w:val="none"/>
          <w14:textFill>
            <w14:solidFill>
              <w14:schemeClr w14:val="tx1"/>
            </w14:solidFill>
          </w14:textFill>
        </w:rPr>
        <w:t>四．偏离表</w:t>
      </w:r>
      <w:bookmarkEnd w:id="135"/>
      <w:bookmarkEnd w:id="136"/>
    </w:p>
    <w:p w14:paraId="00051FB6">
      <w:pPr>
        <w:spacing w:line="440" w:lineRule="exact"/>
        <w:jc w:val="center"/>
        <w:rPr>
          <w:rFonts w:hint="eastAsia" w:ascii="宋体" w:hAnsi="宋体"/>
          <w:b/>
          <w:bCs/>
          <w:color w:val="000000" w:themeColor="text1"/>
          <w:sz w:val="28"/>
          <w:szCs w:val="28"/>
          <w:highlight w:val="none"/>
          <w14:textFill>
            <w14:solidFill>
              <w14:schemeClr w14:val="tx1"/>
            </w14:solidFill>
          </w14:textFill>
        </w:rPr>
      </w:pPr>
    </w:p>
    <w:p w14:paraId="35DAB059">
      <w:pPr>
        <w:spacing w:line="44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技术偏离表</w:t>
      </w:r>
    </w:p>
    <w:p w14:paraId="73547ECF">
      <w:pPr>
        <w:jc w:val="center"/>
        <w:rPr>
          <w:rFonts w:hint="eastAsia" w:ascii="宋体" w:hAnsi="宋体"/>
          <w:color w:val="000000" w:themeColor="text1"/>
          <w:sz w:val="24"/>
          <w:szCs w:val="24"/>
          <w:highlight w:val="none"/>
          <w14:textFill>
            <w14:solidFill>
              <w14:schemeClr w14:val="tx1"/>
            </w14:solidFill>
          </w14:textFill>
        </w:rPr>
      </w:pPr>
    </w:p>
    <w:p w14:paraId="4205A0D1">
      <w:pPr>
        <w:jc w:val="left"/>
        <w:rPr>
          <w:rFonts w:hint="eastAsia" w:ascii="宋体" w:hAnsi="宋体"/>
          <w:color w:val="000000" w:themeColor="text1"/>
          <w:sz w:val="24"/>
          <w:szCs w:val="24"/>
          <w:highlight w:val="none"/>
          <w:u w:val="single"/>
          <w14:textFill>
            <w14:solidFill>
              <w14:schemeClr w14:val="tx1"/>
            </w14:solidFill>
          </w14:textFill>
        </w:rPr>
      </w:pPr>
    </w:p>
    <w:tbl>
      <w:tblPr>
        <w:tblStyle w:val="1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22"/>
        <w:gridCol w:w="1588"/>
        <w:gridCol w:w="1762"/>
        <w:gridCol w:w="1763"/>
        <w:gridCol w:w="1762"/>
        <w:gridCol w:w="1763"/>
      </w:tblGrid>
      <w:tr w14:paraId="44FDC7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899" w:hRule="atLeast"/>
          <w:jc w:val="center"/>
        </w:trPr>
        <w:tc>
          <w:tcPr>
            <w:tcW w:w="1022" w:type="dxa"/>
            <w:vAlign w:val="center"/>
          </w:tcPr>
          <w:p w14:paraId="7247DDDF">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序号</w:t>
            </w:r>
          </w:p>
        </w:tc>
        <w:tc>
          <w:tcPr>
            <w:tcW w:w="1588" w:type="dxa"/>
            <w:vAlign w:val="center"/>
          </w:tcPr>
          <w:p w14:paraId="66ABECCC">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货物名称</w:t>
            </w:r>
          </w:p>
        </w:tc>
        <w:tc>
          <w:tcPr>
            <w:tcW w:w="1762" w:type="dxa"/>
            <w:vAlign w:val="center"/>
          </w:tcPr>
          <w:p w14:paraId="4E0201ED">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招标规格</w:t>
            </w:r>
          </w:p>
        </w:tc>
        <w:tc>
          <w:tcPr>
            <w:tcW w:w="1763" w:type="dxa"/>
            <w:vAlign w:val="center"/>
          </w:tcPr>
          <w:p w14:paraId="1859AADC">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投标规格</w:t>
            </w:r>
          </w:p>
        </w:tc>
        <w:tc>
          <w:tcPr>
            <w:tcW w:w="1762" w:type="dxa"/>
            <w:vAlign w:val="center"/>
          </w:tcPr>
          <w:p w14:paraId="043CBE19">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偏离度</w:t>
            </w:r>
          </w:p>
        </w:tc>
        <w:tc>
          <w:tcPr>
            <w:tcW w:w="1763" w:type="dxa"/>
            <w:vAlign w:val="center"/>
          </w:tcPr>
          <w:p w14:paraId="4C62A54F">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说明</w:t>
            </w:r>
          </w:p>
        </w:tc>
      </w:tr>
      <w:tr w14:paraId="490D29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870" w:hRule="atLeast"/>
          <w:jc w:val="center"/>
        </w:trPr>
        <w:tc>
          <w:tcPr>
            <w:tcW w:w="1022" w:type="dxa"/>
            <w:vAlign w:val="center"/>
          </w:tcPr>
          <w:p w14:paraId="05CC3318">
            <w:pPr>
              <w:jc w:val="center"/>
              <w:rPr>
                <w:rFonts w:hint="eastAsia" w:ascii="宋体" w:hAnsi="宋体"/>
                <w:color w:val="000000" w:themeColor="text1"/>
                <w:highlight w:val="none"/>
                <w14:textFill>
                  <w14:solidFill>
                    <w14:schemeClr w14:val="tx1"/>
                  </w14:solidFill>
                </w14:textFill>
              </w:rPr>
            </w:pPr>
          </w:p>
        </w:tc>
        <w:tc>
          <w:tcPr>
            <w:tcW w:w="1588" w:type="dxa"/>
            <w:vAlign w:val="center"/>
          </w:tcPr>
          <w:p w14:paraId="0CEA0459">
            <w:pPr>
              <w:spacing w:line="360" w:lineRule="auto"/>
              <w:ind w:left="50" w:right="-176" w:rightChars="-84" w:hanging="50" w:hangingChars="24"/>
              <w:rPr>
                <w:rFonts w:hint="eastAsia" w:ascii="宋体" w:hAnsi="宋体"/>
                <w:color w:val="000000" w:themeColor="text1"/>
                <w:highlight w:val="none"/>
                <w14:textFill>
                  <w14:solidFill>
                    <w14:schemeClr w14:val="tx1"/>
                  </w14:solidFill>
                </w14:textFill>
              </w:rPr>
            </w:pPr>
          </w:p>
        </w:tc>
        <w:tc>
          <w:tcPr>
            <w:tcW w:w="1762" w:type="dxa"/>
            <w:vAlign w:val="center"/>
          </w:tcPr>
          <w:p w14:paraId="1247F70F">
            <w:pPr>
              <w:spacing w:line="360" w:lineRule="auto"/>
              <w:ind w:left="50" w:right="-176" w:rightChars="-84" w:hanging="50" w:hangingChars="24"/>
              <w:rPr>
                <w:rFonts w:hint="eastAsia" w:ascii="宋体" w:hAnsi="宋体"/>
                <w:color w:val="000000" w:themeColor="text1"/>
                <w:highlight w:val="none"/>
                <w14:textFill>
                  <w14:solidFill>
                    <w14:schemeClr w14:val="tx1"/>
                  </w14:solidFill>
                </w14:textFill>
              </w:rPr>
            </w:pPr>
          </w:p>
        </w:tc>
        <w:tc>
          <w:tcPr>
            <w:tcW w:w="1763" w:type="dxa"/>
            <w:vAlign w:val="center"/>
          </w:tcPr>
          <w:p w14:paraId="197212BE">
            <w:pPr>
              <w:jc w:val="center"/>
              <w:rPr>
                <w:rFonts w:hint="eastAsia" w:ascii="宋体" w:hAnsi="宋体"/>
                <w:color w:val="000000" w:themeColor="text1"/>
                <w:highlight w:val="none"/>
                <w14:textFill>
                  <w14:solidFill>
                    <w14:schemeClr w14:val="tx1"/>
                  </w14:solidFill>
                </w14:textFill>
              </w:rPr>
            </w:pPr>
          </w:p>
        </w:tc>
        <w:tc>
          <w:tcPr>
            <w:tcW w:w="1762" w:type="dxa"/>
            <w:vAlign w:val="center"/>
          </w:tcPr>
          <w:p w14:paraId="213D1181">
            <w:pPr>
              <w:jc w:val="center"/>
              <w:rPr>
                <w:rFonts w:hint="eastAsia" w:ascii="宋体" w:hAnsi="宋体"/>
                <w:color w:val="000000" w:themeColor="text1"/>
                <w:highlight w:val="none"/>
                <w:u w:val="single"/>
                <w14:textFill>
                  <w14:solidFill>
                    <w14:schemeClr w14:val="tx1"/>
                  </w14:solidFill>
                </w14:textFill>
              </w:rPr>
            </w:pPr>
          </w:p>
        </w:tc>
        <w:tc>
          <w:tcPr>
            <w:tcW w:w="1763" w:type="dxa"/>
            <w:vAlign w:val="center"/>
          </w:tcPr>
          <w:p w14:paraId="75123ABA">
            <w:pPr>
              <w:jc w:val="center"/>
              <w:rPr>
                <w:rFonts w:hint="eastAsia" w:ascii="宋体" w:hAnsi="宋体"/>
                <w:color w:val="000000" w:themeColor="text1"/>
                <w:highlight w:val="none"/>
                <w:u w:val="single"/>
                <w14:textFill>
                  <w14:solidFill>
                    <w14:schemeClr w14:val="tx1"/>
                  </w14:solidFill>
                </w14:textFill>
              </w:rPr>
            </w:pPr>
          </w:p>
        </w:tc>
      </w:tr>
      <w:tr w14:paraId="5D43CB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870" w:hRule="atLeast"/>
          <w:jc w:val="center"/>
        </w:trPr>
        <w:tc>
          <w:tcPr>
            <w:tcW w:w="1022" w:type="dxa"/>
            <w:vAlign w:val="center"/>
          </w:tcPr>
          <w:p w14:paraId="4EAB32F9">
            <w:pPr>
              <w:jc w:val="center"/>
              <w:rPr>
                <w:rFonts w:hint="eastAsia" w:ascii="宋体" w:hAnsi="宋体"/>
                <w:color w:val="000000" w:themeColor="text1"/>
                <w:highlight w:val="none"/>
                <w14:textFill>
                  <w14:solidFill>
                    <w14:schemeClr w14:val="tx1"/>
                  </w14:solidFill>
                </w14:textFill>
              </w:rPr>
            </w:pPr>
          </w:p>
        </w:tc>
        <w:tc>
          <w:tcPr>
            <w:tcW w:w="1588" w:type="dxa"/>
            <w:vAlign w:val="center"/>
          </w:tcPr>
          <w:p w14:paraId="675CD4F3">
            <w:pPr>
              <w:spacing w:line="360" w:lineRule="auto"/>
              <w:ind w:left="-109" w:leftChars="-52" w:right="-176" w:rightChars="-84"/>
              <w:jc w:val="center"/>
              <w:rPr>
                <w:rFonts w:hint="eastAsia" w:ascii="宋体" w:hAnsi="宋体"/>
                <w:color w:val="000000" w:themeColor="text1"/>
                <w:highlight w:val="none"/>
                <w14:textFill>
                  <w14:solidFill>
                    <w14:schemeClr w14:val="tx1"/>
                  </w14:solidFill>
                </w14:textFill>
              </w:rPr>
            </w:pPr>
          </w:p>
        </w:tc>
        <w:tc>
          <w:tcPr>
            <w:tcW w:w="1762" w:type="dxa"/>
            <w:vAlign w:val="center"/>
          </w:tcPr>
          <w:p w14:paraId="3557825C">
            <w:pPr>
              <w:spacing w:line="360" w:lineRule="auto"/>
              <w:ind w:left="-109" w:leftChars="-52" w:right="-176" w:rightChars="-84"/>
              <w:jc w:val="center"/>
              <w:rPr>
                <w:rFonts w:hint="eastAsia" w:ascii="宋体" w:hAnsi="宋体"/>
                <w:color w:val="000000" w:themeColor="text1"/>
                <w:highlight w:val="none"/>
                <w14:textFill>
                  <w14:solidFill>
                    <w14:schemeClr w14:val="tx1"/>
                  </w14:solidFill>
                </w14:textFill>
              </w:rPr>
            </w:pPr>
          </w:p>
        </w:tc>
        <w:tc>
          <w:tcPr>
            <w:tcW w:w="1763" w:type="dxa"/>
            <w:vAlign w:val="center"/>
          </w:tcPr>
          <w:p w14:paraId="4198C62F">
            <w:pPr>
              <w:ind w:left="-109" w:leftChars="-52"/>
              <w:jc w:val="center"/>
              <w:rPr>
                <w:rFonts w:hint="eastAsia" w:ascii="宋体" w:hAnsi="宋体"/>
                <w:color w:val="000000" w:themeColor="text1"/>
                <w:highlight w:val="none"/>
                <w:u w:val="single"/>
                <w14:textFill>
                  <w14:solidFill>
                    <w14:schemeClr w14:val="tx1"/>
                  </w14:solidFill>
                </w14:textFill>
              </w:rPr>
            </w:pPr>
          </w:p>
        </w:tc>
        <w:tc>
          <w:tcPr>
            <w:tcW w:w="1762" w:type="dxa"/>
            <w:vAlign w:val="center"/>
          </w:tcPr>
          <w:p w14:paraId="1B381D2A">
            <w:pPr>
              <w:ind w:firstLine="1155" w:firstLineChars="550"/>
              <w:rPr>
                <w:rFonts w:hint="eastAsia" w:ascii="宋体" w:hAnsi="宋体"/>
                <w:color w:val="000000" w:themeColor="text1"/>
                <w:highlight w:val="none"/>
                <w:u w:val="single"/>
                <w14:textFill>
                  <w14:solidFill>
                    <w14:schemeClr w14:val="tx1"/>
                  </w14:solidFill>
                </w14:textFill>
              </w:rPr>
            </w:pPr>
          </w:p>
        </w:tc>
        <w:tc>
          <w:tcPr>
            <w:tcW w:w="1763" w:type="dxa"/>
            <w:vAlign w:val="center"/>
          </w:tcPr>
          <w:p w14:paraId="34E58606">
            <w:pPr>
              <w:ind w:firstLine="1155" w:firstLineChars="550"/>
              <w:rPr>
                <w:rFonts w:hint="eastAsia" w:ascii="宋体" w:hAnsi="宋体"/>
                <w:color w:val="000000" w:themeColor="text1"/>
                <w:highlight w:val="none"/>
                <w:u w:val="single"/>
                <w14:textFill>
                  <w14:solidFill>
                    <w14:schemeClr w14:val="tx1"/>
                  </w14:solidFill>
                </w14:textFill>
              </w:rPr>
            </w:pPr>
          </w:p>
        </w:tc>
      </w:tr>
      <w:tr w14:paraId="0CFBFC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870" w:hRule="atLeast"/>
          <w:jc w:val="center"/>
        </w:trPr>
        <w:tc>
          <w:tcPr>
            <w:tcW w:w="1022" w:type="dxa"/>
            <w:vAlign w:val="center"/>
          </w:tcPr>
          <w:p w14:paraId="1CE5C8F1">
            <w:pPr>
              <w:jc w:val="center"/>
              <w:rPr>
                <w:rFonts w:hint="eastAsia" w:ascii="宋体" w:hAnsi="宋体"/>
                <w:color w:val="000000" w:themeColor="text1"/>
                <w:highlight w:val="none"/>
                <w14:textFill>
                  <w14:solidFill>
                    <w14:schemeClr w14:val="tx1"/>
                  </w14:solidFill>
                </w14:textFill>
              </w:rPr>
            </w:pPr>
          </w:p>
        </w:tc>
        <w:tc>
          <w:tcPr>
            <w:tcW w:w="1588" w:type="dxa"/>
            <w:vAlign w:val="center"/>
          </w:tcPr>
          <w:p w14:paraId="4D876A77">
            <w:pPr>
              <w:spacing w:line="360" w:lineRule="auto"/>
              <w:ind w:left="-109" w:leftChars="-52" w:right="-176" w:rightChars="-84"/>
              <w:jc w:val="center"/>
              <w:rPr>
                <w:rFonts w:hint="eastAsia" w:ascii="宋体" w:hAnsi="宋体"/>
                <w:color w:val="000000" w:themeColor="text1"/>
                <w:highlight w:val="none"/>
                <w14:textFill>
                  <w14:solidFill>
                    <w14:schemeClr w14:val="tx1"/>
                  </w14:solidFill>
                </w14:textFill>
              </w:rPr>
            </w:pPr>
          </w:p>
        </w:tc>
        <w:tc>
          <w:tcPr>
            <w:tcW w:w="1762" w:type="dxa"/>
            <w:vAlign w:val="center"/>
          </w:tcPr>
          <w:p w14:paraId="62593EC3">
            <w:pPr>
              <w:spacing w:line="360" w:lineRule="auto"/>
              <w:ind w:left="-109" w:leftChars="-52" w:right="-176" w:rightChars="-84"/>
              <w:jc w:val="center"/>
              <w:rPr>
                <w:rFonts w:hint="eastAsia" w:ascii="宋体" w:hAnsi="宋体"/>
                <w:color w:val="000000" w:themeColor="text1"/>
                <w:highlight w:val="none"/>
                <w14:textFill>
                  <w14:solidFill>
                    <w14:schemeClr w14:val="tx1"/>
                  </w14:solidFill>
                </w14:textFill>
              </w:rPr>
            </w:pPr>
          </w:p>
        </w:tc>
        <w:tc>
          <w:tcPr>
            <w:tcW w:w="1763" w:type="dxa"/>
            <w:vAlign w:val="center"/>
          </w:tcPr>
          <w:p w14:paraId="222A7A7E">
            <w:pPr>
              <w:ind w:left="-109" w:leftChars="-52"/>
              <w:jc w:val="center"/>
              <w:rPr>
                <w:rFonts w:hint="eastAsia" w:ascii="宋体" w:hAnsi="宋体"/>
                <w:color w:val="000000" w:themeColor="text1"/>
                <w:highlight w:val="none"/>
                <w:u w:val="single"/>
                <w14:textFill>
                  <w14:solidFill>
                    <w14:schemeClr w14:val="tx1"/>
                  </w14:solidFill>
                </w14:textFill>
              </w:rPr>
            </w:pPr>
          </w:p>
        </w:tc>
        <w:tc>
          <w:tcPr>
            <w:tcW w:w="1762" w:type="dxa"/>
            <w:vAlign w:val="center"/>
          </w:tcPr>
          <w:p w14:paraId="18661604">
            <w:pPr>
              <w:ind w:firstLine="1155" w:firstLineChars="550"/>
              <w:rPr>
                <w:rFonts w:hint="eastAsia" w:ascii="宋体" w:hAnsi="宋体"/>
                <w:color w:val="000000" w:themeColor="text1"/>
                <w:highlight w:val="none"/>
                <w:u w:val="single"/>
                <w14:textFill>
                  <w14:solidFill>
                    <w14:schemeClr w14:val="tx1"/>
                  </w14:solidFill>
                </w14:textFill>
              </w:rPr>
            </w:pPr>
          </w:p>
        </w:tc>
        <w:tc>
          <w:tcPr>
            <w:tcW w:w="1763" w:type="dxa"/>
            <w:vAlign w:val="center"/>
          </w:tcPr>
          <w:p w14:paraId="48A975AA">
            <w:pPr>
              <w:ind w:firstLine="1155" w:firstLineChars="550"/>
              <w:rPr>
                <w:rFonts w:hint="eastAsia" w:ascii="宋体" w:hAnsi="宋体"/>
                <w:color w:val="000000" w:themeColor="text1"/>
                <w:highlight w:val="none"/>
                <w:u w:val="single"/>
                <w14:textFill>
                  <w14:solidFill>
                    <w14:schemeClr w14:val="tx1"/>
                  </w14:solidFill>
                </w14:textFill>
              </w:rPr>
            </w:pPr>
          </w:p>
        </w:tc>
      </w:tr>
      <w:tr w14:paraId="1B38D7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863" w:hRule="atLeast"/>
          <w:jc w:val="center"/>
        </w:trPr>
        <w:tc>
          <w:tcPr>
            <w:tcW w:w="1022" w:type="dxa"/>
            <w:vAlign w:val="center"/>
          </w:tcPr>
          <w:p w14:paraId="291CC78B">
            <w:pPr>
              <w:jc w:val="center"/>
              <w:rPr>
                <w:rFonts w:hint="eastAsia" w:ascii="宋体" w:hAnsi="宋体"/>
                <w:color w:val="000000" w:themeColor="text1"/>
                <w:highlight w:val="none"/>
                <w14:textFill>
                  <w14:solidFill>
                    <w14:schemeClr w14:val="tx1"/>
                  </w14:solidFill>
                </w14:textFill>
              </w:rPr>
            </w:pPr>
          </w:p>
        </w:tc>
        <w:tc>
          <w:tcPr>
            <w:tcW w:w="1588" w:type="dxa"/>
            <w:vAlign w:val="center"/>
          </w:tcPr>
          <w:p w14:paraId="6A386CF6">
            <w:pPr>
              <w:jc w:val="center"/>
              <w:rPr>
                <w:rFonts w:hint="eastAsia" w:ascii="宋体" w:hAnsi="宋体"/>
                <w:color w:val="000000" w:themeColor="text1"/>
                <w:highlight w:val="none"/>
                <w14:textFill>
                  <w14:solidFill>
                    <w14:schemeClr w14:val="tx1"/>
                  </w14:solidFill>
                </w14:textFill>
              </w:rPr>
            </w:pPr>
          </w:p>
        </w:tc>
        <w:tc>
          <w:tcPr>
            <w:tcW w:w="1762" w:type="dxa"/>
            <w:vAlign w:val="center"/>
          </w:tcPr>
          <w:p w14:paraId="7FB2FE69">
            <w:pPr>
              <w:jc w:val="center"/>
              <w:rPr>
                <w:rFonts w:hint="eastAsia" w:ascii="宋体" w:hAnsi="宋体"/>
                <w:color w:val="000000" w:themeColor="text1"/>
                <w:highlight w:val="none"/>
                <w14:textFill>
                  <w14:solidFill>
                    <w14:schemeClr w14:val="tx1"/>
                  </w14:solidFill>
                </w14:textFill>
              </w:rPr>
            </w:pPr>
          </w:p>
        </w:tc>
        <w:tc>
          <w:tcPr>
            <w:tcW w:w="1763" w:type="dxa"/>
            <w:vAlign w:val="center"/>
          </w:tcPr>
          <w:p w14:paraId="12B0A0AA">
            <w:pPr>
              <w:rPr>
                <w:rFonts w:hint="eastAsia" w:ascii="宋体" w:hAnsi="宋体"/>
                <w:color w:val="000000" w:themeColor="text1"/>
                <w:highlight w:val="none"/>
                <w14:textFill>
                  <w14:solidFill>
                    <w14:schemeClr w14:val="tx1"/>
                  </w14:solidFill>
                </w14:textFill>
              </w:rPr>
            </w:pPr>
          </w:p>
        </w:tc>
        <w:tc>
          <w:tcPr>
            <w:tcW w:w="1762" w:type="dxa"/>
            <w:vAlign w:val="center"/>
          </w:tcPr>
          <w:p w14:paraId="79F7B98A">
            <w:pPr>
              <w:rPr>
                <w:rFonts w:hint="eastAsia" w:ascii="宋体" w:hAnsi="宋体"/>
                <w:color w:val="000000" w:themeColor="text1"/>
                <w:highlight w:val="none"/>
                <w14:textFill>
                  <w14:solidFill>
                    <w14:schemeClr w14:val="tx1"/>
                  </w14:solidFill>
                </w14:textFill>
              </w:rPr>
            </w:pPr>
          </w:p>
        </w:tc>
        <w:tc>
          <w:tcPr>
            <w:tcW w:w="1763" w:type="dxa"/>
            <w:vAlign w:val="center"/>
          </w:tcPr>
          <w:p w14:paraId="60045989">
            <w:pPr>
              <w:rPr>
                <w:rFonts w:hint="eastAsia" w:ascii="宋体" w:hAnsi="宋体"/>
                <w:color w:val="000000" w:themeColor="text1"/>
                <w:highlight w:val="none"/>
                <w14:textFill>
                  <w14:solidFill>
                    <w14:schemeClr w14:val="tx1"/>
                  </w14:solidFill>
                </w14:textFill>
              </w:rPr>
            </w:pPr>
          </w:p>
        </w:tc>
      </w:tr>
      <w:tr w14:paraId="1F5289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17" w:hRule="atLeast"/>
          <w:jc w:val="center"/>
        </w:trPr>
        <w:tc>
          <w:tcPr>
            <w:tcW w:w="1022" w:type="dxa"/>
            <w:vAlign w:val="center"/>
          </w:tcPr>
          <w:p w14:paraId="5FF974AE">
            <w:pPr>
              <w:jc w:val="center"/>
              <w:rPr>
                <w:rFonts w:hint="eastAsia" w:ascii="宋体" w:hAnsi="宋体"/>
                <w:color w:val="000000" w:themeColor="text1"/>
                <w:highlight w:val="none"/>
                <w14:textFill>
                  <w14:solidFill>
                    <w14:schemeClr w14:val="tx1"/>
                  </w14:solidFill>
                </w14:textFill>
              </w:rPr>
            </w:pPr>
          </w:p>
        </w:tc>
        <w:tc>
          <w:tcPr>
            <w:tcW w:w="1588" w:type="dxa"/>
            <w:vAlign w:val="center"/>
          </w:tcPr>
          <w:p w14:paraId="2264D448">
            <w:pPr>
              <w:jc w:val="center"/>
              <w:rPr>
                <w:rFonts w:hint="eastAsia" w:ascii="宋体" w:hAnsi="宋体"/>
                <w:color w:val="000000" w:themeColor="text1"/>
                <w:highlight w:val="none"/>
                <w14:textFill>
                  <w14:solidFill>
                    <w14:schemeClr w14:val="tx1"/>
                  </w14:solidFill>
                </w14:textFill>
              </w:rPr>
            </w:pPr>
          </w:p>
        </w:tc>
        <w:tc>
          <w:tcPr>
            <w:tcW w:w="1762" w:type="dxa"/>
            <w:vAlign w:val="center"/>
          </w:tcPr>
          <w:p w14:paraId="0AE9CAE1">
            <w:pPr>
              <w:jc w:val="center"/>
              <w:rPr>
                <w:rFonts w:hint="eastAsia" w:ascii="宋体" w:hAnsi="宋体"/>
                <w:color w:val="000000" w:themeColor="text1"/>
                <w:highlight w:val="none"/>
                <w14:textFill>
                  <w14:solidFill>
                    <w14:schemeClr w14:val="tx1"/>
                  </w14:solidFill>
                </w14:textFill>
              </w:rPr>
            </w:pPr>
          </w:p>
        </w:tc>
        <w:tc>
          <w:tcPr>
            <w:tcW w:w="1763" w:type="dxa"/>
            <w:vAlign w:val="center"/>
          </w:tcPr>
          <w:p w14:paraId="7A9D4B05">
            <w:pPr>
              <w:rPr>
                <w:rFonts w:hint="eastAsia" w:ascii="宋体" w:hAnsi="宋体"/>
                <w:color w:val="000000" w:themeColor="text1"/>
                <w:highlight w:val="none"/>
                <w14:textFill>
                  <w14:solidFill>
                    <w14:schemeClr w14:val="tx1"/>
                  </w14:solidFill>
                </w14:textFill>
              </w:rPr>
            </w:pPr>
          </w:p>
        </w:tc>
        <w:tc>
          <w:tcPr>
            <w:tcW w:w="1762" w:type="dxa"/>
            <w:vAlign w:val="center"/>
          </w:tcPr>
          <w:p w14:paraId="080D0042">
            <w:pPr>
              <w:rPr>
                <w:rFonts w:hint="eastAsia" w:ascii="宋体" w:hAnsi="宋体"/>
                <w:color w:val="000000" w:themeColor="text1"/>
                <w:highlight w:val="none"/>
                <w14:textFill>
                  <w14:solidFill>
                    <w14:schemeClr w14:val="tx1"/>
                  </w14:solidFill>
                </w14:textFill>
              </w:rPr>
            </w:pPr>
          </w:p>
        </w:tc>
        <w:tc>
          <w:tcPr>
            <w:tcW w:w="1763" w:type="dxa"/>
            <w:vAlign w:val="center"/>
          </w:tcPr>
          <w:p w14:paraId="6ACDBE6F">
            <w:pPr>
              <w:rPr>
                <w:rFonts w:hint="eastAsia" w:ascii="宋体" w:hAnsi="宋体"/>
                <w:color w:val="000000" w:themeColor="text1"/>
                <w:highlight w:val="none"/>
                <w14:textFill>
                  <w14:solidFill>
                    <w14:schemeClr w14:val="tx1"/>
                  </w14:solidFill>
                </w14:textFill>
              </w:rPr>
            </w:pPr>
          </w:p>
        </w:tc>
      </w:tr>
    </w:tbl>
    <w:p w14:paraId="09251FFC">
      <w:pPr>
        <w:ind w:left="-315" w:leftChars="-150" w:right="-378" w:rightChars="-180"/>
        <w:rPr>
          <w:rFonts w:hint="eastAsia" w:ascii="宋体" w:hAnsi="宋体"/>
          <w:b/>
          <w:bCs/>
          <w:color w:val="000000" w:themeColor="text1"/>
          <w:sz w:val="24"/>
          <w:szCs w:val="24"/>
          <w:highlight w:val="none"/>
          <w14:textFill>
            <w14:solidFill>
              <w14:schemeClr w14:val="tx1"/>
            </w14:solidFill>
          </w14:textFill>
        </w:rPr>
      </w:pPr>
    </w:p>
    <w:p w14:paraId="159BE6DB">
      <w:pPr>
        <w:ind w:left="-315" w:leftChars="-150" w:right="-378" w:rightChars="-18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注：投标人递交的技术规格与招标文件的技术规格的要求有不同时，应逐条列在技术偏离表中。</w:t>
      </w:r>
    </w:p>
    <w:p w14:paraId="04733AAB">
      <w:pPr>
        <w:ind w:left="-315" w:leftChars="-150" w:right="-378" w:rightChars="-180"/>
        <w:rPr>
          <w:rFonts w:hint="eastAsia" w:ascii="宋体" w:hAnsi="宋体"/>
          <w:color w:val="000000" w:themeColor="text1"/>
          <w:sz w:val="24"/>
          <w:szCs w:val="24"/>
          <w:highlight w:val="none"/>
          <w14:textFill>
            <w14:solidFill>
              <w14:schemeClr w14:val="tx1"/>
            </w14:solidFill>
          </w14:textFill>
        </w:rPr>
      </w:pPr>
    </w:p>
    <w:p w14:paraId="612B8063">
      <w:pPr>
        <w:ind w:left="-315" w:leftChars="-150" w:right="-378" w:rightChars="-180"/>
        <w:rPr>
          <w:rFonts w:hint="eastAsia" w:ascii="宋体" w:hAnsi="宋体"/>
          <w:color w:val="000000" w:themeColor="text1"/>
          <w:sz w:val="24"/>
          <w:szCs w:val="24"/>
          <w:highlight w:val="none"/>
          <w14:textFill>
            <w14:solidFill>
              <w14:schemeClr w14:val="tx1"/>
            </w14:solidFill>
          </w14:textFill>
        </w:rPr>
      </w:pPr>
    </w:p>
    <w:p w14:paraId="289E7854">
      <w:pPr>
        <w:ind w:left="-315" w:leftChars="-150" w:right="-378" w:rightChars="-180"/>
        <w:rPr>
          <w:rFonts w:hint="eastAsia" w:ascii="宋体" w:hAnsi="宋体"/>
          <w:color w:val="000000" w:themeColor="text1"/>
          <w:sz w:val="24"/>
          <w:szCs w:val="24"/>
          <w:highlight w:val="none"/>
          <w14:textFill>
            <w14:solidFill>
              <w14:schemeClr w14:val="tx1"/>
            </w14:solidFill>
          </w14:textFill>
        </w:rPr>
      </w:pPr>
    </w:p>
    <w:p w14:paraId="39A2AC67">
      <w:pPr>
        <w:ind w:left="-315" w:leftChars="-150" w:right="-378" w:rightChars="-180"/>
        <w:rPr>
          <w:rFonts w:hint="eastAsia" w:ascii="宋体" w:hAnsi="宋体"/>
          <w:color w:val="000000" w:themeColor="text1"/>
          <w:sz w:val="24"/>
          <w:szCs w:val="24"/>
          <w:highlight w:val="none"/>
          <w14:textFill>
            <w14:solidFill>
              <w14:schemeClr w14:val="tx1"/>
            </w14:solidFill>
          </w14:textFill>
        </w:rPr>
      </w:pPr>
    </w:p>
    <w:p w14:paraId="0D15FBAA">
      <w:pPr>
        <w:jc w:val="center"/>
        <w:rPr>
          <w:rFonts w:hint="eastAsia" w:ascii="宋体" w:hAnsi="宋体"/>
          <w:color w:val="000000" w:themeColor="text1"/>
          <w:highlight w:val="none"/>
          <w14:textFill>
            <w14:solidFill>
              <w14:schemeClr w14:val="tx1"/>
            </w14:solidFill>
          </w14:textFill>
        </w:rPr>
      </w:pPr>
    </w:p>
    <w:p w14:paraId="15049382">
      <w:pPr>
        <w:jc w:val="center"/>
        <w:rPr>
          <w:rFonts w:hint="eastAsia" w:ascii="宋体" w:hAnsi="宋体"/>
          <w:color w:val="000000" w:themeColor="text1"/>
          <w:highlight w:val="none"/>
          <w14:textFill>
            <w14:solidFill>
              <w14:schemeClr w14:val="tx1"/>
            </w14:solidFill>
          </w14:textFill>
        </w:rPr>
      </w:pPr>
    </w:p>
    <w:p w14:paraId="79F0FD3F">
      <w:pPr>
        <w:jc w:val="center"/>
        <w:rPr>
          <w:rFonts w:hint="eastAsia" w:ascii="宋体" w:hAnsi="宋体"/>
          <w:color w:val="000000" w:themeColor="text1"/>
          <w:highlight w:val="none"/>
          <w14:textFill>
            <w14:solidFill>
              <w14:schemeClr w14:val="tx1"/>
            </w14:solidFill>
          </w14:textFill>
        </w:rPr>
      </w:pPr>
    </w:p>
    <w:p w14:paraId="05AC8870">
      <w:pPr>
        <w:jc w:val="center"/>
        <w:rPr>
          <w:rFonts w:hint="eastAsia" w:ascii="宋体" w:hAnsi="宋体"/>
          <w:color w:val="000000" w:themeColor="text1"/>
          <w:highlight w:val="none"/>
          <w14:textFill>
            <w14:solidFill>
              <w14:schemeClr w14:val="tx1"/>
            </w14:solidFill>
          </w14:textFill>
        </w:rPr>
      </w:pPr>
    </w:p>
    <w:p w14:paraId="11DE5759">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投标人：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（电子印章）</w:t>
      </w:r>
    </w:p>
    <w:p w14:paraId="19237DE5">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（电子签章）</w:t>
      </w:r>
    </w:p>
    <w:p w14:paraId="44D4045D">
      <w:pPr>
        <w:spacing w:line="600" w:lineRule="exact"/>
        <w:ind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025FA6F1">
      <w:pPr>
        <w:ind w:firstLine="2164" w:firstLineChars="902"/>
        <w:rPr>
          <w:rFonts w:hint="eastAsia" w:ascii="宋体" w:hAnsi="宋体"/>
          <w:color w:val="000000" w:themeColor="text1"/>
          <w:sz w:val="24"/>
          <w:szCs w:val="24"/>
          <w:highlight w:val="none"/>
          <w14:textFill>
            <w14:solidFill>
              <w14:schemeClr w14:val="tx1"/>
            </w14:solidFill>
          </w14:textFill>
        </w:rPr>
      </w:pPr>
    </w:p>
    <w:p w14:paraId="48A6CF0C">
      <w:pPr>
        <w:jc w:val="center"/>
        <w:rPr>
          <w:rFonts w:hint="eastAsia" w:ascii="宋体" w:hAnsi="宋体"/>
          <w:color w:val="000000" w:themeColor="text1"/>
          <w:sz w:val="24"/>
          <w:szCs w:val="24"/>
          <w:highlight w:val="none"/>
          <w14:textFill>
            <w14:solidFill>
              <w14:schemeClr w14:val="tx1"/>
            </w14:solidFill>
          </w14:textFill>
        </w:rPr>
      </w:pPr>
    </w:p>
    <w:p w14:paraId="2B0B94EA">
      <w:pPr>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商务偏离表</w:t>
      </w:r>
    </w:p>
    <w:tbl>
      <w:tblPr>
        <w:tblStyle w:val="1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41"/>
        <w:gridCol w:w="3024"/>
        <w:gridCol w:w="3390"/>
        <w:gridCol w:w="1875"/>
      </w:tblGrid>
      <w:tr w14:paraId="706110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72" w:hRule="atLeast"/>
          <w:jc w:val="center"/>
        </w:trPr>
        <w:tc>
          <w:tcPr>
            <w:tcW w:w="1041" w:type="dxa"/>
            <w:vAlign w:val="center"/>
          </w:tcPr>
          <w:p w14:paraId="0F405EE1">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序号</w:t>
            </w:r>
          </w:p>
        </w:tc>
        <w:tc>
          <w:tcPr>
            <w:tcW w:w="3024" w:type="dxa"/>
            <w:vAlign w:val="center"/>
          </w:tcPr>
          <w:p w14:paraId="4D1996DF">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招标文件的商务条款</w:t>
            </w:r>
          </w:p>
        </w:tc>
        <w:tc>
          <w:tcPr>
            <w:tcW w:w="3390" w:type="dxa"/>
            <w:vAlign w:val="center"/>
          </w:tcPr>
          <w:p w14:paraId="33C952FE">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投标文件的商务条款</w:t>
            </w:r>
          </w:p>
        </w:tc>
        <w:tc>
          <w:tcPr>
            <w:tcW w:w="1875" w:type="dxa"/>
            <w:vAlign w:val="center"/>
          </w:tcPr>
          <w:p w14:paraId="50868106">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说明</w:t>
            </w:r>
          </w:p>
        </w:tc>
      </w:tr>
      <w:tr w14:paraId="42CC47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17" w:hRule="atLeast"/>
          <w:jc w:val="center"/>
        </w:trPr>
        <w:tc>
          <w:tcPr>
            <w:tcW w:w="1041" w:type="dxa"/>
            <w:vAlign w:val="center"/>
          </w:tcPr>
          <w:p w14:paraId="317F8E84">
            <w:pPr>
              <w:jc w:val="center"/>
              <w:rPr>
                <w:rFonts w:hint="eastAsia" w:ascii="宋体" w:hAnsi="宋体"/>
                <w:color w:val="000000" w:themeColor="text1"/>
                <w:highlight w:val="none"/>
                <w14:textFill>
                  <w14:solidFill>
                    <w14:schemeClr w14:val="tx1"/>
                  </w14:solidFill>
                </w14:textFill>
              </w:rPr>
            </w:pPr>
          </w:p>
        </w:tc>
        <w:tc>
          <w:tcPr>
            <w:tcW w:w="3024" w:type="dxa"/>
            <w:vAlign w:val="center"/>
          </w:tcPr>
          <w:p w14:paraId="355FF3DC">
            <w:pPr>
              <w:spacing w:line="360" w:lineRule="auto"/>
              <w:rPr>
                <w:rFonts w:hint="eastAsia" w:ascii="宋体" w:hAnsi="宋体"/>
                <w:color w:val="000000" w:themeColor="text1"/>
                <w:highlight w:val="none"/>
                <w14:textFill>
                  <w14:solidFill>
                    <w14:schemeClr w14:val="tx1"/>
                  </w14:solidFill>
                </w14:textFill>
              </w:rPr>
            </w:pPr>
          </w:p>
        </w:tc>
        <w:tc>
          <w:tcPr>
            <w:tcW w:w="3390" w:type="dxa"/>
            <w:vAlign w:val="center"/>
          </w:tcPr>
          <w:p w14:paraId="7733E13B">
            <w:pPr>
              <w:jc w:val="center"/>
              <w:rPr>
                <w:rFonts w:hint="eastAsia" w:ascii="宋体" w:hAnsi="宋体"/>
                <w:color w:val="000000" w:themeColor="text1"/>
                <w:highlight w:val="none"/>
                <w:u w:val="single"/>
                <w14:textFill>
                  <w14:solidFill>
                    <w14:schemeClr w14:val="tx1"/>
                  </w14:solidFill>
                </w14:textFill>
              </w:rPr>
            </w:pPr>
          </w:p>
        </w:tc>
        <w:tc>
          <w:tcPr>
            <w:tcW w:w="1875" w:type="dxa"/>
            <w:vAlign w:val="center"/>
          </w:tcPr>
          <w:p w14:paraId="606AB53D">
            <w:pPr>
              <w:jc w:val="center"/>
              <w:rPr>
                <w:rFonts w:hint="eastAsia" w:ascii="宋体" w:hAnsi="宋体"/>
                <w:color w:val="000000" w:themeColor="text1"/>
                <w:highlight w:val="none"/>
                <w:u w:val="single"/>
                <w14:textFill>
                  <w14:solidFill>
                    <w14:schemeClr w14:val="tx1"/>
                  </w14:solidFill>
                </w14:textFill>
              </w:rPr>
            </w:pPr>
          </w:p>
        </w:tc>
      </w:tr>
      <w:tr w14:paraId="38E61C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17" w:hRule="atLeast"/>
          <w:jc w:val="center"/>
        </w:trPr>
        <w:tc>
          <w:tcPr>
            <w:tcW w:w="1041" w:type="dxa"/>
            <w:vAlign w:val="center"/>
          </w:tcPr>
          <w:p w14:paraId="229D9891">
            <w:pPr>
              <w:jc w:val="center"/>
              <w:rPr>
                <w:rFonts w:hint="eastAsia" w:ascii="宋体" w:hAnsi="宋体"/>
                <w:color w:val="000000" w:themeColor="text1"/>
                <w:highlight w:val="none"/>
                <w14:textFill>
                  <w14:solidFill>
                    <w14:schemeClr w14:val="tx1"/>
                  </w14:solidFill>
                </w14:textFill>
              </w:rPr>
            </w:pPr>
          </w:p>
        </w:tc>
        <w:tc>
          <w:tcPr>
            <w:tcW w:w="3024" w:type="dxa"/>
            <w:vAlign w:val="center"/>
          </w:tcPr>
          <w:p w14:paraId="4A296788">
            <w:pPr>
              <w:spacing w:line="360" w:lineRule="auto"/>
              <w:jc w:val="center"/>
              <w:rPr>
                <w:rFonts w:hint="eastAsia" w:ascii="宋体" w:hAnsi="宋体"/>
                <w:color w:val="000000" w:themeColor="text1"/>
                <w:highlight w:val="none"/>
                <w14:textFill>
                  <w14:solidFill>
                    <w14:schemeClr w14:val="tx1"/>
                  </w14:solidFill>
                </w14:textFill>
              </w:rPr>
            </w:pPr>
          </w:p>
        </w:tc>
        <w:tc>
          <w:tcPr>
            <w:tcW w:w="3390" w:type="dxa"/>
            <w:vAlign w:val="center"/>
          </w:tcPr>
          <w:p w14:paraId="27E8B4F1">
            <w:pPr>
              <w:rPr>
                <w:rFonts w:hint="eastAsia" w:ascii="宋体" w:hAnsi="宋体"/>
                <w:color w:val="000000" w:themeColor="text1"/>
                <w:highlight w:val="none"/>
                <w:u w:val="single"/>
                <w14:textFill>
                  <w14:solidFill>
                    <w14:schemeClr w14:val="tx1"/>
                  </w14:solidFill>
                </w14:textFill>
              </w:rPr>
            </w:pPr>
          </w:p>
        </w:tc>
        <w:tc>
          <w:tcPr>
            <w:tcW w:w="1875" w:type="dxa"/>
            <w:vAlign w:val="center"/>
          </w:tcPr>
          <w:p w14:paraId="33A36F2C">
            <w:pPr>
              <w:rPr>
                <w:rFonts w:hint="eastAsia" w:ascii="宋体" w:hAnsi="宋体"/>
                <w:color w:val="000000" w:themeColor="text1"/>
                <w:highlight w:val="none"/>
                <w:u w:val="single"/>
                <w14:textFill>
                  <w14:solidFill>
                    <w14:schemeClr w14:val="tx1"/>
                  </w14:solidFill>
                </w14:textFill>
              </w:rPr>
            </w:pPr>
          </w:p>
        </w:tc>
      </w:tr>
      <w:tr w14:paraId="34CCCD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17" w:hRule="atLeast"/>
          <w:jc w:val="center"/>
        </w:trPr>
        <w:tc>
          <w:tcPr>
            <w:tcW w:w="1041" w:type="dxa"/>
            <w:vAlign w:val="center"/>
          </w:tcPr>
          <w:p w14:paraId="5EC0614C">
            <w:pPr>
              <w:jc w:val="center"/>
              <w:rPr>
                <w:rFonts w:hint="eastAsia" w:ascii="宋体" w:hAnsi="宋体"/>
                <w:color w:val="000000" w:themeColor="text1"/>
                <w:highlight w:val="none"/>
                <w14:textFill>
                  <w14:solidFill>
                    <w14:schemeClr w14:val="tx1"/>
                  </w14:solidFill>
                </w14:textFill>
              </w:rPr>
            </w:pPr>
          </w:p>
        </w:tc>
        <w:tc>
          <w:tcPr>
            <w:tcW w:w="3024" w:type="dxa"/>
            <w:vAlign w:val="center"/>
          </w:tcPr>
          <w:p w14:paraId="315A1DA2">
            <w:pPr>
              <w:spacing w:line="360" w:lineRule="auto"/>
              <w:jc w:val="center"/>
              <w:rPr>
                <w:rFonts w:hint="eastAsia" w:ascii="宋体" w:hAnsi="宋体"/>
                <w:color w:val="000000" w:themeColor="text1"/>
                <w:highlight w:val="none"/>
                <w14:textFill>
                  <w14:solidFill>
                    <w14:schemeClr w14:val="tx1"/>
                  </w14:solidFill>
                </w14:textFill>
              </w:rPr>
            </w:pPr>
          </w:p>
        </w:tc>
        <w:tc>
          <w:tcPr>
            <w:tcW w:w="3390" w:type="dxa"/>
            <w:vAlign w:val="center"/>
          </w:tcPr>
          <w:p w14:paraId="20F3BF28">
            <w:pPr>
              <w:rPr>
                <w:rFonts w:hint="eastAsia" w:ascii="宋体" w:hAnsi="宋体"/>
                <w:color w:val="000000" w:themeColor="text1"/>
                <w:highlight w:val="none"/>
                <w:u w:val="single"/>
                <w14:textFill>
                  <w14:solidFill>
                    <w14:schemeClr w14:val="tx1"/>
                  </w14:solidFill>
                </w14:textFill>
              </w:rPr>
            </w:pPr>
          </w:p>
        </w:tc>
        <w:tc>
          <w:tcPr>
            <w:tcW w:w="1875" w:type="dxa"/>
            <w:vAlign w:val="center"/>
          </w:tcPr>
          <w:p w14:paraId="69359176">
            <w:pPr>
              <w:rPr>
                <w:rFonts w:hint="eastAsia" w:ascii="宋体" w:hAnsi="宋体"/>
                <w:color w:val="000000" w:themeColor="text1"/>
                <w:highlight w:val="none"/>
                <w:u w:val="single"/>
                <w14:textFill>
                  <w14:solidFill>
                    <w14:schemeClr w14:val="tx1"/>
                  </w14:solidFill>
                </w14:textFill>
              </w:rPr>
            </w:pPr>
          </w:p>
        </w:tc>
      </w:tr>
      <w:tr w14:paraId="31E4EE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9" w:hRule="atLeast"/>
          <w:jc w:val="center"/>
        </w:trPr>
        <w:tc>
          <w:tcPr>
            <w:tcW w:w="1041" w:type="dxa"/>
            <w:vAlign w:val="center"/>
          </w:tcPr>
          <w:p w14:paraId="5EAB4912">
            <w:pPr>
              <w:jc w:val="center"/>
              <w:rPr>
                <w:rFonts w:hint="eastAsia" w:ascii="宋体" w:hAnsi="宋体"/>
                <w:color w:val="000000" w:themeColor="text1"/>
                <w:highlight w:val="none"/>
                <w14:textFill>
                  <w14:solidFill>
                    <w14:schemeClr w14:val="tx1"/>
                  </w14:solidFill>
                </w14:textFill>
              </w:rPr>
            </w:pPr>
          </w:p>
        </w:tc>
        <w:tc>
          <w:tcPr>
            <w:tcW w:w="3024" w:type="dxa"/>
            <w:vAlign w:val="center"/>
          </w:tcPr>
          <w:p w14:paraId="32500160">
            <w:pPr>
              <w:jc w:val="center"/>
              <w:rPr>
                <w:rFonts w:hint="eastAsia" w:ascii="宋体" w:hAnsi="宋体"/>
                <w:color w:val="000000" w:themeColor="text1"/>
                <w:highlight w:val="none"/>
                <w14:textFill>
                  <w14:solidFill>
                    <w14:schemeClr w14:val="tx1"/>
                  </w14:solidFill>
                </w14:textFill>
              </w:rPr>
            </w:pPr>
          </w:p>
        </w:tc>
        <w:tc>
          <w:tcPr>
            <w:tcW w:w="3390" w:type="dxa"/>
            <w:vAlign w:val="center"/>
          </w:tcPr>
          <w:p w14:paraId="25AA47BA">
            <w:pPr>
              <w:rPr>
                <w:rFonts w:hint="eastAsia" w:ascii="宋体" w:hAnsi="宋体"/>
                <w:color w:val="000000" w:themeColor="text1"/>
                <w:highlight w:val="none"/>
                <w14:textFill>
                  <w14:solidFill>
                    <w14:schemeClr w14:val="tx1"/>
                  </w14:solidFill>
                </w14:textFill>
              </w:rPr>
            </w:pPr>
          </w:p>
        </w:tc>
        <w:tc>
          <w:tcPr>
            <w:tcW w:w="1875" w:type="dxa"/>
            <w:vAlign w:val="center"/>
          </w:tcPr>
          <w:p w14:paraId="56A102ED">
            <w:pPr>
              <w:rPr>
                <w:rFonts w:hint="eastAsia" w:ascii="宋体" w:hAnsi="宋体"/>
                <w:color w:val="000000" w:themeColor="text1"/>
                <w:highlight w:val="none"/>
                <w14:textFill>
                  <w14:solidFill>
                    <w14:schemeClr w14:val="tx1"/>
                  </w14:solidFill>
                </w14:textFill>
              </w:rPr>
            </w:pPr>
          </w:p>
        </w:tc>
      </w:tr>
      <w:tr w14:paraId="5DDC0F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1005" w:hRule="atLeast"/>
          <w:jc w:val="center"/>
        </w:trPr>
        <w:tc>
          <w:tcPr>
            <w:tcW w:w="1041" w:type="dxa"/>
            <w:vAlign w:val="center"/>
          </w:tcPr>
          <w:p w14:paraId="68E5212C">
            <w:pPr>
              <w:jc w:val="center"/>
              <w:rPr>
                <w:rFonts w:hint="eastAsia" w:ascii="宋体" w:hAnsi="宋体"/>
                <w:color w:val="000000" w:themeColor="text1"/>
                <w:highlight w:val="none"/>
                <w14:textFill>
                  <w14:solidFill>
                    <w14:schemeClr w14:val="tx1"/>
                  </w14:solidFill>
                </w14:textFill>
              </w:rPr>
            </w:pPr>
          </w:p>
        </w:tc>
        <w:tc>
          <w:tcPr>
            <w:tcW w:w="3024" w:type="dxa"/>
            <w:vAlign w:val="center"/>
          </w:tcPr>
          <w:p w14:paraId="6E339A72">
            <w:pPr>
              <w:jc w:val="center"/>
              <w:rPr>
                <w:rFonts w:hint="eastAsia" w:ascii="宋体" w:hAnsi="宋体"/>
                <w:color w:val="000000" w:themeColor="text1"/>
                <w:highlight w:val="none"/>
                <w14:textFill>
                  <w14:solidFill>
                    <w14:schemeClr w14:val="tx1"/>
                  </w14:solidFill>
                </w14:textFill>
              </w:rPr>
            </w:pPr>
          </w:p>
        </w:tc>
        <w:tc>
          <w:tcPr>
            <w:tcW w:w="3390" w:type="dxa"/>
            <w:vAlign w:val="center"/>
          </w:tcPr>
          <w:p w14:paraId="5E821B89">
            <w:pPr>
              <w:rPr>
                <w:rFonts w:hint="eastAsia" w:ascii="宋体" w:hAnsi="宋体"/>
                <w:color w:val="000000" w:themeColor="text1"/>
                <w:highlight w:val="none"/>
                <w14:textFill>
                  <w14:solidFill>
                    <w14:schemeClr w14:val="tx1"/>
                  </w14:solidFill>
                </w14:textFill>
              </w:rPr>
            </w:pPr>
          </w:p>
        </w:tc>
        <w:tc>
          <w:tcPr>
            <w:tcW w:w="1875" w:type="dxa"/>
            <w:vAlign w:val="center"/>
          </w:tcPr>
          <w:p w14:paraId="1C378F4A">
            <w:pPr>
              <w:rPr>
                <w:rFonts w:hint="eastAsia" w:ascii="宋体" w:hAnsi="宋体"/>
                <w:color w:val="000000" w:themeColor="text1"/>
                <w:highlight w:val="none"/>
                <w14:textFill>
                  <w14:solidFill>
                    <w14:schemeClr w14:val="tx1"/>
                  </w14:solidFill>
                </w14:textFill>
              </w:rPr>
            </w:pPr>
          </w:p>
        </w:tc>
      </w:tr>
    </w:tbl>
    <w:p w14:paraId="64EAC697">
      <w:pPr>
        <w:jc w:val="center"/>
        <w:rPr>
          <w:rFonts w:hint="eastAsia" w:ascii="宋体" w:hAnsi="宋体"/>
          <w:color w:val="000000" w:themeColor="text1"/>
          <w:sz w:val="24"/>
          <w:szCs w:val="24"/>
          <w:highlight w:val="none"/>
          <w14:textFill>
            <w14:solidFill>
              <w14:schemeClr w14:val="tx1"/>
            </w14:solidFill>
          </w14:textFill>
        </w:rPr>
      </w:pPr>
    </w:p>
    <w:p w14:paraId="014329CD">
      <w:pPr>
        <w:ind w:left="-315" w:leftChars="-150" w:right="-378" w:rightChars="-18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注：投标人递交的投标文件与招标文件的商务要求的要求有不同时，应逐条列在商务偏离表中。</w:t>
      </w:r>
    </w:p>
    <w:p w14:paraId="0682CFE4">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p>
    <w:p w14:paraId="69D47AD7">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投标人：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（电子印章）</w:t>
      </w:r>
    </w:p>
    <w:p w14:paraId="73EED44E">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（电子签章）</w:t>
      </w:r>
    </w:p>
    <w:p w14:paraId="49EF1335">
      <w:pPr>
        <w:spacing w:line="600" w:lineRule="exact"/>
        <w:ind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484B9514">
      <w:pPr>
        <w:jc w:val="center"/>
        <w:rPr>
          <w:rFonts w:hint="eastAsia" w:ascii="宋体" w:hAnsi="宋体"/>
          <w:color w:val="000000" w:themeColor="text1"/>
          <w:sz w:val="24"/>
          <w:szCs w:val="24"/>
          <w:highlight w:val="none"/>
          <w14:textFill>
            <w14:solidFill>
              <w14:schemeClr w14:val="tx1"/>
            </w14:solidFill>
          </w14:textFill>
        </w:rPr>
      </w:pPr>
    </w:p>
    <w:p w14:paraId="412AC813">
      <w:pPr>
        <w:jc w:val="center"/>
        <w:rPr>
          <w:rFonts w:hint="eastAsia" w:ascii="宋体" w:hAnsi="宋体"/>
          <w:color w:val="000000" w:themeColor="text1"/>
          <w:sz w:val="24"/>
          <w:szCs w:val="24"/>
          <w:highlight w:val="none"/>
          <w14:textFill>
            <w14:solidFill>
              <w14:schemeClr w14:val="tx1"/>
            </w14:solidFill>
          </w14:textFill>
        </w:rPr>
      </w:pPr>
    </w:p>
    <w:p w14:paraId="56E59977">
      <w:pPr>
        <w:jc w:val="center"/>
        <w:rPr>
          <w:rFonts w:hint="eastAsia" w:ascii="宋体" w:hAnsi="宋体"/>
          <w:color w:val="000000" w:themeColor="text1"/>
          <w:sz w:val="24"/>
          <w:szCs w:val="24"/>
          <w:highlight w:val="none"/>
          <w14:textFill>
            <w14:solidFill>
              <w14:schemeClr w14:val="tx1"/>
            </w14:solidFill>
          </w14:textFill>
        </w:rPr>
      </w:pPr>
    </w:p>
    <w:p w14:paraId="59B699A7">
      <w:pPr>
        <w:jc w:val="center"/>
        <w:rPr>
          <w:rFonts w:hint="eastAsia" w:ascii="宋体" w:hAnsi="宋体"/>
          <w:color w:val="000000" w:themeColor="text1"/>
          <w:sz w:val="24"/>
          <w:szCs w:val="24"/>
          <w:highlight w:val="none"/>
          <w14:textFill>
            <w14:solidFill>
              <w14:schemeClr w14:val="tx1"/>
            </w14:solidFill>
          </w14:textFill>
        </w:rPr>
      </w:pPr>
    </w:p>
    <w:p w14:paraId="56A273A1">
      <w:pPr>
        <w:jc w:val="center"/>
        <w:rPr>
          <w:rFonts w:hint="eastAsia" w:ascii="宋体" w:hAnsi="宋体"/>
          <w:color w:val="000000" w:themeColor="text1"/>
          <w:sz w:val="24"/>
          <w:szCs w:val="24"/>
          <w:highlight w:val="none"/>
          <w14:textFill>
            <w14:solidFill>
              <w14:schemeClr w14:val="tx1"/>
            </w14:solidFill>
          </w14:textFill>
        </w:rPr>
      </w:pPr>
    </w:p>
    <w:p w14:paraId="670C94D2">
      <w:pPr>
        <w:jc w:val="center"/>
        <w:rPr>
          <w:rFonts w:hint="eastAsia" w:ascii="宋体" w:hAnsi="宋体"/>
          <w:color w:val="000000" w:themeColor="text1"/>
          <w:sz w:val="24"/>
          <w:szCs w:val="24"/>
          <w:highlight w:val="none"/>
          <w14:textFill>
            <w14:solidFill>
              <w14:schemeClr w14:val="tx1"/>
            </w14:solidFill>
          </w14:textFill>
        </w:rPr>
      </w:pPr>
    </w:p>
    <w:p w14:paraId="78492960">
      <w:pPr>
        <w:jc w:val="center"/>
        <w:rPr>
          <w:rFonts w:hint="eastAsia" w:ascii="宋体" w:hAnsi="宋体"/>
          <w:color w:val="000000" w:themeColor="text1"/>
          <w:sz w:val="24"/>
          <w:szCs w:val="24"/>
          <w:highlight w:val="none"/>
          <w14:textFill>
            <w14:solidFill>
              <w14:schemeClr w14:val="tx1"/>
            </w14:solidFill>
          </w14:textFill>
        </w:rPr>
      </w:pPr>
    </w:p>
    <w:p w14:paraId="3650617E">
      <w:pPr>
        <w:jc w:val="center"/>
        <w:rPr>
          <w:rFonts w:hint="eastAsia" w:ascii="宋体" w:hAnsi="宋体"/>
          <w:color w:val="000000" w:themeColor="text1"/>
          <w:sz w:val="24"/>
          <w:szCs w:val="24"/>
          <w:highlight w:val="none"/>
          <w14:textFill>
            <w14:solidFill>
              <w14:schemeClr w14:val="tx1"/>
            </w14:solidFill>
          </w14:textFill>
        </w:rPr>
      </w:pPr>
    </w:p>
    <w:p w14:paraId="363CEFA1">
      <w:pPr>
        <w:jc w:val="center"/>
        <w:rPr>
          <w:rFonts w:hint="eastAsia" w:ascii="宋体" w:hAnsi="宋体"/>
          <w:color w:val="000000" w:themeColor="text1"/>
          <w:sz w:val="24"/>
          <w:szCs w:val="24"/>
          <w:highlight w:val="none"/>
          <w14:textFill>
            <w14:solidFill>
              <w14:schemeClr w14:val="tx1"/>
            </w14:solidFill>
          </w14:textFill>
        </w:rPr>
      </w:pPr>
    </w:p>
    <w:p w14:paraId="339079A8">
      <w:pPr>
        <w:jc w:val="center"/>
        <w:rPr>
          <w:rFonts w:hint="eastAsia" w:ascii="宋体" w:hAnsi="宋体"/>
          <w:color w:val="000000" w:themeColor="text1"/>
          <w:sz w:val="24"/>
          <w:szCs w:val="24"/>
          <w:highlight w:val="none"/>
          <w14:textFill>
            <w14:solidFill>
              <w14:schemeClr w14:val="tx1"/>
            </w14:solidFill>
          </w14:textFill>
        </w:rPr>
      </w:pPr>
    </w:p>
    <w:p w14:paraId="7F387B1C">
      <w:pPr>
        <w:jc w:val="center"/>
        <w:rPr>
          <w:rFonts w:hint="eastAsia" w:ascii="宋体" w:hAnsi="宋体"/>
          <w:color w:val="000000" w:themeColor="text1"/>
          <w:sz w:val="24"/>
          <w:szCs w:val="24"/>
          <w:highlight w:val="none"/>
          <w14:textFill>
            <w14:solidFill>
              <w14:schemeClr w14:val="tx1"/>
            </w14:solidFill>
          </w14:textFill>
        </w:rPr>
      </w:pPr>
    </w:p>
    <w:p w14:paraId="5A518993">
      <w:pPr>
        <w:jc w:val="center"/>
        <w:rPr>
          <w:rFonts w:hint="eastAsia" w:ascii="宋体" w:hAnsi="宋体"/>
          <w:color w:val="000000" w:themeColor="text1"/>
          <w:sz w:val="24"/>
          <w:szCs w:val="24"/>
          <w:highlight w:val="none"/>
          <w14:textFill>
            <w14:solidFill>
              <w14:schemeClr w14:val="tx1"/>
            </w14:solidFill>
          </w14:textFill>
        </w:rPr>
      </w:pPr>
    </w:p>
    <w:p w14:paraId="0F018EA6">
      <w:pPr>
        <w:ind w:firstLine="2164" w:firstLineChars="902"/>
        <w:rPr>
          <w:rFonts w:hint="eastAsia" w:ascii="宋体" w:hAnsi="宋体"/>
          <w:color w:val="000000" w:themeColor="text1"/>
          <w:sz w:val="24"/>
          <w:szCs w:val="24"/>
          <w:highlight w:val="none"/>
          <w14:textFill>
            <w14:solidFill>
              <w14:schemeClr w14:val="tx1"/>
            </w14:solidFill>
          </w14:textFill>
        </w:rPr>
      </w:pPr>
    </w:p>
    <w:p w14:paraId="0DAC8F53">
      <w:pPr>
        <w:jc w:val="center"/>
        <w:outlineLvl w:val="1"/>
        <w:rPr>
          <w:rFonts w:hint="eastAsia" w:ascii="宋体" w:hAnsi="宋体"/>
          <w:b/>
          <w:bCs/>
          <w:color w:val="000000" w:themeColor="text1"/>
          <w:sz w:val="32"/>
          <w:szCs w:val="32"/>
          <w:highlight w:val="none"/>
          <w14:textFill>
            <w14:solidFill>
              <w14:schemeClr w14:val="tx1"/>
            </w14:solidFill>
          </w14:textFill>
        </w:rPr>
      </w:pPr>
      <w:bookmarkStart w:id="137" w:name="_Toc11231"/>
      <w:bookmarkEnd w:id="137"/>
      <w:bookmarkStart w:id="138" w:name="_Toc30608"/>
      <w:bookmarkStart w:id="139" w:name="_Toc3460"/>
      <w:r>
        <w:rPr>
          <w:rFonts w:hint="eastAsia" w:ascii="宋体" w:hAnsi="宋体"/>
          <w:b/>
          <w:bCs/>
          <w:color w:val="000000" w:themeColor="text1"/>
          <w:sz w:val="32"/>
          <w:szCs w:val="32"/>
          <w:highlight w:val="none"/>
          <w14:textFill>
            <w14:solidFill>
              <w14:schemeClr w14:val="tx1"/>
            </w14:solidFill>
          </w14:textFill>
        </w:rPr>
        <w:t>五．法定代表人身份证明及授权委托书</w:t>
      </w:r>
      <w:bookmarkEnd w:id="138"/>
      <w:bookmarkEnd w:id="139"/>
    </w:p>
    <w:p w14:paraId="5DE84DBF">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14:paraId="795C5D51">
      <w:pPr>
        <w:jc w:val="center"/>
        <w:rPr>
          <w:rFonts w:hint="eastAsia" w:ascii="宋体" w:hAnsi="宋体"/>
          <w:b/>
          <w:bCs/>
          <w:color w:val="000000" w:themeColor="text1"/>
          <w:sz w:val="32"/>
          <w:szCs w:val="32"/>
          <w:highlight w:val="none"/>
          <w14:textFill>
            <w14:solidFill>
              <w14:schemeClr w14:val="tx1"/>
            </w14:solidFill>
          </w14:textFill>
        </w:rPr>
      </w:pPr>
    </w:p>
    <w:p w14:paraId="1A6F28CA">
      <w:pPr>
        <w:spacing w:line="44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法定代表人身份证明</w:t>
      </w:r>
    </w:p>
    <w:p w14:paraId="58A000BE">
      <w:pPr>
        <w:spacing w:line="440" w:lineRule="exact"/>
        <w:jc w:val="center"/>
        <w:rPr>
          <w:rFonts w:hint="eastAsia" w:ascii="宋体" w:hAnsi="宋体"/>
          <w:b/>
          <w:bCs/>
          <w:color w:val="000000" w:themeColor="text1"/>
          <w:sz w:val="28"/>
          <w:szCs w:val="28"/>
          <w:highlight w:val="none"/>
          <w14:textFill>
            <w14:solidFill>
              <w14:schemeClr w14:val="tx1"/>
            </w14:solidFill>
          </w14:textFill>
        </w:rPr>
      </w:pPr>
    </w:p>
    <w:p w14:paraId="20933470">
      <w:pPr>
        <w:spacing w:line="600" w:lineRule="exact"/>
        <w:ind w:firstLine="720" w:firstLineChars="3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企业名称：</w:t>
      </w:r>
      <w:r>
        <w:rPr>
          <w:rFonts w:hint="eastAsia" w:ascii="宋体" w:hAnsi="宋体"/>
          <w:color w:val="000000" w:themeColor="text1"/>
          <w:sz w:val="24"/>
          <w:szCs w:val="24"/>
          <w:highlight w:val="none"/>
          <w:u w:val="single"/>
          <w14:textFill>
            <w14:solidFill>
              <w14:schemeClr w14:val="tx1"/>
            </w14:solidFill>
          </w14:textFill>
        </w:rPr>
        <w:t xml:space="preserve">                             </w:t>
      </w:r>
    </w:p>
    <w:p w14:paraId="71D37497">
      <w:pPr>
        <w:spacing w:line="600" w:lineRule="exact"/>
        <w:ind w:firstLine="720" w:firstLineChars="3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    址：</w:t>
      </w:r>
      <w:r>
        <w:rPr>
          <w:rFonts w:hint="eastAsia" w:ascii="宋体" w:hAnsi="宋体"/>
          <w:color w:val="000000" w:themeColor="text1"/>
          <w:sz w:val="24"/>
          <w:szCs w:val="24"/>
          <w:highlight w:val="none"/>
          <w:u w:val="single"/>
          <w14:textFill>
            <w14:solidFill>
              <w14:schemeClr w14:val="tx1"/>
            </w14:solidFill>
          </w14:textFill>
        </w:rPr>
        <w:t xml:space="preserve">                             </w:t>
      </w:r>
    </w:p>
    <w:p w14:paraId="39709D27">
      <w:pPr>
        <w:spacing w:line="600" w:lineRule="exact"/>
        <w:ind w:firstLine="720" w:firstLineChars="3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姓    名：</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性别：</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 xml:space="preserve"> 职务：</w:t>
      </w:r>
      <w:r>
        <w:rPr>
          <w:rFonts w:hint="eastAsia" w:ascii="宋体" w:hAnsi="宋体"/>
          <w:color w:val="000000" w:themeColor="text1"/>
          <w:sz w:val="24"/>
          <w:szCs w:val="24"/>
          <w:highlight w:val="none"/>
          <w:u w:val="single"/>
          <w14:textFill>
            <w14:solidFill>
              <w14:schemeClr w14:val="tx1"/>
            </w14:solidFill>
          </w14:textFill>
        </w:rPr>
        <w:t xml:space="preserve">      </w:t>
      </w:r>
    </w:p>
    <w:p w14:paraId="720EC1D6">
      <w:pPr>
        <w:spacing w:line="600" w:lineRule="exact"/>
        <w:ind w:left="242" w:leftChars="-342" w:hanging="960" w:hangingChars="4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系</w:t>
      </w:r>
      <w:r>
        <w:rPr>
          <w:rFonts w:hint="eastAsia" w:ascii="宋体" w:hAnsi="宋体"/>
          <w:color w:val="000000" w:themeColor="text1"/>
          <w:sz w:val="24"/>
          <w:szCs w:val="24"/>
          <w:highlight w:val="none"/>
          <w:u w:val="single"/>
          <w14:textFill>
            <w14:solidFill>
              <w14:schemeClr w14:val="tx1"/>
            </w14:solidFill>
          </w14:textFill>
        </w:rPr>
        <w:t>（投标人名称）</w:t>
      </w:r>
      <w:r>
        <w:rPr>
          <w:rFonts w:hint="eastAsia" w:ascii="宋体" w:hAnsi="宋体"/>
          <w:color w:val="000000" w:themeColor="text1"/>
          <w:sz w:val="24"/>
          <w:szCs w:val="24"/>
          <w:highlight w:val="none"/>
          <w14:textFill>
            <w14:solidFill>
              <w14:schemeClr w14:val="tx1"/>
            </w14:solidFill>
          </w14:textFill>
        </w:rPr>
        <w:t>的法定代表人。能够为</w:t>
      </w:r>
      <w:r>
        <w:rPr>
          <w:rFonts w:hint="eastAsia" w:ascii="宋体" w:hAnsi="宋体"/>
          <w:color w:val="000000" w:themeColor="text1"/>
          <w:sz w:val="24"/>
          <w:szCs w:val="24"/>
          <w:highlight w:val="none"/>
          <w:u w:val="single"/>
          <w14:textFill>
            <w14:solidFill>
              <w14:schemeClr w14:val="tx1"/>
            </w14:solidFill>
          </w14:textFill>
        </w:rPr>
        <w:t>（投标项目名称）</w:t>
      </w:r>
      <w:r>
        <w:rPr>
          <w:rFonts w:hint="eastAsia" w:ascii="宋体" w:hAnsi="宋体"/>
          <w:color w:val="000000" w:themeColor="text1"/>
          <w:sz w:val="24"/>
          <w:szCs w:val="24"/>
          <w:highlight w:val="none"/>
          <w14:textFill>
            <w14:solidFill>
              <w14:schemeClr w14:val="tx1"/>
            </w14:solidFill>
          </w14:textFill>
        </w:rPr>
        <w:t>签署投标文件，进行合同谈判、签署合同及处理与之有关的一切事务。</w:t>
      </w:r>
    </w:p>
    <w:p w14:paraId="70934922">
      <w:pPr>
        <w:spacing w:line="440" w:lineRule="exact"/>
        <w:ind w:left="242" w:leftChars="-342" w:hanging="960" w:hangingChars="400"/>
        <w:rPr>
          <w:rFonts w:hint="eastAsia" w:ascii="宋体" w:hAnsi="宋体"/>
          <w:color w:val="000000" w:themeColor="text1"/>
          <w:sz w:val="24"/>
          <w:szCs w:val="24"/>
          <w:highlight w:val="none"/>
          <w14:textFill>
            <w14:solidFill>
              <w14:schemeClr w14:val="tx1"/>
            </w14:solidFill>
          </w14:textFill>
        </w:rPr>
      </w:pPr>
    </w:p>
    <w:p w14:paraId="6127C6FC">
      <w:pPr>
        <w:spacing w:line="440" w:lineRule="exact"/>
        <w:ind w:left="242" w:leftChars="-342" w:hanging="960" w:hangingChars="400"/>
        <w:rPr>
          <w:rFonts w:hint="eastAsia" w:ascii="宋体" w:hAnsi="宋体"/>
          <w:color w:val="000000" w:themeColor="text1"/>
          <w:sz w:val="24"/>
          <w:szCs w:val="24"/>
          <w:highlight w:val="none"/>
          <w14:textFill>
            <w14:solidFill>
              <w14:schemeClr w14:val="tx1"/>
            </w14:solidFill>
          </w14:textFill>
        </w:rPr>
      </w:pPr>
    </w:p>
    <w:p w14:paraId="4435C1B0">
      <w:pPr>
        <w:spacing w:line="440" w:lineRule="exact"/>
        <w:ind w:left="242" w:leftChars="-342" w:hanging="960" w:hangingChars="400"/>
        <w:rPr>
          <w:rFonts w:hint="eastAsia" w:ascii="宋体" w:hAnsi="宋体"/>
          <w:color w:val="000000" w:themeColor="text1"/>
          <w:sz w:val="24"/>
          <w:szCs w:val="24"/>
          <w:highlight w:val="none"/>
          <w14:textFill>
            <w14:solidFill>
              <w14:schemeClr w14:val="tx1"/>
            </w14:solidFill>
          </w14:textFill>
        </w:rPr>
      </w:pPr>
    </w:p>
    <w:p w14:paraId="35B5625F">
      <w:pPr>
        <w:spacing w:line="440" w:lineRule="exact"/>
        <w:ind w:left="238" w:leftChars="99" w:hanging="31" w:hangingChars="13"/>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特此证明。</w:t>
      </w:r>
    </w:p>
    <w:p w14:paraId="39376EF3">
      <w:pPr>
        <w:spacing w:line="440" w:lineRule="exact"/>
        <w:ind w:left="238" w:leftChars="99" w:hanging="31" w:hangingChars="13"/>
        <w:rPr>
          <w:rFonts w:hint="eastAsia" w:ascii="宋体" w:hAnsi="宋体"/>
          <w:color w:val="000000" w:themeColor="text1"/>
          <w:sz w:val="24"/>
          <w:szCs w:val="24"/>
          <w:highlight w:val="none"/>
          <w14:textFill>
            <w14:solidFill>
              <w14:schemeClr w14:val="tx1"/>
            </w14:solidFill>
          </w14:textFill>
        </w:rPr>
      </w:pPr>
    </w:p>
    <w:p w14:paraId="68E03F48">
      <w:pPr>
        <w:spacing w:line="440" w:lineRule="exact"/>
        <w:ind w:left="238" w:leftChars="99" w:hanging="31" w:hangingChars="13"/>
        <w:rPr>
          <w:rFonts w:hint="eastAsia" w:ascii="宋体" w:hAnsi="宋体"/>
          <w:color w:val="000000" w:themeColor="text1"/>
          <w:sz w:val="24"/>
          <w:szCs w:val="24"/>
          <w:highlight w:val="none"/>
          <w14:textFill>
            <w14:solidFill>
              <w14:schemeClr w14:val="tx1"/>
            </w14:solidFill>
          </w14:textFill>
        </w:rPr>
      </w:pPr>
    </w:p>
    <w:p w14:paraId="577C4757">
      <w:pPr>
        <w:spacing w:line="440" w:lineRule="exact"/>
        <w:ind w:left="238" w:leftChars="99" w:hanging="31" w:hangingChars="13"/>
        <w:rPr>
          <w:rFonts w:hint="eastAsia" w:ascii="宋体" w:hAnsi="宋体"/>
          <w:color w:val="000000" w:themeColor="text1"/>
          <w:sz w:val="24"/>
          <w:szCs w:val="24"/>
          <w:highlight w:val="none"/>
          <w14:textFill>
            <w14:solidFill>
              <w14:schemeClr w14:val="tx1"/>
            </w14:solidFill>
          </w14:textFill>
        </w:rPr>
      </w:pPr>
    </w:p>
    <w:p w14:paraId="131933E7">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投标人：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（电子印章）</w:t>
      </w:r>
    </w:p>
    <w:p w14:paraId="54FBECF9">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（电子签章）</w:t>
      </w:r>
    </w:p>
    <w:p w14:paraId="08D329FA">
      <w:pPr>
        <w:spacing w:line="600" w:lineRule="exact"/>
        <w:ind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12A179A3">
      <w:pPr>
        <w:jc w:val="center"/>
        <w:rPr>
          <w:rFonts w:hint="eastAsia" w:ascii="宋体" w:hAnsi="宋体"/>
          <w:color w:val="000000" w:themeColor="text1"/>
          <w:sz w:val="24"/>
          <w:szCs w:val="24"/>
          <w:highlight w:val="none"/>
          <w14:textFill>
            <w14:solidFill>
              <w14:schemeClr w14:val="tx1"/>
            </w14:solidFill>
          </w14:textFill>
        </w:rPr>
      </w:pPr>
    </w:p>
    <w:p w14:paraId="3C096431">
      <w:pPr>
        <w:jc w:val="center"/>
        <w:rPr>
          <w:rFonts w:hint="eastAsia" w:ascii="宋体" w:hAnsi="宋体"/>
          <w:color w:val="000000" w:themeColor="text1"/>
          <w:sz w:val="24"/>
          <w:szCs w:val="24"/>
          <w:highlight w:val="none"/>
          <w14:textFill>
            <w14:solidFill>
              <w14:schemeClr w14:val="tx1"/>
            </w14:solidFill>
          </w14:textFill>
        </w:rPr>
      </w:pPr>
    </w:p>
    <w:p w14:paraId="36CC0E48">
      <w:pPr>
        <w:jc w:val="center"/>
        <w:rPr>
          <w:rFonts w:hint="eastAsia" w:ascii="宋体" w:hAnsi="宋体"/>
          <w:color w:val="000000" w:themeColor="text1"/>
          <w:sz w:val="24"/>
          <w:szCs w:val="24"/>
          <w:highlight w:val="none"/>
          <w14:textFill>
            <w14:solidFill>
              <w14:schemeClr w14:val="tx1"/>
            </w14:solidFill>
          </w14:textFill>
        </w:rPr>
      </w:pPr>
    </w:p>
    <w:p w14:paraId="4AF8F0D7">
      <w:pPr>
        <w:jc w:val="center"/>
        <w:rPr>
          <w:rFonts w:hint="eastAsia" w:ascii="宋体" w:hAnsi="宋体"/>
          <w:color w:val="000000" w:themeColor="text1"/>
          <w:sz w:val="24"/>
          <w:szCs w:val="24"/>
          <w:highlight w:val="none"/>
          <w14:textFill>
            <w14:solidFill>
              <w14:schemeClr w14:val="tx1"/>
            </w14:solidFill>
          </w14:textFill>
        </w:rPr>
      </w:pPr>
    </w:p>
    <w:p w14:paraId="3987DFE5">
      <w:pPr>
        <w:jc w:val="center"/>
        <w:rPr>
          <w:rFonts w:hint="eastAsia" w:ascii="宋体" w:hAnsi="宋体"/>
          <w:color w:val="000000" w:themeColor="text1"/>
          <w:sz w:val="24"/>
          <w:szCs w:val="24"/>
          <w:highlight w:val="none"/>
          <w14:textFill>
            <w14:solidFill>
              <w14:schemeClr w14:val="tx1"/>
            </w14:solidFill>
          </w14:textFill>
        </w:rPr>
      </w:pPr>
    </w:p>
    <w:p w14:paraId="38051FFC">
      <w:pPr>
        <w:jc w:val="center"/>
        <w:rPr>
          <w:rFonts w:hint="eastAsia" w:ascii="宋体" w:hAnsi="宋体"/>
          <w:b/>
          <w:bCs/>
          <w:color w:val="000000" w:themeColor="text1"/>
          <w:sz w:val="32"/>
          <w:szCs w:val="32"/>
          <w:highlight w:val="none"/>
          <w14:textFill>
            <w14:solidFill>
              <w14:schemeClr w14:val="tx1"/>
            </w14:solidFill>
          </w14:textFill>
        </w:rPr>
      </w:pPr>
    </w:p>
    <w:p w14:paraId="724C41F1">
      <w:pPr>
        <w:jc w:val="center"/>
        <w:rPr>
          <w:rFonts w:hint="eastAsia" w:ascii="宋体" w:hAnsi="宋体"/>
          <w:b/>
          <w:bCs/>
          <w:color w:val="000000" w:themeColor="text1"/>
          <w:sz w:val="32"/>
          <w:szCs w:val="32"/>
          <w:highlight w:val="none"/>
          <w14:textFill>
            <w14:solidFill>
              <w14:schemeClr w14:val="tx1"/>
            </w14:solidFill>
          </w14:textFill>
        </w:rPr>
      </w:pPr>
    </w:p>
    <w:p w14:paraId="2F0328F7">
      <w:pPr>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授权委托书</w:t>
      </w:r>
    </w:p>
    <w:p w14:paraId="2FBDE61A">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14:paraId="62F7139D">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本人</w:t>
      </w:r>
      <w:r>
        <w:rPr>
          <w:rFonts w:hint="eastAsia" w:ascii="宋体" w:hAnsi="宋体"/>
          <w:color w:val="000000" w:themeColor="text1"/>
          <w:sz w:val="24"/>
          <w:szCs w:val="24"/>
          <w:highlight w:val="none"/>
          <w:u w:val="single"/>
          <w14:textFill>
            <w14:solidFill>
              <w14:schemeClr w14:val="tx1"/>
            </w14:solidFill>
          </w14:textFill>
        </w:rPr>
        <w:t>（姓名）</w:t>
      </w:r>
      <w:r>
        <w:rPr>
          <w:rFonts w:hint="eastAsia" w:ascii="宋体" w:hAnsi="宋体"/>
          <w:color w:val="000000" w:themeColor="text1"/>
          <w:sz w:val="24"/>
          <w:szCs w:val="24"/>
          <w:highlight w:val="none"/>
          <w14:textFill>
            <w14:solidFill>
              <w14:schemeClr w14:val="tx1"/>
            </w14:solidFill>
          </w14:textFill>
        </w:rPr>
        <w:t>系</w:t>
      </w:r>
      <w:r>
        <w:rPr>
          <w:rFonts w:hint="eastAsia" w:ascii="宋体" w:hAnsi="宋体"/>
          <w:color w:val="000000" w:themeColor="text1"/>
          <w:sz w:val="24"/>
          <w:szCs w:val="24"/>
          <w:highlight w:val="none"/>
          <w:u w:val="single"/>
          <w14:textFill>
            <w14:solidFill>
              <w14:schemeClr w14:val="tx1"/>
            </w14:solidFill>
          </w14:textFill>
        </w:rPr>
        <w:t>（投标人名称）</w:t>
      </w:r>
      <w:r>
        <w:rPr>
          <w:rFonts w:hint="eastAsia" w:ascii="宋体" w:hAnsi="宋体"/>
          <w:color w:val="000000" w:themeColor="text1"/>
          <w:sz w:val="24"/>
          <w:szCs w:val="24"/>
          <w:highlight w:val="none"/>
          <w14:textFill>
            <w14:solidFill>
              <w14:schemeClr w14:val="tx1"/>
            </w14:solidFill>
          </w14:textFill>
        </w:rPr>
        <w:t>的法定代表人，现委托</w:t>
      </w:r>
      <w:r>
        <w:rPr>
          <w:rFonts w:hint="eastAsia" w:ascii="宋体" w:hAnsi="宋体"/>
          <w:color w:val="000000" w:themeColor="text1"/>
          <w:sz w:val="24"/>
          <w:szCs w:val="24"/>
          <w:highlight w:val="none"/>
          <w:u w:val="single"/>
          <w14:textFill>
            <w14:solidFill>
              <w14:schemeClr w14:val="tx1"/>
            </w14:solidFill>
          </w14:textFill>
        </w:rPr>
        <w:t xml:space="preserve">  （姓名）  </w:t>
      </w:r>
      <w:r>
        <w:rPr>
          <w:rFonts w:hint="eastAsia" w:ascii="宋体" w:hAnsi="宋体"/>
          <w:color w:val="000000" w:themeColor="text1"/>
          <w:sz w:val="24"/>
          <w:szCs w:val="24"/>
          <w:highlight w:val="none"/>
          <w14:textFill>
            <w14:solidFill>
              <w14:schemeClr w14:val="tx1"/>
            </w14:solidFill>
          </w14:textFill>
        </w:rPr>
        <w:t>为我方代理人，联系方式</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。代理人根据授权，以我方名义签署、澄清、说明、补正、递交、撤回、修改</w:t>
      </w:r>
      <w:r>
        <w:rPr>
          <w:rFonts w:hint="eastAsia" w:ascii="宋体" w:hAnsi="宋体"/>
          <w:color w:val="000000" w:themeColor="text1"/>
          <w:sz w:val="24"/>
          <w:szCs w:val="24"/>
          <w:highlight w:val="none"/>
          <w:u w:val="single"/>
          <w14:textFill>
            <w14:solidFill>
              <w14:schemeClr w14:val="tx1"/>
            </w14:solidFill>
          </w14:textFill>
        </w:rPr>
        <w:t xml:space="preserve"> （项目名称） </w:t>
      </w:r>
      <w:r>
        <w:rPr>
          <w:rFonts w:hint="eastAsia" w:ascii="宋体" w:hAnsi="宋体"/>
          <w:color w:val="000000" w:themeColor="text1"/>
          <w:sz w:val="24"/>
          <w:szCs w:val="24"/>
          <w:highlight w:val="none"/>
          <w14:textFill>
            <w14:solidFill>
              <w14:schemeClr w14:val="tx1"/>
            </w14:solidFill>
          </w14:textFill>
        </w:rPr>
        <w:t>投标文件、签订合同和处理有关事宜，其法律后果由我方承担。</w:t>
      </w:r>
    </w:p>
    <w:p w14:paraId="7ABF8029">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委托期限：</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w:t>
      </w:r>
    </w:p>
    <w:p w14:paraId="7F0BC175">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代理人无转委托权，特此证明。</w:t>
      </w:r>
    </w:p>
    <w:p w14:paraId="681A9EC0">
      <w:pPr>
        <w:suppressAutoHyphens/>
        <w:spacing w:line="440" w:lineRule="exact"/>
        <w:ind w:firstLine="480" w:firstLineChars="200"/>
        <w:jc w:val="left"/>
        <w:rPr>
          <w:rFonts w:hint="eastAsia" w:ascii="宋体" w:hAnsi="宋体"/>
          <w:color w:val="000000" w:themeColor="text1"/>
          <w:kern w:val="0"/>
          <w:sz w:val="24"/>
          <w:szCs w:val="24"/>
          <w:highlight w:val="none"/>
          <w:lang w:bidi="ar"/>
          <w14:textFill>
            <w14:solidFill>
              <w14:schemeClr w14:val="tx1"/>
            </w14:solidFill>
          </w14:textFill>
        </w:rPr>
      </w:pPr>
      <w:r>
        <w:rPr>
          <w:rFonts w:hint="eastAsia" w:ascii="宋体" w:hAnsi="宋体"/>
          <w:color w:val="000000" w:themeColor="text1"/>
          <w:kern w:val="0"/>
          <w:sz w:val="24"/>
          <w:szCs w:val="24"/>
          <w:highlight w:val="none"/>
          <w:lang w:bidi="ar"/>
          <w14:textFill>
            <w14:solidFill>
              <w14:schemeClr w14:val="tx1"/>
            </w14:solidFill>
          </w14:textFill>
        </w:rPr>
        <w:t>附：法定代表人及授权委托人身份证明</w:t>
      </w:r>
    </w:p>
    <w:p w14:paraId="76001017">
      <w:pPr>
        <w:suppressAutoHyphens/>
        <w:spacing w:line="440" w:lineRule="exact"/>
        <w:jc w:val="left"/>
        <w:rPr>
          <w:rFonts w:hint="eastAsia" w:ascii="宋体" w:hAnsi="宋体"/>
          <w:color w:val="000000" w:themeColor="text1"/>
          <w:kern w:val="0"/>
          <w:sz w:val="24"/>
          <w:szCs w:val="24"/>
          <w:highlight w:val="none"/>
          <w:lang w:bidi="ar"/>
          <w14:textFill>
            <w14:solidFill>
              <w14:schemeClr w14:val="tx1"/>
            </w14:solidFill>
          </w14:textFill>
        </w:rPr>
      </w:pPr>
      <w:r>
        <w:rPr>
          <w:rFonts w:hint="eastAsia" w:ascii="宋体" w:hAnsi="宋体"/>
          <w:color w:val="000000" w:themeColor="text1"/>
          <w:kern w:val="0"/>
          <w:sz w:val="24"/>
          <w:szCs w:val="24"/>
          <w:highlight w:val="none"/>
          <w:lang w:bidi="ar"/>
          <w14:textFill>
            <w14:solidFill>
              <w14:schemeClr w14:val="tx1"/>
            </w14:solidFill>
          </w14:textFill>
        </w:rPr>
        <w:t xml:space="preserve"> </w:t>
      </w:r>
    </w:p>
    <w:p w14:paraId="47A021D9">
      <w:pPr>
        <w:suppressAutoHyphens/>
        <w:spacing w:line="600" w:lineRule="exact"/>
        <w:ind w:firstLine="2880" w:firstLineChars="1200"/>
        <w:jc w:val="left"/>
        <w:rPr>
          <w:rFonts w:hint="eastAsia" w:ascii="宋体" w:hAnsi="宋体"/>
          <w:color w:val="000000" w:themeColor="text1"/>
          <w:kern w:val="0"/>
          <w:sz w:val="24"/>
          <w:szCs w:val="24"/>
          <w:highlight w:val="none"/>
          <w:lang w:bidi="ar"/>
          <w14:textFill>
            <w14:solidFill>
              <w14:schemeClr w14:val="tx1"/>
            </w14:solidFill>
          </w14:textFill>
        </w:rPr>
      </w:pPr>
    </w:p>
    <w:p w14:paraId="22C7B4CC">
      <w:pPr>
        <w:suppressAutoHyphens/>
        <w:spacing w:line="600" w:lineRule="exact"/>
        <w:ind w:firstLine="2880" w:firstLineChars="1200"/>
        <w:jc w:val="left"/>
        <w:rPr>
          <w:rFonts w:hint="eastAsia" w:ascii="宋体" w:hAnsi="宋体"/>
          <w:color w:val="000000" w:themeColor="text1"/>
          <w:kern w:val="0"/>
          <w:sz w:val="24"/>
          <w:szCs w:val="24"/>
          <w:highlight w:val="none"/>
          <w:lang w:bidi="ar"/>
          <w14:textFill>
            <w14:solidFill>
              <w14:schemeClr w14:val="tx1"/>
            </w14:solidFill>
          </w14:textFill>
        </w:rPr>
      </w:pPr>
    </w:p>
    <w:p w14:paraId="4380B3E9">
      <w:pPr>
        <w:suppressAutoHyphens/>
        <w:spacing w:line="600" w:lineRule="exact"/>
        <w:ind w:firstLine="2880" w:firstLineChars="1200"/>
        <w:jc w:val="left"/>
        <w:rPr>
          <w:rFonts w:hint="eastAsia" w:ascii="宋体" w:hAnsi="宋体"/>
          <w:color w:val="000000" w:themeColor="text1"/>
          <w:kern w:val="0"/>
          <w:sz w:val="24"/>
          <w:szCs w:val="24"/>
          <w:highlight w:val="none"/>
          <w:lang w:bidi="ar"/>
          <w14:textFill>
            <w14:solidFill>
              <w14:schemeClr w14:val="tx1"/>
            </w14:solidFill>
          </w14:textFill>
        </w:rPr>
      </w:pPr>
    </w:p>
    <w:p w14:paraId="4F34F0D6">
      <w:pPr>
        <w:suppressAutoHyphens/>
        <w:spacing w:line="600" w:lineRule="exact"/>
        <w:ind w:firstLine="2880" w:firstLineChars="1200"/>
        <w:jc w:val="left"/>
        <w:rPr>
          <w:rFonts w:hint="eastAsia" w:ascii="宋体" w:hAnsi="宋体"/>
          <w:color w:val="000000" w:themeColor="text1"/>
          <w:kern w:val="0"/>
          <w:sz w:val="24"/>
          <w:szCs w:val="24"/>
          <w:highlight w:val="none"/>
          <w:lang w:bidi="ar"/>
          <w14:textFill>
            <w14:solidFill>
              <w14:schemeClr w14:val="tx1"/>
            </w14:solidFill>
          </w14:textFill>
        </w:rPr>
      </w:pPr>
      <w:r>
        <w:rPr>
          <w:rFonts w:hint="eastAsia" w:ascii="宋体" w:hAnsi="宋体"/>
          <w:color w:val="000000" w:themeColor="text1"/>
          <w:kern w:val="0"/>
          <w:sz w:val="24"/>
          <w:szCs w:val="24"/>
          <w:highlight w:val="none"/>
          <w:lang w:bidi="ar"/>
          <w14:textFill>
            <w14:solidFill>
              <w14:schemeClr w14:val="tx1"/>
            </w14:solidFill>
          </w14:textFill>
        </w:rPr>
        <w:t>投  标  人（电子印章）：</w:t>
      </w:r>
      <w:r>
        <w:rPr>
          <w:rFonts w:hint="eastAsia" w:ascii="宋体" w:hAnsi="宋体"/>
          <w:color w:val="000000" w:themeColor="text1"/>
          <w:kern w:val="0"/>
          <w:sz w:val="24"/>
          <w:szCs w:val="24"/>
          <w:highlight w:val="none"/>
          <w:u w:val="single"/>
          <w:lang w:bidi="ar"/>
          <w14:textFill>
            <w14:solidFill>
              <w14:schemeClr w14:val="tx1"/>
            </w14:solidFill>
          </w14:textFill>
        </w:rPr>
        <w:t xml:space="preserve">                       </w:t>
      </w:r>
    </w:p>
    <w:p w14:paraId="72B1F4A6">
      <w:pPr>
        <w:suppressAutoHyphens/>
        <w:spacing w:line="600" w:lineRule="exact"/>
        <w:ind w:firstLine="2880" w:firstLineChars="1200"/>
        <w:jc w:val="left"/>
        <w:rPr>
          <w:rFonts w:hint="eastAsia" w:ascii="宋体" w:hAnsi="宋体"/>
          <w:color w:val="000000" w:themeColor="text1"/>
          <w:kern w:val="0"/>
          <w:sz w:val="24"/>
          <w:szCs w:val="24"/>
          <w:highlight w:val="none"/>
          <w:lang w:bidi="ar"/>
          <w14:textFill>
            <w14:solidFill>
              <w14:schemeClr w14:val="tx1"/>
            </w14:solidFill>
          </w14:textFill>
        </w:rPr>
      </w:pPr>
      <w:r>
        <w:rPr>
          <w:rFonts w:hint="eastAsia" w:ascii="宋体" w:hAnsi="宋体"/>
          <w:color w:val="000000" w:themeColor="text1"/>
          <w:kern w:val="0"/>
          <w:sz w:val="24"/>
          <w:szCs w:val="24"/>
          <w:highlight w:val="none"/>
          <w:lang w:bidi="ar"/>
          <w14:textFill>
            <w14:solidFill>
              <w14:schemeClr w14:val="tx1"/>
            </w14:solidFill>
          </w14:textFill>
        </w:rPr>
        <w:t>法定代表人（电子签章）：</w:t>
      </w:r>
      <w:r>
        <w:rPr>
          <w:rFonts w:hint="eastAsia" w:ascii="宋体" w:hAnsi="宋体"/>
          <w:color w:val="000000" w:themeColor="text1"/>
          <w:kern w:val="0"/>
          <w:sz w:val="24"/>
          <w:szCs w:val="24"/>
          <w:highlight w:val="none"/>
          <w:u w:val="single"/>
          <w:lang w:bidi="ar"/>
          <w14:textFill>
            <w14:solidFill>
              <w14:schemeClr w14:val="tx1"/>
            </w14:solidFill>
          </w14:textFill>
        </w:rPr>
        <w:t xml:space="preserve">                  </w:t>
      </w:r>
    </w:p>
    <w:p w14:paraId="351310E8">
      <w:pPr>
        <w:suppressAutoHyphens/>
        <w:spacing w:line="600" w:lineRule="exact"/>
        <w:ind w:firstLine="2880" w:firstLineChars="1200"/>
        <w:jc w:val="left"/>
        <w:rPr>
          <w:rFonts w:hint="eastAsia" w:ascii="宋体" w:hAnsi="宋体"/>
          <w:color w:val="000000" w:themeColor="text1"/>
          <w:kern w:val="0"/>
          <w:sz w:val="24"/>
          <w:szCs w:val="24"/>
          <w:highlight w:val="none"/>
          <w:lang w:bidi="ar"/>
          <w14:textFill>
            <w14:solidFill>
              <w14:schemeClr w14:val="tx1"/>
            </w14:solidFill>
          </w14:textFill>
        </w:rPr>
      </w:pPr>
      <w:r>
        <w:rPr>
          <w:rFonts w:hint="eastAsia" w:ascii="宋体" w:hAnsi="宋体"/>
          <w:color w:val="000000" w:themeColor="text1"/>
          <w:kern w:val="0"/>
          <w:sz w:val="24"/>
          <w:szCs w:val="24"/>
          <w:highlight w:val="none"/>
          <w:lang w:bidi="ar"/>
          <w14:textFill>
            <w14:solidFill>
              <w14:schemeClr w14:val="tx1"/>
            </w14:solidFill>
          </w14:textFill>
        </w:rPr>
        <w:t>日期：</w:t>
      </w:r>
      <w:r>
        <w:rPr>
          <w:rFonts w:hint="eastAsia" w:ascii="宋体" w:hAnsi="宋体"/>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color w:val="000000" w:themeColor="text1"/>
          <w:kern w:val="0"/>
          <w:sz w:val="24"/>
          <w:szCs w:val="24"/>
          <w:highlight w:val="none"/>
          <w:lang w:bidi="ar"/>
          <w14:textFill>
            <w14:solidFill>
              <w14:schemeClr w14:val="tx1"/>
            </w14:solidFill>
          </w14:textFill>
        </w:rPr>
        <w:t>年</w:t>
      </w:r>
      <w:r>
        <w:rPr>
          <w:rFonts w:hint="eastAsia" w:ascii="宋体" w:hAnsi="宋体"/>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color w:val="000000" w:themeColor="text1"/>
          <w:kern w:val="0"/>
          <w:sz w:val="24"/>
          <w:szCs w:val="24"/>
          <w:highlight w:val="none"/>
          <w:lang w:bidi="ar"/>
          <w14:textFill>
            <w14:solidFill>
              <w14:schemeClr w14:val="tx1"/>
            </w14:solidFill>
          </w14:textFill>
        </w:rPr>
        <w:t>月</w:t>
      </w:r>
      <w:r>
        <w:rPr>
          <w:rFonts w:hint="eastAsia" w:ascii="宋体" w:hAnsi="宋体"/>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color w:val="000000" w:themeColor="text1"/>
          <w:kern w:val="0"/>
          <w:sz w:val="24"/>
          <w:szCs w:val="24"/>
          <w:highlight w:val="none"/>
          <w:lang w:bidi="ar"/>
          <w14:textFill>
            <w14:solidFill>
              <w14:schemeClr w14:val="tx1"/>
            </w14:solidFill>
          </w14:textFill>
        </w:rPr>
        <w:t>日</w:t>
      </w:r>
    </w:p>
    <w:p w14:paraId="5BC38B8D">
      <w:pPr>
        <w:spacing w:line="440" w:lineRule="exact"/>
        <w:ind w:firstLine="2520" w:firstLineChars="1050"/>
        <w:rPr>
          <w:rFonts w:hint="eastAsia" w:ascii="宋体" w:hAnsi="宋体"/>
          <w:color w:val="000000" w:themeColor="text1"/>
          <w:sz w:val="24"/>
          <w:highlight w:val="none"/>
          <w:u w:val="single"/>
          <w14:textFill>
            <w14:solidFill>
              <w14:schemeClr w14:val="tx1"/>
            </w14:solidFill>
          </w14:textFill>
        </w:rPr>
      </w:pPr>
    </w:p>
    <w:p w14:paraId="1108DAAA">
      <w:pPr>
        <w:spacing w:line="360" w:lineRule="auto"/>
        <w:jc w:val="center"/>
        <w:rPr>
          <w:rFonts w:hint="eastAsia" w:ascii="宋体" w:hAnsi="宋体"/>
          <w:color w:val="000000" w:themeColor="text1"/>
          <w:highlight w:val="none"/>
          <w14:textFill>
            <w14:solidFill>
              <w14:schemeClr w14:val="tx1"/>
            </w14:solidFill>
          </w14:textFill>
        </w:rPr>
      </w:pPr>
    </w:p>
    <w:p w14:paraId="597144DC">
      <w:pPr>
        <w:jc w:val="center"/>
        <w:rPr>
          <w:rFonts w:hint="eastAsia" w:ascii="宋体" w:hAnsi="宋体"/>
          <w:b/>
          <w:bCs/>
          <w:color w:val="000000" w:themeColor="text1"/>
          <w:sz w:val="32"/>
          <w:szCs w:val="32"/>
          <w:highlight w:val="none"/>
          <w14:textFill>
            <w14:solidFill>
              <w14:schemeClr w14:val="tx1"/>
            </w14:solidFill>
          </w14:textFill>
        </w:rPr>
      </w:pPr>
    </w:p>
    <w:p w14:paraId="6B399612">
      <w:pPr>
        <w:jc w:val="center"/>
        <w:rPr>
          <w:rFonts w:hint="eastAsia" w:ascii="宋体" w:hAnsi="宋体"/>
          <w:b/>
          <w:bCs/>
          <w:color w:val="000000" w:themeColor="text1"/>
          <w:sz w:val="32"/>
          <w:szCs w:val="32"/>
          <w:highlight w:val="none"/>
          <w14:textFill>
            <w14:solidFill>
              <w14:schemeClr w14:val="tx1"/>
            </w14:solidFill>
          </w14:textFill>
        </w:rPr>
      </w:pPr>
    </w:p>
    <w:p w14:paraId="312DD47F">
      <w:pPr>
        <w:pStyle w:val="51"/>
        <w:rPr>
          <w:rFonts w:hint="eastAsia" w:ascii="宋体" w:hAnsi="宋体"/>
          <w:b/>
          <w:bCs/>
          <w:color w:val="000000" w:themeColor="text1"/>
          <w:szCs w:val="32"/>
          <w:highlight w:val="none"/>
          <w14:textFill>
            <w14:solidFill>
              <w14:schemeClr w14:val="tx1"/>
            </w14:solidFill>
          </w14:textFill>
        </w:rPr>
      </w:pPr>
    </w:p>
    <w:p w14:paraId="404F8073">
      <w:pPr>
        <w:pStyle w:val="51"/>
        <w:rPr>
          <w:rFonts w:hint="eastAsia" w:ascii="宋体" w:hAnsi="宋体"/>
          <w:b/>
          <w:bCs/>
          <w:color w:val="000000" w:themeColor="text1"/>
          <w:szCs w:val="32"/>
          <w:highlight w:val="none"/>
          <w14:textFill>
            <w14:solidFill>
              <w14:schemeClr w14:val="tx1"/>
            </w14:solidFill>
          </w14:textFill>
        </w:rPr>
      </w:pPr>
    </w:p>
    <w:p w14:paraId="46721C6E">
      <w:pPr>
        <w:pStyle w:val="51"/>
        <w:rPr>
          <w:rFonts w:hint="eastAsia" w:ascii="宋体" w:hAnsi="宋体"/>
          <w:b/>
          <w:bCs/>
          <w:color w:val="000000" w:themeColor="text1"/>
          <w:szCs w:val="32"/>
          <w:highlight w:val="none"/>
          <w14:textFill>
            <w14:solidFill>
              <w14:schemeClr w14:val="tx1"/>
            </w14:solidFill>
          </w14:textFill>
        </w:rPr>
      </w:pPr>
    </w:p>
    <w:p w14:paraId="707B1CDE">
      <w:pPr>
        <w:jc w:val="center"/>
        <w:outlineLvl w:val="1"/>
        <w:rPr>
          <w:rFonts w:hint="eastAsia" w:ascii="宋体" w:hAnsi="宋体"/>
          <w:b/>
          <w:bCs/>
          <w:color w:val="000000" w:themeColor="text1"/>
          <w:sz w:val="32"/>
          <w:szCs w:val="32"/>
          <w:highlight w:val="none"/>
          <w14:textFill>
            <w14:solidFill>
              <w14:schemeClr w14:val="tx1"/>
            </w14:solidFill>
          </w14:textFill>
        </w:rPr>
      </w:pPr>
      <w:bookmarkStart w:id="140" w:name="_Toc10427"/>
      <w:bookmarkEnd w:id="140"/>
      <w:r>
        <w:rPr>
          <w:rFonts w:hint="eastAsia" w:ascii="宋体" w:hAnsi="宋体"/>
          <w:b/>
          <w:bCs/>
          <w:color w:val="000000" w:themeColor="text1"/>
          <w:sz w:val="32"/>
          <w:szCs w:val="32"/>
          <w:highlight w:val="none"/>
          <w14:textFill>
            <w14:solidFill>
              <w14:schemeClr w14:val="tx1"/>
            </w14:solidFill>
          </w14:textFill>
        </w:rPr>
        <w:br w:type="page"/>
      </w:r>
      <w:bookmarkStart w:id="141" w:name="_Toc1462"/>
      <w:bookmarkStart w:id="142" w:name="_Toc9116"/>
      <w:r>
        <w:rPr>
          <w:rFonts w:hint="eastAsia" w:ascii="宋体" w:hAnsi="宋体"/>
          <w:b/>
          <w:bCs/>
          <w:color w:val="000000" w:themeColor="text1"/>
          <w:sz w:val="32"/>
          <w:szCs w:val="32"/>
          <w:highlight w:val="none"/>
          <w14:textFill>
            <w14:solidFill>
              <w14:schemeClr w14:val="tx1"/>
            </w14:solidFill>
          </w14:textFill>
        </w:rPr>
        <w:t>六．服务承诺书</w:t>
      </w:r>
      <w:bookmarkEnd w:id="141"/>
      <w:bookmarkEnd w:id="142"/>
    </w:p>
    <w:p w14:paraId="30886C45">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承诺可包括“评分因素及分值”部分，还可以涉及项目的具体实施方案等投标人认为有必要的其它内容。</w:t>
      </w:r>
    </w:p>
    <w:p w14:paraId="2003944D">
      <w:pPr>
        <w:jc w:val="left"/>
        <w:rPr>
          <w:rFonts w:hint="eastAsia" w:ascii="宋体" w:hAnsi="宋体"/>
          <w:b/>
          <w:bCs/>
          <w:color w:val="000000" w:themeColor="text1"/>
          <w:sz w:val="24"/>
          <w:szCs w:val="24"/>
          <w:highlight w:val="none"/>
          <w14:textFill>
            <w14:solidFill>
              <w14:schemeClr w14:val="tx1"/>
            </w14:solidFill>
          </w14:textFill>
        </w:rPr>
      </w:pPr>
    </w:p>
    <w:tbl>
      <w:tblPr>
        <w:tblStyle w:val="18"/>
        <w:tblW w:w="936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360"/>
      </w:tblGrid>
      <w:tr w14:paraId="2D6B8B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10" w:hRule="atLeast"/>
          <w:jc w:val="center"/>
        </w:trPr>
        <w:tc>
          <w:tcPr>
            <w:tcW w:w="9360" w:type="dxa"/>
          </w:tcPr>
          <w:p w14:paraId="1ED180FC">
            <w:pPr>
              <w:spacing w:after="312" w:line="440" w:lineRule="exact"/>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承诺内容包括：</w:t>
            </w:r>
          </w:p>
          <w:p w14:paraId="284D14C6">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1686AF6D">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022C0A7E">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247029B8">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30D5F02D">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318F2814">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008EBCE7">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1A8248D4">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644C6AFC">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7D86724A">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47E706CB">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2C81B819">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1A8F5DAC">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3EAE7E8A">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08280E6B">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2A1AEA01">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79D5384C">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投标人：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（电子印章）</w:t>
            </w:r>
          </w:p>
          <w:p w14:paraId="43443B55">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（电子签章）</w:t>
            </w:r>
          </w:p>
          <w:p w14:paraId="37F91063">
            <w:pPr>
              <w:spacing w:line="600" w:lineRule="exact"/>
              <w:ind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72333315">
            <w:pPr>
              <w:spacing w:line="600" w:lineRule="exact"/>
              <w:ind w:left="1560" w:leftChars="743" w:firstLine="1560" w:firstLineChars="650"/>
              <w:jc w:val="center"/>
              <w:rPr>
                <w:rFonts w:hint="eastAsia" w:ascii="宋体" w:hAnsi="宋体"/>
                <w:color w:val="000000" w:themeColor="text1"/>
                <w:sz w:val="24"/>
                <w:szCs w:val="24"/>
                <w:highlight w:val="none"/>
                <w14:textFill>
                  <w14:solidFill>
                    <w14:schemeClr w14:val="tx1"/>
                  </w14:solidFill>
                </w14:textFill>
              </w:rPr>
            </w:pPr>
          </w:p>
        </w:tc>
      </w:tr>
    </w:tbl>
    <w:p w14:paraId="075AD815">
      <w:pPr>
        <w:jc w:val="center"/>
        <w:rPr>
          <w:rFonts w:hint="eastAsia" w:ascii="宋体" w:hAnsi="宋体"/>
          <w:b/>
          <w:bCs/>
          <w:color w:val="000000" w:themeColor="text1"/>
          <w:sz w:val="32"/>
          <w:szCs w:val="32"/>
          <w:highlight w:val="none"/>
          <w14:textFill>
            <w14:solidFill>
              <w14:schemeClr w14:val="tx1"/>
            </w14:solidFill>
          </w14:textFill>
        </w:rPr>
      </w:pPr>
    </w:p>
    <w:p w14:paraId="005D64EE">
      <w:pPr>
        <w:jc w:val="center"/>
        <w:rPr>
          <w:rFonts w:hint="eastAsia" w:ascii="宋体" w:hAnsi="宋体"/>
          <w:b/>
          <w:bCs/>
          <w:color w:val="000000" w:themeColor="text1"/>
          <w:sz w:val="32"/>
          <w:szCs w:val="32"/>
          <w:highlight w:val="none"/>
          <w14:textFill>
            <w14:solidFill>
              <w14:schemeClr w14:val="tx1"/>
            </w14:solidFill>
          </w14:textFill>
        </w:rPr>
      </w:pPr>
    </w:p>
    <w:p w14:paraId="4B081F18">
      <w:pPr>
        <w:rPr>
          <w:rFonts w:hint="eastAsia" w:ascii="宋体" w:hAnsi="宋体"/>
          <w:b/>
          <w:bCs/>
          <w:color w:val="000000" w:themeColor="text1"/>
          <w:sz w:val="32"/>
          <w:szCs w:val="32"/>
          <w:highlight w:val="none"/>
          <w14:textFill>
            <w14:solidFill>
              <w14:schemeClr w14:val="tx1"/>
            </w14:solidFill>
          </w14:textFill>
        </w:rPr>
      </w:pPr>
    </w:p>
    <w:p w14:paraId="034D0D43">
      <w:pPr>
        <w:pStyle w:val="64"/>
        <w:shd w:val="clear" w:color="auto" w:fill="FFFFFF"/>
        <w:jc w:val="center"/>
        <w:outlineLvl w:val="1"/>
        <w:rPr>
          <w:rFonts w:hint="eastAsia" w:ascii="宋体" w:hAnsi="宋体"/>
          <w:b/>
          <w:color w:val="000000" w:themeColor="text1"/>
          <w:sz w:val="32"/>
          <w:szCs w:val="32"/>
          <w:highlight w:val="none"/>
          <w14:textFill>
            <w14:solidFill>
              <w14:schemeClr w14:val="tx1"/>
            </w14:solidFill>
          </w14:textFill>
        </w:rPr>
      </w:pPr>
      <w:bookmarkStart w:id="143" w:name="_Toc19832"/>
      <w:bookmarkStart w:id="144" w:name="_Toc17285"/>
      <w:bookmarkStart w:id="145" w:name="_Toc11216"/>
      <w:r>
        <w:rPr>
          <w:rFonts w:hint="eastAsia" w:ascii="宋体" w:hAnsi="宋体"/>
          <w:b/>
          <w:color w:val="000000" w:themeColor="text1"/>
          <w:sz w:val="32"/>
          <w:szCs w:val="32"/>
          <w:highlight w:val="none"/>
          <w14:textFill>
            <w14:solidFill>
              <w14:schemeClr w14:val="tx1"/>
            </w14:solidFill>
          </w14:textFill>
        </w:rPr>
        <w:t>七</w:t>
      </w:r>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color w:val="000000" w:themeColor="text1"/>
          <w:sz w:val="32"/>
          <w:szCs w:val="32"/>
          <w:highlight w:val="none"/>
          <w14:textFill>
            <w14:solidFill>
              <w14:schemeClr w14:val="tx1"/>
            </w14:solidFill>
          </w14:textFill>
        </w:rPr>
        <w:t>投标承诺书</w:t>
      </w:r>
      <w:bookmarkEnd w:id="143"/>
      <w:bookmarkEnd w:id="144"/>
    </w:p>
    <w:p w14:paraId="1505FD62">
      <w:pPr>
        <w:pStyle w:val="64"/>
        <w:shd w:val="clear" w:color="auto" w:fill="FFFFFF"/>
        <w:jc w:val="center"/>
        <w:outlineLvl w:val="2"/>
        <w:rPr>
          <w:rFonts w:hint="eastAsia" w:ascii="宋体" w:hAnsi="宋体"/>
          <w:b/>
          <w:color w:val="000000" w:themeColor="text1"/>
          <w:sz w:val="28"/>
          <w:szCs w:val="28"/>
          <w:highlight w:val="none"/>
          <w14:textFill>
            <w14:solidFill>
              <w14:schemeClr w14:val="tx1"/>
            </w14:solidFill>
          </w14:textFill>
        </w:rPr>
      </w:pPr>
      <w:bookmarkStart w:id="146" w:name="_Toc4161"/>
      <w:bookmarkStart w:id="147" w:name="_Toc32427"/>
      <w:r>
        <w:rPr>
          <w:rFonts w:hint="eastAsia" w:ascii="宋体" w:hAnsi="宋体"/>
          <w:b/>
          <w:color w:val="000000" w:themeColor="text1"/>
          <w:sz w:val="28"/>
          <w:szCs w:val="28"/>
          <w:highlight w:val="none"/>
          <w14:textFill>
            <w14:solidFill>
              <w14:schemeClr w14:val="tx1"/>
            </w14:solidFill>
          </w14:textFill>
        </w:rPr>
        <w:t>1、投标承诺函</w:t>
      </w:r>
      <w:bookmarkEnd w:id="146"/>
      <w:bookmarkEnd w:id="147"/>
    </w:p>
    <w:p w14:paraId="4C175F68">
      <w:pPr>
        <w:pStyle w:val="64"/>
        <w:shd w:val="clear" w:color="auto" w:fill="FFFFFF"/>
        <w:spacing w:line="360" w:lineRule="auto"/>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致</w:t>
      </w:r>
      <w:r>
        <w:rPr>
          <w:rFonts w:hint="eastAsia" w:ascii="宋体" w:hAnsi="宋体"/>
          <w:color w:val="000000" w:themeColor="text1"/>
          <w:highlight w:val="none"/>
          <w:u w:val="single"/>
          <w:lang w:val="zh-CN"/>
          <w14:textFill>
            <w14:solidFill>
              <w14:schemeClr w14:val="tx1"/>
            </w14:solidFill>
          </w14:textFill>
        </w:rPr>
        <w:t>（采购人及采购代理机构）</w:t>
      </w:r>
      <w:r>
        <w:rPr>
          <w:rFonts w:hint="eastAsia" w:ascii="宋体" w:hAnsi="宋体"/>
          <w:color w:val="000000" w:themeColor="text1"/>
          <w:highlight w:val="none"/>
          <w:lang w:val="zh-CN"/>
          <w14:textFill>
            <w14:solidFill>
              <w14:schemeClr w14:val="tx1"/>
            </w14:solidFill>
          </w14:textFill>
        </w:rPr>
        <w:t>：</w:t>
      </w:r>
    </w:p>
    <w:p w14:paraId="1057B6C9">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我公司作为本次采购项目的投标人，根据招标文件要求，现郑重承诺如下：</w:t>
      </w:r>
    </w:p>
    <w:p w14:paraId="00447194">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一、具备《中华人民共和国政府采购法》第二十二条第一款和本项目规定的条件：</w:t>
      </w:r>
    </w:p>
    <w:p w14:paraId="56B57A31">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（一）具有独立承担民事责任的能力；</w:t>
      </w:r>
    </w:p>
    <w:p w14:paraId="54B8BA0C">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（二）具有良好的商业信誉和健全的财务会计制度；</w:t>
      </w:r>
    </w:p>
    <w:p w14:paraId="7AED82DD">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（三）具有履行合同所必需的设备和专业技术能力；</w:t>
      </w:r>
    </w:p>
    <w:p w14:paraId="1AC2D7CB">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w:t>
      </w:r>
      <w:r>
        <w:rPr>
          <w:rFonts w:hint="eastAsia" w:ascii="宋体" w:hAnsi="宋体"/>
          <w:color w:val="000000" w:themeColor="text1"/>
          <w:highlight w:val="none"/>
          <w14:textFill>
            <w14:solidFill>
              <w14:schemeClr w14:val="tx1"/>
            </w14:solidFill>
          </w14:textFill>
        </w:rPr>
        <w:t>四</w:t>
      </w:r>
      <w:r>
        <w:rPr>
          <w:rFonts w:hint="eastAsia" w:ascii="宋体" w:hAnsi="宋体"/>
          <w:color w:val="000000" w:themeColor="text1"/>
          <w:highlight w:val="none"/>
          <w:lang w:val="zh-CN"/>
          <w14:textFill>
            <w14:solidFill>
              <w14:schemeClr w14:val="tx1"/>
            </w14:solidFill>
          </w14:textFill>
        </w:rPr>
        <w:t>）</w:t>
      </w:r>
      <w:r>
        <w:rPr>
          <w:rFonts w:hint="eastAsia" w:ascii="宋体" w:hAnsi="宋体"/>
          <w:color w:val="000000" w:themeColor="text1"/>
          <w:highlight w:val="none"/>
          <w14:textFill>
            <w14:solidFill>
              <w14:schemeClr w14:val="tx1"/>
            </w14:solidFill>
          </w14:textFill>
        </w:rPr>
        <w:t>有依法缴纳税收和社会保障资金的良好记录；</w:t>
      </w:r>
    </w:p>
    <w:p w14:paraId="22122528">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（五）参加政府采购活动前三年内，在经营活动中没有重大违法记录；</w:t>
      </w:r>
    </w:p>
    <w:p w14:paraId="66D8834A">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（六）法律、行政法规规定的其他条件；</w:t>
      </w:r>
    </w:p>
    <w:p w14:paraId="187B049B">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（七）根据采购项目提出的特殊条件。</w:t>
      </w:r>
    </w:p>
    <w:p w14:paraId="4FBA0921">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3D9D917E">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三、参加本次招标采购活动，不存在与单位负责人为同一人或者存在直接控股、管理关系的其他供应商参与同一合同项下的政府采购活动的行为。</w:t>
      </w:r>
    </w:p>
    <w:p w14:paraId="15BC2C38">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四、参加本次招标采购活动，不存在为采购项目提供整体设计、规范编制或者项目管理、监理、检测等服务的行为。</w:t>
      </w:r>
    </w:p>
    <w:p w14:paraId="190EBD67">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五、参加本次招标采购活动，不存在和其他供应商在同一合同项下的采购项目中，同时委托同一个自然人、同一家庭的人员、同一单位的人员作为代理人的行为。</w:t>
      </w:r>
    </w:p>
    <w:p w14:paraId="356978DF">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六、投标人参加本次政府采购活动要求在近三年内投标人和其法定代表人没有行贿犯罪行为。</w:t>
      </w:r>
    </w:p>
    <w:p w14:paraId="3AB3F05E">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七、参加本次招标采购活动，不存在联合体投标。</w:t>
      </w:r>
    </w:p>
    <w:p w14:paraId="41BA6034">
      <w:pPr>
        <w:pStyle w:val="64"/>
        <w:shd w:val="clear" w:color="auto" w:fill="FFFFFF"/>
        <w:spacing w:before="0" w:beforeAutospacing="0" w:after="0" w:afterAutospacing="0" w:line="440" w:lineRule="exact"/>
        <w:ind w:firstLine="482"/>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八、投标文件中提供的任何材料资料和技术、服务、商务等响应承诺情况都是真实的、有效的、合法的。</w:t>
      </w:r>
    </w:p>
    <w:p w14:paraId="5A4A088A">
      <w:pPr>
        <w:pStyle w:val="64"/>
        <w:shd w:val="clear" w:color="auto" w:fill="FFFFFF"/>
        <w:spacing w:before="0" w:beforeAutospacing="0" w:after="0" w:afterAutospacing="0" w:line="440" w:lineRule="exact"/>
        <w:ind w:firstLine="482"/>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九、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14:paraId="014EC59D">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十、存在以下行为之一的愿意接受相关部门的处理：</w:t>
      </w:r>
    </w:p>
    <w:p w14:paraId="293AEAB8">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（一）投标有效期内撤销投标文件的；</w:t>
      </w:r>
    </w:p>
    <w:p w14:paraId="686730D6">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（二）在采购人确定中标人以前放弃中标候选资格的；</w:t>
      </w:r>
    </w:p>
    <w:p w14:paraId="1F3347A1">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（三）由于中标人的原因未能按照招标文件的规定与采购人签订合同；</w:t>
      </w:r>
    </w:p>
    <w:p w14:paraId="18E2BBD3">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（四）在投标文件中提供虚假材料谋取中标；</w:t>
      </w:r>
    </w:p>
    <w:p w14:paraId="68F8C78B">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（五）与采购人、其他供应商或者采购代理机构恶意串通的；</w:t>
      </w:r>
    </w:p>
    <w:p w14:paraId="0FC5B03D">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（六）投标有效期内，投标人在政府采购活动中有违法、违规、违纪行为。</w:t>
      </w:r>
    </w:p>
    <w:p w14:paraId="75863CB4">
      <w:pPr>
        <w:pStyle w:val="64"/>
        <w:shd w:val="clear" w:color="auto" w:fill="FFFFFF"/>
        <w:spacing w:before="0" w:beforeAutospacing="0" w:after="0" w:afterAutospacing="0" w:line="440" w:lineRule="exact"/>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由此产生的一切法律后果和责任由我公司承担。我公司声明放弃对此提出任何异议和追索的权利。</w:t>
      </w:r>
    </w:p>
    <w:p w14:paraId="01C194C7">
      <w:pPr>
        <w:pStyle w:val="64"/>
        <w:shd w:val="clear" w:color="auto" w:fill="FFFFFF"/>
        <w:spacing w:before="0" w:beforeAutospacing="0" w:after="0" w:afterAutospacing="0" w:line="440" w:lineRule="exact"/>
        <w:ind w:firstLine="69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本公司对上述承诺的内容事项真实性负责。如经查实上述承诺的内容事项存在虚假，我公司愿意接受以提供虚假材料谋取中标追究法律责任。</w:t>
      </w:r>
    </w:p>
    <w:p w14:paraId="135B22B1">
      <w:pPr>
        <w:pStyle w:val="64"/>
        <w:shd w:val="clear" w:color="auto" w:fill="FFFFFF"/>
        <w:spacing w:before="0" w:beforeAutospacing="0" w:after="0" w:afterAutospacing="0" w:line="440" w:lineRule="exact"/>
        <w:ind w:firstLine="465"/>
        <w:rPr>
          <w:rFonts w:hint="eastAsia" w:ascii="宋体" w:hAnsi="宋体"/>
          <w:color w:val="000000" w:themeColor="text1"/>
          <w:spacing w:val="8"/>
          <w:highlight w:val="none"/>
          <w:shd w:val="clear" w:color="auto" w:fill="FFFFFF"/>
          <w14:textFill>
            <w14:solidFill>
              <w14:schemeClr w14:val="tx1"/>
            </w14:solidFill>
          </w14:textFill>
        </w:rPr>
      </w:pPr>
    </w:p>
    <w:p w14:paraId="6C9281B7">
      <w:pPr>
        <w:pStyle w:val="64"/>
        <w:shd w:val="clear" w:color="auto" w:fill="FFFFFF"/>
        <w:spacing w:before="0" w:beforeAutospacing="0" w:after="0" w:afterAutospacing="0" w:line="440" w:lineRule="exact"/>
        <w:ind w:firstLine="465"/>
        <w:rPr>
          <w:rFonts w:hint="eastAsia" w:ascii="宋体" w:hAnsi="宋体"/>
          <w:color w:val="000000" w:themeColor="text1"/>
          <w:spacing w:val="8"/>
          <w:highlight w:val="none"/>
          <w:shd w:val="clear" w:color="auto" w:fill="FFFFFF"/>
          <w14:textFill>
            <w14:solidFill>
              <w14:schemeClr w14:val="tx1"/>
            </w14:solidFill>
          </w14:textFill>
        </w:rPr>
      </w:pPr>
    </w:p>
    <w:p w14:paraId="1DC066BA">
      <w:pPr>
        <w:pStyle w:val="64"/>
        <w:shd w:val="clear" w:color="auto" w:fill="FFFFFF"/>
        <w:spacing w:before="0" w:beforeAutospacing="0" w:after="0" w:afterAutospacing="0" w:line="440" w:lineRule="exact"/>
        <w:ind w:firstLine="465"/>
        <w:rPr>
          <w:rFonts w:hint="eastAsia" w:ascii="宋体" w:hAnsi="宋体"/>
          <w:color w:val="000000" w:themeColor="text1"/>
          <w:spacing w:val="8"/>
          <w:highlight w:val="none"/>
          <w:shd w:val="clear" w:color="auto" w:fill="FFFFFF"/>
          <w14:textFill>
            <w14:solidFill>
              <w14:schemeClr w14:val="tx1"/>
            </w14:solidFill>
          </w14:textFill>
        </w:rPr>
      </w:pPr>
      <w:r>
        <w:rPr>
          <w:rFonts w:hint="eastAsia" w:ascii="宋体" w:hAnsi="宋体"/>
          <w:color w:val="000000" w:themeColor="text1"/>
          <w:spacing w:val="8"/>
          <w:highlight w:val="none"/>
          <w:shd w:val="clear" w:color="auto" w:fill="FFFFFF"/>
          <w14:textFill>
            <w14:solidFill>
              <w14:schemeClr w14:val="tx1"/>
            </w14:solidFill>
          </w14:textFill>
        </w:rPr>
        <w:t>投标人名称：</w:t>
      </w:r>
      <w:r>
        <w:rPr>
          <w:rFonts w:hint="eastAsia" w:ascii="宋体" w:hAnsi="宋体"/>
          <w:color w:val="000000" w:themeColor="text1"/>
          <w:spacing w:val="8"/>
          <w:highlight w:val="none"/>
          <w:u w:val="single"/>
          <w:shd w:val="clear" w:color="auto" w:fill="FFFFFF"/>
          <w14:textFill>
            <w14:solidFill>
              <w14:schemeClr w14:val="tx1"/>
            </w14:solidFill>
          </w14:textFill>
        </w:rPr>
        <w:t xml:space="preserve">                                </w:t>
      </w:r>
      <w:r>
        <w:rPr>
          <w:rFonts w:hint="eastAsia" w:ascii="宋体" w:hAnsi="宋体"/>
          <w:color w:val="000000" w:themeColor="text1"/>
          <w:spacing w:val="8"/>
          <w:highlight w:val="none"/>
          <w:shd w:val="clear" w:color="auto" w:fill="FFFFFF"/>
          <w14:textFill>
            <w14:solidFill>
              <w14:schemeClr w14:val="tx1"/>
            </w14:solidFill>
          </w14:textFill>
        </w:rPr>
        <w:t>（</w:t>
      </w:r>
      <w:r>
        <w:rPr>
          <w:rFonts w:hint="eastAsia" w:ascii="宋体" w:hAnsi="宋体"/>
          <w:color w:val="000000" w:themeColor="text1"/>
          <w:highlight w:val="none"/>
          <w:lang w:val="zh-CN"/>
          <w14:textFill>
            <w14:solidFill>
              <w14:schemeClr w14:val="tx1"/>
            </w14:solidFill>
          </w14:textFill>
        </w:rPr>
        <w:t>电子印章</w:t>
      </w:r>
      <w:r>
        <w:rPr>
          <w:rFonts w:hint="eastAsia" w:ascii="宋体" w:hAnsi="宋体"/>
          <w:color w:val="000000" w:themeColor="text1"/>
          <w:spacing w:val="8"/>
          <w:highlight w:val="none"/>
          <w:shd w:val="clear" w:color="auto" w:fill="FFFFFF"/>
          <w14:textFill>
            <w14:solidFill>
              <w14:schemeClr w14:val="tx1"/>
            </w14:solidFill>
          </w14:textFill>
        </w:rPr>
        <w:t>）</w:t>
      </w:r>
    </w:p>
    <w:p w14:paraId="1A318A90">
      <w:pPr>
        <w:pStyle w:val="64"/>
        <w:shd w:val="clear" w:color="auto" w:fill="FFFFFF"/>
        <w:spacing w:before="0" w:beforeAutospacing="0" w:after="0" w:afterAutospacing="0" w:line="440" w:lineRule="exact"/>
        <w:ind w:firstLine="465"/>
        <w:rPr>
          <w:rFonts w:hint="eastAsia" w:ascii="宋体" w:hAnsi="宋体"/>
          <w:color w:val="000000" w:themeColor="text1"/>
          <w:spacing w:val="8"/>
          <w:highlight w:val="none"/>
          <w:shd w:val="clear" w:color="auto" w:fill="FFFFFF"/>
          <w14:textFill>
            <w14:solidFill>
              <w14:schemeClr w14:val="tx1"/>
            </w14:solidFill>
          </w14:textFill>
        </w:rPr>
      </w:pPr>
      <w:r>
        <w:rPr>
          <w:rFonts w:hint="eastAsia" w:ascii="宋体" w:hAnsi="宋体"/>
          <w:color w:val="000000" w:themeColor="text1"/>
          <w:spacing w:val="8"/>
          <w:highlight w:val="none"/>
          <w:shd w:val="clear" w:color="auto" w:fill="FFFFFF"/>
          <w14:textFill>
            <w14:solidFill>
              <w14:schemeClr w14:val="tx1"/>
            </w14:solidFill>
          </w14:textFill>
        </w:rPr>
        <w:t>法定代表人：</w:t>
      </w:r>
      <w:r>
        <w:rPr>
          <w:rFonts w:hint="eastAsia" w:ascii="宋体" w:hAnsi="宋体"/>
          <w:color w:val="000000" w:themeColor="text1"/>
          <w:spacing w:val="8"/>
          <w:highlight w:val="none"/>
          <w:u w:val="single"/>
          <w:shd w:val="clear" w:color="auto" w:fill="FFFFFF"/>
          <w14:textFill>
            <w14:solidFill>
              <w14:schemeClr w14:val="tx1"/>
            </w14:solidFill>
          </w14:textFill>
        </w:rPr>
        <w:t xml:space="preserve">                       </w:t>
      </w:r>
      <w:r>
        <w:rPr>
          <w:rFonts w:hint="eastAsia" w:ascii="宋体" w:hAnsi="宋体"/>
          <w:color w:val="000000" w:themeColor="text1"/>
          <w:spacing w:val="8"/>
          <w:highlight w:val="none"/>
          <w:shd w:val="clear" w:color="auto" w:fill="FFFFFF"/>
          <w14:textFill>
            <w14:solidFill>
              <w14:schemeClr w14:val="tx1"/>
            </w14:solidFill>
          </w14:textFill>
        </w:rPr>
        <w:t>（</w:t>
      </w:r>
      <w:r>
        <w:rPr>
          <w:rFonts w:hint="eastAsia" w:ascii="宋体" w:hAnsi="宋体"/>
          <w:color w:val="000000" w:themeColor="text1"/>
          <w:highlight w:val="none"/>
          <w:lang w:val="zh-CN"/>
          <w14:textFill>
            <w14:solidFill>
              <w14:schemeClr w14:val="tx1"/>
            </w14:solidFill>
          </w14:textFill>
        </w:rPr>
        <w:t>电子签章</w:t>
      </w:r>
      <w:r>
        <w:rPr>
          <w:rFonts w:hint="eastAsia" w:ascii="宋体" w:hAnsi="宋体"/>
          <w:color w:val="000000" w:themeColor="text1"/>
          <w:spacing w:val="8"/>
          <w:highlight w:val="none"/>
          <w:shd w:val="clear" w:color="auto" w:fill="FFFFFF"/>
          <w14:textFill>
            <w14:solidFill>
              <w14:schemeClr w14:val="tx1"/>
            </w14:solidFill>
          </w14:textFill>
        </w:rPr>
        <w:t>）</w:t>
      </w:r>
    </w:p>
    <w:p w14:paraId="4D76A8A0">
      <w:pPr>
        <w:pStyle w:val="64"/>
        <w:shd w:val="clear" w:color="auto" w:fill="FFFFFF"/>
        <w:spacing w:before="0" w:beforeAutospacing="0" w:after="0" w:afterAutospacing="0" w:line="440" w:lineRule="exact"/>
        <w:ind w:firstLine="46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日       期：</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月</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w:t>
      </w:r>
    </w:p>
    <w:p w14:paraId="3D607BD6">
      <w:pPr>
        <w:rPr>
          <w:rFonts w:hint="eastAsia" w:ascii="宋体" w:hAnsi="宋体"/>
          <w:color w:val="000000" w:themeColor="text1"/>
          <w:highlight w:val="none"/>
          <w14:textFill>
            <w14:solidFill>
              <w14:schemeClr w14:val="tx1"/>
            </w14:solidFill>
          </w14:textFill>
        </w:rPr>
      </w:pPr>
    </w:p>
    <w:p w14:paraId="13A2E173">
      <w:pPr>
        <w:rPr>
          <w:rFonts w:hint="eastAsia" w:ascii="宋体" w:hAnsi="宋体"/>
          <w:color w:val="000000" w:themeColor="text1"/>
          <w:highlight w:val="none"/>
          <w14:textFill>
            <w14:solidFill>
              <w14:schemeClr w14:val="tx1"/>
            </w14:solidFill>
          </w14:textFill>
        </w:rPr>
      </w:pPr>
    </w:p>
    <w:p w14:paraId="759350D6">
      <w:pPr>
        <w:rPr>
          <w:rFonts w:hint="eastAsia" w:ascii="宋体" w:hAnsi="宋体"/>
          <w:color w:val="000000" w:themeColor="text1"/>
          <w:highlight w:val="none"/>
          <w14:textFill>
            <w14:solidFill>
              <w14:schemeClr w14:val="tx1"/>
            </w14:solidFill>
          </w14:textFill>
        </w:rPr>
      </w:pPr>
    </w:p>
    <w:p w14:paraId="03D69998">
      <w:pPr>
        <w:rPr>
          <w:rFonts w:hint="eastAsia" w:ascii="宋体" w:hAnsi="宋体"/>
          <w:color w:val="000000" w:themeColor="text1"/>
          <w:highlight w:val="none"/>
          <w14:textFill>
            <w14:solidFill>
              <w14:schemeClr w14:val="tx1"/>
            </w14:solidFill>
          </w14:textFill>
        </w:rPr>
      </w:pPr>
    </w:p>
    <w:p w14:paraId="2A04FB69">
      <w:pPr>
        <w:rPr>
          <w:rFonts w:hint="eastAsia" w:ascii="宋体" w:hAnsi="宋体"/>
          <w:color w:val="000000" w:themeColor="text1"/>
          <w:highlight w:val="none"/>
          <w14:textFill>
            <w14:solidFill>
              <w14:schemeClr w14:val="tx1"/>
            </w14:solidFill>
          </w14:textFill>
        </w:rPr>
      </w:pPr>
    </w:p>
    <w:p w14:paraId="74F0B1D8">
      <w:pPr>
        <w:rPr>
          <w:rFonts w:hint="eastAsia" w:ascii="宋体" w:hAnsi="宋体"/>
          <w:color w:val="000000" w:themeColor="text1"/>
          <w:highlight w:val="none"/>
          <w14:textFill>
            <w14:solidFill>
              <w14:schemeClr w14:val="tx1"/>
            </w14:solidFill>
          </w14:textFill>
        </w:rPr>
      </w:pPr>
    </w:p>
    <w:p w14:paraId="7FD26A28">
      <w:pPr>
        <w:rPr>
          <w:rFonts w:hint="eastAsia" w:ascii="宋体" w:hAnsi="宋体"/>
          <w:color w:val="000000" w:themeColor="text1"/>
          <w:highlight w:val="none"/>
          <w14:textFill>
            <w14:solidFill>
              <w14:schemeClr w14:val="tx1"/>
            </w14:solidFill>
          </w14:textFill>
        </w:rPr>
      </w:pPr>
    </w:p>
    <w:p w14:paraId="40B82540">
      <w:pPr>
        <w:rPr>
          <w:rFonts w:hint="eastAsia" w:ascii="宋体" w:hAnsi="宋体"/>
          <w:color w:val="000000" w:themeColor="text1"/>
          <w:highlight w:val="none"/>
          <w14:textFill>
            <w14:solidFill>
              <w14:schemeClr w14:val="tx1"/>
            </w14:solidFill>
          </w14:textFill>
        </w:rPr>
      </w:pPr>
    </w:p>
    <w:p w14:paraId="24634FE5">
      <w:pPr>
        <w:rPr>
          <w:rFonts w:hint="eastAsia" w:ascii="宋体" w:hAnsi="宋体"/>
          <w:color w:val="000000" w:themeColor="text1"/>
          <w:highlight w:val="none"/>
          <w14:textFill>
            <w14:solidFill>
              <w14:schemeClr w14:val="tx1"/>
            </w14:solidFill>
          </w14:textFill>
        </w:rPr>
      </w:pPr>
    </w:p>
    <w:p w14:paraId="1873E4DE">
      <w:pPr>
        <w:rPr>
          <w:rFonts w:hint="eastAsia" w:ascii="宋体" w:hAnsi="宋体"/>
          <w:color w:val="000000" w:themeColor="text1"/>
          <w:highlight w:val="none"/>
          <w14:textFill>
            <w14:solidFill>
              <w14:schemeClr w14:val="tx1"/>
            </w14:solidFill>
          </w14:textFill>
        </w:rPr>
      </w:pPr>
    </w:p>
    <w:p w14:paraId="4E7867ED">
      <w:pPr>
        <w:rPr>
          <w:rFonts w:hint="eastAsia" w:ascii="宋体" w:hAnsi="宋体"/>
          <w:color w:val="000000" w:themeColor="text1"/>
          <w:highlight w:val="none"/>
          <w14:textFill>
            <w14:solidFill>
              <w14:schemeClr w14:val="tx1"/>
            </w14:solidFill>
          </w14:textFill>
        </w:rPr>
      </w:pPr>
    </w:p>
    <w:p w14:paraId="7E339F98">
      <w:pPr>
        <w:rPr>
          <w:rFonts w:hint="eastAsia" w:ascii="宋体" w:hAnsi="宋体"/>
          <w:color w:val="000000" w:themeColor="text1"/>
          <w:highlight w:val="none"/>
          <w14:textFill>
            <w14:solidFill>
              <w14:schemeClr w14:val="tx1"/>
            </w14:solidFill>
          </w14:textFill>
        </w:rPr>
      </w:pPr>
    </w:p>
    <w:p w14:paraId="0C6AB82E">
      <w:pPr>
        <w:rPr>
          <w:rFonts w:hint="eastAsia" w:ascii="宋体" w:hAnsi="宋体"/>
          <w:color w:val="000000" w:themeColor="text1"/>
          <w:highlight w:val="none"/>
          <w14:textFill>
            <w14:solidFill>
              <w14:schemeClr w14:val="tx1"/>
            </w14:solidFill>
          </w14:textFill>
        </w:rPr>
      </w:pPr>
    </w:p>
    <w:p w14:paraId="0606A941">
      <w:pPr>
        <w:rPr>
          <w:rFonts w:hint="eastAsia" w:ascii="宋体" w:hAnsi="宋体"/>
          <w:color w:val="000000" w:themeColor="text1"/>
          <w:highlight w:val="none"/>
          <w14:textFill>
            <w14:solidFill>
              <w14:schemeClr w14:val="tx1"/>
            </w14:solidFill>
          </w14:textFill>
        </w:rPr>
      </w:pPr>
    </w:p>
    <w:p w14:paraId="51685B39">
      <w:pPr>
        <w:pStyle w:val="64"/>
        <w:shd w:val="clear" w:color="auto" w:fill="FFFFFF"/>
        <w:jc w:val="center"/>
        <w:outlineLvl w:val="2"/>
        <w:rPr>
          <w:rFonts w:hint="eastAsia" w:ascii="宋体" w:hAnsi="宋体"/>
          <w:b/>
          <w:color w:val="000000" w:themeColor="text1"/>
          <w:sz w:val="28"/>
          <w:szCs w:val="28"/>
          <w:highlight w:val="none"/>
          <w14:textFill>
            <w14:solidFill>
              <w14:schemeClr w14:val="tx1"/>
            </w14:solidFill>
          </w14:textFill>
        </w:rPr>
      </w:pPr>
      <w:bookmarkStart w:id="148" w:name="_Toc6856"/>
      <w:bookmarkStart w:id="149" w:name="_Toc17709"/>
      <w:r>
        <w:rPr>
          <w:rFonts w:hint="eastAsia" w:ascii="宋体" w:hAnsi="宋体"/>
          <w:b/>
          <w:color w:val="000000" w:themeColor="text1"/>
          <w:sz w:val="28"/>
          <w:szCs w:val="28"/>
          <w:highlight w:val="none"/>
          <w14:textFill>
            <w14:solidFill>
              <w14:schemeClr w14:val="tx1"/>
            </w14:solidFill>
          </w14:textFill>
        </w:rPr>
        <w:t>2、招标代理服务费承诺函</w:t>
      </w:r>
      <w:bookmarkEnd w:id="148"/>
      <w:bookmarkEnd w:id="149"/>
    </w:p>
    <w:p w14:paraId="3971E145">
      <w:pPr>
        <w:pStyle w:val="64"/>
        <w:shd w:val="clear" w:color="auto" w:fill="FFFFFF"/>
        <w:spacing w:line="360" w:lineRule="auto"/>
        <w:ind w:firstLine="480"/>
        <w:rPr>
          <w:rFonts w:hint="eastAsia" w:ascii="宋体" w:hAnsi="宋体"/>
          <w:color w:val="000000" w:themeColor="text1"/>
          <w:highlight w:val="none"/>
          <w:lang w:val="zh-CN"/>
          <w14:textFill>
            <w14:solidFill>
              <w14:schemeClr w14:val="tx1"/>
            </w14:solidFill>
          </w14:textFill>
        </w:rPr>
      </w:pPr>
    </w:p>
    <w:p w14:paraId="326F5F84">
      <w:pPr>
        <w:pStyle w:val="64"/>
        <w:shd w:val="clear" w:color="auto" w:fill="FFFFFF"/>
        <w:spacing w:line="360" w:lineRule="auto"/>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致</w:t>
      </w:r>
      <w:r>
        <w:rPr>
          <w:rFonts w:hint="eastAsia" w:ascii="宋体" w:hAnsi="宋体"/>
          <w:color w:val="000000" w:themeColor="text1"/>
          <w:highlight w:val="none"/>
          <w:u w:val="single"/>
          <w:lang w:val="zh-CN"/>
          <w14:textFill>
            <w14:solidFill>
              <w14:schemeClr w14:val="tx1"/>
            </w14:solidFill>
          </w14:textFill>
        </w:rPr>
        <w:t>（采购人及采购代理机构）</w:t>
      </w:r>
      <w:r>
        <w:rPr>
          <w:rFonts w:hint="eastAsia" w:ascii="宋体" w:hAnsi="宋体"/>
          <w:color w:val="000000" w:themeColor="text1"/>
          <w:highlight w:val="none"/>
          <w:lang w:val="zh-CN"/>
          <w14:textFill>
            <w14:solidFill>
              <w14:schemeClr w14:val="tx1"/>
            </w14:solidFill>
          </w14:textFill>
        </w:rPr>
        <w:t>：</w:t>
      </w:r>
    </w:p>
    <w:p w14:paraId="26435CB0">
      <w:pPr>
        <w:pStyle w:val="64"/>
        <w:shd w:val="clear" w:color="auto" w:fill="FFFFFF"/>
        <w:spacing w:line="360" w:lineRule="auto"/>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我们在贵公司组织的（项目名称：</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lang w:val="zh-CN"/>
          <w14:textFill>
            <w14:solidFill>
              <w14:schemeClr w14:val="tx1"/>
            </w14:solidFill>
          </w14:textFill>
        </w:rPr>
        <w:t>，项目编号：</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lang w:val="zh-CN"/>
          <w14:textFill>
            <w14:solidFill>
              <w14:schemeClr w14:val="tx1"/>
            </w14:solidFill>
          </w14:textFill>
        </w:rPr>
        <w:t>）招标中若获中标，我们保证在中标公告发布后5个工作日内，按招标文件的规定，以支票、银行转账、汇票或现金，向</w:t>
      </w:r>
      <w:r>
        <w:rPr>
          <w:rFonts w:hint="eastAsia" w:ascii="宋体" w:hAnsi="宋体"/>
          <w:color w:val="000000" w:themeColor="text1"/>
          <w:highlight w:val="none"/>
          <w14:textFill>
            <w14:solidFill>
              <w14:schemeClr w14:val="tx1"/>
            </w14:solidFill>
          </w14:textFill>
        </w:rPr>
        <w:t>河南荣之鑫工程管理有限公司</w:t>
      </w:r>
      <w:r>
        <w:rPr>
          <w:rFonts w:hint="eastAsia" w:ascii="宋体" w:hAnsi="宋体"/>
          <w:color w:val="000000" w:themeColor="text1"/>
          <w:highlight w:val="none"/>
          <w:lang w:val="zh-CN"/>
          <w14:textFill>
            <w14:solidFill>
              <w14:schemeClr w14:val="tx1"/>
            </w14:solidFill>
          </w14:textFill>
        </w:rPr>
        <w:t>一次性支付招标代理服务费用。否则，由此产生的一切法律后果和责任由我公司承担。我公司声明放弃对此提出任何异议和追索的权利。</w:t>
      </w:r>
    </w:p>
    <w:p w14:paraId="6D161DC6">
      <w:pPr>
        <w:pStyle w:val="64"/>
        <w:shd w:val="clear" w:color="auto" w:fill="FFFFFF"/>
        <w:spacing w:line="360" w:lineRule="auto"/>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特此承诺。</w:t>
      </w:r>
    </w:p>
    <w:p w14:paraId="67EA7683">
      <w:pPr>
        <w:pStyle w:val="64"/>
        <w:shd w:val="clear" w:color="auto" w:fill="FFFFFF"/>
        <w:spacing w:line="360" w:lineRule="auto"/>
        <w:ind w:firstLine="465"/>
        <w:rPr>
          <w:rFonts w:hint="eastAsia" w:ascii="宋体" w:hAnsi="宋体"/>
          <w:color w:val="000000" w:themeColor="text1"/>
          <w:spacing w:val="8"/>
          <w:highlight w:val="none"/>
          <w:shd w:val="clear" w:color="auto" w:fill="FFFFFF"/>
          <w14:textFill>
            <w14:solidFill>
              <w14:schemeClr w14:val="tx1"/>
            </w14:solidFill>
          </w14:textFill>
        </w:rPr>
      </w:pPr>
    </w:p>
    <w:p w14:paraId="07C8943C">
      <w:pPr>
        <w:pStyle w:val="64"/>
        <w:shd w:val="clear" w:color="auto" w:fill="FFFFFF"/>
        <w:spacing w:line="360" w:lineRule="auto"/>
        <w:ind w:firstLine="465"/>
        <w:rPr>
          <w:rFonts w:hint="eastAsia" w:ascii="宋体" w:hAnsi="宋体"/>
          <w:color w:val="000000" w:themeColor="text1"/>
          <w:spacing w:val="8"/>
          <w:highlight w:val="none"/>
          <w:shd w:val="clear" w:color="auto" w:fill="FFFFFF"/>
          <w14:textFill>
            <w14:solidFill>
              <w14:schemeClr w14:val="tx1"/>
            </w14:solidFill>
          </w14:textFill>
        </w:rPr>
      </w:pPr>
    </w:p>
    <w:p w14:paraId="5827A6EE">
      <w:pPr>
        <w:pStyle w:val="64"/>
        <w:shd w:val="clear" w:color="auto" w:fill="FFFFFF"/>
        <w:spacing w:line="360" w:lineRule="auto"/>
        <w:ind w:firstLine="465"/>
        <w:rPr>
          <w:rFonts w:hint="eastAsia" w:ascii="宋体" w:hAnsi="宋体"/>
          <w:color w:val="000000" w:themeColor="text1"/>
          <w:spacing w:val="8"/>
          <w:highlight w:val="none"/>
          <w:shd w:val="clear" w:color="auto" w:fill="FFFFFF"/>
          <w14:textFill>
            <w14:solidFill>
              <w14:schemeClr w14:val="tx1"/>
            </w14:solidFill>
          </w14:textFill>
        </w:rPr>
      </w:pPr>
    </w:p>
    <w:p w14:paraId="4B015D9E">
      <w:pPr>
        <w:pStyle w:val="64"/>
        <w:shd w:val="clear" w:color="auto" w:fill="FFFFFF"/>
        <w:spacing w:line="360" w:lineRule="auto"/>
        <w:ind w:firstLine="465"/>
        <w:rPr>
          <w:rFonts w:hint="eastAsia" w:ascii="宋体" w:hAnsi="宋体"/>
          <w:color w:val="000000" w:themeColor="text1"/>
          <w:spacing w:val="8"/>
          <w:highlight w:val="none"/>
          <w:shd w:val="clear" w:color="auto" w:fill="FFFFFF"/>
          <w14:textFill>
            <w14:solidFill>
              <w14:schemeClr w14:val="tx1"/>
            </w14:solidFill>
          </w14:textFill>
        </w:rPr>
      </w:pPr>
    </w:p>
    <w:p w14:paraId="4AFE31FB">
      <w:pPr>
        <w:pStyle w:val="64"/>
        <w:shd w:val="clear" w:color="auto" w:fill="FFFFFF"/>
        <w:spacing w:line="360" w:lineRule="auto"/>
        <w:ind w:firstLine="465"/>
        <w:rPr>
          <w:rFonts w:hint="eastAsia" w:ascii="宋体" w:hAnsi="宋体"/>
          <w:color w:val="000000" w:themeColor="text1"/>
          <w:spacing w:val="8"/>
          <w:highlight w:val="none"/>
          <w:shd w:val="clear" w:color="auto" w:fill="FFFFFF"/>
          <w14:textFill>
            <w14:solidFill>
              <w14:schemeClr w14:val="tx1"/>
            </w14:solidFill>
          </w14:textFill>
        </w:rPr>
      </w:pPr>
    </w:p>
    <w:p w14:paraId="78E5C308">
      <w:pPr>
        <w:pStyle w:val="64"/>
        <w:shd w:val="clear" w:color="auto" w:fill="FFFFFF"/>
        <w:spacing w:line="360" w:lineRule="auto"/>
        <w:ind w:firstLine="465"/>
        <w:rPr>
          <w:rFonts w:hint="eastAsia" w:ascii="宋体" w:hAnsi="宋体"/>
          <w:color w:val="000000" w:themeColor="text1"/>
          <w:spacing w:val="8"/>
          <w:highlight w:val="none"/>
          <w:shd w:val="clear" w:color="auto" w:fill="FFFFFF"/>
          <w14:textFill>
            <w14:solidFill>
              <w14:schemeClr w14:val="tx1"/>
            </w14:solidFill>
          </w14:textFill>
        </w:rPr>
      </w:pPr>
      <w:r>
        <w:rPr>
          <w:rFonts w:hint="eastAsia" w:ascii="宋体" w:hAnsi="宋体"/>
          <w:color w:val="000000" w:themeColor="text1"/>
          <w:spacing w:val="8"/>
          <w:highlight w:val="none"/>
          <w:shd w:val="clear" w:color="auto" w:fill="FFFFFF"/>
          <w14:textFill>
            <w14:solidFill>
              <w14:schemeClr w14:val="tx1"/>
            </w14:solidFill>
          </w14:textFill>
        </w:rPr>
        <w:t>投标人名称：</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spacing w:val="8"/>
          <w:highlight w:val="none"/>
          <w:shd w:val="clear" w:color="auto" w:fill="FFFFFF"/>
          <w14:textFill>
            <w14:solidFill>
              <w14:schemeClr w14:val="tx1"/>
            </w14:solidFill>
          </w14:textFill>
        </w:rPr>
        <w:t>（</w:t>
      </w:r>
      <w:r>
        <w:rPr>
          <w:rFonts w:hint="eastAsia" w:ascii="宋体" w:hAnsi="宋体"/>
          <w:color w:val="000000" w:themeColor="text1"/>
          <w:highlight w:val="none"/>
          <w:lang w:val="zh-CN"/>
          <w14:textFill>
            <w14:solidFill>
              <w14:schemeClr w14:val="tx1"/>
            </w14:solidFill>
          </w14:textFill>
        </w:rPr>
        <w:t>电子印章</w:t>
      </w:r>
      <w:r>
        <w:rPr>
          <w:rFonts w:hint="eastAsia" w:ascii="宋体" w:hAnsi="宋体"/>
          <w:color w:val="000000" w:themeColor="text1"/>
          <w:spacing w:val="8"/>
          <w:highlight w:val="none"/>
          <w:shd w:val="clear" w:color="auto" w:fill="FFFFFF"/>
          <w14:textFill>
            <w14:solidFill>
              <w14:schemeClr w14:val="tx1"/>
            </w14:solidFill>
          </w14:textFill>
        </w:rPr>
        <w:t>）</w:t>
      </w:r>
    </w:p>
    <w:p w14:paraId="1918CF1C">
      <w:pPr>
        <w:pStyle w:val="64"/>
        <w:shd w:val="clear" w:color="auto" w:fill="FFFFFF"/>
        <w:spacing w:line="360" w:lineRule="auto"/>
        <w:ind w:firstLine="465"/>
        <w:rPr>
          <w:rFonts w:hint="eastAsia" w:ascii="宋体" w:hAnsi="宋体"/>
          <w:color w:val="000000" w:themeColor="text1"/>
          <w:spacing w:val="8"/>
          <w:highlight w:val="none"/>
          <w:shd w:val="clear" w:color="auto" w:fill="FFFFFF"/>
          <w14:textFill>
            <w14:solidFill>
              <w14:schemeClr w14:val="tx1"/>
            </w14:solidFill>
          </w14:textFill>
        </w:rPr>
      </w:pPr>
      <w:r>
        <w:rPr>
          <w:rFonts w:hint="eastAsia" w:ascii="宋体" w:hAnsi="宋体"/>
          <w:color w:val="000000" w:themeColor="text1"/>
          <w:spacing w:val="8"/>
          <w:highlight w:val="none"/>
          <w:shd w:val="clear" w:color="auto" w:fill="FFFFFF"/>
          <w14:textFill>
            <w14:solidFill>
              <w14:schemeClr w14:val="tx1"/>
            </w14:solidFill>
          </w14:textFill>
        </w:rPr>
        <w:t>法定代表人：</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spacing w:val="8"/>
          <w:highlight w:val="none"/>
          <w:shd w:val="clear" w:color="auto" w:fill="FFFFFF"/>
          <w14:textFill>
            <w14:solidFill>
              <w14:schemeClr w14:val="tx1"/>
            </w14:solidFill>
          </w14:textFill>
        </w:rPr>
        <w:t>（</w:t>
      </w:r>
      <w:r>
        <w:rPr>
          <w:rFonts w:hint="eastAsia" w:ascii="宋体" w:hAnsi="宋体"/>
          <w:color w:val="000000" w:themeColor="text1"/>
          <w:highlight w:val="none"/>
          <w:lang w:val="zh-CN"/>
          <w14:textFill>
            <w14:solidFill>
              <w14:schemeClr w14:val="tx1"/>
            </w14:solidFill>
          </w14:textFill>
        </w:rPr>
        <w:t>电子签章</w:t>
      </w:r>
      <w:r>
        <w:rPr>
          <w:rFonts w:hint="eastAsia" w:ascii="宋体" w:hAnsi="宋体"/>
          <w:color w:val="000000" w:themeColor="text1"/>
          <w:spacing w:val="8"/>
          <w:highlight w:val="none"/>
          <w:shd w:val="clear" w:color="auto" w:fill="FFFFFF"/>
          <w14:textFill>
            <w14:solidFill>
              <w14:schemeClr w14:val="tx1"/>
            </w14:solidFill>
          </w14:textFill>
        </w:rPr>
        <w:t>）</w:t>
      </w:r>
    </w:p>
    <w:p w14:paraId="2DEDC49A">
      <w:pPr>
        <w:pStyle w:val="64"/>
        <w:shd w:val="clear" w:color="auto" w:fill="FFFFFF"/>
        <w:spacing w:line="360" w:lineRule="auto"/>
        <w:ind w:firstLine="46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日       期：</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月</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w:t>
      </w:r>
    </w:p>
    <w:p w14:paraId="3690991A">
      <w:pPr>
        <w:jc w:val="center"/>
        <w:rPr>
          <w:rFonts w:hint="eastAsia" w:ascii="宋体" w:hAnsi="宋体"/>
          <w:b/>
          <w:bCs/>
          <w:color w:val="000000" w:themeColor="text1"/>
          <w:sz w:val="32"/>
          <w:szCs w:val="32"/>
          <w:highlight w:val="none"/>
          <w14:textFill>
            <w14:solidFill>
              <w14:schemeClr w14:val="tx1"/>
            </w14:solidFill>
          </w14:textFill>
        </w:rPr>
      </w:pPr>
    </w:p>
    <w:p w14:paraId="59844D6A">
      <w:pPr>
        <w:rPr>
          <w:rFonts w:hint="eastAsia" w:ascii="宋体" w:hAnsi="宋体"/>
          <w:color w:val="000000" w:themeColor="text1"/>
          <w:highlight w:val="none"/>
          <w14:textFill>
            <w14:solidFill>
              <w14:schemeClr w14:val="tx1"/>
            </w14:solidFill>
          </w14:textFill>
        </w:rPr>
      </w:pPr>
    </w:p>
    <w:p w14:paraId="47846B7D">
      <w:pPr>
        <w:rPr>
          <w:rFonts w:hint="eastAsia" w:ascii="宋体" w:hAnsi="宋体"/>
          <w:color w:val="000000" w:themeColor="text1"/>
          <w:highlight w:val="none"/>
          <w14:textFill>
            <w14:solidFill>
              <w14:schemeClr w14:val="tx1"/>
            </w14:solidFill>
          </w14:textFill>
        </w:rPr>
      </w:pPr>
    </w:p>
    <w:p w14:paraId="4D4F1955">
      <w:pPr>
        <w:rPr>
          <w:rFonts w:hint="eastAsia" w:ascii="宋体" w:hAnsi="宋体"/>
          <w:color w:val="000000" w:themeColor="text1"/>
          <w:highlight w:val="none"/>
          <w14:textFill>
            <w14:solidFill>
              <w14:schemeClr w14:val="tx1"/>
            </w14:solidFill>
          </w14:textFill>
        </w:rPr>
      </w:pPr>
    </w:p>
    <w:bookmarkEnd w:id="145"/>
    <w:p w14:paraId="70109E6B">
      <w:pPr>
        <w:jc w:val="center"/>
        <w:outlineLvl w:val="1"/>
        <w:rPr>
          <w:rFonts w:hint="eastAsia" w:ascii="宋体" w:hAnsi="宋体"/>
          <w:b/>
          <w:bCs/>
          <w:color w:val="000000" w:themeColor="text1"/>
          <w:sz w:val="32"/>
          <w:szCs w:val="32"/>
          <w:highlight w:val="none"/>
          <w14:textFill>
            <w14:solidFill>
              <w14:schemeClr w14:val="tx1"/>
            </w14:solidFill>
          </w14:textFill>
        </w:rPr>
      </w:pPr>
      <w:bookmarkStart w:id="150" w:name="_Toc28677"/>
      <w:bookmarkStart w:id="151" w:name="_Toc24433"/>
      <w:r>
        <w:rPr>
          <w:rFonts w:hint="eastAsia" w:ascii="宋体" w:hAnsi="宋体"/>
          <w:b/>
          <w:bCs/>
          <w:color w:val="000000" w:themeColor="text1"/>
          <w:sz w:val="32"/>
          <w:szCs w:val="32"/>
          <w:highlight w:val="none"/>
          <w14:textFill>
            <w14:solidFill>
              <w14:schemeClr w14:val="tx1"/>
            </w14:solidFill>
          </w14:textFill>
        </w:rPr>
        <w:t>八．资格审查资料</w:t>
      </w:r>
      <w:bookmarkEnd w:id="150"/>
      <w:bookmarkEnd w:id="151"/>
    </w:p>
    <w:p w14:paraId="4237A1F0">
      <w:pPr>
        <w:jc w:val="center"/>
        <w:rPr>
          <w:rFonts w:hint="eastAsia" w:ascii="宋体" w:hAnsi="宋体"/>
          <w:color w:val="000000" w:themeColor="text1"/>
          <w:sz w:val="44"/>
          <w:szCs w:val="44"/>
          <w:highlight w:val="none"/>
          <w14:textFill>
            <w14:solidFill>
              <w14:schemeClr w14:val="tx1"/>
            </w14:solidFill>
          </w14:textFill>
        </w:rPr>
      </w:pPr>
    </w:p>
    <w:p w14:paraId="69156464">
      <w:pPr>
        <w:spacing w:line="440" w:lineRule="exact"/>
        <w:rPr>
          <w:rFonts w:hint="eastAsia" w:ascii="宋体" w:hAnsi="宋体"/>
          <w:color w:val="000000" w:themeColor="text1"/>
          <w:sz w:val="24"/>
          <w:szCs w:val="24"/>
          <w:highlight w:val="none"/>
          <w14:textFill>
            <w14:solidFill>
              <w14:schemeClr w14:val="tx1"/>
            </w14:solidFill>
          </w14:textFill>
        </w:rPr>
      </w:pPr>
    </w:p>
    <w:p w14:paraId="75EB2E81">
      <w:pPr>
        <w:spacing w:line="440" w:lineRule="exact"/>
        <w:rPr>
          <w:rFonts w:hint="eastAsia" w:ascii="宋体" w:hAnsi="宋体"/>
          <w:color w:val="000000" w:themeColor="text1"/>
          <w:sz w:val="24"/>
          <w:szCs w:val="24"/>
          <w:highlight w:val="none"/>
          <w14:textFill>
            <w14:solidFill>
              <w14:schemeClr w14:val="tx1"/>
            </w14:solidFill>
          </w14:textFill>
        </w:rPr>
      </w:pPr>
    </w:p>
    <w:p w14:paraId="4B1C454D">
      <w:pPr>
        <w:spacing w:line="440" w:lineRule="exact"/>
        <w:rPr>
          <w:rFonts w:hint="eastAsia" w:ascii="宋体" w:hAnsi="宋体"/>
          <w:color w:val="000000" w:themeColor="text1"/>
          <w:sz w:val="24"/>
          <w:szCs w:val="24"/>
          <w:highlight w:val="none"/>
          <w14:textFill>
            <w14:solidFill>
              <w14:schemeClr w14:val="tx1"/>
            </w14:solidFill>
          </w14:textFill>
        </w:rPr>
      </w:pPr>
    </w:p>
    <w:p w14:paraId="5D4ECF44">
      <w:pPr>
        <w:spacing w:line="440" w:lineRule="exact"/>
        <w:rPr>
          <w:rFonts w:hint="eastAsia" w:ascii="宋体" w:hAnsi="宋体"/>
          <w:color w:val="000000" w:themeColor="text1"/>
          <w:sz w:val="24"/>
          <w:szCs w:val="24"/>
          <w:highlight w:val="none"/>
          <w14:textFill>
            <w14:solidFill>
              <w14:schemeClr w14:val="tx1"/>
            </w14:solidFill>
          </w14:textFill>
        </w:rPr>
      </w:pPr>
    </w:p>
    <w:p w14:paraId="2447693D">
      <w:pPr>
        <w:spacing w:line="440" w:lineRule="exact"/>
        <w:jc w:val="center"/>
        <w:rPr>
          <w:rFonts w:hint="eastAsia" w:ascii="宋体" w:hAnsi="宋体"/>
          <w:b/>
          <w:bCs/>
          <w:color w:val="000000" w:themeColor="text1"/>
          <w:sz w:val="24"/>
          <w:szCs w:val="24"/>
          <w:highlight w:val="none"/>
          <w14:textFill>
            <w14:solidFill>
              <w14:schemeClr w14:val="tx1"/>
            </w14:solidFill>
          </w14:textFill>
        </w:rPr>
      </w:pPr>
    </w:p>
    <w:p w14:paraId="1D0D5B0B">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7773A500">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1CF65951">
      <w:pPr>
        <w:spacing w:line="440" w:lineRule="exact"/>
        <w:jc w:val="center"/>
        <w:outlineLvl w:val="1"/>
        <w:rPr>
          <w:rFonts w:hint="eastAsia" w:ascii="宋体" w:hAnsi="宋体"/>
          <w:b/>
          <w:bCs/>
          <w:color w:val="000000" w:themeColor="text1"/>
          <w:sz w:val="32"/>
          <w:szCs w:val="32"/>
          <w:highlight w:val="none"/>
          <w14:textFill>
            <w14:solidFill>
              <w14:schemeClr w14:val="tx1"/>
            </w14:solidFill>
          </w14:textFill>
        </w:rPr>
      </w:pPr>
      <w:bookmarkStart w:id="152" w:name="_Toc28614"/>
      <w:bookmarkEnd w:id="152"/>
      <w:r>
        <w:rPr>
          <w:rFonts w:hint="eastAsia" w:ascii="宋体" w:hAnsi="宋体"/>
          <w:b/>
          <w:bCs/>
          <w:color w:val="000000" w:themeColor="text1"/>
          <w:sz w:val="32"/>
          <w:szCs w:val="32"/>
          <w:highlight w:val="none"/>
          <w14:textFill>
            <w14:solidFill>
              <w14:schemeClr w14:val="tx1"/>
            </w14:solidFill>
          </w14:textFill>
        </w:rPr>
        <w:br w:type="page"/>
      </w:r>
      <w:bookmarkStart w:id="153" w:name="_Toc3669"/>
      <w:bookmarkStart w:id="154" w:name="_Toc359"/>
      <w:r>
        <w:rPr>
          <w:rFonts w:hint="eastAsia" w:ascii="宋体" w:hAnsi="宋体"/>
          <w:b/>
          <w:bCs/>
          <w:color w:val="000000" w:themeColor="text1"/>
          <w:sz w:val="32"/>
          <w:szCs w:val="32"/>
          <w:highlight w:val="none"/>
          <w14:textFill>
            <w14:solidFill>
              <w14:schemeClr w14:val="tx1"/>
            </w14:solidFill>
          </w14:textFill>
        </w:rPr>
        <w:t>九．投标人认为有必要的其它资料</w:t>
      </w:r>
      <w:bookmarkEnd w:id="153"/>
      <w:bookmarkEnd w:id="154"/>
    </w:p>
    <w:p w14:paraId="252A17D4">
      <w:pPr>
        <w:spacing w:line="440" w:lineRule="exact"/>
        <w:jc w:val="center"/>
        <w:rPr>
          <w:rFonts w:hint="eastAsia" w:ascii="宋体" w:hAnsi="宋体"/>
          <w:b/>
          <w:bCs/>
          <w:color w:val="000000" w:themeColor="text1"/>
          <w:sz w:val="24"/>
          <w:szCs w:val="24"/>
          <w:highlight w:val="none"/>
          <w14:textFill>
            <w14:solidFill>
              <w14:schemeClr w14:val="tx1"/>
            </w14:solidFill>
          </w14:textFill>
        </w:rPr>
      </w:pPr>
    </w:p>
    <w:p w14:paraId="65FD72EB">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01F0498C">
      <w:pPr>
        <w:rPr>
          <w:rFonts w:hint="eastAsia" w:ascii="宋体" w:hAnsi="宋体"/>
          <w:color w:val="000000" w:themeColor="text1"/>
          <w:highlight w:val="none"/>
          <w14:textFill>
            <w14:solidFill>
              <w14:schemeClr w14:val="tx1"/>
            </w14:solidFill>
          </w14:textFill>
        </w:rPr>
      </w:pPr>
    </w:p>
    <w:p w14:paraId="2A913F22">
      <w:pPr>
        <w:rPr>
          <w:rFonts w:hint="eastAsia" w:ascii="宋体" w:hAnsi="宋体"/>
          <w:color w:val="000000" w:themeColor="text1"/>
          <w:highlight w:val="none"/>
          <w14:textFill>
            <w14:solidFill>
              <w14:schemeClr w14:val="tx1"/>
            </w14:solidFill>
          </w14:textFill>
        </w:rPr>
      </w:pPr>
    </w:p>
    <w:p w14:paraId="09DE617E">
      <w:pPr>
        <w:rPr>
          <w:rFonts w:hint="eastAsia" w:ascii="宋体" w:hAnsi="宋体"/>
          <w:color w:val="000000" w:themeColor="text1"/>
          <w:highlight w:val="none"/>
          <w14:textFill>
            <w14:solidFill>
              <w14:schemeClr w14:val="tx1"/>
            </w14:solidFill>
          </w14:textFill>
        </w:rPr>
      </w:pPr>
    </w:p>
    <w:p w14:paraId="06294B67">
      <w:pPr>
        <w:pStyle w:val="51"/>
        <w:rPr>
          <w:rFonts w:hint="eastAsia" w:ascii="宋体" w:hAnsi="宋体"/>
          <w:color w:val="000000" w:themeColor="text1"/>
          <w:highlight w:val="none"/>
          <w14:textFill>
            <w14:solidFill>
              <w14:schemeClr w14:val="tx1"/>
            </w14:solidFill>
          </w14:textFill>
        </w:rPr>
      </w:pPr>
    </w:p>
    <w:p w14:paraId="4A2BF658">
      <w:pPr>
        <w:pStyle w:val="51"/>
        <w:rPr>
          <w:rFonts w:hint="eastAsia" w:ascii="宋体" w:hAnsi="宋体"/>
          <w:color w:val="000000" w:themeColor="text1"/>
          <w:highlight w:val="none"/>
          <w14:textFill>
            <w14:solidFill>
              <w14:schemeClr w14:val="tx1"/>
            </w14:solidFill>
          </w14:textFill>
        </w:rPr>
      </w:pPr>
    </w:p>
    <w:p w14:paraId="4CD2154B">
      <w:pPr>
        <w:pStyle w:val="51"/>
        <w:rPr>
          <w:rFonts w:hint="eastAsia" w:ascii="宋体" w:hAnsi="宋体"/>
          <w:color w:val="000000" w:themeColor="text1"/>
          <w:highlight w:val="none"/>
          <w14:textFill>
            <w14:solidFill>
              <w14:schemeClr w14:val="tx1"/>
            </w14:solidFill>
          </w14:textFill>
        </w:rPr>
      </w:pPr>
    </w:p>
    <w:p w14:paraId="2B2C258F">
      <w:pPr>
        <w:pStyle w:val="51"/>
        <w:rPr>
          <w:rFonts w:hint="eastAsia" w:ascii="宋体" w:hAnsi="宋体"/>
          <w:color w:val="000000" w:themeColor="text1"/>
          <w:highlight w:val="none"/>
          <w14:textFill>
            <w14:solidFill>
              <w14:schemeClr w14:val="tx1"/>
            </w14:solidFill>
          </w14:textFill>
        </w:rPr>
      </w:pPr>
    </w:p>
    <w:p w14:paraId="4D6B073A">
      <w:pPr>
        <w:pStyle w:val="51"/>
        <w:rPr>
          <w:rFonts w:hint="eastAsia" w:ascii="宋体" w:hAnsi="宋体"/>
          <w:color w:val="000000" w:themeColor="text1"/>
          <w:highlight w:val="none"/>
          <w14:textFill>
            <w14:solidFill>
              <w14:schemeClr w14:val="tx1"/>
            </w14:solidFill>
          </w14:textFill>
        </w:rPr>
      </w:pPr>
    </w:p>
    <w:p w14:paraId="76BAF92E">
      <w:pPr>
        <w:pStyle w:val="51"/>
        <w:rPr>
          <w:rFonts w:hint="eastAsia" w:ascii="宋体" w:hAnsi="宋体"/>
          <w:color w:val="000000" w:themeColor="text1"/>
          <w:highlight w:val="none"/>
          <w14:textFill>
            <w14:solidFill>
              <w14:schemeClr w14:val="tx1"/>
            </w14:solidFill>
          </w14:textFill>
        </w:rPr>
      </w:pPr>
    </w:p>
    <w:p w14:paraId="5AE68BDE">
      <w:pPr>
        <w:pStyle w:val="51"/>
        <w:rPr>
          <w:rFonts w:hint="eastAsia" w:ascii="宋体" w:hAnsi="宋体"/>
          <w:color w:val="000000" w:themeColor="text1"/>
          <w:highlight w:val="none"/>
          <w14:textFill>
            <w14:solidFill>
              <w14:schemeClr w14:val="tx1"/>
            </w14:solidFill>
          </w14:textFill>
        </w:rPr>
      </w:pPr>
    </w:p>
    <w:p w14:paraId="4FF9A768">
      <w:pPr>
        <w:pStyle w:val="51"/>
        <w:rPr>
          <w:rFonts w:hint="eastAsia" w:ascii="宋体" w:hAnsi="宋体"/>
          <w:color w:val="000000" w:themeColor="text1"/>
          <w:highlight w:val="none"/>
          <w14:textFill>
            <w14:solidFill>
              <w14:schemeClr w14:val="tx1"/>
            </w14:solidFill>
          </w14:textFill>
        </w:rPr>
      </w:pPr>
    </w:p>
    <w:p w14:paraId="24FEE041">
      <w:pPr>
        <w:pStyle w:val="51"/>
        <w:rPr>
          <w:rFonts w:hint="eastAsia" w:ascii="宋体" w:hAnsi="宋体"/>
          <w:color w:val="000000" w:themeColor="text1"/>
          <w:highlight w:val="none"/>
          <w14:textFill>
            <w14:solidFill>
              <w14:schemeClr w14:val="tx1"/>
            </w14:solidFill>
          </w14:textFill>
        </w:rPr>
      </w:pPr>
    </w:p>
    <w:p w14:paraId="5D6A0469">
      <w:pPr>
        <w:pStyle w:val="51"/>
        <w:rPr>
          <w:rFonts w:hint="eastAsia" w:ascii="宋体" w:hAnsi="宋体"/>
          <w:color w:val="000000" w:themeColor="text1"/>
          <w:highlight w:val="none"/>
          <w14:textFill>
            <w14:solidFill>
              <w14:schemeClr w14:val="tx1"/>
            </w14:solidFill>
          </w14:textFill>
        </w:rPr>
      </w:pPr>
    </w:p>
    <w:p w14:paraId="17952492">
      <w:pPr>
        <w:pStyle w:val="51"/>
        <w:rPr>
          <w:rFonts w:hint="eastAsia" w:ascii="宋体" w:hAnsi="宋体"/>
          <w:color w:val="000000" w:themeColor="text1"/>
          <w:highlight w:val="none"/>
          <w14:textFill>
            <w14:solidFill>
              <w14:schemeClr w14:val="tx1"/>
            </w14:solidFill>
          </w14:textFill>
        </w:rPr>
      </w:pPr>
    </w:p>
    <w:p w14:paraId="2E9E5EF1">
      <w:pPr>
        <w:spacing w:line="276" w:lineRule="auto"/>
        <w:jc w:val="center"/>
        <w:rPr>
          <w:rFonts w:hint="eastAsia" w:ascii="宋体" w:hAnsi="宋体"/>
          <w:color w:val="000000" w:themeColor="text1"/>
          <w:sz w:val="30"/>
          <w:szCs w:val="30"/>
          <w:highlight w:val="none"/>
          <w14:textFill>
            <w14:solidFill>
              <w14:schemeClr w14:val="tx1"/>
            </w14:solidFill>
          </w14:textFill>
        </w:rPr>
      </w:pPr>
    </w:p>
    <w:p w14:paraId="3AE97FF0">
      <w:pPr>
        <w:spacing w:line="276" w:lineRule="auto"/>
        <w:jc w:val="center"/>
        <w:rPr>
          <w:rFonts w:hint="eastAsia" w:ascii="宋体" w:hAnsi="宋体"/>
          <w:color w:val="000000" w:themeColor="text1"/>
          <w:sz w:val="30"/>
          <w:szCs w:val="30"/>
          <w:highlight w:val="none"/>
          <w14:textFill>
            <w14:solidFill>
              <w14:schemeClr w14:val="tx1"/>
            </w14:solidFill>
          </w14:textFill>
        </w:rPr>
      </w:pPr>
    </w:p>
    <w:p w14:paraId="24782A34">
      <w:pPr>
        <w:spacing w:line="276" w:lineRule="auto"/>
        <w:jc w:val="center"/>
        <w:rPr>
          <w:rFonts w:hint="eastAsia" w:ascii="宋体" w:hAnsi="宋体"/>
          <w:color w:val="000000" w:themeColor="text1"/>
          <w:sz w:val="30"/>
          <w:szCs w:val="30"/>
          <w:highlight w:val="none"/>
          <w14:textFill>
            <w14:solidFill>
              <w14:schemeClr w14:val="tx1"/>
            </w14:solidFill>
          </w14:textFill>
        </w:rPr>
      </w:pPr>
    </w:p>
    <w:p w14:paraId="13DD5AF1">
      <w:pPr>
        <w:spacing w:line="276" w:lineRule="auto"/>
        <w:jc w:val="center"/>
        <w:rPr>
          <w:rFonts w:hint="eastAsia" w:ascii="宋体" w:hAnsi="宋体"/>
          <w:color w:val="000000" w:themeColor="text1"/>
          <w:sz w:val="30"/>
          <w:szCs w:val="30"/>
          <w:highlight w:val="none"/>
          <w14:textFill>
            <w14:solidFill>
              <w14:schemeClr w14:val="tx1"/>
            </w14:solidFill>
          </w14:textFill>
        </w:rPr>
      </w:pPr>
    </w:p>
    <w:p w14:paraId="49461A9A">
      <w:pPr>
        <w:spacing w:line="276" w:lineRule="auto"/>
        <w:jc w:val="center"/>
        <w:rPr>
          <w:rFonts w:hint="eastAsia" w:ascii="宋体" w:hAnsi="宋体"/>
          <w:color w:val="000000" w:themeColor="text1"/>
          <w:sz w:val="30"/>
          <w:szCs w:val="30"/>
          <w:highlight w:val="none"/>
          <w14:textFill>
            <w14:solidFill>
              <w14:schemeClr w14:val="tx1"/>
            </w14:solidFill>
          </w14:textFill>
        </w:rPr>
      </w:pPr>
    </w:p>
    <w:p w14:paraId="1327152F">
      <w:pPr>
        <w:spacing w:line="276" w:lineRule="auto"/>
        <w:jc w:val="center"/>
        <w:rPr>
          <w:rFonts w:hint="eastAsia" w:ascii="宋体" w:hAnsi="宋体"/>
          <w:color w:val="000000" w:themeColor="text1"/>
          <w:sz w:val="30"/>
          <w:szCs w:val="30"/>
          <w:highlight w:val="none"/>
          <w14:textFill>
            <w14:solidFill>
              <w14:schemeClr w14:val="tx1"/>
            </w14:solidFill>
          </w14:textFill>
        </w:rPr>
      </w:pPr>
    </w:p>
    <w:p w14:paraId="30D3DF04">
      <w:pPr>
        <w:spacing w:line="276" w:lineRule="auto"/>
        <w:jc w:val="center"/>
        <w:rPr>
          <w:rFonts w:hint="eastAsia" w:ascii="宋体" w:hAnsi="宋体"/>
          <w:color w:val="000000" w:themeColor="text1"/>
          <w:sz w:val="30"/>
          <w:szCs w:val="30"/>
          <w:highlight w:val="none"/>
          <w14:textFill>
            <w14:solidFill>
              <w14:schemeClr w14:val="tx1"/>
            </w14:solidFill>
          </w14:textFill>
        </w:rPr>
      </w:pPr>
    </w:p>
    <w:p w14:paraId="35FD65C1">
      <w:pPr>
        <w:spacing w:line="276" w:lineRule="auto"/>
        <w:jc w:val="left"/>
        <w:rPr>
          <w:rFonts w:ascii="宋体" w:hAnsi="Courier New"/>
          <w:b/>
          <w:bCs/>
          <w:color w:val="000000" w:themeColor="text1"/>
          <w:kern w:val="0"/>
          <w:sz w:val="28"/>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br w:type="page"/>
      </w:r>
      <w:r>
        <w:rPr>
          <w:rFonts w:hint="eastAsia"/>
          <w:b/>
          <w:bCs/>
          <w:color w:val="000000" w:themeColor="text1"/>
          <w:sz w:val="28"/>
          <w:szCs w:val="24"/>
          <w:highlight w:val="none"/>
          <w14:textFill>
            <w14:solidFill>
              <w14:schemeClr w14:val="tx1"/>
            </w14:solidFill>
          </w14:textFill>
        </w:rPr>
        <w:t>附件1：</w:t>
      </w:r>
      <w:r>
        <w:rPr>
          <w:rFonts w:hint="eastAsia" w:ascii="宋体" w:hAnsi="Courier New"/>
          <w:b/>
          <w:bCs/>
          <w:color w:val="000000" w:themeColor="text1"/>
          <w:kern w:val="0"/>
          <w:sz w:val="28"/>
          <w:szCs w:val="24"/>
          <w:highlight w:val="none"/>
          <w14:textFill>
            <w14:solidFill>
              <w14:schemeClr w14:val="tx1"/>
            </w14:solidFill>
          </w14:textFill>
        </w:rPr>
        <w:t>河南省政府采购合同融资告知函</w:t>
      </w:r>
    </w:p>
    <w:p w14:paraId="5366C651">
      <w:pPr>
        <w:spacing w:line="480" w:lineRule="exact"/>
        <w:ind w:firstLine="480" w:firstLineChars="200"/>
        <w:rPr>
          <w:rFonts w:hint="eastAsia" w:ascii="宋体" w:hAnsi="宋体"/>
          <w:color w:val="000000" w:themeColor="text1"/>
          <w:sz w:val="24"/>
          <w:highlight w:val="none"/>
          <w14:textFill>
            <w14:solidFill>
              <w14:schemeClr w14:val="tx1"/>
            </w14:solidFill>
          </w14:textFill>
        </w:rPr>
      </w:pPr>
    </w:p>
    <w:p w14:paraId="6635C14B">
      <w:pPr>
        <w:spacing w:line="48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各供应商：</w:t>
      </w:r>
    </w:p>
    <w:p w14:paraId="797AEB73">
      <w:pPr>
        <w:spacing w:line="48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欢迎贵公司参与河南省政府采购活动！</w:t>
      </w:r>
    </w:p>
    <w:p w14:paraId="5B094C7A">
      <w:pPr>
        <w:spacing w:line="48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16B41C68">
      <w:pPr>
        <w:spacing w:line="48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贷款渠道和提供贷款的金融机构，可在河南省政府采购网“河南省政府采购合同融资平台”查询联系。</w:t>
      </w:r>
    </w:p>
    <w:p w14:paraId="7CB104A5">
      <w:pPr>
        <w:widowControl w:val="0"/>
        <w:spacing w:after="120"/>
        <w:ind w:firstLine="300" w:firstLineChars="100"/>
        <w:rPr>
          <w:rFonts w:hint="eastAsia" w:ascii="宋体" w:hAnsi="宋体"/>
          <w:color w:val="000000" w:themeColor="text1"/>
          <w:kern w:val="0"/>
          <w:sz w:val="30"/>
          <w:szCs w:val="30"/>
          <w:highlight w:val="none"/>
          <w14:textFill>
            <w14:solidFill>
              <w14:schemeClr w14:val="tx1"/>
            </w14:solidFill>
          </w14:textFill>
        </w:rPr>
      </w:pPr>
    </w:p>
    <w:p w14:paraId="3F622A6E">
      <w:pPr>
        <w:rPr>
          <w:color w:val="000000" w:themeColor="text1"/>
          <w:highlight w:val="none"/>
          <w14:textFill>
            <w14:solidFill>
              <w14:schemeClr w14:val="tx1"/>
            </w14:solidFill>
          </w14:textFill>
        </w:rPr>
      </w:pPr>
    </w:p>
    <w:p w14:paraId="57B006A9">
      <w:pPr>
        <w:widowControl w:val="0"/>
        <w:ind w:firstLine="420"/>
        <w:rPr>
          <w:rFonts w:hint="eastAsia" w:ascii="宋体" w:hAnsi="宋体"/>
          <w:color w:val="000000" w:themeColor="text1"/>
          <w:sz w:val="30"/>
          <w:szCs w:val="30"/>
          <w:highlight w:val="none"/>
          <w14:textFill>
            <w14:solidFill>
              <w14:schemeClr w14:val="tx1"/>
            </w14:solidFill>
          </w14:textFill>
        </w:rPr>
      </w:pPr>
    </w:p>
    <w:p w14:paraId="27739ABC">
      <w:pPr>
        <w:spacing w:before="100" w:beforeAutospacing="1" w:after="100" w:afterAutospacing="1"/>
        <w:jc w:val="left"/>
        <w:rPr>
          <w:rFonts w:hint="eastAsia" w:ascii="宋体" w:hAnsi="宋体"/>
          <w:color w:val="000000" w:themeColor="text1"/>
          <w:kern w:val="0"/>
          <w:sz w:val="30"/>
          <w:szCs w:val="30"/>
          <w:highlight w:val="none"/>
          <w14:textFill>
            <w14:solidFill>
              <w14:schemeClr w14:val="tx1"/>
            </w14:solidFill>
          </w14:textFill>
        </w:rPr>
      </w:pPr>
    </w:p>
    <w:p w14:paraId="4616C33B">
      <w:pPr>
        <w:spacing w:before="100" w:beforeAutospacing="1" w:after="100" w:afterAutospacing="1"/>
        <w:jc w:val="left"/>
        <w:rPr>
          <w:rFonts w:hint="eastAsia" w:ascii="宋体" w:hAnsi="宋体"/>
          <w:color w:val="000000" w:themeColor="text1"/>
          <w:kern w:val="0"/>
          <w:sz w:val="30"/>
          <w:szCs w:val="30"/>
          <w:highlight w:val="none"/>
          <w14:textFill>
            <w14:solidFill>
              <w14:schemeClr w14:val="tx1"/>
            </w14:solidFill>
          </w14:textFill>
        </w:rPr>
      </w:pPr>
    </w:p>
    <w:p w14:paraId="1489195A">
      <w:pPr>
        <w:spacing w:before="100" w:beforeAutospacing="1" w:after="100" w:afterAutospacing="1"/>
        <w:jc w:val="left"/>
        <w:rPr>
          <w:rFonts w:hint="eastAsia" w:ascii="宋体" w:hAnsi="宋体"/>
          <w:color w:val="000000" w:themeColor="text1"/>
          <w:kern w:val="0"/>
          <w:sz w:val="30"/>
          <w:szCs w:val="30"/>
          <w:highlight w:val="none"/>
          <w14:textFill>
            <w14:solidFill>
              <w14:schemeClr w14:val="tx1"/>
            </w14:solidFill>
          </w14:textFill>
        </w:rPr>
      </w:pPr>
    </w:p>
    <w:p w14:paraId="4E6EC7F5">
      <w:pPr>
        <w:spacing w:before="100" w:beforeAutospacing="1" w:after="100" w:afterAutospacing="1"/>
        <w:jc w:val="left"/>
        <w:rPr>
          <w:rFonts w:hint="eastAsia" w:ascii="宋体" w:hAnsi="宋体"/>
          <w:color w:val="000000" w:themeColor="text1"/>
          <w:kern w:val="0"/>
          <w:sz w:val="30"/>
          <w:szCs w:val="30"/>
          <w:highlight w:val="none"/>
          <w14:textFill>
            <w14:solidFill>
              <w14:schemeClr w14:val="tx1"/>
            </w14:solidFill>
          </w14:textFill>
        </w:rPr>
      </w:pPr>
    </w:p>
    <w:p w14:paraId="4274F36F">
      <w:pPr>
        <w:spacing w:before="100" w:beforeAutospacing="1" w:after="100" w:afterAutospacing="1"/>
        <w:jc w:val="left"/>
        <w:rPr>
          <w:rFonts w:hint="eastAsia" w:ascii="宋体" w:hAnsi="宋体"/>
          <w:color w:val="000000" w:themeColor="text1"/>
          <w:kern w:val="0"/>
          <w:sz w:val="30"/>
          <w:szCs w:val="30"/>
          <w:highlight w:val="none"/>
          <w14:textFill>
            <w14:solidFill>
              <w14:schemeClr w14:val="tx1"/>
            </w14:solidFill>
          </w14:textFill>
        </w:rPr>
      </w:pPr>
    </w:p>
    <w:p w14:paraId="71AED6CD">
      <w:pPr>
        <w:spacing w:before="100" w:beforeAutospacing="1" w:after="100" w:afterAutospacing="1"/>
        <w:jc w:val="left"/>
        <w:rPr>
          <w:rFonts w:hint="eastAsia" w:ascii="宋体" w:hAnsi="宋体"/>
          <w:color w:val="000000" w:themeColor="text1"/>
          <w:kern w:val="0"/>
          <w:sz w:val="30"/>
          <w:szCs w:val="30"/>
          <w:highlight w:val="none"/>
          <w14:textFill>
            <w14:solidFill>
              <w14:schemeClr w14:val="tx1"/>
            </w14:solidFill>
          </w14:textFill>
        </w:rPr>
      </w:pPr>
    </w:p>
    <w:p w14:paraId="589422A5">
      <w:pPr>
        <w:spacing w:line="276" w:lineRule="auto"/>
        <w:jc w:val="left"/>
        <w:rPr>
          <w:rFonts w:hint="eastAsia" w:ascii="宋体" w:hAnsi="宋体"/>
          <w:color w:val="000000" w:themeColor="text1"/>
          <w:sz w:val="30"/>
          <w:szCs w:val="30"/>
          <w:highlight w:val="none"/>
          <w14:textFill>
            <w14:solidFill>
              <w14:schemeClr w14:val="tx1"/>
            </w14:solidFill>
          </w14:textFill>
        </w:rPr>
      </w:pPr>
    </w:p>
    <w:p w14:paraId="4581FE81">
      <w:pPr>
        <w:spacing w:line="276" w:lineRule="auto"/>
        <w:jc w:val="left"/>
        <w:rPr>
          <w:rFonts w:ascii="宋体" w:hAnsi="Courier New"/>
          <w:b/>
          <w:bCs/>
          <w:color w:val="000000" w:themeColor="text1"/>
          <w:kern w:val="0"/>
          <w:sz w:val="28"/>
          <w:szCs w:val="24"/>
          <w:highlight w:val="none"/>
          <w14:textFill>
            <w14:solidFill>
              <w14:schemeClr w14:val="tx1"/>
            </w14:solidFill>
          </w14:textFill>
        </w:rPr>
      </w:pPr>
      <w:r>
        <w:rPr>
          <w:rFonts w:hint="eastAsia" w:ascii="宋体" w:hAnsi="Courier New"/>
          <w:b/>
          <w:bCs/>
          <w:color w:val="000000" w:themeColor="text1"/>
          <w:kern w:val="0"/>
          <w:sz w:val="28"/>
          <w:szCs w:val="24"/>
          <w:highlight w:val="none"/>
          <w14:textFill>
            <w14:solidFill>
              <w14:schemeClr w14:val="tx1"/>
            </w14:solidFill>
          </w14:textFill>
        </w:rPr>
        <w:t>附件2：小微企业需提供声明函</w:t>
      </w:r>
    </w:p>
    <w:p w14:paraId="16CB5DB8">
      <w:pPr>
        <w:pStyle w:val="10"/>
        <w:ind w:firstLine="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Courier New"/>
          <w:b/>
          <w:bCs/>
          <w:color w:val="000000" w:themeColor="text1"/>
          <w:kern w:val="0"/>
          <w:sz w:val="28"/>
          <w:szCs w:val="24"/>
          <w:highlight w:val="none"/>
          <w14:textFill>
            <w14:solidFill>
              <w14:schemeClr w14:val="tx1"/>
            </w14:solidFill>
          </w14:textFill>
        </w:rPr>
        <w:t>中小企业声明函（货物）（如有）</w:t>
      </w:r>
    </w:p>
    <w:p w14:paraId="3546DBAB">
      <w:pPr>
        <w:spacing w:line="6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本公司（联合体）郑重声明，根据《政府采购促进中小企业发展管理办法》 （财库﹝2020﹞46 号）的规定，本公司（联合体）参加</w:t>
      </w:r>
      <w:r>
        <w:rPr>
          <w:rFonts w:hint="eastAsia" w:ascii="宋体" w:hAnsi="宋体"/>
          <w:color w:val="000000" w:themeColor="text1"/>
          <w:sz w:val="24"/>
          <w:highlight w:val="none"/>
          <w:u w:val="single"/>
          <w14:textFill>
            <w14:solidFill>
              <w14:schemeClr w14:val="tx1"/>
            </w14:solidFill>
          </w14:textFill>
        </w:rPr>
        <w:t xml:space="preserve"> （单位名称） </w:t>
      </w:r>
      <w:r>
        <w:rPr>
          <w:rFonts w:hint="eastAsia" w:ascii="宋体" w:hAnsi="宋体"/>
          <w:color w:val="000000" w:themeColor="text1"/>
          <w:sz w:val="24"/>
          <w:highlight w:val="none"/>
          <w14:textFill>
            <w14:solidFill>
              <w14:schemeClr w14:val="tx1"/>
            </w14:solidFill>
          </w14:textFill>
        </w:rPr>
        <w:t>的</w:t>
      </w:r>
      <w:r>
        <w:rPr>
          <w:rFonts w:hint="eastAsia" w:ascii="宋体" w:hAnsi="宋体"/>
          <w:color w:val="000000" w:themeColor="text1"/>
          <w:sz w:val="24"/>
          <w:highlight w:val="none"/>
          <w:u w:val="single"/>
          <w14:textFill>
            <w14:solidFill>
              <w14:schemeClr w14:val="tx1"/>
            </w14:solidFill>
          </w14:textFill>
        </w:rPr>
        <w:t xml:space="preserve"> （项目名称） </w:t>
      </w:r>
      <w:r>
        <w:rPr>
          <w:rFonts w:hint="eastAsia" w:ascii="宋体" w:hAnsi="宋体"/>
          <w:color w:val="000000" w:themeColor="text1"/>
          <w:sz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14:paraId="07D01F5D">
      <w:pPr>
        <w:spacing w:line="6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u w:val="single"/>
          <w14:textFill>
            <w14:solidFill>
              <w14:schemeClr w14:val="tx1"/>
            </w14:solidFill>
          </w14:textFill>
        </w:rPr>
        <w:t xml:space="preserve"> （标的名称） </w:t>
      </w:r>
      <w:r>
        <w:rPr>
          <w:rFonts w:hint="eastAsia" w:ascii="宋体" w:hAnsi="宋体"/>
          <w:color w:val="000000" w:themeColor="text1"/>
          <w:sz w:val="24"/>
          <w:highlight w:val="none"/>
          <w14:textFill>
            <w14:solidFill>
              <w14:schemeClr w14:val="tx1"/>
            </w14:solidFill>
          </w14:textFill>
        </w:rPr>
        <w:t>，属于</w:t>
      </w:r>
      <w:r>
        <w:rPr>
          <w:rFonts w:hint="eastAsia" w:ascii="宋体" w:hAnsi="宋体"/>
          <w:color w:val="000000" w:themeColor="text1"/>
          <w:sz w:val="24"/>
          <w:highlight w:val="none"/>
          <w:u w:val="single"/>
          <w14:textFill>
            <w14:solidFill>
              <w14:schemeClr w14:val="tx1"/>
            </w14:solidFill>
          </w14:textFill>
        </w:rPr>
        <w:t xml:space="preserve"> （采购文件中明确的所属行业）行业</w:t>
      </w:r>
      <w:r>
        <w:rPr>
          <w:rFonts w:hint="eastAsia" w:ascii="宋体" w:hAnsi="宋体"/>
          <w:color w:val="000000" w:themeColor="text1"/>
          <w:sz w:val="24"/>
          <w:highlight w:val="none"/>
          <w14:textFill>
            <w14:solidFill>
              <w14:schemeClr w14:val="tx1"/>
            </w14:solidFill>
          </w14:textFill>
        </w:rPr>
        <w:t xml:space="preserve"> ；制造商为 </w:t>
      </w:r>
      <w:r>
        <w:rPr>
          <w:rFonts w:hint="eastAsia" w:ascii="宋体" w:hAnsi="宋体"/>
          <w:color w:val="000000" w:themeColor="text1"/>
          <w:sz w:val="24"/>
          <w:highlight w:val="none"/>
          <w:u w:val="single"/>
          <w14:textFill>
            <w14:solidFill>
              <w14:schemeClr w14:val="tx1"/>
            </w14:solidFill>
          </w14:textFill>
        </w:rPr>
        <w:t xml:space="preserve">（企业名称） </w:t>
      </w:r>
      <w:r>
        <w:rPr>
          <w:rFonts w:hint="eastAsia"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万元，属于</w:t>
      </w:r>
      <w:r>
        <w:rPr>
          <w:rFonts w:hint="eastAsia" w:ascii="宋体" w:hAnsi="宋体"/>
          <w:color w:val="000000" w:themeColor="text1"/>
          <w:sz w:val="24"/>
          <w:highlight w:val="none"/>
          <w:u w:val="single"/>
          <w14:textFill>
            <w14:solidFill>
              <w14:schemeClr w14:val="tx1"/>
            </w14:solidFill>
          </w14:textFill>
        </w:rPr>
        <w:t xml:space="preserve"> （中型企业、小型企业、微型企业） </w:t>
      </w:r>
      <w:r>
        <w:rPr>
          <w:rFonts w:hint="eastAsia" w:ascii="宋体" w:hAnsi="宋体"/>
          <w:color w:val="000000" w:themeColor="text1"/>
          <w:sz w:val="24"/>
          <w:highlight w:val="none"/>
          <w14:textFill>
            <w14:solidFill>
              <w14:schemeClr w14:val="tx1"/>
            </w14:solidFill>
          </w14:textFill>
        </w:rPr>
        <w:t>；</w:t>
      </w:r>
    </w:p>
    <w:p w14:paraId="39C0C7E2">
      <w:pPr>
        <w:spacing w:line="6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u w:val="single"/>
          <w14:textFill>
            <w14:solidFill>
              <w14:schemeClr w14:val="tx1"/>
            </w14:solidFill>
          </w14:textFill>
        </w:rPr>
        <w:t xml:space="preserve"> （标的名称） </w:t>
      </w:r>
      <w:r>
        <w:rPr>
          <w:rFonts w:hint="eastAsia" w:ascii="宋体" w:hAnsi="宋体"/>
          <w:color w:val="000000" w:themeColor="text1"/>
          <w:sz w:val="24"/>
          <w:highlight w:val="none"/>
          <w14:textFill>
            <w14:solidFill>
              <w14:schemeClr w14:val="tx1"/>
            </w14:solidFill>
          </w14:textFill>
        </w:rPr>
        <w:t>，属于</w:t>
      </w:r>
      <w:r>
        <w:rPr>
          <w:rFonts w:hint="eastAsia" w:ascii="宋体" w:hAnsi="宋体"/>
          <w:color w:val="000000" w:themeColor="text1"/>
          <w:sz w:val="24"/>
          <w:highlight w:val="none"/>
          <w:u w:val="single"/>
          <w14:textFill>
            <w14:solidFill>
              <w14:schemeClr w14:val="tx1"/>
            </w14:solidFill>
          </w14:textFill>
        </w:rPr>
        <w:t xml:space="preserve"> （采购文件中明确的所属行业）行业</w:t>
      </w:r>
      <w:r>
        <w:rPr>
          <w:rFonts w:hint="eastAsia" w:ascii="宋体" w:hAnsi="宋体"/>
          <w:color w:val="000000" w:themeColor="text1"/>
          <w:sz w:val="24"/>
          <w:highlight w:val="none"/>
          <w14:textFill>
            <w14:solidFill>
              <w14:schemeClr w14:val="tx1"/>
            </w14:solidFill>
          </w14:textFill>
        </w:rPr>
        <w:t xml:space="preserve"> ；制造商为 </w:t>
      </w:r>
      <w:r>
        <w:rPr>
          <w:rFonts w:hint="eastAsia" w:ascii="宋体" w:hAnsi="宋体"/>
          <w:color w:val="000000" w:themeColor="text1"/>
          <w:sz w:val="24"/>
          <w:highlight w:val="none"/>
          <w:u w:val="single"/>
          <w14:textFill>
            <w14:solidFill>
              <w14:schemeClr w14:val="tx1"/>
            </w14:solidFill>
          </w14:textFill>
        </w:rPr>
        <w:t xml:space="preserve">（企业名称） </w:t>
      </w:r>
      <w:r>
        <w:rPr>
          <w:rFonts w:hint="eastAsia"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万元，属于</w:t>
      </w:r>
      <w:r>
        <w:rPr>
          <w:rFonts w:hint="eastAsia" w:ascii="宋体" w:hAnsi="宋体"/>
          <w:color w:val="000000" w:themeColor="text1"/>
          <w:sz w:val="24"/>
          <w:highlight w:val="none"/>
          <w:u w:val="single"/>
          <w14:textFill>
            <w14:solidFill>
              <w14:schemeClr w14:val="tx1"/>
            </w14:solidFill>
          </w14:textFill>
        </w:rPr>
        <w:t xml:space="preserve"> （中型企业、小型企业、微型企业） </w:t>
      </w:r>
      <w:r>
        <w:rPr>
          <w:rFonts w:hint="eastAsia" w:ascii="宋体" w:hAnsi="宋体"/>
          <w:color w:val="000000" w:themeColor="text1"/>
          <w:sz w:val="24"/>
          <w:highlight w:val="none"/>
          <w14:textFill>
            <w14:solidFill>
              <w14:schemeClr w14:val="tx1"/>
            </w14:solidFill>
          </w14:textFill>
        </w:rPr>
        <w:t>；</w:t>
      </w:r>
    </w:p>
    <w:p w14:paraId="3621FDC9">
      <w:pPr>
        <w:spacing w:line="6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p w14:paraId="7427953F">
      <w:pPr>
        <w:spacing w:line="6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3703CE1D">
      <w:pPr>
        <w:jc w:val="left"/>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本企业对上述声明内容的真实性负责。如有虚假，将依法承担相应责任。</w:t>
      </w:r>
    </w:p>
    <w:p w14:paraId="6B4E1772">
      <w:pPr>
        <w:pStyle w:val="113"/>
        <w:spacing w:line="360" w:lineRule="auto"/>
        <w:jc w:val="center"/>
        <w:rPr>
          <w:rFonts w:hint="eastAsia" w:hAnsi="宋体" w:cs="宋体"/>
          <w:b/>
          <w:bCs/>
          <w:color w:val="000000" w:themeColor="text1"/>
          <w:sz w:val="24"/>
          <w:szCs w:val="24"/>
          <w:highlight w:val="none"/>
          <w14:textFill>
            <w14:solidFill>
              <w14:schemeClr w14:val="tx1"/>
            </w14:solidFill>
          </w14:textFill>
        </w:rPr>
      </w:pPr>
    </w:p>
    <w:p w14:paraId="5162DD25">
      <w:pPr>
        <w:pStyle w:val="113"/>
        <w:spacing w:line="360" w:lineRule="auto"/>
        <w:jc w:val="center"/>
        <w:rPr>
          <w:rFonts w:hint="eastAsia" w:hAnsi="宋体" w:cs="宋体"/>
          <w:b/>
          <w:bCs/>
          <w:color w:val="000000" w:themeColor="text1"/>
          <w:sz w:val="24"/>
          <w:szCs w:val="24"/>
          <w:highlight w:val="none"/>
          <w14:textFill>
            <w14:solidFill>
              <w14:schemeClr w14:val="tx1"/>
            </w14:solidFill>
          </w14:textFill>
        </w:rPr>
      </w:pPr>
    </w:p>
    <w:p w14:paraId="2184A875">
      <w:pPr>
        <w:spacing w:line="360" w:lineRule="auto"/>
        <w:ind w:right="480" w:firstLine="4680" w:firstLineChars="1950"/>
        <w:rPr>
          <w:rFonts w:hint="eastAsia" w:ascii="宋体" w:hAnsi="宋体"/>
          <w:color w:val="000000" w:themeColor="text1"/>
          <w:sz w:val="24"/>
          <w:szCs w:val="24"/>
          <w:highlight w:val="none"/>
          <w14:textFill>
            <w14:solidFill>
              <w14:schemeClr w14:val="tx1"/>
            </w14:solidFill>
          </w14:textFill>
        </w:rPr>
      </w:pPr>
      <w:bookmarkStart w:id="155" w:name="_Toc15943"/>
      <w:bookmarkEnd w:id="155"/>
      <w:bookmarkStart w:id="156" w:name="_Toc19557"/>
      <w:bookmarkEnd w:id="156"/>
      <w:bookmarkStart w:id="157" w:name="_Toc13878"/>
      <w:bookmarkEnd w:id="157"/>
      <w:bookmarkStart w:id="158" w:name="_Toc11777"/>
      <w:bookmarkEnd w:id="158"/>
      <w:bookmarkStart w:id="159" w:name="_Toc22147"/>
      <w:bookmarkEnd w:id="159"/>
      <w:bookmarkStart w:id="160" w:name="_Toc21667"/>
      <w:bookmarkEnd w:id="160"/>
      <w:bookmarkStart w:id="161" w:name="_Toc12805"/>
      <w:bookmarkEnd w:id="161"/>
      <w:bookmarkStart w:id="162" w:name="_Toc26376"/>
      <w:bookmarkEnd w:id="162"/>
      <w:bookmarkStart w:id="163" w:name="_Toc11149"/>
      <w:bookmarkEnd w:id="163"/>
      <w:bookmarkStart w:id="164" w:name="_Toc28742"/>
      <w:bookmarkEnd w:id="164"/>
      <w:bookmarkStart w:id="165" w:name="_Toc9456"/>
      <w:bookmarkEnd w:id="165"/>
      <w:bookmarkStart w:id="166" w:name="_Toc14428"/>
      <w:bookmarkEnd w:id="166"/>
      <w:bookmarkStart w:id="167" w:name="_Toc27008"/>
      <w:bookmarkEnd w:id="167"/>
      <w:bookmarkStart w:id="168" w:name="_Toc25658"/>
      <w:bookmarkEnd w:id="168"/>
      <w:bookmarkStart w:id="169" w:name="_Toc23075"/>
      <w:bookmarkEnd w:id="169"/>
      <w:bookmarkStart w:id="170" w:name="_Toc12001"/>
      <w:bookmarkEnd w:id="170"/>
      <w:bookmarkStart w:id="171" w:name="_Toc22668"/>
      <w:bookmarkEnd w:id="171"/>
      <w:bookmarkStart w:id="172" w:name="_Toc1211"/>
      <w:bookmarkEnd w:id="172"/>
      <w:bookmarkStart w:id="173" w:name="_Toc32767"/>
      <w:bookmarkEnd w:id="173"/>
      <w:bookmarkStart w:id="174" w:name="_Toc10964"/>
      <w:bookmarkEnd w:id="174"/>
      <w:r>
        <w:rPr>
          <w:rFonts w:hint="eastAsia" w:ascii="宋体" w:hAnsi="宋体"/>
          <w:color w:val="000000" w:themeColor="text1"/>
          <w:sz w:val="24"/>
          <w:szCs w:val="24"/>
          <w:highlight w:val="none"/>
          <w14:textFill>
            <w14:solidFill>
              <w14:schemeClr w14:val="tx1"/>
            </w14:solidFill>
          </w14:textFill>
        </w:rPr>
        <w:t>企业名称（盖章）：</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 xml:space="preserve">           </w:t>
      </w:r>
    </w:p>
    <w:p w14:paraId="3E9323DF">
      <w:pPr>
        <w:spacing w:line="360" w:lineRule="auto"/>
        <w:ind w:firstLine="2880" w:firstLineChars="1200"/>
        <w:jc w:val="righ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日期：</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年</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p>
    <w:p w14:paraId="0EA92540">
      <w:pPr>
        <w:jc w:val="left"/>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注：</w:t>
      </w:r>
      <w:r>
        <w:rPr>
          <w:rFonts w:hint="eastAsia" w:ascii="宋体" w:hAnsi="宋体" w:cs="宋体"/>
          <w:color w:val="000000" w:themeColor="text1"/>
          <w:kern w:val="0"/>
          <w:sz w:val="24"/>
          <w:szCs w:val="24"/>
          <w:highlight w:val="none"/>
          <w:vertAlign w:val="superscript"/>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从业人员、营业收入、资产总额填报上一年度数据，无上一年度数据的新成立企业可不填报。</w:t>
      </w:r>
    </w:p>
    <w:p w14:paraId="5F3144E7">
      <w:pPr>
        <w:spacing w:line="276" w:lineRule="auto"/>
        <w:jc w:val="center"/>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br w:type="page"/>
      </w:r>
      <w:r>
        <w:rPr>
          <w:rFonts w:hint="eastAsia" w:ascii="宋体" w:hAnsi="宋体"/>
          <w:color w:val="000000" w:themeColor="text1"/>
          <w:sz w:val="30"/>
          <w:szCs w:val="30"/>
          <w:highlight w:val="none"/>
          <w14:textFill>
            <w14:solidFill>
              <w14:schemeClr w14:val="tx1"/>
            </w14:solidFill>
          </w14:textFill>
        </w:rPr>
        <w:t>关于监狱企业（如有）</w:t>
      </w:r>
    </w:p>
    <w:p w14:paraId="5AF2213C">
      <w:pPr>
        <w:spacing w:line="480" w:lineRule="auto"/>
        <w:jc w:val="left"/>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1、政府采购政策</w:t>
      </w:r>
    </w:p>
    <w:p w14:paraId="5D7A7ABA">
      <w:pPr>
        <w:spacing w:line="480" w:lineRule="auto"/>
        <w:ind w:firstLine="480" w:firstLineChars="200"/>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财政部、司法部关于政府采购支持监狱企业发展有关问题的通知（财库【2014】68号）</w:t>
      </w:r>
    </w:p>
    <w:p w14:paraId="4FBCCD09">
      <w:pPr>
        <w:spacing w:line="480" w:lineRule="auto"/>
        <w:jc w:val="left"/>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2、附证明材料</w:t>
      </w:r>
    </w:p>
    <w:p w14:paraId="5D974903">
      <w:pPr>
        <w:spacing w:line="480" w:lineRule="auto"/>
        <w:ind w:firstLine="480" w:firstLineChars="20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提供由省级以上监狱管理局、戒毒管理局（含新疆生产建设兵团）出具的属于监狱企业的证明文件，否则投标报价评审时不予价格扣除优惠。</w:t>
      </w:r>
    </w:p>
    <w:p w14:paraId="4EE47188">
      <w:pPr>
        <w:spacing w:line="276" w:lineRule="auto"/>
        <w:jc w:val="center"/>
        <w:rPr>
          <w:rFonts w:hint="eastAsia" w:ascii="宋体" w:hAnsi="宋体"/>
          <w:color w:val="000000" w:themeColor="text1"/>
          <w:highlight w:val="none"/>
          <w14:textFill>
            <w14:solidFill>
              <w14:schemeClr w14:val="tx1"/>
            </w14:solidFill>
          </w14:textFill>
        </w:rPr>
      </w:pPr>
      <w:bookmarkStart w:id="175" w:name="_Toc797"/>
      <w:bookmarkEnd w:id="175"/>
      <w:bookmarkStart w:id="176" w:name="_Toc4163"/>
      <w:bookmarkEnd w:id="176"/>
      <w:bookmarkStart w:id="177" w:name="_Toc23541"/>
      <w:bookmarkEnd w:id="177"/>
      <w:bookmarkStart w:id="178" w:name="_Toc8829"/>
      <w:bookmarkEnd w:id="178"/>
      <w:bookmarkStart w:id="179" w:name="_Toc29136"/>
      <w:bookmarkEnd w:id="179"/>
      <w:bookmarkStart w:id="180" w:name="_Toc16430"/>
      <w:bookmarkEnd w:id="180"/>
      <w:bookmarkStart w:id="181" w:name="_Toc27314"/>
      <w:bookmarkEnd w:id="181"/>
      <w:bookmarkStart w:id="182" w:name="_Toc18268"/>
      <w:bookmarkEnd w:id="182"/>
      <w:bookmarkStart w:id="183" w:name="_Toc23611"/>
      <w:bookmarkEnd w:id="183"/>
      <w:bookmarkStart w:id="184" w:name="_Toc16088"/>
      <w:bookmarkEnd w:id="184"/>
      <w:bookmarkStart w:id="185" w:name="_Toc16786"/>
      <w:bookmarkEnd w:id="185"/>
      <w:bookmarkStart w:id="186" w:name="_Toc23431"/>
      <w:bookmarkEnd w:id="186"/>
      <w:bookmarkStart w:id="187" w:name="_Toc6120"/>
      <w:bookmarkEnd w:id="187"/>
      <w:bookmarkStart w:id="188" w:name="_Toc17427"/>
      <w:bookmarkEnd w:id="188"/>
      <w:bookmarkStart w:id="189" w:name="_Toc4710"/>
      <w:bookmarkEnd w:id="189"/>
      <w:bookmarkStart w:id="190" w:name="_Toc11061"/>
      <w:bookmarkEnd w:id="190"/>
      <w:bookmarkStart w:id="191" w:name="_Toc25936"/>
      <w:bookmarkEnd w:id="191"/>
      <w:bookmarkStart w:id="192" w:name="_Toc22643"/>
      <w:bookmarkEnd w:id="192"/>
      <w:bookmarkStart w:id="193" w:name="_Toc18807"/>
      <w:bookmarkEnd w:id="193"/>
      <w:bookmarkStart w:id="194" w:name="_Toc31222"/>
      <w:bookmarkEnd w:id="194"/>
      <w:bookmarkStart w:id="195" w:name="_Toc27643"/>
      <w:bookmarkEnd w:id="195"/>
      <w:r>
        <w:rPr>
          <w:rFonts w:hint="eastAsia" w:ascii="宋体" w:hAnsi="宋体"/>
          <w:color w:val="000000" w:themeColor="text1"/>
          <w:highlight w:val="none"/>
          <w14:textFill>
            <w14:solidFill>
              <w14:schemeClr w14:val="tx1"/>
            </w14:solidFill>
          </w14:textFill>
        </w:rPr>
        <w:br w:type="page"/>
      </w:r>
      <w:r>
        <w:rPr>
          <w:rFonts w:hint="eastAsia" w:ascii="宋体" w:hAnsi="宋体"/>
          <w:color w:val="000000" w:themeColor="text1"/>
          <w:sz w:val="30"/>
          <w:szCs w:val="30"/>
          <w:highlight w:val="none"/>
          <w14:textFill>
            <w14:solidFill>
              <w14:schemeClr w14:val="tx1"/>
            </w14:solidFill>
          </w14:textFill>
        </w:rPr>
        <w:t>关于促进残疾人就业的政府采购政策（如有）</w:t>
      </w:r>
    </w:p>
    <w:p w14:paraId="26B10CEE">
      <w:pPr>
        <w:spacing w:line="480" w:lineRule="auto"/>
        <w:jc w:val="center"/>
        <w:rPr>
          <w:rFonts w:hint="eastAsia" w:hAnsi="宋体"/>
          <w:color w:val="000000" w:themeColor="text1"/>
          <w:highlight w:val="none"/>
          <w14:textFill>
            <w14:solidFill>
              <w14:schemeClr w14:val="tx1"/>
            </w14:solidFill>
          </w14:textFill>
        </w:rPr>
      </w:pPr>
      <w:bookmarkStart w:id="196" w:name="sendNo"/>
      <w:bookmarkEnd w:id="196"/>
      <w:r>
        <w:rPr>
          <w:rFonts w:hint="eastAsia" w:hAnsi="宋体"/>
          <w:color w:val="000000" w:themeColor="text1"/>
          <w:highlight w:val="none"/>
          <w14:textFill>
            <w14:solidFill>
              <w14:schemeClr w14:val="tx1"/>
            </w14:solidFill>
          </w14:textFill>
        </w:rPr>
        <w:t xml:space="preserve"> </w:t>
      </w:r>
    </w:p>
    <w:p w14:paraId="018D627D">
      <w:pPr>
        <w:spacing w:line="480" w:lineRule="auto"/>
        <w:jc w:val="left"/>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1、政府采购政策</w:t>
      </w:r>
    </w:p>
    <w:p w14:paraId="4714A299">
      <w:pPr>
        <w:spacing w:line="480" w:lineRule="auto"/>
        <w:ind w:left="360"/>
        <w:jc w:val="left"/>
        <w:rPr>
          <w:rFonts w:hint="eastAsia" w:ascii="宋体" w:hAnsi="宋体"/>
          <w:color w:val="000000" w:themeColor="text1"/>
          <w:spacing w:val="6"/>
          <w:sz w:val="24"/>
          <w:szCs w:val="24"/>
          <w:highlight w:val="none"/>
          <w14:textFill>
            <w14:solidFill>
              <w14:schemeClr w14:val="tx1"/>
            </w14:solidFill>
          </w14:textFill>
        </w:rPr>
      </w:pPr>
      <w:r>
        <w:rPr>
          <w:rFonts w:hint="eastAsia" w:ascii="宋体" w:hAnsi="宋体"/>
          <w:color w:val="000000" w:themeColor="text1"/>
          <w:spacing w:val="6"/>
          <w:sz w:val="24"/>
          <w:szCs w:val="24"/>
          <w:highlight w:val="none"/>
          <w14:textFill>
            <w14:solidFill>
              <w14:schemeClr w14:val="tx1"/>
            </w14:solidFill>
          </w14:textFill>
        </w:rPr>
        <w:t>关于促进残疾人就业政府采购政策的通知（财库〔2017〕141号）</w:t>
      </w:r>
      <w:r>
        <w:rPr>
          <w:rFonts w:hint="eastAsia" w:ascii="宋体" w:hAnsi="宋体"/>
          <w:bCs/>
          <w:color w:val="000000" w:themeColor="text1"/>
          <w:kern w:val="0"/>
          <w:sz w:val="24"/>
          <w:szCs w:val="24"/>
          <w:highlight w:val="none"/>
          <w14:textFill>
            <w14:solidFill>
              <w14:schemeClr w14:val="tx1"/>
            </w14:solidFill>
          </w14:textFill>
        </w:rPr>
        <w:t xml:space="preserve"> </w:t>
      </w:r>
      <w:r>
        <w:rPr>
          <w:rFonts w:hint="eastAsia" w:ascii="宋体" w:hAnsi="宋体"/>
          <w:color w:val="000000" w:themeColor="text1"/>
          <w:kern w:val="0"/>
          <w:sz w:val="24"/>
          <w:szCs w:val="24"/>
          <w:highlight w:val="none"/>
          <w14:textFill>
            <w14:solidFill>
              <w14:schemeClr w14:val="tx1"/>
            </w14:solidFill>
          </w14:textFill>
        </w:rPr>
        <w:t xml:space="preserve"> </w:t>
      </w:r>
    </w:p>
    <w:p w14:paraId="05D5A6B2">
      <w:pPr>
        <w:spacing w:line="480" w:lineRule="auto"/>
        <w:jc w:val="left"/>
        <w:rPr>
          <w:rFonts w:hint="eastAsia" w:ascii="宋体" w:hAnsi="宋体"/>
          <w:bCs/>
          <w:color w:val="000000" w:themeColor="text1"/>
          <w:kern w:val="0"/>
          <w:sz w:val="24"/>
          <w:szCs w:val="24"/>
          <w:highlight w:val="none"/>
          <w14:textFill>
            <w14:solidFill>
              <w14:schemeClr w14:val="tx1"/>
            </w14:solidFill>
          </w14:textFill>
        </w:rPr>
      </w:pPr>
      <w:bookmarkStart w:id="197" w:name="toDeptId"/>
      <w:bookmarkEnd w:id="197"/>
      <w:r>
        <w:rPr>
          <w:rFonts w:hint="eastAsia" w:ascii="宋体" w:hAnsi="宋体"/>
          <w:bCs/>
          <w:color w:val="000000" w:themeColor="text1"/>
          <w:kern w:val="0"/>
          <w:sz w:val="24"/>
          <w:szCs w:val="24"/>
          <w:highlight w:val="none"/>
          <w14:textFill>
            <w14:solidFill>
              <w14:schemeClr w14:val="tx1"/>
            </w14:solidFill>
          </w14:textFill>
        </w:rPr>
        <w:t>2、附声明函（</w:t>
      </w:r>
      <w:r>
        <w:rPr>
          <w:rFonts w:hint="eastAsia" w:ascii="宋体" w:hAnsi="宋体"/>
          <w:color w:val="000000" w:themeColor="text1"/>
          <w:sz w:val="24"/>
          <w:szCs w:val="24"/>
          <w:highlight w:val="none"/>
          <w14:textFill>
            <w14:solidFill>
              <w14:schemeClr w14:val="tx1"/>
            </w14:solidFill>
          </w14:textFill>
        </w:rPr>
        <w:t>无声明函投标报价评审时不予价格扣除优惠</w:t>
      </w:r>
      <w:r>
        <w:rPr>
          <w:rFonts w:hint="eastAsia" w:ascii="宋体" w:hAnsi="宋体"/>
          <w:bCs/>
          <w:color w:val="000000" w:themeColor="text1"/>
          <w:kern w:val="0"/>
          <w:sz w:val="24"/>
          <w:szCs w:val="24"/>
          <w:highlight w:val="none"/>
          <w14:textFill>
            <w14:solidFill>
              <w14:schemeClr w14:val="tx1"/>
            </w14:solidFill>
          </w14:textFill>
        </w:rPr>
        <w:t>）</w:t>
      </w:r>
    </w:p>
    <w:p w14:paraId="676C440B">
      <w:pPr>
        <w:spacing w:line="360" w:lineRule="auto"/>
        <w:jc w:val="left"/>
        <w:rPr>
          <w:rFonts w:hint="eastAsia" w:hAnsi="宋体"/>
          <w:color w:val="000000" w:themeColor="text1"/>
          <w:kern w:val="0"/>
          <w:highlight w:val="none"/>
          <w14:textFill>
            <w14:solidFill>
              <w14:schemeClr w14:val="tx1"/>
            </w14:solidFill>
          </w14:textFill>
        </w:rPr>
      </w:pPr>
      <w:r>
        <w:rPr>
          <w:rFonts w:hint="eastAsia" w:hAnsi="宋体"/>
          <w:color w:val="000000" w:themeColor="text1"/>
          <w:kern w:val="0"/>
          <w:highlight w:val="none"/>
          <w14:textFill>
            <w14:solidFill>
              <w14:schemeClr w14:val="tx1"/>
            </w14:solidFill>
          </w14:textFill>
        </w:rPr>
        <w:t xml:space="preserve"> </w:t>
      </w:r>
    </w:p>
    <w:p w14:paraId="340CCB58">
      <w:pPr>
        <w:spacing w:line="360" w:lineRule="auto"/>
        <w:jc w:val="left"/>
        <w:rPr>
          <w:rFonts w:hint="eastAsia" w:hAnsi="宋体"/>
          <w:color w:val="000000" w:themeColor="text1"/>
          <w:kern w:val="0"/>
          <w:highlight w:val="none"/>
          <w14:textFill>
            <w14:solidFill>
              <w14:schemeClr w14:val="tx1"/>
            </w14:solidFill>
          </w14:textFill>
        </w:rPr>
      </w:pPr>
      <w:r>
        <w:rPr>
          <w:rFonts w:hint="eastAsia" w:hAnsi="宋体"/>
          <w:color w:val="000000" w:themeColor="text1"/>
          <w:kern w:val="0"/>
          <w:highlight w:val="none"/>
          <w14:textFill>
            <w14:solidFill>
              <w14:schemeClr w14:val="tx1"/>
            </w14:solidFill>
          </w14:textFill>
        </w:rPr>
        <w:t xml:space="preserve"> </w:t>
      </w:r>
    </w:p>
    <w:p w14:paraId="75DB0CAF">
      <w:pPr>
        <w:widowControl w:val="0"/>
        <w:ind w:firstLine="570"/>
        <w:rPr>
          <w:rFonts w:hint="eastAsia" w:ascii="Calibri" w:hAnsi="宋体"/>
          <w:color w:val="000000" w:themeColor="text1"/>
          <w:kern w:val="0"/>
          <w:highlight w:val="none"/>
          <w14:textFill>
            <w14:solidFill>
              <w14:schemeClr w14:val="tx1"/>
            </w14:solidFill>
          </w14:textFill>
        </w:rPr>
      </w:pPr>
    </w:p>
    <w:p w14:paraId="7E550BD3">
      <w:pPr>
        <w:widowControl w:val="0"/>
        <w:ind w:firstLine="570"/>
        <w:rPr>
          <w:rFonts w:hint="eastAsia" w:ascii="Calibri" w:hAnsi="宋体"/>
          <w:color w:val="000000" w:themeColor="text1"/>
          <w:kern w:val="0"/>
          <w:highlight w:val="none"/>
          <w14:textFill>
            <w14:solidFill>
              <w14:schemeClr w14:val="tx1"/>
            </w14:solidFill>
          </w14:textFill>
        </w:rPr>
      </w:pPr>
    </w:p>
    <w:p w14:paraId="242705CC">
      <w:pPr>
        <w:widowControl w:val="0"/>
        <w:ind w:firstLine="570"/>
        <w:rPr>
          <w:rFonts w:hint="eastAsia" w:ascii="Calibri" w:hAnsi="宋体"/>
          <w:color w:val="000000" w:themeColor="text1"/>
          <w:kern w:val="0"/>
          <w:highlight w:val="none"/>
          <w14:textFill>
            <w14:solidFill>
              <w14:schemeClr w14:val="tx1"/>
            </w14:solidFill>
          </w14:textFill>
        </w:rPr>
      </w:pPr>
    </w:p>
    <w:p w14:paraId="30EE8FCC">
      <w:pPr>
        <w:widowControl w:val="0"/>
        <w:ind w:firstLine="570"/>
        <w:rPr>
          <w:rFonts w:hint="eastAsia" w:ascii="Calibri" w:hAnsi="宋体"/>
          <w:color w:val="000000" w:themeColor="text1"/>
          <w:kern w:val="0"/>
          <w:highlight w:val="none"/>
          <w14:textFill>
            <w14:solidFill>
              <w14:schemeClr w14:val="tx1"/>
            </w14:solidFill>
          </w14:textFill>
        </w:rPr>
      </w:pPr>
    </w:p>
    <w:p w14:paraId="55E29E03">
      <w:pPr>
        <w:spacing w:line="360" w:lineRule="auto"/>
        <w:jc w:val="left"/>
        <w:rPr>
          <w:rFonts w:hint="eastAsia" w:hAnsi="宋体"/>
          <w:color w:val="000000" w:themeColor="text1"/>
          <w:kern w:val="0"/>
          <w:highlight w:val="none"/>
          <w14:textFill>
            <w14:solidFill>
              <w14:schemeClr w14:val="tx1"/>
            </w14:solidFill>
          </w14:textFill>
        </w:rPr>
      </w:pPr>
      <w:r>
        <w:rPr>
          <w:rFonts w:hint="eastAsia" w:hAnsi="宋体"/>
          <w:color w:val="000000" w:themeColor="text1"/>
          <w:kern w:val="0"/>
          <w:highlight w:val="none"/>
          <w14:textFill>
            <w14:solidFill>
              <w14:schemeClr w14:val="tx1"/>
            </w14:solidFill>
          </w14:textFill>
        </w:rPr>
        <w:t xml:space="preserve"> </w:t>
      </w:r>
    </w:p>
    <w:p w14:paraId="4247BEAA">
      <w:pPr>
        <w:spacing w:line="360" w:lineRule="auto"/>
        <w:jc w:val="center"/>
        <w:rPr>
          <w:rFonts w:hint="eastAsia" w:hAnsi="宋体"/>
          <w:b/>
          <w:bCs/>
          <w:color w:val="000000" w:themeColor="text1"/>
          <w:spacing w:val="6"/>
          <w:highlight w:val="none"/>
          <w14:textFill>
            <w14:solidFill>
              <w14:schemeClr w14:val="tx1"/>
            </w14:solidFill>
          </w14:textFill>
        </w:rPr>
      </w:pPr>
      <w:bookmarkStart w:id="198" w:name="OLE_LINK13"/>
      <w:bookmarkEnd w:id="198"/>
      <w:bookmarkStart w:id="199" w:name="OLE_LINK14"/>
    </w:p>
    <w:bookmarkEnd w:id="199"/>
    <w:p w14:paraId="6C9EDB14">
      <w:pPr>
        <w:spacing w:line="276" w:lineRule="auto"/>
        <w:jc w:val="center"/>
        <w:rPr>
          <w:rFonts w:hint="eastAsia" w:hAnsi="宋体"/>
          <w:b/>
          <w:bCs/>
          <w:color w:val="000000" w:themeColor="text1"/>
          <w:spacing w:val="6"/>
          <w:highlight w:val="none"/>
          <w14:textFill>
            <w14:solidFill>
              <w14:schemeClr w14:val="tx1"/>
            </w14:solidFill>
          </w14:textFill>
        </w:rPr>
      </w:pPr>
      <w:r>
        <w:rPr>
          <w:rFonts w:hint="eastAsia" w:hAnsi="宋体"/>
          <w:b/>
          <w:bCs/>
          <w:color w:val="000000" w:themeColor="text1"/>
          <w:spacing w:val="6"/>
          <w:highlight w:val="none"/>
          <w14:textFill>
            <w14:solidFill>
              <w14:schemeClr w14:val="tx1"/>
            </w14:solidFill>
          </w14:textFill>
        </w:rPr>
        <w:br w:type="page"/>
      </w:r>
      <w:r>
        <w:rPr>
          <w:rFonts w:hint="eastAsia" w:ascii="宋体" w:hAnsi="宋体"/>
          <w:color w:val="000000" w:themeColor="text1"/>
          <w:sz w:val="30"/>
          <w:szCs w:val="30"/>
          <w:highlight w:val="none"/>
          <w14:textFill>
            <w14:solidFill>
              <w14:schemeClr w14:val="tx1"/>
            </w14:solidFill>
          </w14:textFill>
        </w:rPr>
        <w:t>残疾人福利性单位声明函</w:t>
      </w:r>
    </w:p>
    <w:p w14:paraId="29F67664">
      <w:pPr>
        <w:spacing w:line="360" w:lineRule="auto"/>
        <w:rPr>
          <w:rFonts w:hint="eastAsia" w:hAnsi="宋体"/>
          <w:b/>
          <w:bCs/>
          <w:color w:val="000000" w:themeColor="text1"/>
          <w:spacing w:val="6"/>
          <w:highlight w:val="none"/>
          <w14:textFill>
            <w14:solidFill>
              <w14:schemeClr w14:val="tx1"/>
            </w14:solidFill>
          </w14:textFill>
        </w:rPr>
      </w:pPr>
      <w:r>
        <w:rPr>
          <w:rFonts w:hint="eastAsia" w:hAnsi="宋体"/>
          <w:b/>
          <w:bCs/>
          <w:color w:val="000000" w:themeColor="text1"/>
          <w:spacing w:val="6"/>
          <w:highlight w:val="none"/>
          <w14:textFill>
            <w14:solidFill>
              <w14:schemeClr w14:val="tx1"/>
            </w14:solidFill>
          </w14:textFill>
        </w:rPr>
        <w:t xml:space="preserve"> </w:t>
      </w:r>
    </w:p>
    <w:p w14:paraId="5D1DE0B0">
      <w:pPr>
        <w:spacing w:line="360" w:lineRule="auto"/>
        <w:ind w:firstLine="504" w:firstLineChars="200"/>
        <w:rPr>
          <w:rFonts w:hint="eastAsia" w:ascii="宋体" w:hAnsi="宋体"/>
          <w:color w:val="000000" w:themeColor="text1"/>
          <w:spacing w:val="6"/>
          <w:sz w:val="24"/>
          <w:szCs w:val="24"/>
          <w:highlight w:val="none"/>
          <w14:textFill>
            <w14:solidFill>
              <w14:schemeClr w14:val="tx1"/>
            </w14:solidFill>
          </w14:textFill>
        </w:rPr>
      </w:pPr>
      <w:r>
        <w:rPr>
          <w:rFonts w:hint="eastAsia" w:ascii="宋体" w:hAnsi="宋体"/>
          <w:color w:val="000000" w:themeColor="text1"/>
          <w:spacing w:val="6"/>
          <w:sz w:val="24"/>
          <w:szCs w:val="24"/>
          <w:highlight w:val="none"/>
          <w14:textFill>
            <w14:solidFill>
              <w14:schemeClr w14:val="tx1"/>
            </w14:solidFill>
          </w14:textFill>
        </w:rPr>
        <w:t>本单位郑重声明，根据《财政部 民政部 中国残疾人联合会关于促进残疾人就业政府采购政策的通知》（财库</w:t>
      </w:r>
      <w:r>
        <w:rPr>
          <w:rFonts w:hint="eastAsia" w:ascii="宋体" w:hAnsi="宋体"/>
          <w:color w:val="000000" w:themeColor="text1"/>
          <w:sz w:val="24"/>
          <w:szCs w:val="24"/>
          <w:highlight w:val="none"/>
          <w14:textFill>
            <w14:solidFill>
              <w14:schemeClr w14:val="tx1"/>
            </w14:solidFill>
          </w14:textFill>
        </w:rPr>
        <w:t>〔2017〕141</w:t>
      </w:r>
      <w:r>
        <w:rPr>
          <w:rFonts w:hint="eastAsia" w:ascii="宋体" w:hAnsi="宋体"/>
          <w:color w:val="000000" w:themeColor="text1"/>
          <w:spacing w:val="6"/>
          <w:sz w:val="24"/>
          <w:szCs w:val="24"/>
          <w:highlight w:val="none"/>
          <w14:textFill>
            <w14:solidFill>
              <w14:schemeClr w14:val="tx1"/>
            </w14:solidFill>
          </w14:textFill>
        </w:rPr>
        <w:t>号）的规定，本单位为符合条件的残疾人福利性单位，且本单位参加</w:t>
      </w:r>
      <w:r>
        <w:rPr>
          <w:rFonts w:hint="eastAsia" w:ascii="宋体" w:hAnsi="宋体"/>
          <w:color w:val="000000" w:themeColor="text1"/>
          <w:spacing w:val="6"/>
          <w:sz w:val="24"/>
          <w:szCs w:val="24"/>
          <w:highlight w:val="none"/>
          <w:u w:val="single"/>
          <w14:textFill>
            <w14:solidFill>
              <w14:schemeClr w14:val="tx1"/>
            </w14:solidFill>
          </w14:textFill>
        </w:rPr>
        <w:t xml:space="preserve">             </w:t>
      </w:r>
      <w:r>
        <w:rPr>
          <w:rFonts w:hint="eastAsia" w:ascii="宋体" w:hAnsi="宋体"/>
          <w:color w:val="000000" w:themeColor="text1"/>
          <w:spacing w:val="6"/>
          <w:sz w:val="24"/>
          <w:szCs w:val="24"/>
          <w:highlight w:val="none"/>
          <w14:textFill>
            <w14:solidFill>
              <w14:schemeClr w14:val="tx1"/>
            </w14:solidFill>
          </w14:textFill>
        </w:rPr>
        <w:t>单位的</w:t>
      </w:r>
      <w:r>
        <w:rPr>
          <w:rFonts w:hint="eastAsia" w:ascii="宋体" w:hAnsi="宋体"/>
          <w:color w:val="000000" w:themeColor="text1"/>
          <w:spacing w:val="6"/>
          <w:sz w:val="24"/>
          <w:szCs w:val="24"/>
          <w:highlight w:val="none"/>
          <w:u w:val="single"/>
          <w14:textFill>
            <w14:solidFill>
              <w14:schemeClr w14:val="tx1"/>
            </w14:solidFill>
          </w14:textFill>
        </w:rPr>
        <w:t xml:space="preserve">             </w:t>
      </w:r>
      <w:r>
        <w:rPr>
          <w:rFonts w:hint="eastAsia" w:ascii="宋体" w:hAnsi="宋体"/>
          <w:color w:val="000000" w:themeColor="text1"/>
          <w:spacing w:val="6"/>
          <w:sz w:val="24"/>
          <w:szCs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446A0BAE">
      <w:pPr>
        <w:spacing w:line="360" w:lineRule="auto"/>
        <w:ind w:firstLine="504" w:firstLineChars="200"/>
        <w:rPr>
          <w:rFonts w:hint="eastAsia" w:ascii="宋体" w:hAnsi="宋体"/>
          <w:color w:val="000000" w:themeColor="text1"/>
          <w:spacing w:val="6"/>
          <w:sz w:val="24"/>
          <w:szCs w:val="24"/>
          <w:highlight w:val="none"/>
          <w14:textFill>
            <w14:solidFill>
              <w14:schemeClr w14:val="tx1"/>
            </w14:solidFill>
          </w14:textFill>
        </w:rPr>
      </w:pPr>
      <w:r>
        <w:rPr>
          <w:rFonts w:hint="eastAsia" w:ascii="宋体" w:hAnsi="宋体"/>
          <w:color w:val="000000" w:themeColor="text1"/>
          <w:spacing w:val="6"/>
          <w:sz w:val="24"/>
          <w:szCs w:val="24"/>
          <w:highlight w:val="none"/>
          <w14:textFill>
            <w14:solidFill>
              <w14:schemeClr w14:val="tx1"/>
            </w14:solidFill>
          </w14:textFill>
        </w:rPr>
        <w:t>本单位对上述声明的真实性负责。如有虚假，将依法承担相应责任。</w:t>
      </w:r>
    </w:p>
    <w:p w14:paraId="1B662277">
      <w:pPr>
        <w:spacing w:line="360" w:lineRule="auto"/>
        <w:ind w:firstLine="504" w:firstLineChars="200"/>
        <w:rPr>
          <w:rFonts w:hint="eastAsia" w:ascii="宋体" w:hAnsi="宋体"/>
          <w:color w:val="000000" w:themeColor="text1"/>
          <w:spacing w:val="6"/>
          <w:sz w:val="24"/>
          <w:szCs w:val="24"/>
          <w:highlight w:val="none"/>
          <w14:textFill>
            <w14:solidFill>
              <w14:schemeClr w14:val="tx1"/>
            </w14:solidFill>
          </w14:textFill>
        </w:rPr>
      </w:pPr>
      <w:r>
        <w:rPr>
          <w:rFonts w:hint="eastAsia" w:ascii="宋体" w:hAnsi="宋体"/>
          <w:color w:val="000000" w:themeColor="text1"/>
          <w:spacing w:val="6"/>
          <w:sz w:val="24"/>
          <w:szCs w:val="24"/>
          <w:highlight w:val="none"/>
          <w14:textFill>
            <w14:solidFill>
              <w14:schemeClr w14:val="tx1"/>
            </w14:solidFill>
          </w14:textFill>
        </w:rPr>
        <w:t xml:space="preserve"> </w:t>
      </w:r>
    </w:p>
    <w:p w14:paraId="13DA89AA">
      <w:pPr>
        <w:autoSpaceDE w:val="0"/>
        <w:autoSpaceDN w:val="0"/>
        <w:spacing w:line="360" w:lineRule="auto"/>
        <w:ind w:left="2601" w:right="-20"/>
        <w:jc w:val="left"/>
        <w:rPr>
          <w:rFonts w:hint="eastAsia" w:ascii="宋体" w:hAnsi="宋体"/>
          <w:color w:val="000000" w:themeColor="text1"/>
          <w:kern w:val="0"/>
          <w:position w:val="-2"/>
          <w:sz w:val="24"/>
          <w:szCs w:val="24"/>
          <w:highlight w:val="none"/>
          <w14:textFill>
            <w14:solidFill>
              <w14:schemeClr w14:val="tx1"/>
            </w14:solidFill>
          </w14:textFill>
        </w:rPr>
      </w:pPr>
      <w:r>
        <w:rPr>
          <w:rFonts w:hint="eastAsia" w:ascii="宋体" w:hAnsi="宋体"/>
          <w:color w:val="000000" w:themeColor="text1"/>
          <w:kern w:val="0"/>
          <w:position w:val="-2"/>
          <w:sz w:val="24"/>
          <w:szCs w:val="24"/>
          <w:highlight w:val="none"/>
          <w14:textFill>
            <w14:solidFill>
              <w14:schemeClr w14:val="tx1"/>
            </w14:solidFill>
          </w14:textFill>
        </w:rPr>
        <w:t xml:space="preserve"> </w:t>
      </w:r>
    </w:p>
    <w:p w14:paraId="5CFA20A0">
      <w:pPr>
        <w:autoSpaceDE w:val="0"/>
        <w:autoSpaceDN w:val="0"/>
        <w:spacing w:line="360" w:lineRule="auto"/>
        <w:ind w:left="2601" w:right="-20"/>
        <w:jc w:val="left"/>
        <w:rPr>
          <w:rFonts w:hint="eastAsia" w:ascii="宋体" w:hAnsi="宋体"/>
          <w:color w:val="000000" w:themeColor="text1"/>
          <w:kern w:val="0"/>
          <w:position w:val="-2"/>
          <w:sz w:val="24"/>
          <w:szCs w:val="24"/>
          <w:highlight w:val="none"/>
          <w14:textFill>
            <w14:solidFill>
              <w14:schemeClr w14:val="tx1"/>
            </w14:solidFill>
          </w14:textFill>
        </w:rPr>
      </w:pPr>
      <w:r>
        <w:rPr>
          <w:rFonts w:hint="eastAsia" w:ascii="宋体" w:hAnsi="宋体"/>
          <w:color w:val="000000" w:themeColor="text1"/>
          <w:kern w:val="0"/>
          <w:position w:val="-2"/>
          <w:sz w:val="24"/>
          <w:szCs w:val="24"/>
          <w:highlight w:val="none"/>
          <w14:textFill>
            <w14:solidFill>
              <w14:schemeClr w14:val="tx1"/>
            </w14:solidFill>
          </w14:textFill>
        </w:rPr>
        <w:t xml:space="preserve"> </w:t>
      </w:r>
    </w:p>
    <w:p w14:paraId="661A0051">
      <w:pPr>
        <w:autoSpaceDE w:val="0"/>
        <w:autoSpaceDN w:val="0"/>
        <w:spacing w:line="360" w:lineRule="auto"/>
        <w:ind w:left="2601" w:right="-20"/>
        <w:jc w:val="right"/>
        <w:rPr>
          <w:rFonts w:hint="eastAsia" w:ascii="宋体" w:hAnsi="宋体"/>
          <w:color w:val="000000" w:themeColor="text1"/>
          <w:kern w:val="0"/>
          <w:position w:val="-2"/>
          <w:sz w:val="24"/>
          <w:szCs w:val="24"/>
          <w:highlight w:val="none"/>
          <w14:textFill>
            <w14:solidFill>
              <w14:schemeClr w14:val="tx1"/>
            </w14:solidFill>
          </w14:textFill>
        </w:rPr>
      </w:pPr>
      <w:r>
        <w:rPr>
          <w:rFonts w:hint="eastAsia" w:ascii="宋体" w:hAnsi="宋体"/>
          <w:color w:val="000000" w:themeColor="text1"/>
          <w:kern w:val="0"/>
          <w:position w:val="-2"/>
          <w:sz w:val="24"/>
          <w:szCs w:val="24"/>
          <w:highlight w:val="none"/>
          <w14:textFill>
            <w14:solidFill>
              <w14:schemeClr w14:val="tx1"/>
            </w14:solidFill>
          </w14:textFill>
        </w:rPr>
        <w:t>投标人</w:t>
      </w:r>
      <w:r>
        <w:rPr>
          <w:rFonts w:hint="eastAsia" w:ascii="宋体" w:hAnsi="宋体"/>
          <w:color w:val="000000" w:themeColor="text1"/>
          <w:spacing w:val="-2"/>
          <w:kern w:val="0"/>
          <w:position w:val="-2"/>
          <w:sz w:val="24"/>
          <w:szCs w:val="24"/>
          <w:highlight w:val="none"/>
          <w14:textFill>
            <w14:solidFill>
              <w14:schemeClr w14:val="tx1"/>
            </w14:solidFill>
          </w14:textFill>
        </w:rPr>
        <w:t>：</w:t>
      </w:r>
      <w:r>
        <w:rPr>
          <w:rFonts w:hint="eastAsia" w:ascii="宋体" w:hAnsi="宋体"/>
          <w:color w:val="000000" w:themeColor="text1"/>
          <w:spacing w:val="43"/>
          <w:kern w:val="0"/>
          <w:position w:val="-2"/>
          <w:sz w:val="24"/>
          <w:szCs w:val="24"/>
          <w:highlight w:val="none"/>
          <w:u w:val="single"/>
          <w14:textFill>
            <w14:solidFill>
              <w14:schemeClr w14:val="tx1"/>
            </w14:solidFill>
          </w14:textFill>
        </w:rPr>
        <w:t xml:space="preserve">         </w:t>
      </w:r>
      <w:r>
        <w:rPr>
          <w:rFonts w:hint="eastAsia" w:ascii="宋体" w:hAnsi="宋体"/>
          <w:color w:val="000000" w:themeColor="text1"/>
          <w:kern w:val="0"/>
          <w:position w:val="-2"/>
          <w:sz w:val="24"/>
          <w:szCs w:val="24"/>
          <w:highlight w:val="none"/>
          <w14:textFill>
            <w14:solidFill>
              <w14:schemeClr w14:val="tx1"/>
            </w14:solidFill>
          </w14:textFill>
        </w:rPr>
        <w:t>（盖单位公章）</w:t>
      </w:r>
    </w:p>
    <w:p w14:paraId="6B65DB09">
      <w:pPr>
        <w:autoSpaceDE w:val="0"/>
        <w:autoSpaceDN w:val="0"/>
        <w:spacing w:line="360" w:lineRule="auto"/>
        <w:jc w:val="righ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 xml:space="preserve"> </w:t>
      </w:r>
    </w:p>
    <w:p w14:paraId="02BB2714">
      <w:pPr>
        <w:autoSpaceDE w:val="0"/>
        <w:autoSpaceDN w:val="0"/>
        <w:spacing w:line="360" w:lineRule="auto"/>
        <w:ind w:left="2601" w:right="-20" w:firstLine="2160" w:firstLineChars="900"/>
        <w:jc w:val="right"/>
        <w:rPr>
          <w:rFonts w:hint="eastAsia" w:ascii="宋体" w:hAnsi="宋体"/>
          <w:color w:val="000000" w:themeColor="text1"/>
          <w:kern w:val="0"/>
          <w:position w:val="-2"/>
          <w:sz w:val="24"/>
          <w:szCs w:val="24"/>
          <w:highlight w:val="none"/>
          <w:u w:val="single"/>
          <w14:textFill>
            <w14:solidFill>
              <w14:schemeClr w14:val="tx1"/>
            </w14:solidFill>
          </w14:textFill>
        </w:rPr>
      </w:pPr>
      <w:r>
        <w:rPr>
          <w:rFonts w:hint="eastAsia" w:ascii="宋体" w:hAnsi="宋体"/>
          <w:color w:val="000000" w:themeColor="text1"/>
          <w:kern w:val="0"/>
          <w:position w:val="-2"/>
          <w:sz w:val="24"/>
          <w:szCs w:val="24"/>
          <w:highlight w:val="none"/>
          <w:u w:val="single"/>
          <w14:textFill>
            <w14:solidFill>
              <w14:schemeClr w14:val="tx1"/>
            </w14:solidFill>
          </w14:textFill>
        </w:rPr>
        <w:t xml:space="preserve">      </w:t>
      </w:r>
      <w:r>
        <w:rPr>
          <w:rFonts w:hint="eastAsia" w:ascii="宋体" w:hAnsi="宋体"/>
          <w:color w:val="000000" w:themeColor="text1"/>
          <w:kern w:val="0"/>
          <w:position w:val="-2"/>
          <w:sz w:val="24"/>
          <w:szCs w:val="24"/>
          <w:highlight w:val="none"/>
          <w14:textFill>
            <w14:solidFill>
              <w14:schemeClr w14:val="tx1"/>
            </w14:solidFill>
          </w14:textFill>
        </w:rPr>
        <w:t>年</w:t>
      </w:r>
      <w:r>
        <w:rPr>
          <w:rFonts w:hint="eastAsia" w:ascii="宋体" w:hAnsi="宋体"/>
          <w:color w:val="000000" w:themeColor="text1"/>
          <w:kern w:val="0"/>
          <w:position w:val="-2"/>
          <w:sz w:val="24"/>
          <w:szCs w:val="24"/>
          <w:highlight w:val="none"/>
          <w:u w:val="single"/>
          <w14:textFill>
            <w14:solidFill>
              <w14:schemeClr w14:val="tx1"/>
            </w14:solidFill>
          </w14:textFill>
        </w:rPr>
        <w:t xml:space="preserve">     </w:t>
      </w:r>
      <w:r>
        <w:rPr>
          <w:rFonts w:hint="eastAsia" w:ascii="宋体" w:hAnsi="宋体"/>
          <w:color w:val="000000" w:themeColor="text1"/>
          <w:kern w:val="0"/>
          <w:position w:val="-2"/>
          <w:sz w:val="24"/>
          <w:szCs w:val="24"/>
          <w:highlight w:val="none"/>
          <w14:textFill>
            <w14:solidFill>
              <w14:schemeClr w14:val="tx1"/>
            </w14:solidFill>
          </w14:textFill>
        </w:rPr>
        <w:t>月</w:t>
      </w:r>
      <w:r>
        <w:rPr>
          <w:rFonts w:hint="eastAsia" w:ascii="宋体" w:hAnsi="宋体"/>
          <w:color w:val="000000" w:themeColor="text1"/>
          <w:kern w:val="0"/>
          <w:position w:val="-2"/>
          <w:sz w:val="24"/>
          <w:szCs w:val="24"/>
          <w:highlight w:val="none"/>
          <w:u w:val="single"/>
          <w14:textFill>
            <w14:solidFill>
              <w14:schemeClr w14:val="tx1"/>
            </w14:solidFill>
          </w14:textFill>
        </w:rPr>
        <w:t xml:space="preserve">    </w:t>
      </w:r>
      <w:r>
        <w:rPr>
          <w:rFonts w:hint="eastAsia" w:ascii="宋体" w:hAnsi="宋体"/>
          <w:color w:val="000000" w:themeColor="text1"/>
          <w:kern w:val="0"/>
          <w:position w:val="-2"/>
          <w:sz w:val="24"/>
          <w:szCs w:val="24"/>
          <w:highlight w:val="none"/>
          <w14:textFill>
            <w14:solidFill>
              <w14:schemeClr w14:val="tx1"/>
            </w14:solidFill>
          </w14:textFill>
        </w:rPr>
        <w:t>日</w:t>
      </w:r>
    </w:p>
    <w:p w14:paraId="3C5D66AC">
      <w:pPr>
        <w:widowControl w:val="0"/>
        <w:ind w:firstLine="420"/>
        <w:rPr>
          <w:rFonts w:hint="eastAsia" w:ascii="宋体" w:hAnsi="宋体"/>
          <w:color w:val="000000" w:themeColor="text1"/>
          <w:highlight w:val="none"/>
          <w14:textFill>
            <w14:solidFill>
              <w14:schemeClr w14:val="tx1"/>
            </w14:solidFill>
          </w14:textFill>
        </w:rPr>
      </w:pPr>
    </w:p>
    <w:p w14:paraId="155696D2">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20AF7706">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7E983990">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417D8DE8">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0EBE39DA">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39C026E4">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6E48B6EA">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09801D80">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7E55F157">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645B4384">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3BDAFD6C">
      <w:pPr>
        <w:spacing w:before="100" w:beforeAutospacing="1" w:after="100" w:afterAutospacing="1"/>
        <w:ind w:left="141" w:hanging="140" w:hangingChars="50"/>
        <w:jc w:val="left"/>
        <w:rPr>
          <w:rFonts w:ascii="宋体" w:hAnsi="Courier New"/>
          <w:b/>
          <w:bCs/>
          <w:color w:val="000000" w:themeColor="text1"/>
          <w:kern w:val="0"/>
          <w:sz w:val="28"/>
          <w:szCs w:val="24"/>
          <w:highlight w:val="none"/>
          <w14:textFill>
            <w14:solidFill>
              <w14:schemeClr w14:val="tx1"/>
            </w14:solidFill>
          </w14:textFill>
        </w:rPr>
      </w:pPr>
      <w:r>
        <w:rPr>
          <w:rFonts w:hint="eastAsia" w:ascii="宋体" w:hAnsi="Courier New"/>
          <w:b/>
          <w:bCs/>
          <w:color w:val="000000" w:themeColor="text1"/>
          <w:kern w:val="0"/>
          <w:sz w:val="28"/>
          <w:szCs w:val="24"/>
          <w:highlight w:val="none"/>
          <w14:textFill>
            <w14:solidFill>
              <w14:schemeClr w14:val="tx1"/>
            </w14:solidFill>
          </w14:textFill>
        </w:rPr>
        <w:t>附件3：工信部联企业[2011]300号</w:t>
      </w:r>
      <w:r>
        <w:rPr>
          <w:rFonts w:ascii="宋体" w:hAnsi="宋体"/>
          <w:color w:val="000000" w:themeColor="text1"/>
          <w:kern w:val="0"/>
          <w:sz w:val="30"/>
          <w:szCs w:val="30"/>
          <w:highlight w:val="none"/>
          <w14:textFill>
            <w14:solidFill>
              <w14:schemeClr w14:val="tx1"/>
            </w14:solidFill>
          </w14:textFill>
        </w:rPr>
        <w:drawing>
          <wp:inline distT="0" distB="0" distL="0" distR="0">
            <wp:extent cx="5221605" cy="8063865"/>
            <wp:effectExtent l="0" t="0" r="17145" b="13335"/>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21605" cy="8063865"/>
                    </a:xfrm>
                    <a:prstGeom prst="rect">
                      <a:avLst/>
                    </a:prstGeom>
                    <a:noFill/>
                    <a:ln>
                      <a:noFill/>
                    </a:ln>
                  </pic:spPr>
                </pic:pic>
              </a:graphicData>
            </a:graphic>
          </wp:inline>
        </w:drawing>
      </w:r>
    </w:p>
    <w:p w14:paraId="3BF59F54">
      <w:pPr>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drawing>
          <wp:inline distT="0" distB="0" distL="0" distR="0">
            <wp:extent cx="5932805" cy="8394700"/>
            <wp:effectExtent l="0" t="0" r="10795" b="6350"/>
            <wp:docPr id="2" name="_x0000_i2059"/>
            <wp:cNvGraphicFramePr/>
            <a:graphic xmlns:a="http://schemas.openxmlformats.org/drawingml/2006/main">
              <a:graphicData uri="http://schemas.openxmlformats.org/drawingml/2006/picture">
                <pic:pic xmlns:pic="http://schemas.openxmlformats.org/drawingml/2006/picture">
                  <pic:nvPicPr>
                    <pic:cNvPr id="2" name="_x0000_i2059"/>
                    <pic:cNvPicPr/>
                  </pic:nvPicPr>
                  <pic:blipFill>
                    <a:blip r:embed="rId16"/>
                    <a:stretch>
                      <a:fillRect/>
                    </a:stretch>
                  </pic:blipFill>
                  <pic:spPr>
                    <a:xfrm>
                      <a:off x="0" y="0"/>
                      <a:ext cx="5932855" cy="8394814"/>
                    </a:xfrm>
                    <a:prstGeom prst="rect">
                      <a:avLst/>
                    </a:prstGeom>
                  </pic:spPr>
                </pic:pic>
              </a:graphicData>
            </a:graphic>
          </wp:inline>
        </w:drawing>
      </w:r>
    </w:p>
    <w:p w14:paraId="042320CC">
      <w:pPr>
        <w:widowControl w:val="0"/>
        <w:autoSpaceDE w:val="0"/>
        <w:autoSpaceDN w:val="0"/>
        <w:rPr>
          <w:rFonts w:ascii="宋体" w:eastAsia="等线"/>
          <w:color w:val="000000" w:themeColor="text1"/>
          <w:sz w:val="24"/>
          <w:szCs w:val="24"/>
          <w:highlight w:val="none"/>
          <w14:textFill>
            <w14:solidFill>
              <w14:schemeClr w14:val="tx1"/>
            </w14:solidFill>
          </w14:textFill>
        </w:rPr>
      </w:pPr>
      <w:r>
        <w:rPr>
          <w:rFonts w:hint="eastAsia" w:ascii="宋体" w:eastAsia="等线"/>
          <w:color w:val="000000" w:themeColor="text1"/>
          <w:sz w:val="24"/>
          <w:szCs w:val="24"/>
          <w:highlight w:val="none"/>
          <w14:textFill>
            <w14:solidFill>
              <w14:schemeClr w14:val="tx1"/>
            </w14:solidFill>
          </w14:textFill>
        </w:rPr>
        <w:drawing>
          <wp:inline distT="0" distB="0" distL="0" distR="0">
            <wp:extent cx="5932805" cy="8394700"/>
            <wp:effectExtent l="0" t="0" r="10795" b="6350"/>
            <wp:docPr id="3" name="_x0000_i2060"/>
            <wp:cNvGraphicFramePr/>
            <a:graphic xmlns:a="http://schemas.openxmlformats.org/drawingml/2006/main">
              <a:graphicData uri="http://schemas.openxmlformats.org/drawingml/2006/picture">
                <pic:pic xmlns:pic="http://schemas.openxmlformats.org/drawingml/2006/picture">
                  <pic:nvPicPr>
                    <pic:cNvPr id="3" name="_x0000_i2060"/>
                    <pic:cNvPicPr/>
                  </pic:nvPicPr>
                  <pic:blipFill>
                    <a:blip r:embed="rId17"/>
                    <a:stretch>
                      <a:fillRect/>
                    </a:stretch>
                  </pic:blipFill>
                  <pic:spPr>
                    <a:xfrm>
                      <a:off x="0" y="0"/>
                      <a:ext cx="5932855" cy="8394814"/>
                    </a:xfrm>
                    <a:prstGeom prst="rect">
                      <a:avLst/>
                    </a:prstGeom>
                  </pic:spPr>
                </pic:pic>
              </a:graphicData>
            </a:graphic>
          </wp:inline>
        </w:drawing>
      </w:r>
    </w:p>
    <w:p w14:paraId="6D9C6EA1">
      <w:pPr>
        <w:pStyle w:val="3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anchor distT="0" distB="0" distL="0" distR="0" simplePos="0" relativeHeight="251677696" behindDoc="0" locked="0" layoutInCell="1" allowOverlap="1">
            <wp:simplePos x="0" y="0"/>
            <wp:positionH relativeFrom="column">
              <wp:posOffset>-104140</wp:posOffset>
            </wp:positionH>
            <wp:positionV relativeFrom="paragraph">
              <wp:posOffset>153035</wp:posOffset>
            </wp:positionV>
            <wp:extent cx="5932805" cy="8394700"/>
            <wp:effectExtent l="0" t="0" r="10795" b="6350"/>
            <wp:wrapNone/>
            <wp:docPr id="4" name="_x0000_i2061"/>
            <wp:cNvGraphicFramePr/>
            <a:graphic xmlns:a="http://schemas.openxmlformats.org/drawingml/2006/main">
              <a:graphicData uri="http://schemas.openxmlformats.org/drawingml/2006/picture">
                <pic:pic xmlns:pic="http://schemas.openxmlformats.org/drawingml/2006/picture">
                  <pic:nvPicPr>
                    <pic:cNvPr id="4" name="_x0000_i2061"/>
                    <pic:cNvPicPr/>
                  </pic:nvPicPr>
                  <pic:blipFill>
                    <a:blip r:embed="rId18"/>
                    <a:stretch>
                      <a:fillRect/>
                    </a:stretch>
                  </pic:blipFill>
                  <pic:spPr>
                    <a:xfrm>
                      <a:off x="0" y="0"/>
                      <a:ext cx="5932855" cy="8394814"/>
                    </a:xfrm>
                    <a:prstGeom prst="rect">
                      <a:avLst/>
                    </a:prstGeom>
                  </pic:spPr>
                </pic:pic>
              </a:graphicData>
            </a:graphic>
          </wp:anchor>
        </w:drawing>
      </w:r>
    </w:p>
    <w:p w14:paraId="36F52637">
      <w:pPr>
        <w:spacing w:line="440" w:lineRule="exact"/>
        <w:ind w:firstLine="420" w:firstLineChars="200"/>
        <w:jc w:val="center"/>
        <w:rPr>
          <w:color w:val="000000" w:themeColor="text1"/>
          <w:highlight w:val="none"/>
          <w14:textFill>
            <w14:solidFill>
              <w14:schemeClr w14:val="tx1"/>
            </w14:solidFill>
          </w14:textFill>
        </w:rPr>
      </w:pPr>
    </w:p>
    <w:p w14:paraId="21017697">
      <w:pP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br w:type="page"/>
      </w:r>
    </w:p>
    <w:p w14:paraId="2FBED47F">
      <w:pPr>
        <w:spacing w:line="440" w:lineRule="exact"/>
        <w:ind w:firstLine="560" w:firstLineChars="200"/>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全流程电子化交易注意事项</w:t>
      </w:r>
    </w:p>
    <w:p w14:paraId="2D4A96F7">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子化交易项目投标文件是投标人、供应商（以下简称“投标人”）通过中心投标文件制作系统制作，并经过签章和加密后生成的电子版投标文件。（电子化投标文件具体制作教材请投标人通过CA证书登录公共资源电子化交易系统在右上角“组件下载”中查看）制作电子化投标文件，需仔细阅读以下条款。</w:t>
      </w:r>
    </w:p>
    <w:p w14:paraId="7E0C3766">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一、电子化投标</w:t>
      </w:r>
    </w:p>
    <w:p w14:paraId="4D71593A">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（一）网上投标保证金的缴纳</w:t>
      </w:r>
    </w:p>
    <w:p w14:paraId="36244954">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1、递交形式: 投标人的投标保证金必须通过投标人基本账户以转账或电汇的形式缴纳（账户必须是已加入平顶山市公共资源交易投标人或供应商诚信库中的账户）。</w:t>
      </w:r>
    </w:p>
    <w:p w14:paraId="02CF820E">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投标人缴纳投标保证金后，应在规定的缴纳截止时间前通过平顶山市公共资源电子化交易系统将保证金成功绑定至所投标项目和标段。保证金绑定操作手册，请登录平顶山市公共资源交易中心网站在办事指南中网上投标栏目查看。</w:t>
      </w:r>
    </w:p>
    <w:p w14:paraId="35D5D1A4">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3、投标人在成功绑定后，可以将系统生成的回执单图片制作在投标文件中，作为缴纳保证金的依据。</w:t>
      </w:r>
    </w:p>
    <w:p w14:paraId="64B0E994">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4、投标人应仔细阅读操作手册并充分考虑异地跨行转账到账时间等因素，因投标人操作不当或银行到账时间等问题造成保证金无法正常绑定影响投标的，由投标人自行承担后果。</w:t>
      </w:r>
    </w:p>
    <w:p w14:paraId="38669759">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5、未中标投标人的投标保证金在项目结束后，由中介服务机构向中心项目负责人提出退款申请，项目负责人同意并经财务部门核对后，通过中心交易平台退还给投标人。</w:t>
      </w:r>
    </w:p>
    <w:p w14:paraId="3346CA60">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（二）电子化投标文件的签章</w:t>
      </w:r>
    </w:p>
    <w:p w14:paraId="374DB247">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1、投标人在生成电子化投标文件后，应对电子化投标文件进行签章，未进行签章的视为无效投标。</w:t>
      </w:r>
    </w:p>
    <w:p w14:paraId="670D7C1B">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招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建下载”中查看。</w:t>
      </w:r>
    </w:p>
    <w:p w14:paraId="420C02F4">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（三）电子化投标文件的格式及上传投标</w:t>
      </w:r>
    </w:p>
    <w:p w14:paraId="6A84B07B">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1、投标人所上传的电子化投标文件，应是通过中心投标文件制作系统制作的，经过签章和加密后生成的电子版投标文件。生成的电子版投标文件包含用于投标文件上传的主文件（项目文件格式为：xxx公司_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项目名称.bin），备份文件主要用于电子化开标出现技术问题后的补救，请投标人随身携带。</w:t>
      </w:r>
    </w:p>
    <w:p w14:paraId="362A3885">
      <w:pPr>
        <w:spacing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注：（1）投标人投报多个标段的，根据标段制作各个标段的投标文件后上传</w:t>
      </w:r>
    </w:p>
    <w:p w14:paraId="58F88E7F">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2、电子化投标文件应在投标截止时间前成功上传至平顶山市公共资源电子化交易系统。至投标截止时间止，仍未上传成功的电子化投标文件将不予接收。</w:t>
      </w:r>
    </w:p>
    <w:p w14:paraId="45C41DDA">
      <w:pPr>
        <w:spacing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7298ACBC">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（四）电子化项目开标、解密、唱标、评标</w:t>
      </w:r>
    </w:p>
    <w:p w14:paraId="028DBEA7">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1、电子化投标文件采用双重加密方式。开标时，首先由投标人使用CA证书，在规定时间内对其电子化投标文件进行首次解密，投标人解密完成后，再由中介服务机构使用CA证书对投标文件进行再次解密。</w:t>
      </w:r>
    </w:p>
    <w:p w14:paraId="07181609">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2、电子化投标文件解密异常的处理</w:t>
      </w:r>
    </w:p>
    <w:p w14:paraId="170A6198">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如出现投标人的电子投标文件无法解密的情况，投标人应及时联系中介服务机构说明。投标文件解密异常，按以下步骤进行处理：</w:t>
      </w:r>
    </w:p>
    <w:p w14:paraId="246C186E">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（1）首先由技术人员进行问题排查。</w:t>
      </w:r>
    </w:p>
    <w:p w14:paraId="63569B86">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（2）经技术人员排查后，是投标人文件自身问题导致投标文件无法解密的，该投标文件将不予接收、解密和唱标，开标会议继续进行。</w:t>
      </w:r>
    </w:p>
    <w:p w14:paraId="022CA4F0">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2FECC8A2">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3、待所有投标人投标文件解密完成后，由中介服务机构操作，对所有已解密投标文件进行唱标。</w:t>
      </w:r>
    </w:p>
    <w:p w14:paraId="50889575">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评标时，评标委员会对电子化投标文件有质疑的，将通过电子化交易系统对投标人发起质疑。质疑回复内容确认后，投标人的回复文件必须以经过投标人和其法定代表人签章的PDF格式文件为准，并通过电子化交易系统提交至评标委员会。</w:t>
      </w:r>
    </w:p>
    <w:p w14:paraId="10593F5C">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5、如评标委员会对需要回复的投标人回复内容有异议的，经过几次回复仍不清楚的，需在监督下进行免提电话进行质疑。</w:t>
      </w:r>
    </w:p>
    <w:p w14:paraId="50DE76EB">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6、评标时如因系统异常、停电、电脑病毒、网络堵塞等原因无法正常进行的，由技术人员排查解决，短时间无法解决的，经监督部门同意后，暂停评标活动，待问题解决后继续评标。</w:t>
      </w:r>
    </w:p>
    <w:sectPr>
      <w:footerReference r:id="rId12" w:type="default"/>
      <w:pgSz w:w="11906" w:h="16838"/>
      <w:pgMar w:top="1440" w:right="1440" w:bottom="1440" w:left="1440" w:header="851" w:footer="992" w:gutter="0"/>
      <w:pgNumType w:start="66"/>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Tahoma">
    <w:panose1 w:val="020B0604030504040204"/>
    <w:charset w:val="00"/>
    <w:family w:val="swiss"/>
    <w:pitch w:val="default"/>
    <w:sig w:usb0="E1002EFF" w:usb1="C000605B" w:usb2="00000029" w:usb3="00000000" w:csb0="200101FF" w:csb1="2028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方正小标宋简体">
    <w:altName w:val="黑体"/>
    <w:panose1 w:val="00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DA6E6">
    <w:pPr>
      <w:pStyle w:val="54"/>
      <w:tabs>
        <w:tab w:val="clear" w:pos="4153"/>
        <w:tab w:val="clear" w:pos="8306"/>
      </w:tabs>
      <w:ind w:right="360" w:firstLine="90" w:firstLineChars="50"/>
    </w:pPr>
    <w:r>
      <mc:AlternateContent>
        <mc:Choice Requires="wps">
          <w:drawing>
            <wp:anchor distT="0" distB="0" distL="0" distR="0" simplePos="0" relativeHeight="251660288" behindDoc="0" locked="0" layoutInCell="1" allowOverlap="1">
              <wp:simplePos x="0" y="0"/>
              <wp:positionH relativeFrom="column">
                <wp:posOffset>0</wp:posOffset>
              </wp:positionH>
              <wp:positionV relativeFrom="paragraph">
                <wp:posOffset>0</wp:posOffset>
              </wp:positionV>
              <wp:extent cx="5628640" cy="10795"/>
              <wp:effectExtent l="0" t="4445" r="10160" b="13335"/>
              <wp:wrapNone/>
              <wp:docPr id="6" name="_x0000_s2051"/>
              <wp:cNvGraphicFramePr/>
              <a:graphic xmlns:a="http://schemas.openxmlformats.org/drawingml/2006/main">
                <a:graphicData uri="http://schemas.microsoft.com/office/word/2010/wordprocessingShape">
                  <wps:wsp>
                    <wps:cNvCnPr/>
                    <wps:spPr>
                      <a:xfrm>
                        <a:off x="20320" y="113665"/>
                        <a:ext cx="5628640" cy="10795"/>
                      </a:xfrm>
                      <a:prstGeom prst="line">
                        <a:avLst/>
                      </a:prstGeom>
                      <a:ln w="3175">
                        <a:solidFill>
                          <a:prstClr val="white"/>
                        </a:solidFill>
                      </a:ln>
                    </wps:spPr>
                    <wps:bodyPr/>
                  </wps:wsp>
                </a:graphicData>
              </a:graphic>
            </wp:anchor>
          </w:drawing>
        </mc:Choice>
        <mc:Fallback>
          <w:pict>
            <v:line id="_x0000_s2051" o:spid="_x0000_s1026" o:spt="20" style="position:absolute;left:0pt;margin-left:0pt;margin-top:0pt;height:0.85pt;width:443.2pt;z-index:251660288;mso-width-relative:page;mso-height-relative:page;" filled="f" stroked="t" coordsize="21600,21600" o:gfxdata="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8h163UAAAA&#10;AwEAAA8AAAAAAAAAAQAgAAAAIgAAAGRycy9kb3ducmV2LnhtbFBLAQIUABQAAAAIAIdO4kA+GnjU&#10;rwEAAFwDAAAOAAAAAAAAAAEAIAAAACMBAABkcnMvZTJvRG9jLnhtbFBLBQYAAAAABgAGAFkBAABE&#10;BQAAAAA=&#10;">
              <v:fill on="f" focussize="0,0"/>
              <v:stroke weight="0.25pt" color="#FFFFFF" joinstyle="round"/>
              <v:imagedata o:title=""/>
              <o:lock v:ext="edit" aspectratio="f"/>
            </v:line>
          </w:pict>
        </mc:Fallback>
      </mc:AlternateContent>
    </w:r>
  </w:p>
  <w:p w14:paraId="5870A8AB">
    <w:pPr>
      <w:pStyle w:val="54"/>
      <w:tabs>
        <w:tab w:val="clear" w:pos="4153"/>
        <w:tab w:val="clear" w:pos="8306"/>
      </w:tabs>
      <w:ind w:right="360" w:firstLine="90" w:firstLineChars="50"/>
      <w:rPr>
        <w:rFonts w:hint="eastAsia" w:ascii="宋体" w:hAnsi="宋体"/>
      </w:rPr>
    </w:pPr>
    <w:r>
      <w:rPr>
        <w:rFonts w:hint="eastAsia" w:ascii="宋体" w:hAnsi="宋体"/>
        <w:color w:val="000000"/>
        <w:shd w:val="clear" w:color="auto" w:fill="FFFFFF"/>
      </w:rPr>
      <w:t>河南荣之鑫工程管理有限公司</w:t>
    </w:r>
    <w:r>
      <w:rPr>
        <w:rFonts w:hint="eastAsia" w:ascii="宋体" w:hAnsi="宋体"/>
      </w:rPr>
      <w:tab/>
    </w:r>
  </w:p>
  <w:p w14:paraId="7858BADF">
    <w:pPr>
      <w:pStyle w:val="54"/>
      <w:tabs>
        <w:tab w:val="clear" w:pos="4153"/>
        <w:tab w:val="clear" w:pos="8306"/>
      </w:tabs>
      <w:ind w:right="360" w:firstLine="90" w:firstLineChars="5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8C7FB">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57232">
    <w:pPr>
      <w:pStyle w:val="54"/>
      <w:tabs>
        <w:tab w:val="clear" w:pos="4153"/>
        <w:tab w:val="clear" w:pos="8306"/>
      </w:tabs>
      <w:ind w:right="360" w:firstLine="90" w:firstLineChars="50"/>
    </w:pPr>
    <w:r>
      <mc:AlternateContent>
        <mc:Choice Requires="wps">
          <w:drawing>
            <wp:anchor distT="0" distB="0" distL="114300" distR="114300" simplePos="0" relativeHeight="251664384" behindDoc="0" locked="0" layoutInCell="1" allowOverlap="1">
              <wp:simplePos x="0" y="0"/>
              <wp:positionH relativeFrom="column">
                <wp:posOffset>27305</wp:posOffset>
              </wp:positionH>
              <wp:positionV relativeFrom="paragraph">
                <wp:posOffset>99060</wp:posOffset>
              </wp:positionV>
              <wp:extent cx="5715000" cy="10160"/>
              <wp:effectExtent l="36830" t="34925" r="29845" b="31115"/>
              <wp:wrapNone/>
              <wp:docPr id="7" name="Line 1026"/>
              <wp:cNvGraphicFramePr/>
              <a:graphic xmlns:a="http://schemas.openxmlformats.org/drawingml/2006/main">
                <a:graphicData uri="http://schemas.microsoft.com/office/word/2010/wordprocessingShape">
                  <wps:wsp>
                    <wps:cNvCnPr>
                      <a:cxnSpLocks noChangeShapeType="1"/>
                    </wps:cNvCnPr>
                    <wps:spPr bwMode="auto">
                      <a:xfrm>
                        <a:off x="0" y="0"/>
                        <a:ext cx="5715000" cy="10160"/>
                      </a:xfrm>
                      <a:prstGeom prst="line">
                        <a:avLst/>
                      </a:prstGeom>
                      <a:noFill/>
                      <a:ln w="57150" cmpd="thinThick">
                        <a:solidFill>
                          <a:srgbClr val="000000"/>
                        </a:solidFill>
                        <a:round/>
                      </a:ln>
                    </wps:spPr>
                    <wps:bodyPr/>
                  </wps:wsp>
                </a:graphicData>
              </a:graphic>
            </wp:anchor>
          </w:drawing>
        </mc:Choice>
        <mc:Fallback>
          <w:pict>
            <v:line id="Line 1026" o:spid="_x0000_s1026" o:spt="20" style="position:absolute;left:0pt;margin-left:2.15pt;margin-top:7.8pt;height:0.8pt;width:450pt;z-index:251664384;mso-width-relative:page;mso-height-relative:page;" filled="f" stroked="t" coordsize="21600,21600" o:gfxdata="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JB7EW1gAAAAcBAAAPAAAAAAAAAAEA&#10;IAAAACIAAABkcnMvZG93bnJldi54bWxQSwECFAAUAAAACACHTuJAzxdjrNgBAAC4AwAADgAAAAAA&#10;AAABACAAAAAlAQAAZHJzL2Uyb0RvYy54bWxQSwUGAAAAAAYABgBZAQAAbwUAAAAA&#10;">
              <v:fill on="f" focussize="0,0"/>
              <v:stroke weight="4.5pt" color="#000000" linestyle="thinThick" joinstyle="round"/>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628640" cy="10795"/>
              <wp:effectExtent l="0" t="0" r="10160" b="8255"/>
              <wp:wrapNone/>
              <wp:docPr id="11" name="_x0000_s2051"/>
              <wp:cNvGraphicFramePr/>
              <a:graphic xmlns:a="http://schemas.openxmlformats.org/drawingml/2006/main">
                <a:graphicData uri="http://schemas.microsoft.com/office/word/2010/wordprocessingShape">
                  <wps:wsp>
                    <wps:cNvCnPr/>
                    <wps:spPr>
                      <a:xfrm>
                        <a:off x="0" y="0"/>
                        <a:ext cx="5628640" cy="10795"/>
                      </a:xfrm>
                      <a:prstGeom prst="line">
                        <a:avLst/>
                      </a:prstGeom>
                      <a:ln w="3175">
                        <a:solidFill>
                          <a:prstClr val="white"/>
                        </a:solidFill>
                      </a:ln>
                    </wps:spPr>
                    <wps:bodyPr/>
                  </wps:wsp>
                </a:graphicData>
              </a:graphic>
            </wp:anchor>
          </w:drawing>
        </mc:Choice>
        <mc:Fallback>
          <w:pict>
            <v:line id="_x0000_s2051" o:spid="_x0000_s1026" o:spt="20" style="position:absolute;left:0pt;margin-left:0pt;margin-top:0pt;height:0.85pt;width:443.2pt;z-index:251662336;mso-width-relative:page;mso-height-relative:page;" filled="f" stroked="t" coordsize="21600,21600" o:gfxdata="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LyHXrdQAAAADAQAADwAAAAAA&#10;AAABACAAAAAiAAAAZHJzL2Rvd25yZXYueG1sUEsBAhQAFAAAAAgAh07iQPQbWVGlAQAAVAMAAA4A&#10;AAAAAAAAAQAgAAAAIwEAAGRycy9lMm9Eb2MueG1sUEsFBgAAAAAGAAYAWQEAADoFAAAAAA==&#10;">
              <v:fill on="f" focussize="0,0"/>
              <v:stroke weight="0.25pt" color="#FFFFFF" joinstyle="round"/>
              <v:imagedata o:title=""/>
              <o:lock v:ext="edit" aspectratio="f"/>
            </v:line>
          </w:pict>
        </mc:Fallback>
      </mc:AlternateContent>
    </w:r>
  </w:p>
  <w:p w14:paraId="29EF73F4">
    <w:pPr>
      <w:pStyle w:val="54"/>
      <w:tabs>
        <w:tab w:val="clear" w:pos="4153"/>
        <w:tab w:val="clear" w:pos="8306"/>
      </w:tabs>
      <w:ind w:right="360" w:firstLine="90" w:firstLineChars="50"/>
      <w:rPr>
        <w:rFonts w:hint="eastAsia" w:ascii="宋体" w:hAnsi="宋体"/>
      </w:rPr>
    </w:pPr>
    <w:r>
      <mc:AlternateContent>
        <mc:Choice Requires="wps">
          <w:drawing>
            <wp:anchor distT="0" distB="0" distL="114300" distR="114300" simplePos="0" relativeHeight="251661312" behindDoc="0" locked="0" layoutInCell="1" allowOverlap="1">
              <wp:simplePos x="0" y="0"/>
              <wp:positionH relativeFrom="margin">
                <wp:posOffset>5585460</wp:posOffset>
              </wp:positionH>
              <wp:positionV relativeFrom="paragraph">
                <wp:posOffset>94615</wp:posOffset>
              </wp:positionV>
              <wp:extent cx="57785" cy="131445"/>
              <wp:effectExtent l="3810" t="0" r="0" b="1905"/>
              <wp:wrapNone/>
              <wp:docPr id="1" name="Text Box 1028"/>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60AC99F9">
                          <w:pPr>
                            <w:pStyle w:val="11"/>
                          </w:pPr>
                          <w:r>
                            <w:fldChar w:fldCharType="begin"/>
                          </w:r>
                          <w:r>
                            <w:instrText xml:space="preserve"> PAGE  \* MERGEFORMAT </w:instrText>
                          </w:r>
                          <w:r>
                            <w:fldChar w:fldCharType="separate"/>
                          </w:r>
                          <w:r>
                            <w:t>9</w:t>
                          </w:r>
                          <w:r>
                            <w:fldChar w:fldCharType="end"/>
                          </w:r>
                        </w:p>
                      </w:txbxContent>
                    </wps:txbx>
                    <wps:bodyPr rot="0" vert="horz" wrap="none" lIns="0" tIns="0" rIns="0" bIns="0" anchor="t" anchorCtr="0" upright="1">
                      <a:spAutoFit/>
                    </wps:bodyPr>
                  </wps:wsp>
                </a:graphicData>
              </a:graphic>
            </wp:anchor>
          </w:drawing>
        </mc:Choice>
        <mc:Fallback>
          <w:pict>
            <v:shape id="Text Box 1028" o:spid="_x0000_s1026" o:spt="202" type="#_x0000_t202" style="position:absolute;left:0pt;margin-left:439.8pt;margin-top:7.45pt;height:10.35pt;width:4.55pt;mso-position-horizontal-relative:margin;mso-wrap-style:none;z-index:251661312;mso-width-relative:page;mso-height-relative:page;" filled="f" stroked="f" coordsize="21600,21600" o:gfxdata="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2q3aY1gAAAAkBAAAPAAAAAAAAAAEAIAAAACIAAABkcnMvZG93bnJldi54&#10;bWxQSwECFAAUAAAACACHTuJAQ25IZ/wBAAADBAAADgAAAAAAAAABACAAAAAlAQAAZHJzL2Uyb0Rv&#10;Yy54bWxQSwUGAAAAAAYABgBZAQAAkwUAAAAA&#10;">
              <v:fill on="f" focussize="0,0"/>
              <v:stroke on="f"/>
              <v:imagedata o:title=""/>
              <o:lock v:ext="edit" aspectratio="f"/>
              <v:textbox inset="0mm,0mm,0mm,0mm" style="mso-fit-shape-to-text:t;">
                <w:txbxContent>
                  <w:p w14:paraId="60AC99F9">
                    <w:pPr>
                      <w:pStyle w:val="11"/>
                    </w:pPr>
                    <w:r>
                      <w:fldChar w:fldCharType="begin"/>
                    </w:r>
                    <w:r>
                      <w:instrText xml:space="preserve"> PAGE  \* MERGEFORMAT </w:instrText>
                    </w:r>
                    <w:r>
                      <w:fldChar w:fldCharType="separate"/>
                    </w:r>
                    <w:r>
                      <w:t>9</w:t>
                    </w:r>
                    <w:r>
                      <w:fldChar w:fldCharType="end"/>
                    </w:r>
                  </w:p>
                </w:txbxContent>
              </v:textbox>
            </v:shape>
          </w:pict>
        </mc:Fallback>
      </mc:AlternateContent>
    </w:r>
    <w:r>
      <w:rPr>
        <w:rFonts w:hint="eastAsia" w:ascii="宋体" w:hAnsi="宋体"/>
        <w:color w:val="000000"/>
        <w:shd w:val="clear" w:color="auto" w:fill="FFFFFF"/>
      </w:rPr>
      <w:t>河南荣之鑫工程管理有限公司</w:t>
    </w:r>
    <w:r>
      <w:rPr>
        <w:rFonts w:hint="eastAsia" w:ascii="宋体" w:hAnsi="宋体"/>
      </w:rPr>
      <w:tab/>
    </w:r>
  </w:p>
  <w:p w14:paraId="18F77F70">
    <w:pPr>
      <w:pStyle w:val="54"/>
      <w:tabs>
        <w:tab w:val="left" w:pos="5352"/>
        <w:tab w:val="clear" w:pos="4153"/>
        <w:tab w:val="clear" w:pos="8306"/>
      </w:tabs>
      <w:ind w:right="360" w:firstLine="90" w:firstLineChars="50"/>
    </w:pPr>
    <w:r>
      <w:tab/>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F2439">
    <w:pPr>
      <w:pStyle w:val="54"/>
      <w:tabs>
        <w:tab w:val="clear" w:pos="4153"/>
        <w:tab w:val="clear" w:pos="8306"/>
      </w:tabs>
      <w:ind w:right="360" w:firstLine="90" w:firstLineChars="50"/>
    </w:pPr>
    <w:r>
      <mc:AlternateContent>
        <mc:Choice Requires="wps">
          <w:drawing>
            <wp:anchor distT="0" distB="0" distL="114300" distR="114300" simplePos="0" relativeHeight="251669504" behindDoc="0" locked="0" layoutInCell="1" allowOverlap="1">
              <wp:simplePos x="0" y="0"/>
              <wp:positionH relativeFrom="column">
                <wp:posOffset>27305</wp:posOffset>
              </wp:positionH>
              <wp:positionV relativeFrom="paragraph">
                <wp:posOffset>99060</wp:posOffset>
              </wp:positionV>
              <wp:extent cx="8819515" cy="635"/>
              <wp:effectExtent l="0" t="28575" r="635" b="46990"/>
              <wp:wrapNone/>
              <wp:docPr id="14" name="Line 1026"/>
              <wp:cNvGraphicFramePr/>
              <a:graphic xmlns:a="http://schemas.openxmlformats.org/drawingml/2006/main">
                <a:graphicData uri="http://schemas.microsoft.com/office/word/2010/wordprocessingShape">
                  <wps:wsp>
                    <wps:cNvCnPr>
                      <a:cxnSpLocks noChangeShapeType="1"/>
                    </wps:cNvCnPr>
                    <wps:spPr bwMode="auto">
                      <a:xfrm>
                        <a:off x="0" y="0"/>
                        <a:ext cx="8819515" cy="635"/>
                      </a:xfrm>
                      <a:prstGeom prst="line">
                        <a:avLst/>
                      </a:prstGeom>
                      <a:noFill/>
                      <a:ln w="57150" cmpd="thinThick">
                        <a:solidFill>
                          <a:srgbClr val="000000"/>
                        </a:solidFill>
                        <a:round/>
                      </a:ln>
                    </wps:spPr>
                    <wps:bodyPr/>
                  </wps:wsp>
                </a:graphicData>
              </a:graphic>
            </wp:anchor>
          </w:drawing>
        </mc:Choice>
        <mc:Fallback>
          <w:pict>
            <v:line id="Line 1026" o:spid="_x0000_s1026" o:spt="20" style="position:absolute;left:0pt;margin-left:2.15pt;margin-top:7.8pt;height:0.05pt;width:694.45pt;z-index:251669504;mso-width-relative:page;mso-height-relative:page;" filled="f" stroked="t" coordsize="21600,21600" o:gfxdata="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LmD97YAAAACAEAAA8AAAAA&#10;AAAAAQAgAAAAIgAAAGRycy9kb3ducmV2LnhtbFBLAQIUABQAAAAIAIdO4kAi5jwU2wEAALcDAAAO&#10;AAAAAAAAAAEAIAAAACcBAABkcnMvZTJvRG9jLnhtbFBLBQYAAAAABgAGAFkBAAB0BQAAAAA=&#10;">
              <v:fill on="f" focussize="0,0"/>
              <v:stroke weight="4.5pt" color="#000000" linestyle="thinThick" joinstyle="round"/>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628640" cy="10795"/>
              <wp:effectExtent l="0" t="4445" r="10160" b="13335"/>
              <wp:wrapNone/>
              <wp:docPr id="15" name="_x0000_s2051"/>
              <wp:cNvGraphicFramePr/>
              <a:graphic xmlns:a="http://schemas.openxmlformats.org/drawingml/2006/main">
                <a:graphicData uri="http://schemas.microsoft.com/office/word/2010/wordprocessingShape">
                  <wps:wsp>
                    <wps:cNvCnPr/>
                    <wps:spPr>
                      <a:xfrm>
                        <a:off x="0" y="0"/>
                        <a:ext cx="5628640" cy="10795"/>
                      </a:xfrm>
                      <a:prstGeom prst="line">
                        <a:avLst/>
                      </a:prstGeom>
                      <a:ln w="3175">
                        <a:solidFill>
                          <a:prstClr val="white"/>
                        </a:solidFill>
                      </a:ln>
                    </wps:spPr>
                    <wps:bodyPr/>
                  </wps:wsp>
                </a:graphicData>
              </a:graphic>
            </wp:anchor>
          </w:drawing>
        </mc:Choice>
        <mc:Fallback>
          <w:pict>
            <v:line id="_x0000_s2051" o:spid="_x0000_s1026" o:spt="20" style="position:absolute;left:0pt;margin-left:0pt;margin-top:0pt;height:0.85pt;width:443.2pt;z-index:251668480;mso-width-relative:page;mso-height-relative:page;" filled="f" stroked="t" coordsize="21600,21600" o:gfxdata="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LyHXrdQAAAADAQAADwAAAAAA&#10;AAABACAAAAAiAAAAZHJzL2Rvd25yZXYueG1sUEsBAhQAFAAAAAgAh07iQF3gh8GlAQAAVAMAAA4A&#10;AAAAAAAAAQAgAAAAIwEAAGRycy9lMm9Eb2MueG1sUEsFBgAAAAAGAAYAWQEAADoFAAAAAA==&#10;">
              <v:fill on="f" focussize="0,0"/>
              <v:stroke weight="0.25pt" color="#FFFFFF" joinstyle="round"/>
              <v:imagedata o:title=""/>
              <o:lock v:ext="edit" aspectratio="f"/>
            </v:line>
          </w:pict>
        </mc:Fallback>
      </mc:AlternateContent>
    </w:r>
  </w:p>
  <w:p w14:paraId="55CFBA1F">
    <w:pPr>
      <w:pStyle w:val="54"/>
      <w:tabs>
        <w:tab w:val="clear" w:pos="4153"/>
        <w:tab w:val="clear" w:pos="8306"/>
      </w:tabs>
      <w:ind w:right="360" w:firstLine="90" w:firstLineChars="50"/>
      <w:rPr>
        <w:rFonts w:hint="eastAsia" w:ascii="宋体" w:hAnsi="宋体"/>
      </w:rPr>
    </w:pPr>
    <w:r>
      <mc:AlternateContent>
        <mc:Choice Requires="wps">
          <w:drawing>
            <wp:anchor distT="0" distB="0" distL="114300" distR="114300" simplePos="0" relativeHeight="251667456" behindDoc="0" locked="0" layoutInCell="1" allowOverlap="1">
              <wp:simplePos x="0" y="0"/>
              <wp:positionH relativeFrom="margin">
                <wp:posOffset>8604885</wp:posOffset>
              </wp:positionH>
              <wp:positionV relativeFrom="paragraph">
                <wp:posOffset>75565</wp:posOffset>
              </wp:positionV>
              <wp:extent cx="57785" cy="131445"/>
              <wp:effectExtent l="0" t="0" r="0" b="0"/>
              <wp:wrapNone/>
              <wp:docPr id="16" name="Text Box 1028"/>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31E8AACE">
                          <w:pPr>
                            <w:pStyle w:val="11"/>
                          </w:pPr>
                          <w:r>
                            <w:fldChar w:fldCharType="begin"/>
                          </w:r>
                          <w:r>
                            <w:instrText xml:space="preserve"> PAGE  \* MERGEFORMAT </w:instrText>
                          </w:r>
                          <w:r>
                            <w:fldChar w:fldCharType="separate"/>
                          </w:r>
                          <w:r>
                            <w:t>9</w:t>
                          </w:r>
                          <w:r>
                            <w:fldChar w:fldCharType="end"/>
                          </w:r>
                        </w:p>
                      </w:txbxContent>
                    </wps:txbx>
                    <wps:bodyPr rot="0" vert="horz" wrap="none" lIns="0" tIns="0" rIns="0" bIns="0" anchor="t" anchorCtr="0" upright="1">
                      <a:spAutoFit/>
                    </wps:bodyPr>
                  </wps:wsp>
                </a:graphicData>
              </a:graphic>
            </wp:anchor>
          </w:drawing>
        </mc:Choice>
        <mc:Fallback>
          <w:pict>
            <v:shape id="Text Box 1028" o:spid="_x0000_s1026" o:spt="202" type="#_x0000_t202" style="position:absolute;left:0pt;margin-left:677.55pt;margin-top:5.95pt;height:10.35pt;width:4.55pt;mso-position-horizontal-relative:margin;mso-wrap-style:none;z-index:251667456;mso-width-relative:page;mso-height-relative:page;" filled="f" stroked="f" coordsize="21600,21600" o:gfxdata="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4gJc7XAAAACwEAAA8AAAAAAAAAAQAgAAAAIgAAAGRycy9kb3ducmV2&#10;LnhtbFBLAQIUABQAAAAIAIdO4kCrni5X/QEAAAQEAAAOAAAAAAAAAAEAIAAAACYBAABkcnMvZTJv&#10;RG9jLnhtbFBLBQYAAAAABgAGAFkBAACVBQAAAAA=&#10;">
              <v:fill on="f" focussize="0,0"/>
              <v:stroke on="f"/>
              <v:imagedata o:title=""/>
              <o:lock v:ext="edit" aspectratio="f"/>
              <v:textbox inset="0mm,0mm,0mm,0mm" style="mso-fit-shape-to-text:t;">
                <w:txbxContent>
                  <w:p w14:paraId="31E8AACE">
                    <w:pPr>
                      <w:pStyle w:val="11"/>
                    </w:pPr>
                    <w:r>
                      <w:fldChar w:fldCharType="begin"/>
                    </w:r>
                    <w:r>
                      <w:instrText xml:space="preserve"> PAGE  \* MERGEFORMAT </w:instrText>
                    </w:r>
                    <w:r>
                      <w:fldChar w:fldCharType="separate"/>
                    </w:r>
                    <w:r>
                      <w:t>9</w:t>
                    </w:r>
                    <w:r>
                      <w:fldChar w:fldCharType="end"/>
                    </w:r>
                  </w:p>
                </w:txbxContent>
              </v:textbox>
            </v:shape>
          </w:pict>
        </mc:Fallback>
      </mc:AlternateContent>
    </w:r>
    <w:r>
      <w:rPr>
        <w:rFonts w:hint="eastAsia" w:ascii="宋体" w:hAnsi="宋体"/>
        <w:color w:val="000000"/>
        <w:shd w:val="clear" w:color="auto" w:fill="FFFFFF"/>
      </w:rPr>
      <w:t>河南荣之鑫工程管理有限公司</w:t>
    </w:r>
    <w:r>
      <w:rPr>
        <w:rFonts w:hint="eastAsia" w:ascii="宋体" w:hAnsi="宋体"/>
      </w:rPr>
      <w:tab/>
    </w:r>
  </w:p>
  <w:p w14:paraId="2173FE46">
    <w:pPr>
      <w:pStyle w:val="54"/>
      <w:tabs>
        <w:tab w:val="left" w:pos="5352"/>
        <w:tab w:val="clear" w:pos="4153"/>
        <w:tab w:val="clear" w:pos="8306"/>
      </w:tabs>
      <w:ind w:right="360" w:firstLine="90" w:firstLineChars="50"/>
    </w:pPr>
    <w:r>
      <w:tab/>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EDF45">
    <w:pPr>
      <w:pStyle w:val="54"/>
      <w:tabs>
        <w:tab w:val="clear" w:pos="4153"/>
        <w:tab w:val="clear" w:pos="8306"/>
      </w:tabs>
      <w:ind w:right="360" w:firstLine="90" w:firstLineChars="50"/>
    </w:pPr>
    <w: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70A25">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75870A25">
                    <w:pPr>
                      <w:pStyle w:val="11"/>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60960</wp:posOffset>
              </wp:positionH>
              <wp:positionV relativeFrom="paragraph">
                <wp:posOffset>36195</wp:posOffset>
              </wp:positionV>
              <wp:extent cx="5705475" cy="0"/>
              <wp:effectExtent l="0" t="28575" r="9525" b="28575"/>
              <wp:wrapNone/>
              <wp:docPr id="19" name="Line 1026"/>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line">
                        <a:avLst/>
                      </a:prstGeom>
                      <a:noFill/>
                      <a:ln w="57150" cmpd="thinThick">
                        <a:solidFill>
                          <a:srgbClr val="000000"/>
                        </a:solidFill>
                        <a:round/>
                      </a:ln>
                    </wps:spPr>
                    <wps:bodyPr/>
                  </wps:wsp>
                </a:graphicData>
              </a:graphic>
            </wp:anchor>
          </w:drawing>
        </mc:Choice>
        <mc:Fallback>
          <w:pict>
            <v:line id="Line 1026" o:spid="_x0000_s1026" o:spt="20" style="position:absolute;left:0pt;margin-left:4.8pt;margin-top:2.85pt;height:0pt;width:449.25pt;z-index:251673600;mso-width-relative:page;mso-height-relative:page;" filled="f" stroked="t" coordsize="21600,21600" o:gfxdata="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und7XVAAAABQEAAA8AAAAAAAAAAQAg&#10;AAAAIgAAAGRycy9kb3ducmV2LnhtbFBLAQIUABQAAAAIAIdO4kBxYhe62AEAALUDAAAOAAAAAAAA&#10;AAEAIAAAACQBAABkcnMvZTJvRG9jLnhtbFBLBQYAAAAABgAGAFkBAABuBQAAAAA=&#10;">
              <v:fill on="f" focussize="0,0"/>
              <v:stroke weight="4.5pt" color="#000000" linestyle="thinThick" joinstyle="round"/>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628640" cy="10795"/>
              <wp:effectExtent l="0" t="4445" r="10160" b="13335"/>
              <wp:wrapNone/>
              <wp:docPr id="20" name="_x0000_s2051"/>
              <wp:cNvGraphicFramePr/>
              <a:graphic xmlns:a="http://schemas.openxmlformats.org/drawingml/2006/main">
                <a:graphicData uri="http://schemas.microsoft.com/office/word/2010/wordprocessingShape">
                  <wps:wsp>
                    <wps:cNvCnPr/>
                    <wps:spPr>
                      <a:xfrm>
                        <a:off x="0" y="0"/>
                        <a:ext cx="5628640" cy="10795"/>
                      </a:xfrm>
                      <a:prstGeom prst="line">
                        <a:avLst/>
                      </a:prstGeom>
                      <a:ln w="3175">
                        <a:solidFill>
                          <a:prstClr val="white"/>
                        </a:solidFill>
                      </a:ln>
                    </wps:spPr>
                    <wps:bodyPr/>
                  </wps:wsp>
                </a:graphicData>
              </a:graphic>
            </wp:anchor>
          </w:drawing>
        </mc:Choice>
        <mc:Fallback>
          <w:pict>
            <v:line id="_x0000_s2051" o:spid="_x0000_s1026" o:spt="20" style="position:absolute;left:0pt;margin-left:0pt;margin-top:0pt;height:0.85pt;width:443.2pt;z-index:251671552;mso-width-relative:page;mso-height-relative:page;" filled="f" stroked="t" coordsize="21600,21600" o:gfxdata="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LyHXrdQAAAADAQAADwAAAAAA&#10;AAABACAAAAAiAAAAZHJzL2Rvd25yZXYueG1sUEsBAhQAFAAAAAgAh07iQKh2RQmlAQAAVAMAAA4A&#10;AAAAAAAAAQAgAAAAIwEAAGRycy9lMm9Eb2MueG1sUEsFBgAAAAAGAAYAWQEAADoFAAAAAA==&#10;">
              <v:fill on="f" focussize="0,0"/>
              <v:stroke weight="0.25pt" color="#FFFFFF" joinstyle="round"/>
              <v:imagedata o:title=""/>
              <o:lock v:ext="edit" aspectratio="f"/>
            </v:line>
          </w:pict>
        </mc:Fallback>
      </mc:AlternateContent>
    </w:r>
  </w:p>
  <w:p w14:paraId="3A9DEDC0">
    <w:pPr>
      <w:pStyle w:val="54"/>
      <w:tabs>
        <w:tab w:val="clear" w:pos="4153"/>
        <w:tab w:val="clear" w:pos="8306"/>
      </w:tabs>
      <w:ind w:right="360" w:firstLine="90" w:firstLineChars="50"/>
      <w:rPr>
        <w:rFonts w:hint="eastAsia" w:ascii="宋体" w:hAnsi="宋体"/>
      </w:rPr>
    </w:pPr>
    <w:r>
      <mc:AlternateContent>
        <mc:Choice Requires="wps">
          <w:drawing>
            <wp:anchor distT="0" distB="0" distL="114300" distR="114300" simplePos="0" relativeHeight="251672576" behindDoc="0" locked="0" layoutInCell="1" allowOverlap="1">
              <wp:simplePos x="0" y="0"/>
              <wp:positionH relativeFrom="margin">
                <wp:posOffset>5491480</wp:posOffset>
              </wp:positionH>
              <wp:positionV relativeFrom="paragraph">
                <wp:posOffset>40640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47E97">
                          <w:pPr>
                            <w:pStyle w:val="11"/>
                          </w:pPr>
                          <w:r>
                            <w:rPr>
                              <w:rFonts w:hint="eastAsia"/>
                            </w:rPr>
                            <w:t>65</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32.4pt;margin-top:3.2pt;height:144pt;width:144pt;mso-position-horizontal-relative:margin;mso-wrap-style:none;z-index:251672576;mso-width-relative:page;mso-height-relative:page;" filled="f" stroked="f" coordsize="21600,21600" o:gfxdata="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hPeH9cAAAAKAQAADwAAAAAAAAABACAAAAAiAAAAZHJzL2Rvd25yZXYueG1sUEsBAhQA&#10;FAAAAAgAh07iQGLJ1z8sAgAAVwQAAA4AAAAAAAAAAQAgAAAAJgEAAGRycy9lMm9Eb2MueG1sUEsF&#10;BgAAAAAGAAYAWQEAAMQFAAAAAA==&#10;">
              <v:fill on="f" focussize="0,0"/>
              <v:stroke on="f" weight="0.5pt"/>
              <v:imagedata o:title=""/>
              <o:lock v:ext="edit" aspectratio="f"/>
              <v:textbox inset="0mm,0mm,0mm,0mm" style="mso-fit-shape-to-text:t;">
                <w:txbxContent>
                  <w:p w14:paraId="03147E97">
                    <w:pPr>
                      <w:pStyle w:val="11"/>
                    </w:pPr>
                    <w:r>
                      <w:rPr>
                        <w:rFonts w:hint="eastAsia"/>
                      </w:rPr>
                      <w:t>65</w:t>
                    </w:r>
                  </w:p>
                </w:txbxContent>
              </v:textbox>
            </v:shape>
          </w:pict>
        </mc:Fallback>
      </mc:AlternateContent>
    </w:r>
    <w:r>
      <w:rPr>
        <w:rFonts w:hint="eastAsia" w:ascii="宋体" w:hAnsi="宋体"/>
        <w:color w:val="000000"/>
        <w:shd w:val="clear" w:color="auto" w:fill="FFFFFF"/>
      </w:rPr>
      <w:t>河南荣之鑫工程管理有限公司</w:t>
    </w:r>
    <w:r>
      <w:rPr>
        <w:rFonts w:hint="eastAsia" w:ascii="宋体" w:hAnsi="宋体"/>
      </w:rPr>
      <w:tab/>
    </w:r>
  </w:p>
  <w:p w14:paraId="4F33B9E1">
    <w:pPr>
      <w:pStyle w:val="54"/>
      <w:tabs>
        <w:tab w:val="left" w:pos="5352"/>
        <w:tab w:val="clear" w:pos="4153"/>
        <w:tab w:val="clear" w:pos="8306"/>
      </w:tabs>
      <w:ind w:right="360" w:firstLine="90" w:firstLineChars="50"/>
    </w:pPr>
    <w:r>
      <w:tab/>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CB051">
    <w:pPr>
      <w:pStyle w:val="54"/>
      <w:tabs>
        <w:tab w:val="clear" w:pos="4153"/>
        <w:tab w:val="clear" w:pos="8306"/>
      </w:tabs>
      <w:ind w:right="360" w:firstLine="90" w:firstLineChars="50"/>
    </w:pPr>
    <w:r>
      <mc:AlternateContent>
        <mc:Choice Requires="wps">
          <w:drawing>
            <wp:anchor distT="0" distB="0" distL="114300" distR="114300" simplePos="0" relativeHeight="251678720" behindDoc="0" locked="0" layoutInCell="1" allowOverlap="1">
              <wp:simplePos x="0" y="0"/>
              <wp:positionH relativeFrom="column">
                <wp:posOffset>39370</wp:posOffset>
              </wp:positionH>
              <wp:positionV relativeFrom="paragraph">
                <wp:posOffset>36195</wp:posOffset>
              </wp:positionV>
              <wp:extent cx="5705475" cy="0"/>
              <wp:effectExtent l="0" t="28575" r="9525" b="28575"/>
              <wp:wrapNone/>
              <wp:docPr id="25" name="Line 1026"/>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line">
                        <a:avLst/>
                      </a:prstGeom>
                      <a:noFill/>
                      <a:ln w="57150" cmpd="thinThick">
                        <a:solidFill>
                          <a:srgbClr val="000000"/>
                        </a:solidFill>
                        <a:round/>
                      </a:ln>
                    </wps:spPr>
                    <wps:bodyPr/>
                  </wps:wsp>
                </a:graphicData>
              </a:graphic>
            </wp:anchor>
          </w:drawing>
        </mc:Choice>
        <mc:Fallback>
          <w:pict>
            <v:line id="Line 1026" o:spid="_x0000_s1026" o:spt="20" style="position:absolute;left:0pt;margin-left:3.1pt;margin-top:2.85pt;height:0pt;width:449.25pt;z-index:251678720;mso-width-relative:page;mso-height-relative:page;" filled="f" stroked="t" coordsize="21600,21600" o:gfxdata="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aUZm9UAAAAFAQAADwAAAAAAAAABACAA&#10;AAAiAAAAZHJzL2Rvd25yZXYueG1sUEsBAhQAFAAAAAgAh07iQNJIw97XAQAAtQMAAA4AAAAAAAAA&#10;AQAgAAAAJAEAAGRycy9lMm9Eb2MueG1sUEsFBgAAAAAGAAYAWQEAAG0FAAAAAA==&#10;">
              <v:fill on="f" focussize="0,0"/>
              <v:stroke weight="4.5pt" color="#000000" linestyle="thinThick" joinstyle="round"/>
              <v:imagedata o:title=""/>
              <o:lock v:ext="edit" aspectratio="f"/>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5628640" cy="10795"/>
              <wp:effectExtent l="0" t="4445" r="10160" b="13335"/>
              <wp:wrapNone/>
              <wp:docPr id="26" name="_x0000_s2051"/>
              <wp:cNvGraphicFramePr/>
              <a:graphic xmlns:a="http://schemas.openxmlformats.org/drawingml/2006/main">
                <a:graphicData uri="http://schemas.microsoft.com/office/word/2010/wordprocessingShape">
                  <wps:wsp>
                    <wps:cNvCnPr/>
                    <wps:spPr>
                      <a:xfrm>
                        <a:off x="0" y="0"/>
                        <a:ext cx="5628640" cy="10795"/>
                      </a:xfrm>
                      <a:prstGeom prst="line">
                        <a:avLst/>
                      </a:prstGeom>
                      <a:ln w="3175">
                        <a:solidFill>
                          <a:prstClr val="white"/>
                        </a:solidFill>
                      </a:ln>
                    </wps:spPr>
                    <wps:bodyPr/>
                  </wps:wsp>
                </a:graphicData>
              </a:graphic>
            </wp:anchor>
          </w:drawing>
        </mc:Choice>
        <mc:Fallback>
          <w:pict>
            <v:line id="_x0000_s2051" o:spid="_x0000_s1026" o:spt="20" style="position:absolute;left:0pt;margin-left:0pt;margin-top:0pt;height:0.85pt;width:443.2pt;z-index:251675648;mso-width-relative:page;mso-height-relative:page;" filled="f" stroked="t" coordsize="21600,21600" o:gfxdata="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LyHXrdQAAAADAQAADwAAAAAA&#10;AAABACAAAAAiAAAAZHJzL2Rvd25yZXYueG1sUEsBAhQAFAAAAAgAh07iQPVzTDylAQAAVAMAAA4A&#10;AAAAAAAAAQAgAAAAIwEAAGRycy9lMm9Eb2MueG1sUEsFBgAAAAAGAAYAWQEAADoFAAAAAA==&#10;">
              <v:fill on="f" focussize="0,0"/>
              <v:stroke weight="0.25pt" color="#FFFFFF" joinstyle="round"/>
              <v:imagedata o:title=""/>
              <o:lock v:ext="edit" aspectratio="f"/>
            </v:line>
          </w:pict>
        </mc:Fallback>
      </mc:AlternateContent>
    </w:r>
  </w:p>
  <w:p w14:paraId="5FC2FF96">
    <w:pPr>
      <w:pStyle w:val="54"/>
      <w:tabs>
        <w:tab w:val="clear" w:pos="4153"/>
        <w:tab w:val="clear" w:pos="8306"/>
      </w:tabs>
      <w:ind w:right="360" w:firstLine="90" w:firstLineChars="50"/>
      <w:rPr>
        <w:rFonts w:hint="eastAsia" w:ascii="宋体" w:hAnsi="宋体"/>
      </w:rPr>
    </w:pPr>
    <w:r>
      <mc:AlternateContent>
        <mc:Choice Requires="wps">
          <w:drawing>
            <wp:anchor distT="0" distB="0" distL="114300" distR="114300" simplePos="0" relativeHeight="251677696" behindDoc="0" locked="0" layoutInCell="1" allowOverlap="1">
              <wp:simplePos x="0" y="0"/>
              <wp:positionH relativeFrom="margin">
                <wp:posOffset>5452745</wp:posOffset>
              </wp:positionH>
              <wp:positionV relativeFrom="paragraph">
                <wp:posOffset>31750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629F0B">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29.35pt;margin-top:2.5pt;height:144pt;width:144pt;mso-position-horizontal-relative:margin;mso-wrap-style:none;z-index:251677696;mso-width-relative:page;mso-height-relative:page;" filled="f" stroked="f" coordsize="21600,21600" o:gfxdata="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zi5erXAAAACgEAAA8AAAAAAAAAAQAgAAAAIgAAAGRycy9kb3ducmV2LnhtbFBLAQIU&#10;ABQAAAAIAIdO4kDTYk1lLQIAAFcEAAAOAAAAAAAAAAEAIAAAACYBAABkcnMvZTJvRG9jLnhtbFBL&#10;BQYAAAAABgAGAFkBAADFBQAAAAA=&#10;">
              <v:fill on="f" focussize="0,0"/>
              <v:stroke on="f" weight="0.5pt"/>
              <v:imagedata o:title=""/>
              <o:lock v:ext="edit" aspectratio="f"/>
              <v:textbox inset="0mm,0mm,0mm,0mm" style="mso-fit-shape-to-text:t;">
                <w:txbxContent>
                  <w:p w14:paraId="3D629F0B">
                    <w:pPr>
                      <w:pStyle w:val="11"/>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margin">
                <wp:posOffset>5491480</wp:posOffset>
              </wp:positionH>
              <wp:positionV relativeFrom="paragraph">
                <wp:posOffset>40640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C7003">
                          <w:pPr>
                            <w:pStyle w:val="1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32.4pt;margin-top:3.2pt;height:144pt;width:144pt;mso-position-horizontal-relative:margin;mso-wrap-style:none;z-index:251676672;mso-width-relative:page;mso-height-relative:page;" filled="f" stroked="f" coordsize="21600,21600" o:gfxdata="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YT3h/XAAAACgEAAA8AAAAAAAAAAQAgAAAAIgAAAGRycy9kb3ducmV2LnhtbFBLAQIU&#10;ABQAAAAIAIdO4kArtLilLQIAAFcEAAAOAAAAAAAAAAEAIAAAACYBAABkcnMvZTJvRG9jLnhtbFBL&#10;BQYAAAAABgAGAFkBAADFBQAAAAA=&#10;">
              <v:fill on="f" focussize="0,0"/>
              <v:stroke on="f" weight="0.5pt"/>
              <v:imagedata o:title=""/>
              <o:lock v:ext="edit" aspectratio="f"/>
              <v:textbox inset="0mm,0mm,0mm,0mm" style="mso-fit-shape-to-text:t;">
                <w:txbxContent>
                  <w:p w14:paraId="1D2C7003">
                    <w:pPr>
                      <w:pStyle w:val="11"/>
                    </w:pPr>
                  </w:p>
                </w:txbxContent>
              </v:textbox>
            </v:shape>
          </w:pict>
        </mc:Fallback>
      </mc:AlternateContent>
    </w:r>
    <w:r>
      <w:rPr>
        <w:rFonts w:hint="eastAsia" w:ascii="宋体" w:hAnsi="宋体"/>
        <w:color w:val="000000"/>
        <w:shd w:val="clear" w:color="auto" w:fill="FFFFFF"/>
      </w:rPr>
      <w:t>河南荣之鑫工程管理有限公司</w:t>
    </w:r>
    <w:r>
      <w:rPr>
        <w:rFonts w:hint="eastAsia" w:ascii="宋体" w:hAnsi="宋体"/>
      </w:rPr>
      <w:tab/>
    </w:r>
  </w:p>
  <w:p w14:paraId="3AB1A461">
    <w:pPr>
      <w:pStyle w:val="54"/>
      <w:tabs>
        <w:tab w:val="left" w:pos="5352"/>
        <w:tab w:val="clear" w:pos="4153"/>
        <w:tab w:val="clear" w:pos="8306"/>
      </w:tabs>
      <w:ind w:right="360" w:firstLine="90" w:firstLineChars="50"/>
    </w:pPr>
    <w: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A9021">
    <w:pPr>
      <w:shd w:val="solid" w:color="FFFFFF" w:fill="auto"/>
      <w:autoSpaceDN w:val="0"/>
      <w:spacing w:line="440" w:lineRule="exact"/>
      <w:ind w:right="-489" w:firstLine="180" w:firstLineChars="100"/>
      <w:jc w:val="left"/>
      <w:rPr>
        <w:rFonts w:hint="eastAsia" w:ascii="宋体" w:hAnsi="宋体"/>
        <w:sz w:val="18"/>
        <w:szCs w:val="18"/>
      </w:rPr>
    </w:pPr>
    <w:r>
      <w:rPr>
        <w:rFonts w:hint="eastAsia" w:ascii="宋体" w:hAnsi="宋体"/>
        <w:sz w:val="18"/>
        <w:szCs w:val="18"/>
      </w:rPr>
      <w:t>平顶山职业技术学院非常规水源利用项目                                                     招标文件</w:t>
    </w:r>
  </w:p>
  <w:p w14:paraId="652BE7B5">
    <w:pPr>
      <w:pStyle w:val="56"/>
      <w:pBdr>
        <w:bottom w:val="none" w:color="auto" w:sz="0" w:space="1"/>
      </w:pBdr>
      <w:tabs>
        <w:tab w:val="clear" w:pos="4153"/>
        <w:tab w:val="clear" w:pos="8306"/>
      </w:tabs>
    </w:pPr>
    <w:r>
      <mc:AlternateContent>
        <mc:Choice Requires="wps">
          <w:drawing>
            <wp:anchor distT="0" distB="0" distL="114300" distR="114300" simplePos="0" relativeHeight="251663360" behindDoc="0" locked="0" layoutInCell="1" allowOverlap="1">
              <wp:simplePos x="0" y="0"/>
              <wp:positionH relativeFrom="column">
                <wp:posOffset>5715</wp:posOffset>
              </wp:positionH>
              <wp:positionV relativeFrom="paragraph">
                <wp:posOffset>55245</wp:posOffset>
              </wp:positionV>
              <wp:extent cx="5715000" cy="10160"/>
              <wp:effectExtent l="34290" t="36830" r="32385" b="29210"/>
              <wp:wrapNone/>
              <wp:docPr id="8" name="Line 1025"/>
              <wp:cNvGraphicFramePr/>
              <a:graphic xmlns:a="http://schemas.openxmlformats.org/drawingml/2006/main">
                <a:graphicData uri="http://schemas.microsoft.com/office/word/2010/wordprocessingShape">
                  <wps:wsp>
                    <wps:cNvCnPr>
                      <a:cxnSpLocks noChangeShapeType="1"/>
                    </wps:cNvCnPr>
                    <wps:spPr bwMode="auto">
                      <a:xfrm>
                        <a:off x="0" y="0"/>
                        <a:ext cx="5715000" cy="10160"/>
                      </a:xfrm>
                      <a:prstGeom prst="line">
                        <a:avLst/>
                      </a:prstGeom>
                      <a:noFill/>
                      <a:ln w="57150" cmpd="thinThick">
                        <a:solidFill>
                          <a:srgbClr val="000000"/>
                        </a:solidFill>
                        <a:round/>
                      </a:ln>
                    </wps:spPr>
                    <wps:bodyPr/>
                  </wps:wsp>
                </a:graphicData>
              </a:graphic>
            </wp:anchor>
          </w:drawing>
        </mc:Choice>
        <mc:Fallback>
          <w:pict>
            <v:line id="Line 1025" o:spid="_x0000_s1026" o:spt="20" style="position:absolute;left:0pt;margin-left:0.45pt;margin-top:4.35pt;height:0.8pt;width:450pt;z-index:251663360;mso-width-relative:page;mso-height-relative:page;" filled="f" stroked="t" coordsize="21600,21600" o:gfxdata="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lix8vVAAAABQEAAA8AAAAAAAAAAQAg&#10;AAAAIgAAAGRycy9kb3ducmV2LnhtbFBLAQIUABQAAAAIAIdO4kBoKMhv2AEAALgDAAAOAAAAAAAA&#10;AAEAIAAAACQBAABkcnMvZTJvRG9jLnhtbFBLBQYAAAAABgAGAFkBAABuBQAAAAA=&#10;">
              <v:fill on="f" focussize="0,0"/>
              <v:stroke weight="4.5pt" color="#000000" linestyle="thinThick" joinstyle="round"/>
              <v:imagedata o:title=""/>
              <o:lock v:ext="edit" aspectratio="f"/>
            </v:line>
          </w:pict>
        </mc:Fallback>
      </mc:AlternateContent>
    </w:r>
    <w:r>
      <mc:AlternateContent>
        <mc:Choice Requires="wps">
          <w:drawing>
            <wp:anchor distT="0" distB="0" distL="0" distR="0" simplePos="0" relativeHeight="251659264" behindDoc="0" locked="0" layoutInCell="1" allowOverlap="1">
              <wp:simplePos x="0" y="0"/>
              <wp:positionH relativeFrom="column">
                <wp:posOffset>0</wp:posOffset>
              </wp:positionH>
              <wp:positionV relativeFrom="paragraph">
                <wp:posOffset>0</wp:posOffset>
              </wp:positionV>
              <wp:extent cx="5622290" cy="1270"/>
              <wp:effectExtent l="0" t="0" r="0" b="0"/>
              <wp:wrapNone/>
              <wp:docPr id="5" name="_x0000_s2049"/>
              <wp:cNvGraphicFramePr/>
              <a:graphic xmlns:a="http://schemas.openxmlformats.org/drawingml/2006/main">
                <a:graphicData uri="http://schemas.microsoft.com/office/word/2010/wordprocessingShape">
                  <wps:wsp>
                    <wps:cNvCnPr/>
                    <wps:spPr>
                      <a:xfrm flipV="1">
                        <a:off x="29844" y="64770"/>
                        <a:ext cx="5622291" cy="1270"/>
                      </a:xfrm>
                      <a:prstGeom prst="line">
                        <a:avLst/>
                      </a:prstGeom>
                      <a:ln w="3175">
                        <a:solidFill>
                          <a:prstClr val="white"/>
                        </a:solidFill>
                      </a:ln>
                    </wps:spPr>
                    <wps:bodyPr/>
                  </wps:wsp>
                </a:graphicData>
              </a:graphic>
            </wp:anchor>
          </w:drawing>
        </mc:Choice>
        <mc:Fallback>
          <w:pict>
            <v:line id="_x0000_s2049" o:spid="_x0000_s1026" o:spt="20" style="position:absolute;left:0pt;flip:y;margin-left:0pt;margin-top:0pt;height:0.1pt;width:442.7pt;z-index:251659264;mso-width-relative:page;mso-height-relative:page;" filled="f" stroked="t" coordsize="21600,21600" o:gfxdata="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zN9e2&#10;0QAAAAIBAAAPAAAAAAAAAAEAIAAAACIAAABkcnMvZG93bnJldi54bWxQSwECFAAUAAAACACHTuJA&#10;AxUs87YBAABkAwAADgAAAAAAAAABACAAAAAgAQAAZHJzL2Uyb0RvYy54bWxQSwUGAAAAAAYABgBZ&#10;AQAASAUAAAAA&#10;">
              <v:fill on="f" focussize="0,0"/>
              <v:stroke weight="0.25pt" color="#FFFFFF"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B54FF">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8E2D5">
    <w:pPr>
      <w:shd w:val="solid" w:color="FFFFFF" w:fill="auto"/>
      <w:autoSpaceDN w:val="0"/>
      <w:spacing w:line="440" w:lineRule="exact"/>
      <w:ind w:right="-489" w:firstLine="180" w:firstLineChars="100"/>
      <w:jc w:val="left"/>
      <w:rPr>
        <w:rFonts w:hint="eastAsia" w:ascii="宋体" w:hAnsi="宋体"/>
        <w:sz w:val="18"/>
        <w:szCs w:val="18"/>
      </w:rPr>
    </w:pPr>
    <w:r>
      <w:rPr>
        <w:rFonts w:hint="eastAsia" w:ascii="宋体" w:hAnsi="宋体"/>
        <w:sz w:val="18"/>
        <w:szCs w:val="18"/>
      </w:rPr>
      <w:t>平顶山职业技术学院非常规水源利用项目                                                                                                         招标文件</w:t>
    </w:r>
  </w:p>
  <w:p w14:paraId="00F1CBE6">
    <w:pPr>
      <w:pStyle w:val="56"/>
      <w:pBdr>
        <w:bottom w:val="none" w:color="auto" w:sz="0" w:space="1"/>
      </w:pBdr>
      <w:tabs>
        <w:tab w:val="clear" w:pos="4153"/>
        <w:tab w:val="clear" w:pos="8306"/>
      </w:tabs>
    </w:pPr>
    <w:r>
      <mc:AlternateContent>
        <mc:Choice Requires="wps">
          <w:drawing>
            <wp:anchor distT="0" distB="0" distL="114300" distR="114300" simplePos="0" relativeHeight="251666432" behindDoc="0" locked="0" layoutInCell="1" allowOverlap="1">
              <wp:simplePos x="0" y="0"/>
              <wp:positionH relativeFrom="column">
                <wp:posOffset>5715</wp:posOffset>
              </wp:positionH>
              <wp:positionV relativeFrom="paragraph">
                <wp:posOffset>55245</wp:posOffset>
              </wp:positionV>
              <wp:extent cx="8850630" cy="10795"/>
              <wp:effectExtent l="0" t="28575" r="7620" b="36830"/>
              <wp:wrapNone/>
              <wp:docPr id="12" name="Line 1025"/>
              <wp:cNvGraphicFramePr/>
              <a:graphic xmlns:a="http://schemas.openxmlformats.org/drawingml/2006/main">
                <a:graphicData uri="http://schemas.microsoft.com/office/word/2010/wordprocessingShape">
                  <wps:wsp>
                    <wps:cNvCnPr>
                      <a:cxnSpLocks noChangeShapeType="1"/>
                    </wps:cNvCnPr>
                    <wps:spPr bwMode="auto">
                      <a:xfrm>
                        <a:off x="0" y="0"/>
                        <a:ext cx="8850630" cy="10795"/>
                      </a:xfrm>
                      <a:prstGeom prst="line">
                        <a:avLst/>
                      </a:prstGeom>
                      <a:noFill/>
                      <a:ln w="57150" cmpd="thinThick">
                        <a:solidFill>
                          <a:srgbClr val="000000"/>
                        </a:solidFill>
                        <a:round/>
                      </a:ln>
                    </wps:spPr>
                    <wps:bodyPr/>
                  </wps:wsp>
                </a:graphicData>
              </a:graphic>
            </wp:anchor>
          </w:drawing>
        </mc:Choice>
        <mc:Fallback>
          <w:pict>
            <v:line id="Line 1025" o:spid="_x0000_s1026" o:spt="20" style="position:absolute;left:0pt;margin-left:0.45pt;margin-top:4.35pt;height:0.85pt;width:696.9pt;z-index:251666432;mso-width-relative:page;mso-height-relative:page;" filled="f" stroked="t" coordsize="21600,21600" o:gfxdata="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d6XbXWAAAABgEAAA8AAAAA&#10;AAAAAQAgAAAAIgAAAGRycy9kb3ducmV2LnhtbFBLAQIUABQAAAAIAIdO4kDJPLhb3QEAALkDAAAO&#10;AAAAAAAAAAEAIAAAACUBAABkcnMvZTJvRG9jLnhtbFBLBQYAAAAABgAGAFkBAAB0BQAAAAA=&#10;">
              <v:fill on="f" focussize="0,0"/>
              <v:stroke weight="4.5pt" color="#000000" linestyle="thinThick" joinstyle="round"/>
              <v:imagedata o:title=""/>
              <o:lock v:ext="edit" aspectratio="f"/>
            </v:line>
          </w:pict>
        </mc:Fallback>
      </mc:AlternateContent>
    </w:r>
    <w:r>
      <mc:AlternateContent>
        <mc:Choice Requires="wps">
          <w:drawing>
            <wp:anchor distT="0" distB="0" distL="0" distR="0" simplePos="0" relativeHeight="251665408" behindDoc="0" locked="0" layoutInCell="1" allowOverlap="1">
              <wp:simplePos x="0" y="0"/>
              <wp:positionH relativeFrom="column">
                <wp:posOffset>0</wp:posOffset>
              </wp:positionH>
              <wp:positionV relativeFrom="paragraph">
                <wp:posOffset>0</wp:posOffset>
              </wp:positionV>
              <wp:extent cx="5622290" cy="1270"/>
              <wp:effectExtent l="0" t="0" r="0" b="0"/>
              <wp:wrapNone/>
              <wp:docPr id="13" name="_x0000_s2049"/>
              <wp:cNvGraphicFramePr/>
              <a:graphic xmlns:a="http://schemas.openxmlformats.org/drawingml/2006/main">
                <a:graphicData uri="http://schemas.microsoft.com/office/word/2010/wordprocessingShape">
                  <wps:wsp>
                    <wps:cNvCnPr/>
                    <wps:spPr>
                      <a:xfrm flipV="1">
                        <a:off x="29844" y="64770"/>
                        <a:ext cx="5622291" cy="1270"/>
                      </a:xfrm>
                      <a:prstGeom prst="line">
                        <a:avLst/>
                      </a:prstGeom>
                      <a:ln w="3175">
                        <a:solidFill>
                          <a:prstClr val="white"/>
                        </a:solidFill>
                      </a:ln>
                    </wps:spPr>
                    <wps:bodyPr/>
                  </wps:wsp>
                </a:graphicData>
              </a:graphic>
            </wp:anchor>
          </w:drawing>
        </mc:Choice>
        <mc:Fallback>
          <w:pict>
            <v:line id="_x0000_s2049" o:spid="_x0000_s1026" o:spt="20" style="position:absolute;left:0pt;flip:y;margin-left:0pt;margin-top:0pt;height:0.1pt;width:442.7pt;z-index:251665408;mso-width-relative:page;mso-height-relative:page;" filled="f" stroked="t" coordsize="21600,21600" o:gfxdata="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M317bR&#10;AAAAAgEAAA8AAAAAAAAAAQAgAAAAIgAAAGRycy9kb3ducmV2LnhtbFBLAQIUABQAAAAIAIdO4kCJ&#10;ZljmtQEAAGUDAAAOAAAAAAAAAAEAIAAAACABAABkcnMvZTJvRG9jLnhtbFBLBQYAAAAABgAGAFkB&#10;AABHBQAAAAA=&#10;">
              <v:fill on="f" focussize="0,0"/>
              <v:stroke weight="0.25pt" color="#FFFFFF" joinstyle="round"/>
              <v:imagedata o:title=""/>
              <o:lock v:ext="edit" aspectratio="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5CB38">
    <w:pPr>
      <w:shd w:val="solid" w:color="FFFFFF" w:fill="auto"/>
      <w:autoSpaceDN w:val="0"/>
      <w:spacing w:line="440" w:lineRule="exact"/>
      <w:ind w:right="-489" w:firstLine="180" w:firstLineChars="100"/>
      <w:jc w:val="left"/>
      <w:rPr>
        <w:rFonts w:hint="eastAsia" w:ascii="宋体" w:hAnsi="宋体"/>
        <w:sz w:val="18"/>
        <w:szCs w:val="18"/>
      </w:rPr>
    </w:pPr>
    <w:r>
      <w:rPr>
        <w:rFonts w:hint="eastAsia" w:ascii="宋体" w:hAnsi="宋体"/>
        <w:sz w:val="18"/>
        <w:szCs w:val="18"/>
      </w:rPr>
      <w:t>平顶山职业技术学院非常规水源利用项目                                                  招标文件</w:t>
    </w:r>
  </w:p>
  <w:p w14:paraId="366400DC">
    <w:pPr>
      <w:pStyle w:val="56"/>
      <w:pBdr>
        <w:bottom w:val="none" w:color="auto" w:sz="0" w:space="1"/>
      </w:pBdr>
      <w:tabs>
        <w:tab w:val="clear" w:pos="4153"/>
        <w:tab w:val="clear" w:pos="8306"/>
      </w:tabs>
    </w:pPr>
    <w:r>
      <mc:AlternateContent>
        <mc:Choice Requires="wps">
          <w:drawing>
            <wp:anchor distT="0" distB="0" distL="114300" distR="114300" simplePos="0" relativeHeight="251670528" behindDoc="0" locked="0" layoutInCell="1" allowOverlap="1">
              <wp:simplePos x="0" y="0"/>
              <wp:positionH relativeFrom="column">
                <wp:posOffset>3810</wp:posOffset>
              </wp:positionH>
              <wp:positionV relativeFrom="paragraph">
                <wp:posOffset>10160</wp:posOffset>
              </wp:positionV>
              <wp:extent cx="5762625" cy="15875"/>
              <wp:effectExtent l="0" t="28575" r="9525" b="31750"/>
              <wp:wrapNone/>
              <wp:docPr id="17" name="Line 1025"/>
              <wp:cNvGraphicFramePr/>
              <a:graphic xmlns:a="http://schemas.openxmlformats.org/drawingml/2006/main">
                <a:graphicData uri="http://schemas.microsoft.com/office/word/2010/wordprocessingShape">
                  <wps:wsp>
                    <wps:cNvCnPr>
                      <a:cxnSpLocks noChangeShapeType="1"/>
                    </wps:cNvCnPr>
                    <wps:spPr bwMode="auto">
                      <a:xfrm flipV="1">
                        <a:off x="0" y="0"/>
                        <a:ext cx="5762625" cy="15875"/>
                      </a:xfrm>
                      <a:prstGeom prst="line">
                        <a:avLst/>
                      </a:prstGeom>
                      <a:noFill/>
                      <a:ln w="57150" cmpd="thinThick">
                        <a:solidFill>
                          <a:srgbClr val="000000"/>
                        </a:solidFill>
                        <a:round/>
                      </a:ln>
                    </wps:spPr>
                    <wps:bodyPr/>
                  </wps:wsp>
                </a:graphicData>
              </a:graphic>
            </wp:anchor>
          </w:drawing>
        </mc:Choice>
        <mc:Fallback>
          <w:pict>
            <v:line id="Line 1025" o:spid="_x0000_s1026" o:spt="20" style="position:absolute;left:0pt;flip:y;margin-left:0.3pt;margin-top:0.8pt;height:1.25pt;width:453.75pt;z-index:251670528;mso-width-relative:page;mso-height-relative:page;" filled="f" stroked="t" coordsize="21600,21600" o:gfxdata="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9yIqc9EAAAAEAQAADwAAAAAA&#10;AAABACAAAAAiAAAAZHJzL2Rvd25yZXYueG1sUEsBAhQAFAAAAAgAh07iQDFRilzhAQAAwwMAAA4A&#10;AAAAAAAAAQAgAAAAIAEAAGRycy9lMm9Eb2MueG1sUEsFBgAAAAAGAAYAWQEAAHMFAAAAAA==&#10;">
              <v:fill on="f" focussize="0,0"/>
              <v:stroke weight="4.5pt" color="#000000" linestyle="thinThick" joinstyle="round"/>
              <v:imagedata o:title=""/>
              <o:lock v:ext="edit" aspectratio="f"/>
            </v:line>
          </w:pict>
        </mc:Fallback>
      </mc:AlternateContent>
    </w:r>
    <w:r>
      <mc:AlternateContent>
        <mc:Choice Requires="wps">
          <w:drawing>
            <wp:anchor distT="0" distB="0" distL="0" distR="0" simplePos="0" relativeHeight="251669504" behindDoc="0" locked="0" layoutInCell="1" allowOverlap="1">
              <wp:simplePos x="0" y="0"/>
              <wp:positionH relativeFrom="column">
                <wp:posOffset>0</wp:posOffset>
              </wp:positionH>
              <wp:positionV relativeFrom="paragraph">
                <wp:posOffset>0</wp:posOffset>
              </wp:positionV>
              <wp:extent cx="5622290" cy="1270"/>
              <wp:effectExtent l="0" t="0" r="0" b="0"/>
              <wp:wrapNone/>
              <wp:docPr id="18" name="_x0000_s2049"/>
              <wp:cNvGraphicFramePr/>
              <a:graphic xmlns:a="http://schemas.openxmlformats.org/drawingml/2006/main">
                <a:graphicData uri="http://schemas.microsoft.com/office/word/2010/wordprocessingShape">
                  <wps:wsp>
                    <wps:cNvCnPr/>
                    <wps:spPr>
                      <a:xfrm flipV="1">
                        <a:off x="29844" y="64770"/>
                        <a:ext cx="5622291" cy="1270"/>
                      </a:xfrm>
                      <a:prstGeom prst="line">
                        <a:avLst/>
                      </a:prstGeom>
                      <a:ln w="3175">
                        <a:solidFill>
                          <a:prstClr val="white"/>
                        </a:solidFill>
                      </a:ln>
                    </wps:spPr>
                    <wps:bodyPr/>
                  </wps:wsp>
                </a:graphicData>
              </a:graphic>
            </wp:anchor>
          </w:drawing>
        </mc:Choice>
        <mc:Fallback>
          <w:pict>
            <v:line id="_x0000_s2049" o:spid="_x0000_s1026" o:spt="20" style="position:absolute;left:0pt;flip:y;margin-left:0pt;margin-top:0pt;height:0.1pt;width:442.7pt;z-index:251669504;mso-width-relative:page;mso-height-relative:page;" filled="f" stroked="t" coordsize="21600,21600" o:gfxdata="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M317bR&#10;AAAAAgEAAA8AAAAAAAAAAQAgAAAAIgAAAGRycy9kb3ducmV2LnhtbFBLAQIUABQAAAAIAIdO4kCv&#10;k4EltQEAAGUDAAAOAAAAAAAAAAEAIAAAACABAABkcnMvZTJvRG9jLnhtbFBLBQYAAAAABgAGAFkB&#10;AABHBQAAAAA=&#10;">
              <v:fill on="f" focussize="0,0"/>
              <v:stroke weight="0.25pt" color="#FFFFFF"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46C5F"/>
    <w:multiLevelType w:val="singleLevel"/>
    <w:tmpl w:val="89D46C5F"/>
    <w:lvl w:ilvl="0" w:tentative="0">
      <w:start w:val="1"/>
      <w:numFmt w:val="decimal"/>
      <w:suff w:val="nothing"/>
      <w:lvlText w:val="（%1）"/>
      <w:lvlJc w:val="left"/>
    </w:lvl>
  </w:abstractNum>
  <w:abstractNum w:abstractNumId="1">
    <w:nsid w:val="F1729628"/>
    <w:multiLevelType w:val="singleLevel"/>
    <w:tmpl w:val="F1729628"/>
    <w:lvl w:ilvl="0" w:tentative="0">
      <w:start w:val="2"/>
      <w:numFmt w:val="chineseCounting"/>
      <w:suff w:val="space"/>
      <w:lvlText w:val="第%1条"/>
      <w:lvlJc w:val="left"/>
      <w:pPr>
        <w:ind w:left="-284"/>
      </w:pPr>
      <w:rPr>
        <w:rFonts w:hint="eastAsia"/>
      </w:rPr>
    </w:lvl>
  </w:abstractNum>
  <w:abstractNum w:abstractNumId="2">
    <w:nsid w:val="0000000E"/>
    <w:multiLevelType w:val="singleLevel"/>
    <w:tmpl w:val="0000000E"/>
    <w:lvl w:ilvl="0" w:tentative="0">
      <w:start w:val="1"/>
      <w:numFmt w:val="chineseCounting"/>
      <w:suff w:val="space"/>
      <w:lvlText w:val="第%1章"/>
      <w:lvlJc w:val="left"/>
    </w:lvl>
  </w:abstractNum>
  <w:abstractNum w:abstractNumId="3">
    <w:nsid w:val="75C2C2BC"/>
    <w:multiLevelType w:val="multilevel"/>
    <w:tmpl w:val="75C2C2BC"/>
    <w:lvl w:ilvl="0" w:tentative="0">
      <w:start w:val="1"/>
      <w:numFmt w:val="chineseCountingThousand"/>
      <w:lvlText w:val="%1、"/>
      <w:lvlJc w:val="left"/>
      <w:pPr>
        <w:ind w:left="0" w:firstLine="0"/>
      </w:pPr>
      <w:rPr>
        <w:rFonts w:hint="eastAsia" w:ascii="宋体" w:hAnsi="宋体" w:eastAsia="宋体"/>
      </w:rPr>
    </w:lvl>
    <w:lvl w:ilvl="1" w:tentative="0">
      <w:start w:val="1"/>
      <w:numFmt w:val="decimal"/>
      <w:lvlText w:val="%1.%2"/>
      <w:lvlJc w:val="left"/>
      <w:pPr>
        <w:ind w:left="576" w:hanging="576"/>
      </w:pPr>
      <w:rPr>
        <w:rFonts w:hint="eastAsia" w:ascii="宋体" w:hAnsi="宋体" w:eastAsia="宋体"/>
      </w:rPr>
    </w:lvl>
    <w:lvl w:ilvl="2" w:tentative="0">
      <w:start w:val="1"/>
      <w:numFmt w:val="decimal"/>
      <w:pStyle w:val="31"/>
      <w:lvlText w:val="%1.%2.%3"/>
      <w:lvlJc w:val="left"/>
      <w:pPr>
        <w:ind w:left="720" w:hanging="720"/>
      </w:pPr>
      <w:rPr>
        <w:rFonts w:hint="eastAsia" w:ascii="宋体" w:hAnsi="宋体" w:eastAsia="宋体"/>
      </w:rPr>
    </w:lvl>
    <w:lvl w:ilvl="3" w:tentative="0">
      <w:start w:val="1"/>
      <w:numFmt w:val="decimal"/>
      <w:suff w:val="space"/>
      <w:lvlText w:val="%1.%2.%3.%4"/>
      <w:lvlJc w:val="left"/>
      <w:pPr>
        <w:ind w:left="864" w:hanging="864"/>
      </w:pPr>
      <w:rPr>
        <w:rFonts w:hint="eastAsia" w:ascii="宋体" w:hAnsi="宋体" w:eastAsia="宋体"/>
      </w:rPr>
    </w:lvl>
    <w:lvl w:ilvl="4" w:tentative="0">
      <w:start w:val="1"/>
      <w:numFmt w:val="decimal"/>
      <w:lvlText w:val="%1.%2.%3.%4.%5"/>
      <w:lvlJc w:val="left"/>
      <w:pPr>
        <w:ind w:left="1008" w:hanging="1008"/>
      </w:pPr>
      <w:rPr>
        <w:rFonts w:hint="eastAsia" w:ascii="宋体" w:hAnsi="宋体" w:eastAsia="宋体"/>
      </w:rPr>
    </w:lvl>
    <w:lvl w:ilvl="5" w:tentative="0">
      <w:start w:val="1"/>
      <w:numFmt w:val="decimal"/>
      <w:lvlText w:val="%1.%2.%3.%4.%5.%6"/>
      <w:lvlJc w:val="left"/>
      <w:pPr>
        <w:ind w:left="1152" w:hanging="1152"/>
      </w:pPr>
      <w:rPr>
        <w:rFonts w:hint="eastAsia" w:ascii="宋体" w:hAnsi="宋体" w:eastAsia="宋体"/>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yZDEyMmQwNTQ2MzQ3NDZhMDJiMzk2Y2I5MzYxMmEifQ=="/>
    <w:docVar w:name="KSO_WPS_MARK_KEY" w:val="3dfe2f52-dd3b-4b41-940e-8abad42302dc"/>
  </w:docVars>
  <w:rsids>
    <w:rsidRoot w:val="00451421"/>
    <w:rsid w:val="000551BC"/>
    <w:rsid w:val="00061581"/>
    <w:rsid w:val="000A4229"/>
    <w:rsid w:val="001B2BB3"/>
    <w:rsid w:val="001E1C6F"/>
    <w:rsid w:val="00413C39"/>
    <w:rsid w:val="00434166"/>
    <w:rsid w:val="00451421"/>
    <w:rsid w:val="00504766"/>
    <w:rsid w:val="00541792"/>
    <w:rsid w:val="005E32C0"/>
    <w:rsid w:val="006F782C"/>
    <w:rsid w:val="007B4998"/>
    <w:rsid w:val="008163E2"/>
    <w:rsid w:val="008251E0"/>
    <w:rsid w:val="00833EBE"/>
    <w:rsid w:val="008808C2"/>
    <w:rsid w:val="008B2153"/>
    <w:rsid w:val="009F4F5B"/>
    <w:rsid w:val="00AA1649"/>
    <w:rsid w:val="00AA29F8"/>
    <w:rsid w:val="00B1283A"/>
    <w:rsid w:val="00B2710F"/>
    <w:rsid w:val="00B30A07"/>
    <w:rsid w:val="00C02B43"/>
    <w:rsid w:val="00C32394"/>
    <w:rsid w:val="00C84F47"/>
    <w:rsid w:val="00CC2EE0"/>
    <w:rsid w:val="00CD15FD"/>
    <w:rsid w:val="00D308C2"/>
    <w:rsid w:val="00D43741"/>
    <w:rsid w:val="00D576C1"/>
    <w:rsid w:val="00DF4F55"/>
    <w:rsid w:val="00E17458"/>
    <w:rsid w:val="00E51C72"/>
    <w:rsid w:val="00E55180"/>
    <w:rsid w:val="00E7145C"/>
    <w:rsid w:val="00EB27AB"/>
    <w:rsid w:val="013A5B8D"/>
    <w:rsid w:val="0204112E"/>
    <w:rsid w:val="02BA3F8E"/>
    <w:rsid w:val="04DA184C"/>
    <w:rsid w:val="052640CD"/>
    <w:rsid w:val="05AA02EA"/>
    <w:rsid w:val="05C32CC9"/>
    <w:rsid w:val="06324BA3"/>
    <w:rsid w:val="064874F1"/>
    <w:rsid w:val="06F757B1"/>
    <w:rsid w:val="07E615A9"/>
    <w:rsid w:val="085C6CE0"/>
    <w:rsid w:val="093E0D19"/>
    <w:rsid w:val="0969226A"/>
    <w:rsid w:val="09834392"/>
    <w:rsid w:val="09AD0B8A"/>
    <w:rsid w:val="09D7387A"/>
    <w:rsid w:val="0A363DB8"/>
    <w:rsid w:val="0A5B0AFA"/>
    <w:rsid w:val="0A5F36E0"/>
    <w:rsid w:val="0AD6045E"/>
    <w:rsid w:val="0DE13AFB"/>
    <w:rsid w:val="0DE63E89"/>
    <w:rsid w:val="0E3966AF"/>
    <w:rsid w:val="0F0C2AF2"/>
    <w:rsid w:val="0F2700A3"/>
    <w:rsid w:val="0F340C24"/>
    <w:rsid w:val="0F41761A"/>
    <w:rsid w:val="0FBB0301"/>
    <w:rsid w:val="0FBD0C1A"/>
    <w:rsid w:val="11272909"/>
    <w:rsid w:val="11DB0C82"/>
    <w:rsid w:val="142B1F63"/>
    <w:rsid w:val="145E6210"/>
    <w:rsid w:val="151B4FA1"/>
    <w:rsid w:val="159E329B"/>
    <w:rsid w:val="15A90CE8"/>
    <w:rsid w:val="16476255"/>
    <w:rsid w:val="16745D89"/>
    <w:rsid w:val="19107691"/>
    <w:rsid w:val="19F06DC2"/>
    <w:rsid w:val="19F31E08"/>
    <w:rsid w:val="1A850730"/>
    <w:rsid w:val="1AE13C5B"/>
    <w:rsid w:val="1E8E4CFE"/>
    <w:rsid w:val="1F5164BE"/>
    <w:rsid w:val="1F9803AC"/>
    <w:rsid w:val="20175B16"/>
    <w:rsid w:val="203E34DF"/>
    <w:rsid w:val="20AB6760"/>
    <w:rsid w:val="212118D1"/>
    <w:rsid w:val="212A7089"/>
    <w:rsid w:val="219A3F4D"/>
    <w:rsid w:val="222032E9"/>
    <w:rsid w:val="2320205C"/>
    <w:rsid w:val="278065DC"/>
    <w:rsid w:val="27B27826"/>
    <w:rsid w:val="29D96B13"/>
    <w:rsid w:val="2A9E6B51"/>
    <w:rsid w:val="2B2007FA"/>
    <w:rsid w:val="2B54022C"/>
    <w:rsid w:val="2BE02651"/>
    <w:rsid w:val="2C1A14E9"/>
    <w:rsid w:val="2C9A4365"/>
    <w:rsid w:val="2EB370E8"/>
    <w:rsid w:val="2EE649B2"/>
    <w:rsid w:val="2EE67D35"/>
    <w:rsid w:val="2F592908"/>
    <w:rsid w:val="2F8323EF"/>
    <w:rsid w:val="2FC420F1"/>
    <w:rsid w:val="3079289A"/>
    <w:rsid w:val="328B5D49"/>
    <w:rsid w:val="331C1F78"/>
    <w:rsid w:val="33723B73"/>
    <w:rsid w:val="33DC5707"/>
    <w:rsid w:val="340A6274"/>
    <w:rsid w:val="350B4052"/>
    <w:rsid w:val="355C7627"/>
    <w:rsid w:val="356822FA"/>
    <w:rsid w:val="385066A0"/>
    <w:rsid w:val="388B07C0"/>
    <w:rsid w:val="39303475"/>
    <w:rsid w:val="39BC7C21"/>
    <w:rsid w:val="3AAD5BAB"/>
    <w:rsid w:val="3B5438F3"/>
    <w:rsid w:val="3DF81767"/>
    <w:rsid w:val="3DFE0BF8"/>
    <w:rsid w:val="3EF46C8A"/>
    <w:rsid w:val="406776E2"/>
    <w:rsid w:val="423F358D"/>
    <w:rsid w:val="428C0CF8"/>
    <w:rsid w:val="42D53EF1"/>
    <w:rsid w:val="43161031"/>
    <w:rsid w:val="43922E9C"/>
    <w:rsid w:val="43CC63A0"/>
    <w:rsid w:val="442A4A05"/>
    <w:rsid w:val="44792BC0"/>
    <w:rsid w:val="44D160F3"/>
    <w:rsid w:val="45150BCE"/>
    <w:rsid w:val="451B33FF"/>
    <w:rsid w:val="46891671"/>
    <w:rsid w:val="47326CAE"/>
    <w:rsid w:val="47906638"/>
    <w:rsid w:val="48443524"/>
    <w:rsid w:val="486F26F2"/>
    <w:rsid w:val="491A08B0"/>
    <w:rsid w:val="4A730277"/>
    <w:rsid w:val="4B8464B4"/>
    <w:rsid w:val="4BA462F6"/>
    <w:rsid w:val="4BBB3934"/>
    <w:rsid w:val="4BF44F19"/>
    <w:rsid w:val="4CFD5798"/>
    <w:rsid w:val="4DE47316"/>
    <w:rsid w:val="4E546C52"/>
    <w:rsid w:val="4F2953A8"/>
    <w:rsid w:val="4F89131D"/>
    <w:rsid w:val="4FF951CE"/>
    <w:rsid w:val="50A02C76"/>
    <w:rsid w:val="51452486"/>
    <w:rsid w:val="51605A40"/>
    <w:rsid w:val="52D448ED"/>
    <w:rsid w:val="54353DA3"/>
    <w:rsid w:val="543676CB"/>
    <w:rsid w:val="54B7543B"/>
    <w:rsid w:val="56570A4D"/>
    <w:rsid w:val="573855E8"/>
    <w:rsid w:val="57764AF7"/>
    <w:rsid w:val="57B819BF"/>
    <w:rsid w:val="57CC3E70"/>
    <w:rsid w:val="57D85BBE"/>
    <w:rsid w:val="58586CFE"/>
    <w:rsid w:val="58C17CD9"/>
    <w:rsid w:val="58F7058B"/>
    <w:rsid w:val="59F32106"/>
    <w:rsid w:val="59F40646"/>
    <w:rsid w:val="5AA70748"/>
    <w:rsid w:val="5B381AB1"/>
    <w:rsid w:val="5B7B57E4"/>
    <w:rsid w:val="5BBB5058"/>
    <w:rsid w:val="5BD243A7"/>
    <w:rsid w:val="5CDA25E4"/>
    <w:rsid w:val="5CE5313C"/>
    <w:rsid w:val="5D641CA2"/>
    <w:rsid w:val="5DFE20F6"/>
    <w:rsid w:val="601D1AC7"/>
    <w:rsid w:val="61377DF9"/>
    <w:rsid w:val="6230766F"/>
    <w:rsid w:val="62CF3899"/>
    <w:rsid w:val="62D502BE"/>
    <w:rsid w:val="63067C1B"/>
    <w:rsid w:val="64997931"/>
    <w:rsid w:val="64F92757"/>
    <w:rsid w:val="65050A68"/>
    <w:rsid w:val="6663343E"/>
    <w:rsid w:val="669C425A"/>
    <w:rsid w:val="66BB3C46"/>
    <w:rsid w:val="671C05EE"/>
    <w:rsid w:val="690D7691"/>
    <w:rsid w:val="6B87372B"/>
    <w:rsid w:val="6BB32772"/>
    <w:rsid w:val="6C6D2921"/>
    <w:rsid w:val="6CD13207"/>
    <w:rsid w:val="6D65184A"/>
    <w:rsid w:val="6DF96BDC"/>
    <w:rsid w:val="6E2D7BB1"/>
    <w:rsid w:val="6E7D2BC3"/>
    <w:rsid w:val="6F724E6B"/>
    <w:rsid w:val="6FB72105"/>
    <w:rsid w:val="6FF61027"/>
    <w:rsid w:val="70F71AC9"/>
    <w:rsid w:val="72033390"/>
    <w:rsid w:val="7245643F"/>
    <w:rsid w:val="73644660"/>
    <w:rsid w:val="73CF5C6F"/>
    <w:rsid w:val="74A03EB7"/>
    <w:rsid w:val="753015D1"/>
    <w:rsid w:val="75792336"/>
    <w:rsid w:val="759C6025"/>
    <w:rsid w:val="773A5315"/>
    <w:rsid w:val="78A21BA4"/>
    <w:rsid w:val="7AB43463"/>
    <w:rsid w:val="7D1D48E5"/>
    <w:rsid w:val="7DCC321F"/>
    <w:rsid w:val="7E374B3D"/>
    <w:rsid w:val="7E701E8D"/>
    <w:rsid w:val="7FB93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1"/>
      <w:lang w:val="en-US" w:eastAsia="zh-CN" w:bidi="ar-SA"/>
    </w:rPr>
  </w:style>
  <w:style w:type="paragraph" w:styleId="2">
    <w:name w:val="heading 2"/>
    <w:basedOn w:val="1"/>
    <w:next w:val="1"/>
    <w:qFormat/>
    <w:uiPriority w:val="99"/>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unhideWhenUsed/>
    <w:qFormat/>
    <w:uiPriority w:val="9"/>
    <w:pPr>
      <w:keepNext/>
      <w:keepLines/>
      <w:spacing w:before="160" w:after="80"/>
      <w:outlineLvl w:val="2"/>
    </w:pPr>
    <w:rPr>
      <w:rFonts w:asciiTheme="majorHAnsi" w:hAnsiTheme="majorHAnsi" w:eastAsiaTheme="majorEastAsia" w:cstheme="majorBidi"/>
      <w:color w:val="376092" w:themeColor="accent1" w:themeShade="BF"/>
      <w:sz w:val="32"/>
      <w:szCs w:val="32"/>
    </w:rPr>
  </w:style>
  <w:style w:type="paragraph" w:styleId="4">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0"/>
    <w:pPr>
      <w:ind w:firstLine="420"/>
    </w:pPr>
  </w:style>
  <w:style w:type="paragraph" w:styleId="6">
    <w:name w:val="Body Text 2"/>
    <w:basedOn w:val="1"/>
    <w:next w:val="1"/>
    <w:semiHidden/>
    <w:qFormat/>
    <w:uiPriority w:val="99"/>
    <w:pPr>
      <w:spacing w:after="120" w:line="480" w:lineRule="auto"/>
    </w:pPr>
    <w:rPr>
      <w:kern w:val="0"/>
      <w:sz w:val="20"/>
    </w:rPr>
  </w:style>
  <w:style w:type="paragraph" w:styleId="7">
    <w:name w:val="Body Text"/>
    <w:basedOn w:val="1"/>
    <w:qFormat/>
    <w:uiPriority w:val="0"/>
    <w:pPr>
      <w:spacing w:after="120"/>
    </w:pPr>
  </w:style>
  <w:style w:type="paragraph" w:styleId="8">
    <w:name w:val="Body Text Indent"/>
    <w:basedOn w:val="1"/>
    <w:semiHidden/>
    <w:qFormat/>
    <w:uiPriority w:val="99"/>
    <w:pPr>
      <w:spacing w:after="120"/>
      <w:ind w:left="420" w:leftChars="200"/>
    </w:pPr>
    <w:rPr>
      <w:kern w:val="0"/>
      <w:sz w:val="20"/>
    </w:rPr>
  </w:style>
  <w:style w:type="paragraph" w:styleId="9">
    <w:name w:val="toc 3"/>
    <w:basedOn w:val="1"/>
    <w:next w:val="1"/>
    <w:qFormat/>
    <w:uiPriority w:val="0"/>
    <w:pPr>
      <w:ind w:left="840" w:leftChars="400"/>
    </w:pPr>
  </w:style>
  <w:style w:type="paragraph" w:styleId="10">
    <w:name w:val="Body Text Indent 2"/>
    <w:basedOn w:val="1"/>
    <w:qFormat/>
    <w:uiPriority w:val="0"/>
    <w:pPr>
      <w:ind w:firstLine="570"/>
    </w:pPr>
    <w:rPr>
      <w:sz w:val="32"/>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footnote text"/>
    <w:basedOn w:val="1"/>
    <w:qFormat/>
    <w:uiPriority w:val="99"/>
    <w:rPr>
      <w:sz w:val="20"/>
      <w:szCs w:val="20"/>
    </w:rPr>
  </w:style>
  <w:style w:type="paragraph" w:styleId="15">
    <w:name w:val="toc 2"/>
    <w:basedOn w:val="1"/>
    <w:next w:val="1"/>
    <w:qFormat/>
    <w:uiPriority w:val="0"/>
    <w:pPr>
      <w:ind w:left="420" w:leftChars="200"/>
    </w:pPr>
  </w:style>
  <w:style w:type="paragraph" w:styleId="16">
    <w:name w:val="Body Text First Indent"/>
    <w:basedOn w:val="7"/>
    <w:next w:val="17"/>
    <w:qFormat/>
    <w:uiPriority w:val="99"/>
    <w:pPr>
      <w:spacing w:line="360" w:lineRule="auto"/>
      <w:ind w:firstLine="976" w:firstLineChars="200"/>
    </w:pPr>
    <w:rPr>
      <w:sz w:val="28"/>
      <w:szCs w:val="28"/>
    </w:rPr>
  </w:style>
  <w:style w:type="paragraph" w:styleId="17">
    <w:name w:val="Body Text First Indent 2"/>
    <w:basedOn w:val="8"/>
    <w:next w:val="5"/>
    <w:qFormat/>
    <w:uiPriority w:val="99"/>
    <w:pPr>
      <w:ind w:firstLine="420" w:firstLineChars="200"/>
    </w:pPr>
  </w:style>
  <w:style w:type="table" w:styleId="19">
    <w:name w:val="Table Grid"/>
    <w:basedOn w:val="18"/>
    <w:qFormat/>
    <w:uiPriority w:val="59"/>
    <w:rPr>
      <w:rFonts w:ascii="Calibri" w:hAnsi="Calibri" w:cs="Calibr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bCs/>
    </w:rPr>
  </w:style>
  <w:style w:type="character" w:styleId="22">
    <w:name w:val="FollowedHyperlink"/>
    <w:basedOn w:val="20"/>
    <w:qFormat/>
    <w:uiPriority w:val="0"/>
    <w:rPr>
      <w:color w:val="1F3149"/>
      <w:u w:val="none"/>
    </w:rPr>
  </w:style>
  <w:style w:type="character" w:styleId="23">
    <w:name w:val="HTML Definition"/>
    <w:basedOn w:val="20"/>
    <w:qFormat/>
    <w:uiPriority w:val="0"/>
    <w:rPr>
      <w:i/>
      <w:iCs/>
    </w:rPr>
  </w:style>
  <w:style w:type="character" w:styleId="24">
    <w:name w:val="Hyperlink"/>
    <w:basedOn w:val="20"/>
    <w:qFormat/>
    <w:uiPriority w:val="99"/>
    <w:rPr>
      <w:rFonts w:cs="Times New Roman"/>
      <w:color w:val="338DE6"/>
      <w:u w:val="none"/>
    </w:rPr>
  </w:style>
  <w:style w:type="character" w:styleId="25">
    <w:name w:val="HTML Code"/>
    <w:basedOn w:val="20"/>
    <w:qFormat/>
    <w:uiPriority w:val="0"/>
    <w:rPr>
      <w:rFonts w:ascii="Consolas" w:hAnsi="Consolas" w:eastAsia="Consolas" w:cs="Consolas"/>
      <w:color w:val="C7254E"/>
      <w:sz w:val="21"/>
      <w:szCs w:val="21"/>
      <w:shd w:val="clear" w:color="auto" w:fill="F9F2F4"/>
    </w:rPr>
  </w:style>
  <w:style w:type="character" w:styleId="26">
    <w:name w:val="HTML Keyboard"/>
    <w:basedOn w:val="20"/>
    <w:qFormat/>
    <w:uiPriority w:val="0"/>
    <w:rPr>
      <w:rFonts w:hint="default" w:ascii="Consolas" w:hAnsi="Consolas" w:eastAsia="Consolas" w:cs="Consolas"/>
      <w:color w:val="FFFFFF"/>
      <w:sz w:val="21"/>
      <w:szCs w:val="21"/>
      <w:shd w:val="clear" w:color="auto" w:fill="333333"/>
    </w:rPr>
  </w:style>
  <w:style w:type="character" w:styleId="27">
    <w:name w:val="HTML Sample"/>
    <w:basedOn w:val="20"/>
    <w:qFormat/>
    <w:uiPriority w:val="0"/>
    <w:rPr>
      <w:rFonts w:hint="default" w:ascii="Consolas" w:hAnsi="Consolas" w:eastAsia="Consolas" w:cs="Consolas"/>
      <w:sz w:val="21"/>
      <w:szCs w:val="21"/>
    </w:rPr>
  </w:style>
  <w:style w:type="paragraph" w:customStyle="1" w:styleId="28">
    <w:name w:val="Default"/>
    <w:next w:val="1"/>
    <w:qFormat/>
    <w:uiPriority w:val="0"/>
    <w:pPr>
      <w:widowControl w:val="0"/>
      <w:autoSpaceDE w:val="0"/>
      <w:autoSpaceDN w:val="0"/>
    </w:pPr>
    <w:rPr>
      <w:rFonts w:ascii="宋体" w:hAnsi="Times New Roman" w:eastAsia="宋体" w:cs="Times New Roman"/>
      <w:color w:val="000000"/>
      <w:sz w:val="24"/>
      <w:szCs w:val="24"/>
      <w:lang w:val="en-US" w:eastAsia="zh-CN" w:bidi="ar-SA"/>
    </w:rPr>
  </w:style>
  <w:style w:type="paragraph" w:customStyle="1" w:styleId="29">
    <w:name w:val="标题 11"/>
    <w:basedOn w:val="1"/>
    <w:link w:val="36"/>
    <w:qFormat/>
    <w:uiPriority w:val="0"/>
    <w:pPr>
      <w:keepNext/>
      <w:keepLines/>
      <w:spacing w:before="340" w:after="330" w:line="578" w:lineRule="auto"/>
      <w:outlineLvl w:val="0"/>
    </w:pPr>
    <w:rPr>
      <w:b/>
      <w:bCs/>
      <w:kern w:val="44"/>
      <w:sz w:val="44"/>
      <w:szCs w:val="44"/>
    </w:rPr>
  </w:style>
  <w:style w:type="paragraph" w:customStyle="1" w:styleId="30">
    <w:name w:val="标题 21"/>
    <w:basedOn w:val="1"/>
    <w:link w:val="35"/>
    <w:qFormat/>
    <w:uiPriority w:val="0"/>
    <w:pPr>
      <w:keepNext/>
      <w:keepLines/>
      <w:spacing w:before="260" w:after="260" w:line="416" w:lineRule="auto"/>
      <w:outlineLvl w:val="1"/>
    </w:pPr>
    <w:rPr>
      <w:rFonts w:ascii="Arial" w:hAnsi="Arial" w:eastAsia="黑体"/>
      <w:b/>
      <w:bCs/>
      <w:sz w:val="32"/>
      <w:szCs w:val="32"/>
    </w:rPr>
  </w:style>
  <w:style w:type="paragraph" w:customStyle="1" w:styleId="31">
    <w:name w:val="标题 31"/>
    <w:basedOn w:val="1"/>
    <w:link w:val="37"/>
    <w:qFormat/>
    <w:uiPriority w:val="0"/>
    <w:pPr>
      <w:keepNext/>
      <w:keepLines/>
      <w:numPr>
        <w:ilvl w:val="2"/>
        <w:numId w:val="1"/>
      </w:numPr>
      <w:spacing w:line="413" w:lineRule="auto"/>
      <w:outlineLvl w:val="2"/>
    </w:pPr>
    <w:rPr>
      <w:b/>
      <w:sz w:val="32"/>
    </w:rPr>
  </w:style>
  <w:style w:type="paragraph" w:customStyle="1" w:styleId="32">
    <w:name w:val="标题 41"/>
    <w:basedOn w:val="1"/>
    <w:qFormat/>
    <w:uiPriority w:val="0"/>
    <w:pPr>
      <w:keepNext/>
      <w:keepLines/>
      <w:spacing w:line="374" w:lineRule="auto"/>
      <w:outlineLvl w:val="3"/>
    </w:pPr>
    <w:rPr>
      <w:rFonts w:ascii="Arial" w:hAnsi="Arial" w:eastAsia="黑体"/>
      <w:b/>
      <w:bCs/>
      <w:sz w:val="28"/>
      <w:szCs w:val="28"/>
    </w:rPr>
  </w:style>
  <w:style w:type="character" w:customStyle="1" w:styleId="33">
    <w:name w:val="默认段落字体1"/>
    <w:qFormat/>
    <w:uiPriority w:val="0"/>
  </w:style>
  <w:style w:type="table" w:customStyle="1" w:styleId="34">
    <w:name w:val="普通表格1"/>
    <w:qFormat/>
    <w:uiPriority w:val="0"/>
    <w:rPr>
      <w:rFonts w:ascii="Calibri" w:hAnsi="Calibri"/>
      <w:kern w:val="2"/>
      <w:sz w:val="21"/>
      <w:szCs w:val="22"/>
    </w:rPr>
    <w:tblPr>
      <w:tblCellMar>
        <w:top w:w="0" w:type="dxa"/>
        <w:left w:w="0" w:type="dxa"/>
        <w:bottom w:w="0" w:type="dxa"/>
        <w:right w:w="0" w:type="dxa"/>
      </w:tblCellMar>
    </w:tblPr>
  </w:style>
  <w:style w:type="character" w:customStyle="1" w:styleId="35">
    <w:name w:val="标题 2 Char"/>
    <w:link w:val="30"/>
    <w:qFormat/>
    <w:uiPriority w:val="0"/>
    <w:rPr>
      <w:rFonts w:ascii="Arial" w:hAnsi="Arial" w:eastAsia="黑体"/>
      <w:b/>
      <w:bCs/>
      <w:kern w:val="2"/>
      <w:sz w:val="32"/>
      <w:szCs w:val="32"/>
      <w:lang w:val="en-US" w:eastAsia="zh-CN"/>
    </w:rPr>
  </w:style>
  <w:style w:type="character" w:customStyle="1" w:styleId="36">
    <w:name w:val="标题 1 Char"/>
    <w:link w:val="29"/>
    <w:qFormat/>
    <w:uiPriority w:val="0"/>
    <w:rPr>
      <w:b/>
      <w:bCs/>
      <w:kern w:val="44"/>
      <w:sz w:val="44"/>
      <w:szCs w:val="44"/>
    </w:rPr>
  </w:style>
  <w:style w:type="character" w:customStyle="1" w:styleId="37">
    <w:name w:val="标题 3 Char"/>
    <w:link w:val="31"/>
    <w:qFormat/>
    <w:uiPriority w:val="0"/>
    <w:rPr>
      <w:b/>
      <w:kern w:val="2"/>
      <w:sz w:val="32"/>
      <w:szCs w:val="21"/>
    </w:rPr>
  </w:style>
  <w:style w:type="paragraph" w:customStyle="1" w:styleId="38">
    <w:name w:val="正文缩进1"/>
    <w:basedOn w:val="1"/>
    <w:qFormat/>
    <w:uiPriority w:val="0"/>
    <w:pPr>
      <w:ind w:firstLine="420"/>
      <w:jc w:val="left"/>
    </w:pPr>
    <w:rPr>
      <w:rFonts w:ascii="宋体" w:hAnsi="宋体"/>
      <w:kern w:val="0"/>
      <w:szCs w:val="20"/>
    </w:rPr>
  </w:style>
  <w:style w:type="paragraph" w:customStyle="1" w:styleId="39">
    <w:name w:val="正文文本 21"/>
    <w:basedOn w:val="1"/>
    <w:qFormat/>
    <w:uiPriority w:val="0"/>
    <w:pPr>
      <w:jc w:val="center"/>
    </w:pPr>
  </w:style>
  <w:style w:type="paragraph" w:customStyle="1" w:styleId="40">
    <w:name w:val="批注文字1"/>
    <w:basedOn w:val="1"/>
    <w:link w:val="41"/>
    <w:qFormat/>
    <w:uiPriority w:val="0"/>
    <w:pPr>
      <w:jc w:val="left"/>
    </w:pPr>
    <w:rPr>
      <w:sz w:val="24"/>
      <w:szCs w:val="24"/>
    </w:rPr>
  </w:style>
  <w:style w:type="character" w:customStyle="1" w:styleId="41">
    <w:name w:val="批注文字 Char"/>
    <w:link w:val="40"/>
    <w:qFormat/>
    <w:uiPriority w:val="0"/>
    <w:rPr>
      <w:kern w:val="2"/>
      <w:sz w:val="24"/>
      <w:szCs w:val="24"/>
    </w:rPr>
  </w:style>
  <w:style w:type="paragraph" w:customStyle="1" w:styleId="42">
    <w:name w:val="正文文本1"/>
    <w:basedOn w:val="1"/>
    <w:link w:val="43"/>
    <w:qFormat/>
    <w:uiPriority w:val="0"/>
    <w:pPr>
      <w:spacing w:after="120"/>
    </w:pPr>
  </w:style>
  <w:style w:type="character" w:customStyle="1" w:styleId="43">
    <w:name w:val="正文文本 Char"/>
    <w:link w:val="42"/>
    <w:qFormat/>
    <w:uiPriority w:val="0"/>
    <w:rPr>
      <w:kern w:val="2"/>
      <w:sz w:val="21"/>
      <w:szCs w:val="21"/>
    </w:rPr>
  </w:style>
  <w:style w:type="paragraph" w:customStyle="1" w:styleId="44">
    <w:name w:val="正文文本缩进1"/>
    <w:basedOn w:val="1"/>
    <w:qFormat/>
    <w:uiPriority w:val="0"/>
    <w:pPr>
      <w:spacing w:line="360" w:lineRule="auto"/>
      <w:ind w:firstLine="420" w:firstLineChars="200"/>
      <w:outlineLvl w:val="0"/>
    </w:pPr>
    <w:rPr>
      <w:color w:val="000000"/>
    </w:rPr>
  </w:style>
  <w:style w:type="paragraph" w:customStyle="1" w:styleId="45">
    <w:name w:val="列表 21"/>
    <w:basedOn w:val="1"/>
    <w:qFormat/>
    <w:uiPriority w:val="0"/>
    <w:pPr>
      <w:ind w:left="100" w:leftChars="200" w:hanging="200" w:hangingChars="200"/>
      <w:contextualSpacing/>
    </w:pPr>
  </w:style>
  <w:style w:type="paragraph" w:customStyle="1" w:styleId="46">
    <w:name w:val="目录 31"/>
    <w:basedOn w:val="1"/>
    <w:qFormat/>
    <w:uiPriority w:val="0"/>
    <w:pPr>
      <w:ind w:left="840" w:leftChars="400"/>
    </w:pPr>
  </w:style>
  <w:style w:type="paragraph" w:customStyle="1" w:styleId="47">
    <w:name w:val="纯文本11"/>
    <w:basedOn w:val="1"/>
    <w:link w:val="48"/>
    <w:qFormat/>
    <w:uiPriority w:val="0"/>
    <w:rPr>
      <w:rFonts w:ascii="宋体" w:hAnsi="Courier New"/>
      <w:kern w:val="0"/>
      <w:sz w:val="20"/>
    </w:rPr>
  </w:style>
  <w:style w:type="character" w:customStyle="1" w:styleId="48">
    <w:name w:val="纯文本 Char"/>
    <w:link w:val="47"/>
    <w:semiHidden/>
    <w:qFormat/>
    <w:uiPriority w:val="0"/>
    <w:rPr>
      <w:rFonts w:ascii="宋体" w:hAnsi="Courier New"/>
      <w:szCs w:val="21"/>
    </w:rPr>
  </w:style>
  <w:style w:type="paragraph" w:customStyle="1" w:styleId="49">
    <w:name w:val="日期1"/>
    <w:basedOn w:val="1"/>
    <w:link w:val="50"/>
    <w:qFormat/>
    <w:uiPriority w:val="0"/>
    <w:rPr>
      <w:kern w:val="0"/>
      <w:sz w:val="20"/>
    </w:rPr>
  </w:style>
  <w:style w:type="character" w:customStyle="1" w:styleId="50">
    <w:name w:val="日期 Char"/>
    <w:link w:val="49"/>
    <w:semiHidden/>
    <w:qFormat/>
    <w:uiPriority w:val="0"/>
    <w:rPr>
      <w:szCs w:val="21"/>
    </w:rPr>
  </w:style>
  <w:style w:type="paragraph" w:customStyle="1" w:styleId="51">
    <w:name w:val="正文文本缩进 211"/>
    <w:basedOn w:val="1"/>
    <w:qFormat/>
    <w:uiPriority w:val="0"/>
    <w:pPr>
      <w:ind w:firstLine="570"/>
    </w:pPr>
    <w:rPr>
      <w:sz w:val="32"/>
    </w:rPr>
  </w:style>
  <w:style w:type="paragraph" w:customStyle="1" w:styleId="52">
    <w:name w:val="批注框文本1"/>
    <w:basedOn w:val="1"/>
    <w:link w:val="53"/>
    <w:qFormat/>
    <w:uiPriority w:val="0"/>
    <w:rPr>
      <w:kern w:val="0"/>
      <w:sz w:val="16"/>
      <w:szCs w:val="16"/>
    </w:rPr>
  </w:style>
  <w:style w:type="character" w:customStyle="1" w:styleId="53">
    <w:name w:val="批注框文本 Char"/>
    <w:link w:val="52"/>
    <w:qFormat/>
    <w:uiPriority w:val="0"/>
    <w:rPr>
      <w:sz w:val="16"/>
      <w:szCs w:val="0"/>
    </w:rPr>
  </w:style>
  <w:style w:type="paragraph" w:customStyle="1" w:styleId="54">
    <w:name w:val="页脚1"/>
    <w:basedOn w:val="1"/>
    <w:link w:val="55"/>
    <w:qFormat/>
    <w:uiPriority w:val="0"/>
    <w:pPr>
      <w:tabs>
        <w:tab w:val="center" w:pos="4153"/>
        <w:tab w:val="right" w:pos="8306"/>
      </w:tabs>
      <w:snapToGrid w:val="0"/>
      <w:jc w:val="left"/>
    </w:pPr>
    <w:rPr>
      <w:kern w:val="0"/>
      <w:sz w:val="18"/>
      <w:szCs w:val="18"/>
    </w:rPr>
  </w:style>
  <w:style w:type="character" w:customStyle="1" w:styleId="55">
    <w:name w:val="页脚 Char"/>
    <w:link w:val="54"/>
    <w:qFormat/>
    <w:uiPriority w:val="0"/>
    <w:rPr>
      <w:sz w:val="18"/>
      <w:szCs w:val="18"/>
    </w:rPr>
  </w:style>
  <w:style w:type="paragraph" w:customStyle="1" w:styleId="56">
    <w:name w:val="页眉1"/>
    <w:basedOn w:val="1"/>
    <w:link w:val="57"/>
    <w:qFormat/>
    <w:uiPriority w:val="0"/>
    <w:pPr>
      <w:pBdr>
        <w:top w:val="none" w:color="000000" w:sz="0" w:space="1"/>
        <w:left w:val="none" w:color="000000" w:sz="0" w:space="4"/>
        <w:bottom w:val="none" w:color="000000" w:sz="0" w:space="1"/>
        <w:right w:val="none" w:color="000000" w:sz="0" w:space="4"/>
      </w:pBdr>
      <w:tabs>
        <w:tab w:val="center" w:pos="4153"/>
        <w:tab w:val="right" w:pos="8306"/>
      </w:tabs>
      <w:snapToGrid w:val="0"/>
    </w:pPr>
    <w:rPr>
      <w:kern w:val="0"/>
      <w:sz w:val="18"/>
      <w:szCs w:val="18"/>
    </w:rPr>
  </w:style>
  <w:style w:type="character" w:customStyle="1" w:styleId="57">
    <w:name w:val="页眉 Char"/>
    <w:link w:val="56"/>
    <w:qFormat/>
    <w:uiPriority w:val="0"/>
    <w:rPr>
      <w:sz w:val="18"/>
      <w:szCs w:val="18"/>
    </w:rPr>
  </w:style>
  <w:style w:type="paragraph" w:customStyle="1" w:styleId="58">
    <w:name w:val="目录 11"/>
    <w:basedOn w:val="1"/>
    <w:semiHidden/>
    <w:qFormat/>
    <w:uiPriority w:val="0"/>
    <w:pPr>
      <w:tabs>
        <w:tab w:val="right" w:leader="dot" w:pos="9288"/>
      </w:tabs>
      <w:spacing w:before="120" w:after="120" w:line="600" w:lineRule="exact"/>
      <w:jc w:val="left"/>
    </w:pPr>
    <w:rPr>
      <w:b/>
      <w:bCs/>
      <w:caps/>
      <w:sz w:val="20"/>
      <w:szCs w:val="20"/>
    </w:rPr>
  </w:style>
  <w:style w:type="paragraph" w:customStyle="1" w:styleId="59">
    <w:name w:val="正文文本缩进 31"/>
    <w:basedOn w:val="1"/>
    <w:link w:val="60"/>
    <w:qFormat/>
    <w:uiPriority w:val="0"/>
    <w:pPr>
      <w:ind w:firstLine="630"/>
    </w:pPr>
    <w:rPr>
      <w:sz w:val="28"/>
      <w:szCs w:val="28"/>
    </w:rPr>
  </w:style>
  <w:style w:type="character" w:customStyle="1" w:styleId="60">
    <w:name w:val="正文文本缩进 3 Char"/>
    <w:link w:val="59"/>
    <w:qFormat/>
    <w:uiPriority w:val="0"/>
    <w:rPr>
      <w:kern w:val="2"/>
      <w:sz w:val="28"/>
      <w:szCs w:val="28"/>
    </w:rPr>
  </w:style>
  <w:style w:type="paragraph" w:customStyle="1" w:styleId="61">
    <w:name w:val="目录 21"/>
    <w:basedOn w:val="1"/>
    <w:qFormat/>
    <w:uiPriority w:val="0"/>
    <w:pPr>
      <w:ind w:left="420" w:leftChars="200"/>
    </w:pPr>
  </w:style>
  <w:style w:type="paragraph" w:customStyle="1" w:styleId="62">
    <w:name w:val="信息标题1"/>
    <w:basedOn w:val="1"/>
    <w:link w:val="63"/>
    <w:qFormat/>
    <w:uiPriority w:val="0"/>
    <w:pPr>
      <w:pBdr>
        <w:top w:val="single" w:color="000000" w:sz="6" w:space="1"/>
        <w:left w:val="single" w:color="000000" w:sz="6" w:space="1"/>
        <w:bottom w:val="single" w:color="000000" w:sz="6" w:space="1"/>
        <w:right w:val="single" w:color="000000" w:sz="6" w:space="1"/>
      </w:pBdr>
      <w:shd w:val="pct20" w:color="auto" w:fill="auto"/>
      <w:ind w:left="1080" w:leftChars="500" w:hanging="1080" w:hangingChars="500"/>
    </w:pPr>
    <w:rPr>
      <w:rFonts w:ascii="Cambria" w:hAnsi="Cambria"/>
      <w:sz w:val="24"/>
      <w:szCs w:val="24"/>
    </w:rPr>
  </w:style>
  <w:style w:type="character" w:customStyle="1" w:styleId="63">
    <w:name w:val="信息标题 Char"/>
    <w:link w:val="62"/>
    <w:qFormat/>
    <w:uiPriority w:val="0"/>
    <w:rPr>
      <w:rFonts w:ascii="Cambria" w:hAnsi="Cambria" w:eastAsia="宋体"/>
      <w:kern w:val="2"/>
      <w:sz w:val="24"/>
      <w:szCs w:val="24"/>
      <w:shd w:val="pct20" w:color="auto" w:fill="auto"/>
    </w:rPr>
  </w:style>
  <w:style w:type="paragraph" w:customStyle="1" w:styleId="64">
    <w:name w:val="普通(网站)11"/>
    <w:basedOn w:val="1"/>
    <w:qFormat/>
    <w:uiPriority w:val="0"/>
    <w:pPr>
      <w:spacing w:before="100" w:beforeAutospacing="1" w:after="100" w:afterAutospacing="1"/>
      <w:jc w:val="left"/>
    </w:pPr>
    <w:rPr>
      <w:kern w:val="0"/>
      <w:sz w:val="24"/>
      <w:szCs w:val="24"/>
    </w:rPr>
  </w:style>
  <w:style w:type="paragraph" w:customStyle="1" w:styleId="65">
    <w:name w:val="批注主题1"/>
    <w:basedOn w:val="40"/>
    <w:link w:val="66"/>
    <w:qFormat/>
    <w:uiPriority w:val="0"/>
  </w:style>
  <w:style w:type="character" w:customStyle="1" w:styleId="66">
    <w:name w:val="批注主题 Char"/>
    <w:link w:val="65"/>
    <w:qFormat/>
    <w:uiPriority w:val="0"/>
    <w:rPr>
      <w:kern w:val="2"/>
      <w:sz w:val="24"/>
      <w:szCs w:val="24"/>
    </w:rPr>
  </w:style>
  <w:style w:type="paragraph" w:customStyle="1" w:styleId="67">
    <w:name w:val="正文首行缩进1"/>
    <w:basedOn w:val="42"/>
    <w:link w:val="68"/>
    <w:qFormat/>
    <w:uiPriority w:val="0"/>
    <w:pPr>
      <w:ind w:firstLine="420" w:firstLineChars="100"/>
    </w:pPr>
  </w:style>
  <w:style w:type="character" w:customStyle="1" w:styleId="68">
    <w:name w:val="正文首行缩进 Char"/>
    <w:basedOn w:val="43"/>
    <w:link w:val="67"/>
    <w:qFormat/>
    <w:uiPriority w:val="0"/>
    <w:rPr>
      <w:kern w:val="2"/>
      <w:sz w:val="21"/>
      <w:szCs w:val="21"/>
    </w:rPr>
  </w:style>
  <w:style w:type="paragraph" w:customStyle="1" w:styleId="69">
    <w:name w:val="正文首行缩进 21"/>
    <w:basedOn w:val="44"/>
    <w:qFormat/>
    <w:uiPriority w:val="0"/>
  </w:style>
  <w:style w:type="table" w:customStyle="1" w:styleId="70">
    <w:name w:val="网格型1"/>
    <w:basedOn w:val="34"/>
    <w:qFormat/>
    <w:uiPriority w:val="0"/>
    <w:rPr>
      <w:sz w:val="22"/>
    </w:rPr>
  </w:style>
  <w:style w:type="character" w:customStyle="1" w:styleId="71">
    <w:name w:val="要点1"/>
    <w:basedOn w:val="33"/>
    <w:qFormat/>
    <w:uiPriority w:val="0"/>
    <w:rPr>
      <w:b/>
    </w:rPr>
  </w:style>
  <w:style w:type="character" w:customStyle="1" w:styleId="72">
    <w:name w:val="页码1"/>
    <w:basedOn w:val="33"/>
    <w:qFormat/>
    <w:uiPriority w:val="0"/>
  </w:style>
  <w:style w:type="character" w:customStyle="1" w:styleId="73">
    <w:name w:val="已访问的超链接1"/>
    <w:qFormat/>
    <w:uiPriority w:val="0"/>
    <w:rPr>
      <w:color w:val="000000"/>
      <w:sz w:val="18"/>
      <w:szCs w:val="18"/>
      <w:u w:val="none"/>
    </w:rPr>
  </w:style>
  <w:style w:type="character" w:customStyle="1" w:styleId="74">
    <w:name w:val="超链接1"/>
    <w:qFormat/>
    <w:uiPriority w:val="0"/>
    <w:rPr>
      <w:color w:val="000000"/>
      <w:sz w:val="18"/>
      <w:szCs w:val="18"/>
      <w:u w:val="none"/>
    </w:rPr>
  </w:style>
  <w:style w:type="character" w:customStyle="1" w:styleId="75">
    <w:name w:val="批注引用1"/>
    <w:qFormat/>
    <w:uiPriority w:val="0"/>
    <w:rPr>
      <w:sz w:val="21"/>
      <w:szCs w:val="21"/>
    </w:rPr>
  </w:style>
  <w:style w:type="character" w:customStyle="1" w:styleId="76">
    <w:name w:val="font41"/>
    <w:basedOn w:val="20"/>
    <w:qFormat/>
    <w:uiPriority w:val="0"/>
    <w:rPr>
      <w:rFonts w:hint="eastAsia" w:ascii="宋体" w:hAnsi="宋体" w:eastAsia="宋体"/>
      <w:color w:val="000000"/>
      <w:sz w:val="22"/>
      <w:szCs w:val="22"/>
      <w:u w:val="none"/>
    </w:rPr>
  </w:style>
  <w:style w:type="character" w:customStyle="1" w:styleId="77">
    <w:name w:val="font11"/>
    <w:basedOn w:val="20"/>
    <w:qFormat/>
    <w:uiPriority w:val="0"/>
    <w:rPr>
      <w:rFonts w:ascii="宋体" w:hAnsi="宋体" w:eastAsia="宋体"/>
      <w:color w:val="000000"/>
      <w:sz w:val="32"/>
      <w:szCs w:val="32"/>
      <w:u w:val="none"/>
    </w:rPr>
  </w:style>
  <w:style w:type="character" w:customStyle="1" w:styleId="78">
    <w:name w:val="redfilefwwh"/>
    <w:qFormat/>
    <w:uiPriority w:val="0"/>
    <w:rPr>
      <w:color w:val="BA2636"/>
      <w:sz w:val="18"/>
      <w:szCs w:val="18"/>
    </w:rPr>
  </w:style>
  <w:style w:type="character" w:customStyle="1" w:styleId="79">
    <w:name w:val="font51"/>
    <w:qFormat/>
    <w:uiPriority w:val="0"/>
    <w:rPr>
      <w:rFonts w:ascii="Tahoma" w:hAnsi="Tahoma" w:eastAsia="Times New Roman"/>
      <w:color w:val="000000"/>
      <w:sz w:val="32"/>
      <w:szCs w:val="32"/>
      <w:u w:val="none"/>
    </w:rPr>
  </w:style>
  <w:style w:type="character" w:customStyle="1" w:styleId="80">
    <w:name w:val="font01"/>
    <w:qFormat/>
    <w:uiPriority w:val="0"/>
    <w:rPr>
      <w:rFonts w:ascii="宋体" w:hAnsi="宋体" w:eastAsia="宋体"/>
      <w:color w:val="000000"/>
      <w:sz w:val="32"/>
      <w:szCs w:val="32"/>
      <w:u w:val="none"/>
    </w:rPr>
  </w:style>
  <w:style w:type="character" w:customStyle="1" w:styleId="81">
    <w:name w:val="gjfg"/>
    <w:basedOn w:val="33"/>
    <w:qFormat/>
    <w:uiPriority w:val="0"/>
  </w:style>
  <w:style w:type="character" w:customStyle="1" w:styleId="82">
    <w:name w:val="font91"/>
    <w:basedOn w:val="20"/>
    <w:qFormat/>
    <w:uiPriority w:val="0"/>
    <w:rPr>
      <w:rFonts w:hint="eastAsia" w:ascii="宋体" w:hAnsi="宋体" w:eastAsia="宋体"/>
      <w:color w:val="000000"/>
      <w:sz w:val="20"/>
      <w:szCs w:val="20"/>
      <w:u w:val="none"/>
    </w:rPr>
  </w:style>
  <w:style w:type="character" w:customStyle="1" w:styleId="83">
    <w:name w:val="font61"/>
    <w:basedOn w:val="20"/>
    <w:qFormat/>
    <w:uiPriority w:val="0"/>
    <w:rPr>
      <w:rFonts w:ascii="Tahoma" w:hAnsi="Tahoma" w:eastAsia="Times New Roman"/>
      <w:color w:val="000000"/>
      <w:sz w:val="22"/>
      <w:szCs w:val="22"/>
      <w:u w:val="none"/>
    </w:rPr>
  </w:style>
  <w:style w:type="character" w:customStyle="1" w:styleId="84">
    <w:name w:val="font141"/>
    <w:qFormat/>
    <w:uiPriority w:val="0"/>
    <w:rPr>
      <w:rFonts w:ascii="Arial" w:hAnsi="Arial"/>
      <w:color w:val="000000"/>
      <w:sz w:val="18"/>
      <w:szCs w:val="18"/>
      <w:u w:val="none"/>
    </w:rPr>
  </w:style>
  <w:style w:type="character" w:customStyle="1" w:styleId="85">
    <w:name w:val="font101"/>
    <w:qFormat/>
    <w:uiPriority w:val="0"/>
    <w:rPr>
      <w:rFonts w:hint="eastAsia" w:ascii="宋体" w:hAnsi="宋体" w:eastAsia="宋体"/>
      <w:color w:val="000000"/>
      <w:sz w:val="18"/>
      <w:szCs w:val="18"/>
      <w:u w:val="none"/>
    </w:rPr>
  </w:style>
  <w:style w:type="character" w:customStyle="1" w:styleId="86">
    <w:name w:val="font31"/>
    <w:basedOn w:val="20"/>
    <w:qFormat/>
    <w:uiPriority w:val="0"/>
    <w:rPr>
      <w:rFonts w:ascii="宋体" w:hAnsi="宋体" w:eastAsia="宋体"/>
      <w:color w:val="000000"/>
      <w:sz w:val="22"/>
      <w:szCs w:val="22"/>
      <w:u w:val="none"/>
    </w:rPr>
  </w:style>
  <w:style w:type="character" w:customStyle="1" w:styleId="87">
    <w:name w:val="font131"/>
    <w:qFormat/>
    <w:uiPriority w:val="0"/>
    <w:rPr>
      <w:rFonts w:hint="eastAsia" w:ascii="宋体" w:hAnsi="宋体" w:eastAsia="宋体"/>
      <w:color w:val="000000"/>
      <w:sz w:val="20"/>
      <w:szCs w:val="20"/>
      <w:u w:val="none"/>
    </w:rPr>
  </w:style>
  <w:style w:type="character" w:customStyle="1" w:styleId="88">
    <w:name w:val="gb-jt"/>
    <w:qFormat/>
    <w:uiPriority w:val="0"/>
  </w:style>
  <w:style w:type="character" w:customStyle="1" w:styleId="89">
    <w:name w:val="qxdate"/>
    <w:qFormat/>
    <w:uiPriority w:val="0"/>
    <w:rPr>
      <w:color w:val="333333"/>
      <w:sz w:val="18"/>
      <w:szCs w:val="18"/>
    </w:rPr>
  </w:style>
  <w:style w:type="character" w:customStyle="1" w:styleId="90">
    <w:name w:val="font21"/>
    <w:qFormat/>
    <w:uiPriority w:val="0"/>
    <w:rPr>
      <w:rFonts w:ascii="宋体" w:hAnsi="宋体" w:eastAsia="宋体"/>
      <w:color w:val="000000"/>
      <w:sz w:val="22"/>
      <w:szCs w:val="22"/>
      <w:u w:val="none"/>
    </w:rPr>
  </w:style>
  <w:style w:type="character" w:customStyle="1" w:styleId="91">
    <w:name w:val="信息标题 字符"/>
    <w:semiHidden/>
    <w:qFormat/>
    <w:uiPriority w:val="0"/>
    <w:rPr>
      <w:rFonts w:ascii="Cambria" w:hAnsi="Cambria" w:eastAsia="宋体"/>
      <w:sz w:val="24"/>
      <w:szCs w:val="24"/>
      <w:shd w:val="pct20" w:color="auto" w:fill="auto"/>
    </w:rPr>
  </w:style>
  <w:style w:type="character" w:customStyle="1" w:styleId="92">
    <w:name w:val="cfdate"/>
    <w:qFormat/>
    <w:uiPriority w:val="0"/>
    <w:rPr>
      <w:color w:val="333333"/>
      <w:sz w:val="18"/>
      <w:szCs w:val="18"/>
    </w:rPr>
  </w:style>
  <w:style w:type="character" w:customStyle="1" w:styleId="93">
    <w:name w:val="displayarti"/>
    <w:qFormat/>
    <w:uiPriority w:val="0"/>
    <w:rPr>
      <w:color w:val="FFFFFF"/>
      <w:shd w:val="clear" w:color="auto" w:fill="A00000"/>
    </w:rPr>
  </w:style>
  <w:style w:type="character" w:customStyle="1" w:styleId="94">
    <w:name w:val="redfilenumber"/>
    <w:qFormat/>
    <w:uiPriority w:val="0"/>
    <w:rPr>
      <w:color w:val="BA2636"/>
      <w:sz w:val="18"/>
      <w:szCs w:val="18"/>
    </w:rPr>
  </w:style>
  <w:style w:type="paragraph" w:customStyle="1" w:styleId="95">
    <w:name w:val="WPS Plain"/>
    <w:qFormat/>
    <w:uiPriority w:val="0"/>
    <w:rPr>
      <w:rFonts w:ascii="Times New Roman" w:hAnsi="Times New Roman" w:eastAsia="宋体" w:cs="Times New Roman"/>
      <w:lang w:val="en-US" w:eastAsia="zh-CN" w:bidi="ar-SA"/>
    </w:rPr>
  </w:style>
  <w:style w:type="paragraph" w:customStyle="1" w:styleId="96">
    <w:name w:val="List Paragraph1"/>
    <w:basedOn w:val="1"/>
    <w:next w:val="1"/>
    <w:qFormat/>
    <w:uiPriority w:val="0"/>
    <w:pPr>
      <w:ind w:left="720"/>
    </w:pPr>
    <w:rPr>
      <w:rFonts w:ascii="Calibri" w:hAnsi="Calibri"/>
    </w:rPr>
  </w:style>
  <w:style w:type="paragraph" w:customStyle="1" w:styleId="97">
    <w:name w:val="列出段落1"/>
    <w:basedOn w:val="1"/>
    <w:qFormat/>
    <w:uiPriority w:val="0"/>
    <w:pPr>
      <w:ind w:firstLine="420" w:firstLineChars="200"/>
    </w:pPr>
    <w:rPr>
      <w:rFonts w:ascii="Calibri" w:hAnsi="Calibri"/>
      <w:szCs w:val="24"/>
    </w:rPr>
  </w:style>
  <w:style w:type="paragraph" w:customStyle="1" w:styleId="98">
    <w:name w:val="p0"/>
    <w:basedOn w:val="1"/>
    <w:qFormat/>
    <w:uiPriority w:val="0"/>
    <w:rPr>
      <w:kern w:val="0"/>
    </w:rPr>
  </w:style>
  <w:style w:type="paragraph" w:customStyle="1" w:styleId="99">
    <w:name w:val="GP正文(首行缩进)"/>
    <w:basedOn w:val="1"/>
    <w:qFormat/>
    <w:uiPriority w:val="0"/>
    <w:pPr>
      <w:spacing w:line="360" w:lineRule="auto"/>
      <w:ind w:firstLine="566" w:firstLineChars="236"/>
      <w:contextualSpacing/>
    </w:pPr>
    <w:rPr>
      <w:rFonts w:ascii="宋体" w:hAnsi="宋体"/>
      <w:sz w:val="24"/>
      <w:szCs w:val="24"/>
    </w:rPr>
  </w:style>
  <w:style w:type="paragraph" w:customStyle="1" w:styleId="100">
    <w:name w:val="列表段落1"/>
    <w:basedOn w:val="1"/>
    <w:qFormat/>
    <w:uiPriority w:val="0"/>
    <w:pPr>
      <w:ind w:firstLine="420" w:firstLineChars="200"/>
    </w:pPr>
    <w:rPr>
      <w:szCs w:val="22"/>
    </w:rPr>
  </w:style>
  <w:style w:type="paragraph" w:customStyle="1" w:styleId="10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2">
    <w:name w:val="列出段落11"/>
    <w:basedOn w:val="1"/>
    <w:qFormat/>
    <w:uiPriority w:val="0"/>
    <w:pPr>
      <w:ind w:firstLine="420" w:firstLineChars="200"/>
    </w:pPr>
  </w:style>
  <w:style w:type="paragraph" w:customStyle="1" w:styleId="103">
    <w:name w:val="正文文本缩进 21"/>
    <w:basedOn w:val="1"/>
    <w:qFormat/>
    <w:uiPriority w:val="0"/>
    <w:pPr>
      <w:ind w:firstLine="570"/>
    </w:pPr>
    <w:rPr>
      <w:sz w:val="32"/>
    </w:rPr>
  </w:style>
  <w:style w:type="paragraph" w:customStyle="1" w:styleId="104">
    <w:name w:val="_Style 5"/>
    <w:basedOn w:val="1"/>
    <w:qFormat/>
    <w:uiPriority w:val="0"/>
    <w:pPr>
      <w:ind w:firstLine="420" w:firstLineChars="200"/>
    </w:pPr>
    <w:rPr>
      <w:szCs w:val="22"/>
    </w:rPr>
  </w:style>
  <w:style w:type="paragraph" w:styleId="105">
    <w:name w:val="List Paragraph"/>
    <w:basedOn w:val="1"/>
    <w:qFormat/>
    <w:uiPriority w:val="0"/>
    <w:pPr>
      <w:ind w:firstLine="420" w:firstLineChars="200"/>
    </w:pPr>
  </w:style>
  <w:style w:type="paragraph" w:customStyle="1" w:styleId="106">
    <w:name w:val="Body Text Indent 21"/>
    <w:basedOn w:val="1"/>
    <w:qFormat/>
    <w:uiPriority w:val="0"/>
    <w:pPr>
      <w:ind w:firstLine="570"/>
    </w:pPr>
    <w:rPr>
      <w:sz w:val="32"/>
    </w:rPr>
  </w:style>
  <w:style w:type="paragraph" w:customStyle="1" w:styleId="107">
    <w:name w:val="普通(网站)1"/>
    <w:basedOn w:val="1"/>
    <w:qFormat/>
    <w:uiPriority w:val="0"/>
    <w:rPr>
      <w:sz w:val="24"/>
    </w:rPr>
  </w:style>
  <w:style w:type="paragraph" w:customStyle="1" w:styleId="108">
    <w:name w:val="Table Paragraph"/>
    <w:basedOn w:val="1"/>
    <w:qFormat/>
    <w:uiPriority w:val="0"/>
  </w:style>
  <w:style w:type="paragraph" w:customStyle="1" w:styleId="109">
    <w:name w:val="正文：无缩进"/>
    <w:basedOn w:val="1"/>
    <w:qFormat/>
    <w:uiPriority w:val="0"/>
    <w:pPr>
      <w:spacing w:before="156" w:after="156"/>
      <w:jc w:val="left"/>
    </w:pPr>
    <w:rPr>
      <w:rFonts w:ascii="Calibri" w:hAnsi="Calibri"/>
      <w:bCs/>
      <w:color w:val="1F1C17"/>
      <w:kern w:val="0"/>
    </w:rPr>
  </w:style>
  <w:style w:type="paragraph" w:customStyle="1" w:styleId="110">
    <w:name w:val="正文格式"/>
    <w:qFormat/>
    <w:uiPriority w:val="0"/>
    <w:pPr>
      <w:spacing w:line="360" w:lineRule="auto"/>
      <w:ind w:firstLine="200" w:firstLineChars="200"/>
    </w:pPr>
    <w:rPr>
      <w:rFonts w:ascii="宋体" w:hAnsi="宋体" w:eastAsia="宋体" w:cs="Times New Roman"/>
      <w:kern w:val="2"/>
      <w:sz w:val="28"/>
      <w:szCs w:val="22"/>
      <w:lang w:val="en-US" w:eastAsia="zh-CN" w:bidi="ar-SA"/>
    </w:rPr>
  </w:style>
  <w:style w:type="character" w:customStyle="1" w:styleId="111">
    <w:name w:val="fontstyle01"/>
    <w:qFormat/>
    <w:uiPriority w:val="0"/>
    <w:rPr>
      <w:rFonts w:hint="eastAsia" w:ascii="宋体" w:hAnsi="宋体" w:eastAsia="宋体"/>
      <w:color w:val="000000"/>
      <w:sz w:val="22"/>
      <w:szCs w:val="22"/>
    </w:rPr>
  </w:style>
  <w:style w:type="character" w:customStyle="1" w:styleId="112">
    <w:name w:val="fontstyle21"/>
    <w:qFormat/>
    <w:uiPriority w:val="0"/>
    <w:rPr>
      <w:rFonts w:ascii="Times New Roman" w:hAnsi="Times New Roman"/>
      <w:color w:val="000000"/>
      <w:sz w:val="22"/>
      <w:szCs w:val="22"/>
    </w:rPr>
  </w:style>
  <w:style w:type="paragraph" w:customStyle="1" w:styleId="113">
    <w:name w:val="纯文本1"/>
    <w:basedOn w:val="1"/>
    <w:qFormat/>
    <w:uiPriority w:val="0"/>
    <w:rPr>
      <w:rFonts w:ascii="宋体" w:hAnsi="Courier New"/>
    </w:rPr>
  </w:style>
  <w:style w:type="paragraph" w:customStyle="1" w:styleId="114">
    <w:name w:val="Body Text First Indent1"/>
    <w:basedOn w:val="7"/>
    <w:qFormat/>
    <w:uiPriority w:val="0"/>
    <w:pPr>
      <w:spacing w:after="0"/>
      <w:ind w:firstLine="420" w:firstLineChars="100"/>
    </w:pPr>
    <w:rPr>
      <w:rFonts w:ascii="等线" w:hAnsi="等线" w:eastAsia="等线"/>
    </w:rPr>
  </w:style>
  <w:style w:type="character" w:customStyle="1" w:styleId="115">
    <w:name w:val="font81"/>
    <w:basedOn w:val="20"/>
    <w:qFormat/>
    <w:uiPriority w:val="0"/>
    <w:rPr>
      <w:rFonts w:hint="eastAsia" w:ascii="宋体" w:hAnsi="宋体" w:eastAsia="宋体" w:cs="宋体"/>
      <w:color w:val="000000"/>
      <w:sz w:val="20"/>
      <w:szCs w:val="20"/>
      <w:u w:val="none"/>
    </w:rPr>
  </w:style>
  <w:style w:type="character" w:customStyle="1" w:styleId="116">
    <w:name w:val="l_8"/>
    <w:basedOn w:val="20"/>
    <w:qFormat/>
    <w:uiPriority w:val="0"/>
  </w:style>
  <w:style w:type="character" w:customStyle="1" w:styleId="117">
    <w:name w:val="l_81"/>
    <w:basedOn w:val="20"/>
    <w:qFormat/>
    <w:uiPriority w:val="0"/>
  </w:style>
  <w:style w:type="character" w:customStyle="1" w:styleId="118">
    <w:name w:val="color-yellow"/>
    <w:basedOn w:val="20"/>
    <w:qFormat/>
    <w:uiPriority w:val="0"/>
    <w:rPr>
      <w:color w:val="FAAD14"/>
      <w:sz w:val="18"/>
      <w:szCs w:val="18"/>
      <w:bdr w:val="single" w:color="FAAD14" w:sz="6" w:space="0"/>
    </w:rPr>
  </w:style>
  <w:style w:type="character" w:customStyle="1" w:styleId="119">
    <w:name w:val="l_13"/>
    <w:basedOn w:val="20"/>
    <w:qFormat/>
    <w:uiPriority w:val="0"/>
  </w:style>
  <w:style w:type="character" w:customStyle="1" w:styleId="120">
    <w:name w:val="l_131"/>
    <w:basedOn w:val="20"/>
    <w:qFormat/>
    <w:uiPriority w:val="0"/>
  </w:style>
  <w:style w:type="character" w:customStyle="1" w:styleId="121">
    <w:name w:val="l_9"/>
    <w:basedOn w:val="20"/>
    <w:qFormat/>
    <w:uiPriority w:val="0"/>
  </w:style>
  <w:style w:type="character" w:customStyle="1" w:styleId="122">
    <w:name w:val="color-blue"/>
    <w:basedOn w:val="20"/>
    <w:qFormat/>
    <w:uiPriority w:val="0"/>
    <w:rPr>
      <w:color w:val="1890FF"/>
      <w:sz w:val="18"/>
      <w:szCs w:val="18"/>
      <w:bdr w:val="single" w:color="1890FF" w:sz="6" w:space="0"/>
    </w:rPr>
  </w:style>
  <w:style w:type="character" w:customStyle="1" w:styleId="123">
    <w:name w:val="l_4"/>
    <w:basedOn w:val="20"/>
    <w:qFormat/>
    <w:uiPriority w:val="0"/>
  </w:style>
  <w:style w:type="character" w:customStyle="1" w:styleId="124">
    <w:name w:val="l_5"/>
    <w:basedOn w:val="20"/>
    <w:qFormat/>
    <w:uiPriority w:val="0"/>
  </w:style>
  <w:style w:type="character" w:customStyle="1" w:styleId="125">
    <w:name w:val="l_51"/>
    <w:basedOn w:val="20"/>
    <w:qFormat/>
    <w:uiPriority w:val="0"/>
  </w:style>
  <w:style w:type="character" w:customStyle="1" w:styleId="126">
    <w:name w:val="icon_xglc"/>
    <w:basedOn w:val="20"/>
    <w:qFormat/>
    <w:uiPriority w:val="0"/>
  </w:style>
  <w:style w:type="character" w:customStyle="1" w:styleId="127">
    <w:name w:val="icon_cxkcyry"/>
    <w:basedOn w:val="20"/>
    <w:qFormat/>
    <w:uiPriority w:val="0"/>
  </w:style>
  <w:style w:type="character" w:customStyle="1" w:styleId="128">
    <w:name w:val="layui-laypage-curr"/>
    <w:basedOn w:val="20"/>
    <w:qFormat/>
    <w:uiPriority w:val="0"/>
  </w:style>
  <w:style w:type="character" w:customStyle="1" w:styleId="129">
    <w:name w:val="icon_lzrz"/>
    <w:basedOn w:val="20"/>
    <w:qFormat/>
    <w:uiPriority w:val="0"/>
  </w:style>
  <w:style w:type="character" w:customStyle="1" w:styleId="130">
    <w:name w:val="l_3"/>
    <w:basedOn w:val="20"/>
    <w:qFormat/>
    <w:uiPriority w:val="0"/>
  </w:style>
  <w:style w:type="character" w:customStyle="1" w:styleId="131">
    <w:name w:val="icon_gzkj"/>
    <w:basedOn w:val="20"/>
    <w:qFormat/>
    <w:uiPriority w:val="0"/>
  </w:style>
  <w:style w:type="character" w:customStyle="1" w:styleId="132">
    <w:name w:val="m-text"/>
    <w:basedOn w:val="20"/>
    <w:qFormat/>
    <w:uiPriority w:val="0"/>
  </w:style>
  <w:style w:type="character" w:customStyle="1" w:styleId="133">
    <w:name w:val="l_12"/>
    <w:basedOn w:val="20"/>
    <w:qFormat/>
    <w:uiPriority w:val="0"/>
  </w:style>
  <w:style w:type="character" w:customStyle="1" w:styleId="134">
    <w:name w:val="l_121"/>
    <w:basedOn w:val="20"/>
    <w:qFormat/>
    <w:uiPriority w:val="0"/>
  </w:style>
  <w:style w:type="character" w:customStyle="1" w:styleId="135">
    <w:name w:val="l_7"/>
    <w:basedOn w:val="20"/>
    <w:qFormat/>
    <w:uiPriority w:val="0"/>
  </w:style>
  <w:style w:type="character" w:customStyle="1" w:styleId="136">
    <w:name w:val="l_71"/>
    <w:basedOn w:val="20"/>
    <w:qFormat/>
    <w:uiPriority w:val="0"/>
  </w:style>
  <w:style w:type="character" w:customStyle="1" w:styleId="137">
    <w:name w:val="l_10"/>
    <w:basedOn w:val="20"/>
    <w:qFormat/>
    <w:uiPriority w:val="0"/>
  </w:style>
  <w:style w:type="character" w:customStyle="1" w:styleId="138">
    <w:name w:val="l_1"/>
    <w:basedOn w:val="20"/>
    <w:qFormat/>
    <w:uiPriority w:val="0"/>
  </w:style>
  <w:style w:type="character" w:customStyle="1" w:styleId="139">
    <w:name w:val="icon_xzry"/>
    <w:basedOn w:val="20"/>
    <w:qFormat/>
    <w:uiPriority w:val="0"/>
  </w:style>
  <w:style w:type="character" w:customStyle="1" w:styleId="140">
    <w:name w:val="l_14"/>
    <w:basedOn w:val="20"/>
    <w:qFormat/>
    <w:uiPriority w:val="0"/>
  </w:style>
  <w:style w:type="character" w:customStyle="1" w:styleId="141">
    <w:name w:val="l_141"/>
    <w:basedOn w:val="20"/>
    <w:qFormat/>
    <w:uiPriority w:val="0"/>
  </w:style>
  <w:style w:type="character" w:customStyle="1" w:styleId="142">
    <w:name w:val="l_6"/>
    <w:basedOn w:val="20"/>
    <w:qFormat/>
    <w:uiPriority w:val="0"/>
  </w:style>
  <w:style w:type="character" w:customStyle="1" w:styleId="143">
    <w:name w:val="l_61"/>
    <w:basedOn w:val="20"/>
    <w:qFormat/>
    <w:uiPriority w:val="0"/>
  </w:style>
  <w:style w:type="character" w:customStyle="1" w:styleId="144">
    <w:name w:val="l_2"/>
    <w:basedOn w:val="20"/>
    <w:qFormat/>
    <w:uiPriority w:val="0"/>
  </w:style>
  <w:style w:type="character" w:customStyle="1" w:styleId="145">
    <w:name w:val="l_21"/>
    <w:basedOn w:val="20"/>
    <w:qFormat/>
    <w:uiPriority w:val="0"/>
  </w:style>
  <w:style w:type="character" w:customStyle="1" w:styleId="146">
    <w:name w:val="l_0"/>
    <w:basedOn w:val="20"/>
    <w:qFormat/>
    <w:uiPriority w:val="0"/>
  </w:style>
  <w:style w:type="character" w:customStyle="1" w:styleId="147">
    <w:name w:val="l_01"/>
    <w:basedOn w:val="20"/>
    <w:qFormat/>
    <w:uiPriority w:val="0"/>
  </w:style>
  <w:style w:type="character" w:customStyle="1" w:styleId="148">
    <w:name w:val="l_11"/>
    <w:basedOn w:val="20"/>
    <w:qFormat/>
    <w:uiPriority w:val="0"/>
  </w:style>
  <w:style w:type="character" w:customStyle="1" w:styleId="149">
    <w:name w:val="l_111"/>
    <w:basedOn w:val="20"/>
    <w:qFormat/>
    <w:uiPriority w:val="0"/>
  </w:style>
  <w:style w:type="character" w:customStyle="1" w:styleId="150">
    <w:name w:val="l_15"/>
    <w:basedOn w:val="20"/>
    <w:qFormat/>
    <w:uiPriority w:val="0"/>
  </w:style>
  <w:style w:type="character" w:customStyle="1" w:styleId="151">
    <w:name w:val="l_151"/>
    <w:basedOn w:val="20"/>
    <w:qFormat/>
    <w:uiPriority w:val="0"/>
  </w:style>
  <w:style w:type="character" w:customStyle="1" w:styleId="152">
    <w:name w:val="icon_dljg"/>
    <w:basedOn w:val="20"/>
    <w:qFormat/>
    <w:uiPriority w:val="0"/>
  </w:style>
  <w:style w:type="character" w:customStyle="1" w:styleId="153">
    <w:name w:val="color_cdyy"/>
    <w:basedOn w:val="20"/>
    <w:qFormat/>
    <w:uiPriority w:val="0"/>
    <w:rPr>
      <w:color w:val="FFFFFF"/>
      <w:bdr w:val="single" w:color="FFFFFF" w:sz="6" w:space="0"/>
    </w:rPr>
  </w:style>
  <w:style w:type="character" w:customStyle="1" w:styleId="154">
    <w:name w:val="icon_cxktbr"/>
    <w:basedOn w:val="20"/>
    <w:qFormat/>
    <w:uiPriority w:val="0"/>
  </w:style>
  <w:style w:type="character" w:customStyle="1" w:styleId="155">
    <w:name w:val="first-child1"/>
    <w:basedOn w:val="20"/>
    <w:qFormat/>
    <w:uiPriority w:val="0"/>
  </w:style>
  <w:style w:type="character" w:customStyle="1" w:styleId="156">
    <w:name w:val="l_31"/>
    <w:basedOn w:val="20"/>
    <w:qFormat/>
    <w:uiPriority w:val="0"/>
  </w:style>
  <w:style w:type="character" w:customStyle="1" w:styleId="157">
    <w:name w:val="l_41"/>
    <w:basedOn w:val="20"/>
    <w:qFormat/>
    <w:uiPriority w:val="0"/>
  </w:style>
  <w:style w:type="character" w:customStyle="1" w:styleId="158">
    <w:name w:val="l_91"/>
    <w:basedOn w:val="20"/>
    <w:qFormat/>
    <w:uiPriority w:val="0"/>
  </w:style>
  <w:style w:type="character" w:customStyle="1" w:styleId="159">
    <w:name w:val="l_101"/>
    <w:basedOn w:val="20"/>
    <w:qFormat/>
    <w:uiPriority w:val="0"/>
  </w:style>
  <w:style w:type="character" w:customStyle="1" w:styleId="160">
    <w:name w:val="l_112"/>
    <w:basedOn w:val="20"/>
    <w:qFormat/>
    <w:uiPriority w:val="0"/>
  </w:style>
  <w:style w:type="character" w:customStyle="1" w:styleId="161">
    <w:name w:val="15"/>
    <w:basedOn w:val="20"/>
    <w:qFormat/>
    <w:uiPriority w:val="0"/>
    <w:rPr>
      <w:rFonts w:hint="default" w:ascii="Arial" w:hAnsi="Arial" w:eastAsia="黑体" w:cs="Arial"/>
      <w:b/>
      <w:bCs/>
      <w:sz w:val="30"/>
      <w:szCs w:val="30"/>
    </w:rPr>
  </w:style>
  <w:style w:type="character" w:customStyle="1" w:styleId="162">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94</Pages>
  <Words>4667</Words>
  <Characters>5156</Characters>
  <Lines>336</Lines>
  <Paragraphs>94</Paragraphs>
  <TotalTime>3</TotalTime>
  <ScaleCrop>false</ScaleCrop>
  <LinksUpToDate>false</LinksUpToDate>
  <CharactersWithSpaces>5221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2023-08-15T09:47:00Z</dcterms:created>
  <dc:creator>WPS_1222511935</dc:creator>
  <cp:lastModifiedBy>WPS_1222511935</cp:lastModifiedBy>
  <cp:lastPrinted>2025-03-25T09:46:00Z</cp:lastPrinted>
  <dcterms:modified xsi:type="dcterms:W3CDTF">2025-05-16T09:41:51Z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F3342B3397E0412CA816A816DBD1C7DE_13</vt:lpwstr>
  </property>
  <property fmtid="{D5CDD505-2E9C-101B-9397-08002B2CF9AE}" pid="4" name="KSOTemplateDocerSaveRecord">
    <vt:lpwstr>eyJoZGlkIjoiZDU1YTE0NjE5NGY5MTg1MGJjZDY4NWQ2MTBjYWZhZjEiLCJ1c2VySWQiOiIxMjIyNTExOTM1In0=</vt:lpwstr>
  </property>
</Properties>
</file>