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平顶山市消防救援支队河南省消防救援总队“自然灾害应急能力提升工程”平顶山支队装备建设项目（三次）</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3</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项目编号：平采招标-2024-35</w:t>
      </w:r>
      <w:r>
        <w:rPr>
          <w:rFonts w:hint="eastAsia" w:ascii="宋体" w:hAnsi="宋体" w:cs="宋体"/>
          <w:b/>
          <w:color w:val="auto"/>
          <w:sz w:val="30"/>
          <w:szCs w:val="30"/>
          <w:highlight w:val="none"/>
          <w:lang w:val="en-US" w:eastAsia="zh-CN"/>
        </w:rPr>
        <w:t xml:space="preserve"> </w:t>
      </w:r>
    </w:p>
    <w:p>
      <w:pPr>
        <w:pStyle w:val="12"/>
        <w:spacing w:line="360" w:lineRule="auto"/>
        <w:ind w:left="0" w:leftChars="0" w:right="31680"/>
        <w:rPr>
          <w:rFonts w:ascii="宋体" w:cs="宋体"/>
          <w:b/>
          <w:color w:val="auto"/>
          <w:sz w:val="30"/>
          <w:szCs w:val="30"/>
          <w:highlight w:val="none"/>
        </w:rPr>
      </w:pPr>
    </w:p>
    <w:p>
      <w:pPr>
        <w:pStyle w:val="12"/>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4"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4"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八</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1" w:h="16838"/>
          <w:pgMar w:top="1440" w:right="1803" w:bottom="1440" w:left="1803" w:header="884" w:footer="340" w:gutter="0"/>
          <w:pgBorders>
            <w:top w:val="none" w:sz="0" w:space="0"/>
            <w:left w:val="none" w:sz="0" w:space="0"/>
            <w:bottom w:val="none" w:sz="0" w:space="0"/>
            <w:right w:val="none" w:sz="0" w:space="0"/>
          </w:pgBorders>
          <w:pgNumType w:fmt="decimal"/>
          <w:cols w:space="0" w:num="1"/>
          <w:rtlGutter w:val="0"/>
          <w:docGrid w:linePitch="312" w:charSpace="0"/>
        </w:sectPr>
      </w:pPr>
    </w:p>
    <w:p>
      <w:pPr>
        <w:pStyle w:val="18"/>
        <w:tabs>
          <w:tab w:val="right" w:leader="dot" w:pos="8305"/>
        </w:tabs>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eastAsia="zh-CN"/>
        </w:rPr>
        <w:t>目</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lang w:eastAsia="zh-CN"/>
        </w:rPr>
        <w:t>录</w:t>
      </w:r>
    </w:p>
    <w:p>
      <w:pPr>
        <w:pStyle w:val="18"/>
        <w:tabs>
          <w:tab w:val="right" w:leader="dot" w:pos="8305"/>
        </w:tabs>
        <w:rPr>
          <w:color w:val="auto"/>
          <w:highlight w:val="none"/>
        </w:rPr>
      </w:pPr>
      <w:r>
        <w:rPr>
          <w:rFonts w:ascii="宋体" w:hAnsi="宋体" w:cs="宋体"/>
          <w:b w:val="0"/>
          <w:color w:val="auto"/>
          <w:sz w:val="24"/>
          <w:highlight w:val="none"/>
        </w:rPr>
        <w:fldChar w:fldCharType="begin"/>
      </w:r>
      <w:r>
        <w:rPr>
          <w:rFonts w:ascii="宋体" w:hAnsi="宋体" w:cs="宋体"/>
          <w:b w:val="0"/>
          <w:color w:val="auto"/>
          <w:sz w:val="24"/>
          <w:highlight w:val="none"/>
        </w:rPr>
        <w:instrText xml:space="preserve"> TOC \o "1-2" \h \z \u </w:instrText>
      </w:r>
      <w:r>
        <w:rPr>
          <w:rFonts w:ascii="宋体" w:hAnsi="宋体" w:cs="宋体"/>
          <w:b w:val="0"/>
          <w:color w:val="auto"/>
          <w:sz w:val="24"/>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HYPERLINK \l _Toc2020 </w:instrText>
      </w:r>
      <w:r>
        <w:rPr>
          <w:rFonts w:ascii="宋体" w:hAnsi="宋体" w:cs="宋体"/>
          <w:color w:val="auto"/>
          <w:highlight w:val="none"/>
        </w:rPr>
        <w:fldChar w:fldCharType="separate"/>
      </w:r>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_Toc2020 \h </w:instrText>
      </w:r>
      <w:r>
        <w:rPr>
          <w:color w:val="auto"/>
          <w:highlight w:val="none"/>
        </w:rPr>
        <w:fldChar w:fldCharType="separate"/>
      </w:r>
      <w:r>
        <w:rPr>
          <w:color w:val="auto"/>
          <w:highlight w:val="none"/>
        </w:rPr>
        <w:t>3</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_Toc25564 </w:instrText>
      </w:r>
      <w:r>
        <w:rPr>
          <w:rFonts w:ascii="宋体" w:hAnsi="宋体" w:cs="宋体"/>
          <w:color w:val="auto"/>
          <w:highlight w:val="none"/>
        </w:rPr>
        <w:fldChar w:fldCharType="separate"/>
      </w:r>
      <w:r>
        <w:rPr>
          <w:rFonts w:hint="eastAsia" w:ascii="宋体" w:cs="Times New Roman"/>
          <w:color w:val="auto"/>
          <w:highlight w:val="none"/>
        </w:rPr>
        <w:t xml:space="preserve">第二章 </w:t>
      </w:r>
      <w:r>
        <w:rPr>
          <w:rFonts w:hint="eastAsia" w:ascii="宋体" w:hAnsi="宋体" w:cs="宋体"/>
          <w:color w:val="auto"/>
          <w:highlight w:val="none"/>
          <w:lang w:eastAsia="zh-CN"/>
        </w:rPr>
        <w:t>投标人</w:t>
      </w:r>
      <w:r>
        <w:rPr>
          <w:rFonts w:hint="eastAsia" w:ascii="宋体" w:hAnsi="宋体" w:cs="宋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_Toc25564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_Toc8960 </w:instrText>
      </w:r>
      <w:r>
        <w:rPr>
          <w:rFonts w:ascii="宋体" w:hAnsi="宋体" w:cs="宋体"/>
          <w:color w:val="auto"/>
          <w:highlight w:val="none"/>
        </w:rPr>
        <w:fldChar w:fldCharType="separate"/>
      </w:r>
      <w:r>
        <w:rPr>
          <w:rFonts w:hint="eastAsia" w:ascii="宋体" w:hAnsi="宋体" w:cs="宋体"/>
          <w:bCs/>
          <w:color w:val="auto"/>
          <w:szCs w:val="32"/>
          <w:highlight w:val="none"/>
          <w:lang w:eastAsia="zh-CN"/>
        </w:rPr>
        <w:t>投标人</w:t>
      </w:r>
      <w:r>
        <w:rPr>
          <w:rFonts w:hint="eastAsia" w:ascii="宋体" w:hAnsi="宋体" w:cs="宋体"/>
          <w:bCs/>
          <w:color w:val="auto"/>
          <w:szCs w:val="32"/>
          <w:highlight w:val="none"/>
        </w:rPr>
        <w:t>须知前附表</w:t>
      </w:r>
      <w:r>
        <w:rPr>
          <w:color w:val="auto"/>
          <w:highlight w:val="none"/>
        </w:rPr>
        <w:tab/>
      </w:r>
      <w:r>
        <w:rPr>
          <w:color w:val="auto"/>
          <w:highlight w:val="none"/>
        </w:rPr>
        <w:fldChar w:fldCharType="begin"/>
      </w:r>
      <w:r>
        <w:rPr>
          <w:color w:val="auto"/>
          <w:highlight w:val="none"/>
        </w:rPr>
        <w:instrText xml:space="preserve"> PAGEREF _Toc8960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_Toc19997 </w:instrText>
      </w:r>
      <w:r>
        <w:rPr>
          <w:rFonts w:ascii="宋体" w:hAnsi="宋体" w:cs="宋体"/>
          <w:color w:val="auto"/>
          <w:highlight w:val="none"/>
        </w:rPr>
        <w:fldChar w:fldCharType="separate"/>
      </w:r>
      <w:r>
        <w:rPr>
          <w:rFonts w:ascii="宋体" w:cs="Times New Roman"/>
          <w:color w:val="auto"/>
          <w:highlight w:val="none"/>
        </w:rPr>
        <w:t xml:space="preserve">1. </w:t>
      </w:r>
      <w:r>
        <w:rPr>
          <w:rFonts w:hint="eastAsia"/>
          <w:color w:val="auto"/>
          <w:szCs w:val="21"/>
          <w:highlight w:val="none"/>
        </w:rPr>
        <w:t>总则</w:t>
      </w:r>
      <w:r>
        <w:rPr>
          <w:color w:val="auto"/>
          <w:highlight w:val="none"/>
        </w:rPr>
        <w:tab/>
      </w:r>
      <w:r>
        <w:rPr>
          <w:color w:val="auto"/>
          <w:highlight w:val="none"/>
        </w:rPr>
        <w:fldChar w:fldCharType="begin"/>
      </w:r>
      <w:r>
        <w:rPr>
          <w:color w:val="auto"/>
          <w:highlight w:val="none"/>
        </w:rPr>
        <w:instrText xml:space="preserve"> PAGEREF _Toc19997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_Toc11800 </w:instrText>
      </w:r>
      <w:r>
        <w:rPr>
          <w:rFonts w:ascii="宋体" w:hAnsi="宋体" w:cs="宋体"/>
          <w:color w:val="auto"/>
          <w:highlight w:val="none"/>
        </w:rPr>
        <w:fldChar w:fldCharType="separate"/>
      </w:r>
      <w:r>
        <w:rPr>
          <w:rFonts w:cs="Times New Roman"/>
          <w:color w:val="auto"/>
          <w:szCs w:val="21"/>
          <w:highlight w:val="none"/>
        </w:rPr>
        <w:t xml:space="preserve">2. </w:t>
      </w:r>
      <w:r>
        <w:rPr>
          <w:rFonts w:hint="eastAsia"/>
          <w:color w:val="auto"/>
          <w:szCs w:val="21"/>
          <w:highlight w:val="none"/>
        </w:rPr>
        <w:t>招标文件</w:t>
      </w:r>
      <w:r>
        <w:rPr>
          <w:color w:val="auto"/>
          <w:highlight w:val="none"/>
        </w:rPr>
        <w:tab/>
      </w:r>
      <w:r>
        <w:rPr>
          <w:color w:val="auto"/>
          <w:highlight w:val="none"/>
        </w:rPr>
        <w:fldChar w:fldCharType="begin"/>
      </w:r>
      <w:r>
        <w:rPr>
          <w:color w:val="auto"/>
          <w:highlight w:val="none"/>
        </w:rPr>
        <w:instrText xml:space="preserve"> PAGEREF _Toc11800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_Toc22882 </w:instrText>
      </w:r>
      <w:r>
        <w:rPr>
          <w:rFonts w:ascii="宋体" w:hAnsi="宋体" w:cs="宋体"/>
          <w:color w:val="auto"/>
          <w:highlight w:val="none"/>
        </w:rPr>
        <w:fldChar w:fldCharType="separate"/>
      </w:r>
      <w:r>
        <w:rPr>
          <w:rFonts w:cs="Times New Roman"/>
          <w:color w:val="auto"/>
          <w:szCs w:val="21"/>
          <w:highlight w:val="none"/>
        </w:rPr>
        <w:t xml:space="preserve">3. </w:t>
      </w:r>
      <w:r>
        <w:rPr>
          <w:rFonts w:hint="eastAsia"/>
          <w:color w:val="auto"/>
          <w:szCs w:val="21"/>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_Toc22882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_Toc26693 </w:instrText>
      </w:r>
      <w:r>
        <w:rPr>
          <w:rFonts w:ascii="宋体" w:hAnsi="宋体" w:cs="宋体"/>
          <w:color w:val="auto"/>
          <w:highlight w:val="none"/>
        </w:rPr>
        <w:fldChar w:fldCharType="separate"/>
      </w:r>
      <w:r>
        <w:rPr>
          <w:rFonts w:cs="Times New Roman"/>
          <w:color w:val="auto"/>
          <w:szCs w:val="21"/>
          <w:highlight w:val="none"/>
        </w:rPr>
        <w:t xml:space="preserve">4. </w:t>
      </w:r>
      <w:r>
        <w:rPr>
          <w:rFonts w:hint="eastAsia"/>
          <w:color w:val="auto"/>
          <w:szCs w:val="21"/>
          <w:highlight w:val="none"/>
        </w:rPr>
        <w:t>投标</w:t>
      </w:r>
      <w:r>
        <w:rPr>
          <w:color w:val="auto"/>
          <w:highlight w:val="none"/>
        </w:rPr>
        <w:tab/>
      </w:r>
      <w:r>
        <w:rPr>
          <w:color w:val="auto"/>
          <w:highlight w:val="none"/>
        </w:rPr>
        <w:fldChar w:fldCharType="begin"/>
      </w:r>
      <w:r>
        <w:rPr>
          <w:color w:val="auto"/>
          <w:highlight w:val="none"/>
        </w:rPr>
        <w:instrText xml:space="preserve"> PAGEREF _Toc26693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_Toc29190 </w:instrText>
      </w:r>
      <w:r>
        <w:rPr>
          <w:rFonts w:ascii="宋体" w:hAnsi="宋体" w:cs="宋体"/>
          <w:color w:val="auto"/>
          <w:highlight w:val="none"/>
        </w:rPr>
        <w:fldChar w:fldCharType="separate"/>
      </w:r>
      <w:r>
        <w:rPr>
          <w:rFonts w:cs="Times New Roman"/>
          <w:color w:val="auto"/>
          <w:szCs w:val="21"/>
          <w:highlight w:val="none"/>
        </w:rPr>
        <w:t xml:space="preserve">5. </w:t>
      </w:r>
      <w:r>
        <w:rPr>
          <w:rFonts w:hint="eastAsia"/>
          <w:color w:val="auto"/>
          <w:szCs w:val="21"/>
          <w:highlight w:val="none"/>
        </w:rPr>
        <w:t>开标、资格审查与评标</w:t>
      </w:r>
      <w:r>
        <w:rPr>
          <w:color w:val="auto"/>
          <w:highlight w:val="none"/>
        </w:rPr>
        <w:tab/>
      </w:r>
      <w:r>
        <w:rPr>
          <w:color w:val="auto"/>
          <w:highlight w:val="none"/>
        </w:rPr>
        <w:fldChar w:fldCharType="begin"/>
      </w:r>
      <w:r>
        <w:rPr>
          <w:color w:val="auto"/>
          <w:highlight w:val="none"/>
        </w:rPr>
        <w:instrText xml:space="preserve"> PAGEREF _Toc29190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_Toc14201 </w:instrText>
      </w:r>
      <w:r>
        <w:rPr>
          <w:rFonts w:ascii="宋体" w:hAnsi="宋体" w:cs="宋体"/>
          <w:color w:val="auto"/>
          <w:highlight w:val="none"/>
        </w:rPr>
        <w:fldChar w:fldCharType="separate"/>
      </w:r>
      <w:r>
        <w:rPr>
          <w:rFonts w:cs="Times New Roman"/>
          <w:color w:val="auto"/>
          <w:szCs w:val="21"/>
          <w:highlight w:val="none"/>
        </w:rPr>
        <w:t xml:space="preserve">6. </w:t>
      </w:r>
      <w:r>
        <w:rPr>
          <w:rFonts w:hint="eastAsia"/>
          <w:color w:val="auto"/>
          <w:szCs w:val="21"/>
          <w:highlight w:val="none"/>
        </w:rPr>
        <w:t>授予合同</w:t>
      </w:r>
      <w:r>
        <w:rPr>
          <w:color w:val="auto"/>
          <w:highlight w:val="none"/>
        </w:rPr>
        <w:tab/>
      </w:r>
      <w:r>
        <w:rPr>
          <w:color w:val="auto"/>
          <w:highlight w:val="none"/>
        </w:rPr>
        <w:fldChar w:fldCharType="begin"/>
      </w:r>
      <w:r>
        <w:rPr>
          <w:color w:val="auto"/>
          <w:highlight w:val="none"/>
        </w:rPr>
        <w:instrText xml:space="preserve"> PAGEREF _Toc14201 \h </w:instrText>
      </w:r>
      <w:r>
        <w:rPr>
          <w:color w:val="auto"/>
          <w:highlight w:val="none"/>
        </w:rPr>
        <w:fldChar w:fldCharType="separate"/>
      </w:r>
      <w:r>
        <w:rPr>
          <w:color w:val="auto"/>
          <w:highlight w:val="none"/>
        </w:rPr>
        <w:t>26</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_Toc27949 </w:instrText>
      </w:r>
      <w:r>
        <w:rPr>
          <w:rFonts w:ascii="宋体" w:hAnsi="宋体" w:cs="宋体"/>
          <w:color w:val="auto"/>
          <w:highlight w:val="none"/>
        </w:rPr>
        <w:fldChar w:fldCharType="separate"/>
      </w:r>
      <w:r>
        <w:rPr>
          <w:rFonts w:cs="Times New Roman"/>
          <w:color w:val="auto"/>
          <w:szCs w:val="21"/>
          <w:highlight w:val="none"/>
        </w:rPr>
        <w:t xml:space="preserve">7. </w:t>
      </w:r>
      <w:r>
        <w:rPr>
          <w:rFonts w:hint="eastAsia"/>
          <w:color w:val="auto"/>
          <w:szCs w:val="21"/>
          <w:highlight w:val="none"/>
        </w:rPr>
        <w:t>信用记录</w:t>
      </w:r>
      <w:r>
        <w:rPr>
          <w:color w:val="auto"/>
          <w:highlight w:val="none"/>
        </w:rPr>
        <w:tab/>
      </w:r>
      <w:r>
        <w:rPr>
          <w:color w:val="auto"/>
          <w:highlight w:val="none"/>
        </w:rPr>
        <w:fldChar w:fldCharType="begin"/>
      </w:r>
      <w:r>
        <w:rPr>
          <w:color w:val="auto"/>
          <w:highlight w:val="none"/>
        </w:rPr>
        <w:instrText xml:space="preserve"> PAGEREF _Toc27949 \h </w:instrText>
      </w:r>
      <w:r>
        <w:rPr>
          <w:color w:val="auto"/>
          <w:highlight w:val="none"/>
        </w:rPr>
        <w:fldChar w:fldCharType="separate"/>
      </w:r>
      <w:r>
        <w:rPr>
          <w:color w:val="auto"/>
          <w:highlight w:val="none"/>
        </w:rPr>
        <w:t>27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_Toc28502 </w:instrText>
      </w:r>
      <w:r>
        <w:rPr>
          <w:rFonts w:ascii="宋体" w:hAnsi="宋体" w:cs="宋体"/>
          <w:color w:val="auto"/>
          <w:highlight w:val="none"/>
        </w:rPr>
        <w:fldChar w:fldCharType="separate"/>
      </w:r>
      <w:r>
        <w:rPr>
          <w:rFonts w:cs="Times New Roman"/>
          <w:color w:val="auto"/>
          <w:szCs w:val="21"/>
          <w:highlight w:val="none"/>
        </w:rPr>
        <w:t xml:space="preserve">8. </w:t>
      </w:r>
      <w:r>
        <w:rPr>
          <w:rFonts w:hint="eastAsia"/>
          <w:color w:val="auto"/>
          <w:szCs w:val="21"/>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_Toc28502 \h </w:instrText>
      </w:r>
      <w:r>
        <w:rPr>
          <w:color w:val="auto"/>
          <w:highlight w:val="none"/>
        </w:rPr>
        <w:fldChar w:fldCharType="separate"/>
      </w:r>
      <w:r>
        <w:rPr>
          <w:color w:val="auto"/>
          <w:highlight w:val="none"/>
        </w:rPr>
        <w:t>27</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_Toc7871 </w:instrText>
      </w:r>
      <w:r>
        <w:rPr>
          <w:rFonts w:ascii="宋体" w:hAnsi="宋体" w:cs="宋体"/>
          <w:color w:val="auto"/>
          <w:highlight w:val="none"/>
        </w:rPr>
        <w:fldChar w:fldCharType="separate"/>
      </w:r>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r>
        <w:rPr>
          <w:color w:val="auto"/>
          <w:highlight w:val="none"/>
        </w:rPr>
        <w:tab/>
      </w:r>
      <w:r>
        <w:rPr>
          <w:color w:val="auto"/>
          <w:highlight w:val="none"/>
        </w:rPr>
        <w:fldChar w:fldCharType="begin"/>
      </w:r>
      <w:r>
        <w:rPr>
          <w:color w:val="auto"/>
          <w:highlight w:val="none"/>
        </w:rPr>
        <w:instrText xml:space="preserve"> PAGEREF _Toc7871 \h </w:instrText>
      </w:r>
      <w:r>
        <w:rPr>
          <w:color w:val="auto"/>
          <w:highlight w:val="none"/>
        </w:rPr>
        <w:fldChar w:fldCharType="separate"/>
      </w:r>
      <w:r>
        <w:rPr>
          <w:color w:val="auto"/>
          <w:highlight w:val="none"/>
        </w:rPr>
        <w:t>28</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_Toc20425 </w:instrText>
      </w:r>
      <w:r>
        <w:rPr>
          <w:rFonts w:ascii="宋体" w:hAnsi="宋体" w:cs="宋体"/>
          <w:color w:val="auto"/>
          <w:highlight w:val="none"/>
        </w:rPr>
        <w:fldChar w:fldCharType="separate"/>
      </w:r>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_Toc20425 \h </w:instrText>
      </w:r>
      <w:r>
        <w:rPr>
          <w:color w:val="auto"/>
          <w:highlight w:val="none"/>
        </w:rPr>
        <w:fldChar w:fldCharType="separate"/>
      </w:r>
      <w:r>
        <w:rPr>
          <w:color w:val="auto"/>
          <w:highlight w:val="none"/>
        </w:rPr>
        <w:t>30</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_Toc7178 </w:instrText>
      </w:r>
      <w:r>
        <w:rPr>
          <w:rFonts w:ascii="宋体" w:hAnsi="宋体" w:cs="宋体"/>
          <w:color w:val="auto"/>
          <w:highlight w:val="none"/>
        </w:rPr>
        <w:fldChar w:fldCharType="separate"/>
      </w:r>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r>
        <w:rPr>
          <w:color w:val="auto"/>
          <w:highlight w:val="none"/>
        </w:rPr>
        <w:tab/>
      </w:r>
      <w:r>
        <w:rPr>
          <w:color w:val="auto"/>
          <w:highlight w:val="none"/>
        </w:rPr>
        <w:fldChar w:fldCharType="begin"/>
      </w:r>
      <w:r>
        <w:rPr>
          <w:color w:val="auto"/>
          <w:highlight w:val="none"/>
        </w:rPr>
        <w:instrText xml:space="preserve"> PAGEREF _Toc7178 \h </w:instrText>
      </w:r>
      <w:r>
        <w:rPr>
          <w:color w:val="auto"/>
          <w:highlight w:val="none"/>
        </w:rPr>
        <w:fldChar w:fldCharType="separate"/>
      </w:r>
      <w:r>
        <w:rPr>
          <w:color w:val="auto"/>
          <w:highlight w:val="none"/>
        </w:rPr>
        <w:t>39</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_Toc410 </w:instrText>
      </w:r>
      <w:r>
        <w:rPr>
          <w:rFonts w:ascii="宋体" w:hAnsi="宋体" w:cs="宋体"/>
          <w:color w:val="auto"/>
          <w:highlight w:val="none"/>
        </w:rPr>
        <w:fldChar w:fldCharType="separate"/>
      </w:r>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r>
        <w:rPr>
          <w:color w:val="auto"/>
          <w:highlight w:val="none"/>
        </w:rPr>
        <w:tab/>
      </w:r>
      <w:r>
        <w:rPr>
          <w:color w:val="auto"/>
          <w:highlight w:val="none"/>
        </w:rPr>
        <w:fldChar w:fldCharType="begin"/>
      </w:r>
      <w:r>
        <w:rPr>
          <w:color w:val="auto"/>
          <w:highlight w:val="none"/>
        </w:rPr>
        <w:instrText xml:space="preserve"> PAGEREF _Toc410 \h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_Toc30884 </w:instrText>
      </w:r>
      <w:r>
        <w:rPr>
          <w:rFonts w:ascii="宋体" w:hAnsi="宋体" w:cs="宋体"/>
          <w:color w:val="auto"/>
          <w:highlight w:val="none"/>
        </w:rPr>
        <w:fldChar w:fldCharType="separate"/>
      </w:r>
      <w:r>
        <w:rPr>
          <w:rFonts w:hint="eastAsia" w:ascii="宋体" w:hAnsi="宋体" w:cs="宋体"/>
          <w:color w:val="auto"/>
          <w:szCs w:val="32"/>
          <w:highlight w:val="none"/>
        </w:rPr>
        <w:t>一、项目需求</w:t>
      </w:r>
      <w:r>
        <w:rPr>
          <w:color w:val="auto"/>
          <w:highlight w:val="none"/>
        </w:rPr>
        <w:tab/>
      </w:r>
      <w:r>
        <w:rPr>
          <w:color w:val="auto"/>
          <w:highlight w:val="none"/>
        </w:rPr>
        <w:fldChar w:fldCharType="begin"/>
      </w:r>
      <w:r>
        <w:rPr>
          <w:color w:val="auto"/>
          <w:highlight w:val="none"/>
        </w:rPr>
        <w:instrText xml:space="preserve"> PAGEREF _Toc30884 \h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_Toc18501 </w:instrText>
      </w:r>
      <w:r>
        <w:rPr>
          <w:rFonts w:ascii="宋体" w:hAnsi="宋体" w:cs="宋体"/>
          <w:color w:val="auto"/>
          <w:highlight w:val="none"/>
        </w:rPr>
        <w:fldChar w:fldCharType="separate"/>
      </w:r>
      <w:r>
        <w:rPr>
          <w:rFonts w:hint="eastAsia" w:ascii="宋体" w:hAnsi="宋体" w:cs="宋体"/>
          <w:color w:val="auto"/>
          <w:szCs w:val="32"/>
          <w:highlight w:val="none"/>
          <w:lang w:eastAsia="zh-CN"/>
        </w:rPr>
        <w:t xml:space="preserve">二、 </w:t>
      </w:r>
      <w:r>
        <w:rPr>
          <w:rFonts w:hint="eastAsia" w:ascii="宋体" w:hAnsi="宋体" w:cs="宋体"/>
          <w:color w:val="auto"/>
          <w:szCs w:val="32"/>
          <w:highlight w:val="none"/>
        </w:rPr>
        <w:t>技术</w:t>
      </w:r>
      <w:r>
        <w:rPr>
          <w:rFonts w:hint="eastAsia" w:ascii="宋体" w:hAnsi="宋体" w:cs="宋体"/>
          <w:color w:val="auto"/>
          <w:szCs w:val="32"/>
          <w:highlight w:val="none"/>
          <w:lang w:eastAsia="zh-CN"/>
        </w:rPr>
        <w:t>要求</w:t>
      </w:r>
      <w:r>
        <w:rPr>
          <w:color w:val="auto"/>
          <w:highlight w:val="none"/>
        </w:rPr>
        <w:tab/>
      </w:r>
      <w:r>
        <w:rPr>
          <w:color w:val="auto"/>
          <w:highlight w:val="none"/>
        </w:rPr>
        <w:fldChar w:fldCharType="begin"/>
      </w:r>
      <w:r>
        <w:rPr>
          <w:color w:val="auto"/>
          <w:highlight w:val="none"/>
        </w:rPr>
        <w:instrText xml:space="preserve"> PAGEREF _Toc18501 \h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_Toc30543 </w:instrText>
      </w:r>
      <w:r>
        <w:rPr>
          <w:rFonts w:ascii="宋体" w:hAnsi="宋体" w:cs="宋体"/>
          <w:color w:val="auto"/>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通用要求</w:t>
      </w:r>
      <w:r>
        <w:rPr>
          <w:color w:val="auto"/>
          <w:highlight w:val="none"/>
        </w:rPr>
        <w:tab/>
      </w:r>
      <w:r>
        <w:rPr>
          <w:color w:val="auto"/>
          <w:highlight w:val="none"/>
        </w:rPr>
        <w:fldChar w:fldCharType="begin"/>
      </w:r>
      <w:r>
        <w:rPr>
          <w:color w:val="auto"/>
          <w:highlight w:val="none"/>
        </w:rPr>
        <w:instrText xml:space="preserve"> PAGEREF _Toc30543 \h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_Toc7135 </w:instrText>
      </w:r>
      <w:r>
        <w:rPr>
          <w:rFonts w:ascii="宋体" w:hAnsi="宋体" w:cs="宋体"/>
          <w:color w:val="auto"/>
          <w:highlight w:val="none"/>
        </w:rPr>
        <w:fldChar w:fldCharType="separate"/>
      </w:r>
      <w:r>
        <w:rPr>
          <w:rFonts w:hint="eastAsia" w:ascii="宋体" w:hAnsi="宋体" w:eastAsia="宋体" w:cs="宋体"/>
          <w:color w:val="auto"/>
          <w:szCs w:val="24"/>
          <w:highlight w:val="none"/>
          <w:lang w:eastAsia="zh-CN"/>
        </w:rPr>
        <w:t>（二）技术需求专用要求</w:t>
      </w:r>
      <w:r>
        <w:rPr>
          <w:color w:val="auto"/>
          <w:highlight w:val="none"/>
        </w:rPr>
        <w:tab/>
      </w:r>
      <w:r>
        <w:rPr>
          <w:color w:val="auto"/>
          <w:highlight w:val="none"/>
        </w:rPr>
        <w:fldChar w:fldCharType="begin"/>
      </w:r>
      <w:r>
        <w:rPr>
          <w:color w:val="auto"/>
          <w:highlight w:val="none"/>
        </w:rPr>
        <w:instrText xml:space="preserve"> PAGEREF _Toc7135 \h </w:instrText>
      </w:r>
      <w:r>
        <w:rPr>
          <w:color w:val="auto"/>
          <w:highlight w:val="none"/>
        </w:rPr>
        <w:fldChar w:fldCharType="separate"/>
      </w:r>
      <w:r>
        <w:rPr>
          <w:color w:val="auto"/>
          <w:highlight w:val="none"/>
        </w:rPr>
        <w:t>60</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_Toc14044 </w:instrText>
      </w:r>
      <w:r>
        <w:rPr>
          <w:rFonts w:ascii="宋体" w:hAnsi="宋体" w:cs="宋体"/>
          <w:color w:val="auto"/>
          <w:highlight w:val="none"/>
        </w:rPr>
        <w:fldChar w:fldCharType="separate"/>
      </w:r>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_Toc14044 \h </w:instrText>
      </w:r>
      <w:r>
        <w:rPr>
          <w:color w:val="auto"/>
          <w:highlight w:val="none"/>
        </w:rPr>
        <w:fldChar w:fldCharType="separate"/>
      </w:r>
      <w:r>
        <w:rPr>
          <w:color w:val="auto"/>
          <w:highlight w:val="none"/>
        </w:rPr>
        <w:t>63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_Toc13005 </w:instrText>
      </w:r>
      <w:r>
        <w:rPr>
          <w:rFonts w:ascii="宋体" w:hAnsi="宋体" w:cs="宋体"/>
          <w:color w:val="auto"/>
          <w:highlight w:val="none"/>
        </w:rPr>
        <w:fldChar w:fldCharType="separate"/>
      </w:r>
      <w:r>
        <w:rPr>
          <w:rFonts w:hint="eastAsia" w:ascii="宋体" w:hAnsi="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_Toc13005 \h </w:instrText>
      </w:r>
      <w:r>
        <w:rPr>
          <w:color w:val="auto"/>
          <w:highlight w:val="none"/>
        </w:rPr>
        <w:fldChar w:fldCharType="separate"/>
      </w:r>
      <w:r>
        <w:rPr>
          <w:color w:val="auto"/>
          <w:highlight w:val="none"/>
        </w:rPr>
        <w:t>65</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_Toc25454 </w:instrText>
      </w:r>
      <w:r>
        <w:rPr>
          <w:rFonts w:ascii="宋体" w:hAnsi="宋体" w:cs="宋体"/>
          <w:color w:val="auto"/>
          <w:highlight w:val="none"/>
        </w:rPr>
        <w:fldChar w:fldCharType="separate"/>
      </w:r>
      <w:r>
        <w:rPr>
          <w:rFonts w:hint="eastAsia"/>
          <w:color w:val="auto"/>
          <w:w w:val="95"/>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_Toc25454 \h </w:instrText>
      </w:r>
      <w:r>
        <w:rPr>
          <w:color w:val="auto"/>
          <w:highlight w:val="none"/>
        </w:rPr>
        <w:fldChar w:fldCharType="separate"/>
      </w:r>
      <w:r>
        <w:rPr>
          <w:color w:val="auto"/>
          <w:highlight w:val="none"/>
        </w:rPr>
        <w:t>69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_Toc670 </w:instrText>
      </w:r>
      <w:r>
        <w:rPr>
          <w:rFonts w:ascii="宋体" w:hAnsi="宋体" w:cs="宋体"/>
          <w:color w:val="auto"/>
          <w:highlight w:val="none"/>
        </w:rPr>
        <w:fldChar w:fldCharType="separate"/>
      </w:r>
      <w:r>
        <w:rPr>
          <w:rFonts w:hint="eastAsia"/>
          <w:color w:val="auto"/>
          <w:w w:val="95"/>
          <w:highlight w:val="none"/>
        </w:rPr>
        <w:t>三、授权委托书</w:t>
      </w:r>
      <w:r>
        <w:rPr>
          <w:color w:val="auto"/>
          <w:highlight w:val="none"/>
        </w:rPr>
        <w:tab/>
      </w:r>
      <w:r>
        <w:rPr>
          <w:color w:val="auto"/>
          <w:highlight w:val="none"/>
        </w:rPr>
        <w:fldChar w:fldCharType="begin"/>
      </w:r>
      <w:r>
        <w:rPr>
          <w:color w:val="auto"/>
          <w:highlight w:val="none"/>
        </w:rPr>
        <w:instrText xml:space="preserve"> PAGEREF _Toc670 \h </w:instrText>
      </w:r>
      <w:r>
        <w:rPr>
          <w:color w:val="auto"/>
          <w:highlight w:val="none"/>
        </w:rPr>
        <w:fldChar w:fldCharType="separate"/>
      </w:r>
      <w:r>
        <w:rPr>
          <w:color w:val="auto"/>
          <w:highlight w:val="none"/>
        </w:rPr>
        <w:t>70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_Toc30345 </w:instrText>
      </w:r>
      <w:r>
        <w:rPr>
          <w:rFonts w:ascii="宋体" w:hAnsi="宋体" w:cs="宋体"/>
          <w:color w:val="auto"/>
          <w:highlight w:val="none"/>
        </w:rPr>
        <w:fldChar w:fldCharType="separate"/>
      </w:r>
      <w:r>
        <w:rPr>
          <w:rFonts w:hint="eastAsia"/>
          <w:color w:val="auto"/>
          <w:w w:val="95"/>
          <w:highlight w:val="none"/>
        </w:rPr>
        <w:t>四、投标承诺书</w:t>
      </w:r>
      <w:r>
        <w:rPr>
          <w:color w:val="auto"/>
          <w:highlight w:val="none"/>
        </w:rPr>
        <w:tab/>
      </w:r>
      <w:r>
        <w:rPr>
          <w:color w:val="auto"/>
          <w:highlight w:val="none"/>
        </w:rPr>
        <w:fldChar w:fldCharType="begin"/>
      </w:r>
      <w:r>
        <w:rPr>
          <w:color w:val="auto"/>
          <w:highlight w:val="none"/>
        </w:rPr>
        <w:instrText xml:space="preserve"> PAGEREF _Toc30345 \h </w:instrText>
      </w:r>
      <w:r>
        <w:rPr>
          <w:color w:val="auto"/>
          <w:highlight w:val="none"/>
        </w:rPr>
        <w:fldChar w:fldCharType="separate"/>
      </w:r>
      <w:r>
        <w:rPr>
          <w:color w:val="auto"/>
          <w:highlight w:val="none"/>
        </w:rPr>
        <w:t>71</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_Toc14405 </w:instrText>
      </w:r>
      <w:r>
        <w:rPr>
          <w:rFonts w:ascii="宋体" w:hAnsi="宋体" w:cs="宋体"/>
          <w:color w:val="auto"/>
          <w:highlight w:val="none"/>
        </w:rPr>
        <w:fldChar w:fldCharType="separate"/>
      </w:r>
      <w:r>
        <w:rPr>
          <w:rFonts w:hint="eastAsia"/>
          <w:color w:val="auto"/>
          <w:w w:val="95"/>
          <w:highlight w:val="none"/>
        </w:rPr>
        <w:t>五、技术部分</w:t>
      </w:r>
      <w:r>
        <w:rPr>
          <w:color w:val="auto"/>
          <w:highlight w:val="none"/>
        </w:rPr>
        <w:tab/>
      </w:r>
      <w:r>
        <w:rPr>
          <w:color w:val="auto"/>
          <w:highlight w:val="none"/>
        </w:rPr>
        <w:fldChar w:fldCharType="begin"/>
      </w:r>
      <w:r>
        <w:rPr>
          <w:color w:val="auto"/>
          <w:highlight w:val="none"/>
        </w:rPr>
        <w:instrText xml:space="preserve"> PAGEREF _Toc14405 \h </w:instrText>
      </w:r>
      <w:r>
        <w:rPr>
          <w:color w:val="auto"/>
          <w:highlight w:val="none"/>
        </w:rPr>
        <w:fldChar w:fldCharType="separate"/>
      </w:r>
      <w:r>
        <w:rPr>
          <w:color w:val="auto"/>
          <w:highlight w:val="none"/>
        </w:rPr>
        <w:t>73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_Toc9417 </w:instrText>
      </w:r>
      <w:r>
        <w:rPr>
          <w:rFonts w:ascii="宋体" w:hAnsi="宋体" w:cs="宋体"/>
          <w:color w:val="auto"/>
          <w:highlight w:val="none"/>
        </w:rPr>
        <w:fldChar w:fldCharType="separate"/>
      </w:r>
      <w:r>
        <w:rPr>
          <w:rFonts w:hint="eastAsia"/>
          <w:color w:val="auto"/>
          <w:w w:val="95"/>
          <w:highlight w:val="none"/>
        </w:rPr>
        <w:t>六、</w:t>
      </w:r>
      <w:r>
        <w:rPr>
          <w:rFonts w:hint="eastAsia"/>
          <w:color w:val="auto"/>
          <w:w w:val="95"/>
          <w:highlight w:val="none"/>
          <w:lang w:eastAsia="zh-CN"/>
        </w:rPr>
        <w:t>类似</w:t>
      </w:r>
      <w:r>
        <w:rPr>
          <w:rFonts w:hint="eastAsia"/>
          <w:color w:val="auto"/>
          <w:highlight w:val="none"/>
        </w:rPr>
        <w:t>业绩</w:t>
      </w:r>
      <w:r>
        <w:rPr>
          <w:color w:val="auto"/>
          <w:highlight w:val="none"/>
        </w:rPr>
        <w:tab/>
      </w:r>
      <w:r>
        <w:rPr>
          <w:color w:val="auto"/>
          <w:highlight w:val="none"/>
        </w:rPr>
        <w:fldChar w:fldCharType="begin"/>
      </w:r>
      <w:r>
        <w:rPr>
          <w:color w:val="auto"/>
          <w:highlight w:val="none"/>
        </w:rPr>
        <w:instrText xml:space="preserve"> PAGEREF _Toc9417 \h </w:instrText>
      </w:r>
      <w:r>
        <w:rPr>
          <w:color w:val="auto"/>
          <w:highlight w:val="none"/>
        </w:rPr>
        <w:fldChar w:fldCharType="separate"/>
      </w:r>
      <w:r>
        <w:rPr>
          <w:color w:val="auto"/>
          <w:highlight w:val="none"/>
        </w:rPr>
        <w:t>78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_Toc27520 </w:instrText>
      </w:r>
      <w:r>
        <w:rPr>
          <w:rFonts w:ascii="宋体" w:hAnsi="宋体" w:cs="宋体"/>
          <w:color w:val="auto"/>
          <w:highlight w:val="none"/>
        </w:rPr>
        <w:fldChar w:fldCharType="separate"/>
      </w:r>
      <w:r>
        <w:rPr>
          <w:rFonts w:hint="eastAsia"/>
          <w:color w:val="auto"/>
          <w:highlight w:val="none"/>
        </w:rPr>
        <w:t>七、实施方案</w:t>
      </w:r>
      <w:r>
        <w:rPr>
          <w:color w:val="auto"/>
          <w:highlight w:val="none"/>
        </w:rPr>
        <w:tab/>
      </w:r>
      <w:r>
        <w:rPr>
          <w:color w:val="auto"/>
          <w:highlight w:val="none"/>
        </w:rPr>
        <w:fldChar w:fldCharType="begin"/>
      </w:r>
      <w:r>
        <w:rPr>
          <w:color w:val="auto"/>
          <w:highlight w:val="none"/>
        </w:rPr>
        <w:instrText xml:space="preserve"> PAGEREF _Toc27520 \h </w:instrText>
      </w:r>
      <w:r>
        <w:rPr>
          <w:color w:val="auto"/>
          <w:highlight w:val="none"/>
        </w:rPr>
        <w:fldChar w:fldCharType="separate"/>
      </w:r>
      <w:r>
        <w:rPr>
          <w:color w:val="auto"/>
          <w:highlight w:val="none"/>
        </w:rPr>
        <w:t>79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_Toc20033 </w:instrText>
      </w:r>
      <w:r>
        <w:rPr>
          <w:rFonts w:ascii="宋体" w:hAnsi="宋体" w:cs="宋体"/>
          <w:color w:val="auto"/>
          <w:highlight w:val="none"/>
        </w:rPr>
        <w:fldChar w:fldCharType="separate"/>
      </w:r>
      <w:r>
        <w:rPr>
          <w:rFonts w:hint="eastAsia"/>
          <w:color w:val="auto"/>
          <w:highlight w:val="none"/>
        </w:rPr>
        <w:t>八、履约能力</w:t>
      </w:r>
      <w:r>
        <w:rPr>
          <w:color w:val="auto"/>
          <w:highlight w:val="none"/>
        </w:rPr>
        <w:tab/>
      </w:r>
      <w:r>
        <w:rPr>
          <w:color w:val="auto"/>
          <w:highlight w:val="none"/>
        </w:rPr>
        <w:fldChar w:fldCharType="begin"/>
      </w:r>
      <w:r>
        <w:rPr>
          <w:color w:val="auto"/>
          <w:highlight w:val="none"/>
        </w:rPr>
        <w:instrText xml:space="preserve"> PAGEREF _Toc20033 \h </w:instrText>
      </w:r>
      <w:r>
        <w:rPr>
          <w:color w:val="auto"/>
          <w:highlight w:val="none"/>
        </w:rPr>
        <w:fldChar w:fldCharType="separate"/>
      </w:r>
      <w:r>
        <w:rPr>
          <w:color w:val="auto"/>
          <w:highlight w:val="none"/>
        </w:rPr>
        <w:t>80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_Toc11835 </w:instrText>
      </w:r>
      <w:r>
        <w:rPr>
          <w:rFonts w:ascii="宋体" w:hAnsi="宋体" w:cs="宋体"/>
          <w:color w:val="auto"/>
          <w:highlight w:val="none"/>
        </w:rPr>
        <w:fldChar w:fldCharType="separate"/>
      </w:r>
      <w:r>
        <w:rPr>
          <w:rFonts w:hint="eastAsia"/>
          <w:color w:val="auto"/>
          <w:highlight w:val="none"/>
        </w:rPr>
        <w:t>九、售后服务及培训方案</w:t>
      </w:r>
      <w:r>
        <w:rPr>
          <w:color w:val="auto"/>
          <w:highlight w:val="none"/>
        </w:rPr>
        <w:tab/>
      </w:r>
      <w:r>
        <w:rPr>
          <w:color w:val="auto"/>
          <w:highlight w:val="none"/>
        </w:rPr>
        <w:fldChar w:fldCharType="begin"/>
      </w:r>
      <w:r>
        <w:rPr>
          <w:color w:val="auto"/>
          <w:highlight w:val="none"/>
        </w:rPr>
        <w:instrText xml:space="preserve"> PAGEREF _Toc11835 \h </w:instrText>
      </w:r>
      <w:r>
        <w:rPr>
          <w:color w:val="auto"/>
          <w:highlight w:val="none"/>
        </w:rPr>
        <w:fldChar w:fldCharType="separate"/>
      </w:r>
      <w:r>
        <w:rPr>
          <w:color w:val="auto"/>
          <w:highlight w:val="none"/>
        </w:rPr>
        <w:t>81</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_Toc11976 </w:instrText>
      </w:r>
      <w:r>
        <w:rPr>
          <w:rFonts w:ascii="宋体" w:hAnsi="宋体" w:cs="宋体"/>
          <w:color w:val="auto"/>
          <w:highlight w:val="none"/>
        </w:rPr>
        <w:fldChar w:fldCharType="separate"/>
      </w:r>
      <w:r>
        <w:rPr>
          <w:rFonts w:hint="eastAsia"/>
          <w:color w:val="auto"/>
          <w:highlight w:val="none"/>
        </w:rPr>
        <w:t>十、资格证明文件</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82</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_Toc24610 </w:instrText>
      </w:r>
      <w:r>
        <w:rPr>
          <w:rFonts w:ascii="宋体" w:hAnsi="宋体" w:cs="宋体"/>
          <w:color w:val="auto"/>
          <w:highlight w:val="none"/>
        </w:rPr>
        <w:fldChar w:fldCharType="separate"/>
      </w:r>
      <w:r>
        <w:rPr>
          <w:rFonts w:hint="eastAsia"/>
          <w:color w:val="auto"/>
          <w:highlight w:val="none"/>
        </w:rPr>
        <w:t>十一、其他资料</w:t>
      </w:r>
      <w:r>
        <w:rPr>
          <w:color w:val="auto"/>
          <w:highlight w:val="none"/>
        </w:rPr>
        <w:tab/>
      </w:r>
      <w:r>
        <w:rPr>
          <w:color w:val="auto"/>
          <w:highlight w:val="none"/>
        </w:rPr>
        <w:fldChar w:fldCharType="begin"/>
      </w:r>
      <w:r>
        <w:rPr>
          <w:color w:val="auto"/>
          <w:highlight w:val="none"/>
        </w:rPr>
        <w:instrText xml:space="preserve"> PAGEREF _Toc24610 \h </w:instrText>
      </w:r>
      <w:r>
        <w:rPr>
          <w:color w:val="auto"/>
          <w:highlight w:val="none"/>
        </w:rPr>
        <w:fldChar w:fldCharType="separate"/>
      </w:r>
      <w:r>
        <w:rPr>
          <w:color w:val="auto"/>
          <w:highlight w:val="none"/>
        </w:rPr>
        <w:t>85</w:t>
      </w:r>
      <w:r>
        <w:rPr>
          <w:color w:val="auto"/>
          <w:highlight w:val="none"/>
        </w:rPr>
        <w:fldChar w:fldCharType="end"/>
      </w:r>
      <w:r>
        <w:rPr>
          <w:rFonts w:ascii="宋体" w:hAnsi="宋体" w:cs="宋体"/>
          <w:color w:val="auto"/>
          <w:highlight w:val="none"/>
        </w:rPr>
        <w:fldChar w:fldCharType="end"/>
      </w:r>
    </w:p>
    <w:p>
      <w:pPr>
        <w:pStyle w:val="2"/>
        <w:rPr>
          <w:rFonts w:ascii="宋体" w:cs="宋体"/>
          <w:color w:val="auto"/>
          <w:szCs w:val="32"/>
          <w:highlight w:val="none"/>
        </w:rPr>
        <w:sectPr>
          <w:headerReference r:id="rId5" w:type="default"/>
          <w:footerReference r:id="rId6" w:type="default"/>
          <w:pgSz w:w="11911" w:h="16838"/>
          <w:pgMar w:top="1440" w:right="1803" w:bottom="1440" w:left="1803" w:header="884" w:footer="737" w:gutter="0"/>
          <w:pgBorders>
            <w:top w:val="none" w:sz="0" w:space="0"/>
            <w:left w:val="none" w:sz="0" w:space="0"/>
            <w:bottom w:val="none" w:sz="0" w:space="0"/>
            <w:right w:val="none" w:sz="0" w:space="0"/>
          </w:pgBorders>
          <w:pgNumType w:fmt="decimal" w:start="1"/>
          <w:cols w:space="0" w:num="1"/>
          <w:rtlGutter w:val="0"/>
          <w:docGrid w:linePitch="315" w:charSpace="0"/>
        </w:sectPr>
      </w:pPr>
      <w:r>
        <w:rPr>
          <w:rFonts w:ascii="宋体" w:hAnsi="宋体" w:cs="宋体"/>
          <w:color w:val="auto"/>
          <w:highlight w:val="none"/>
        </w:rPr>
        <w:fldChar w:fldCharType="end"/>
      </w:r>
      <w:bookmarkStart w:id="1" w:name="_Toc40112127"/>
    </w:p>
    <w:p>
      <w:pPr>
        <w:pStyle w:val="2"/>
        <w:rPr>
          <w:rStyle w:val="27"/>
          <w:rFonts w:ascii="宋体" w:cs="宋体"/>
          <w:b/>
          <w:color w:val="auto"/>
          <w:highlight w:val="none"/>
        </w:rPr>
      </w:pPr>
      <w:bookmarkStart w:id="2" w:name="_Toc2020"/>
      <w:r>
        <w:rPr>
          <w:rStyle w:val="27"/>
          <w:rFonts w:hint="eastAsia" w:ascii="宋体" w:hAnsi="宋体" w:cs="宋体"/>
          <w:b/>
          <w:color w:val="auto"/>
          <w:highlight w:val="none"/>
        </w:rPr>
        <w:t>第一章</w:t>
      </w:r>
      <w:r>
        <w:rPr>
          <w:rStyle w:val="27"/>
          <w:rFonts w:ascii="宋体" w:hAnsi="宋体" w:cs="宋体"/>
          <w:b/>
          <w:color w:val="auto"/>
          <w:highlight w:val="none"/>
        </w:rPr>
        <w:t xml:space="preserve"> </w:t>
      </w:r>
      <w:r>
        <w:rPr>
          <w:rStyle w:val="27"/>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【平公资采2024681号】平顶山市消防救援支队河南省消防救援总队“自然灾害应急能力提升工程”平顶山支队装备建设项目（包3）三次-</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HYPERLINK "http://ggzy.pds.gov.cn/)获取招标文件，并于2024年8月" </w:instrText>
      </w:r>
      <w:r>
        <w:rPr>
          <w:rFonts w:hint="eastAsia" w:ascii="宋体" w:hAnsi="宋体" w:eastAsia="宋体" w:cs="宋体"/>
          <w:b w:val="0"/>
          <w:bCs w:val="0"/>
          <w:color w:val="auto"/>
          <w:sz w:val="24"/>
          <w:szCs w:val="24"/>
          <w:highlight w:val="none"/>
          <w:u w:val="none"/>
        </w:rPr>
        <w:fldChar w:fldCharType="separate"/>
      </w:r>
      <w:r>
        <w:rPr>
          <w:rStyle w:val="26"/>
          <w:rFonts w:hint="eastAsia" w:ascii="宋体" w:hAnsi="宋体" w:eastAsia="宋体" w:cs="宋体"/>
          <w:b w:val="0"/>
          <w:bCs w:val="0"/>
          <w:color w:val="auto"/>
          <w:sz w:val="24"/>
          <w:szCs w:val="24"/>
          <w:highlight w:val="none"/>
          <w:u w:val="none"/>
        </w:rPr>
        <w:t>http://ggzy.pds.gov.cn/)</w:t>
      </w:r>
      <w:r>
        <w:rPr>
          <w:rStyle w:val="26"/>
          <w:rFonts w:hint="eastAsia" w:ascii="宋体" w:hAnsi="宋体" w:cs="宋体"/>
          <w:b w:val="0"/>
          <w:bCs w:val="0"/>
          <w:color w:val="auto"/>
          <w:sz w:val="24"/>
          <w:highlight w:val="none"/>
          <w:u w:val="none"/>
        </w:rPr>
        <w:t>获取招标文件，并于202</w:t>
      </w:r>
      <w:r>
        <w:rPr>
          <w:rStyle w:val="26"/>
          <w:rFonts w:hint="eastAsia" w:ascii="宋体" w:hAnsi="宋体" w:cs="宋体"/>
          <w:b w:val="0"/>
          <w:bCs w:val="0"/>
          <w:color w:val="auto"/>
          <w:sz w:val="24"/>
          <w:highlight w:val="none"/>
          <w:u w:val="none"/>
          <w:lang w:val="en-US" w:eastAsia="zh-CN"/>
        </w:rPr>
        <w:t>4</w:t>
      </w:r>
      <w:r>
        <w:rPr>
          <w:rStyle w:val="26"/>
          <w:rFonts w:hint="eastAsia" w:ascii="宋体" w:hAnsi="宋体" w:cs="宋体"/>
          <w:b w:val="0"/>
          <w:bCs w:val="0"/>
          <w:color w:val="auto"/>
          <w:sz w:val="24"/>
          <w:highlight w:val="none"/>
          <w:u w:val="none"/>
        </w:rPr>
        <w:t>年</w:t>
      </w:r>
      <w:r>
        <w:rPr>
          <w:rStyle w:val="26"/>
          <w:rFonts w:hint="eastAsia" w:ascii="宋体" w:hAnsi="宋体" w:cs="宋体"/>
          <w:b w:val="0"/>
          <w:bCs w:val="0"/>
          <w:color w:val="auto"/>
          <w:sz w:val="24"/>
          <w:highlight w:val="none"/>
          <w:u w:val="none"/>
          <w:lang w:val="en-US" w:eastAsia="zh-CN"/>
        </w:rPr>
        <w:t>09</w:t>
      </w:r>
      <w:r>
        <w:rPr>
          <w:rStyle w:val="26"/>
          <w:rFonts w:hint="eastAsia" w:ascii="宋体" w:hAnsi="宋体" w:cs="宋体"/>
          <w:b w:val="0"/>
          <w:bCs w:val="0"/>
          <w:color w:val="auto"/>
          <w:sz w:val="24"/>
          <w:highlight w:val="none"/>
          <w:u w:val="none"/>
        </w:rPr>
        <w:t>月</w:t>
      </w:r>
      <w:r>
        <w:rPr>
          <w:rFonts w:hint="eastAsia" w:ascii="宋体" w:hAnsi="宋体" w:eastAsia="宋体" w:cs="宋体"/>
          <w:b w:val="0"/>
          <w:bCs w:val="0"/>
          <w:color w:val="auto"/>
          <w:sz w:val="24"/>
          <w:szCs w:val="24"/>
          <w:highlight w:val="none"/>
          <w:u w:val="none"/>
        </w:rPr>
        <w:fldChar w:fldCharType="end"/>
      </w:r>
      <w:r>
        <w:rPr>
          <w:rFonts w:hint="eastAsia" w:ascii="宋体" w:hAnsi="宋体" w:cs="宋体"/>
          <w:b w:val="0"/>
          <w:bCs w:val="0"/>
          <w:color w:val="auto"/>
          <w:sz w:val="24"/>
          <w:highlight w:val="none"/>
          <w:u w:val="none"/>
          <w:lang w:val="en-US" w:eastAsia="zh-CN"/>
        </w:rPr>
        <w:t>02</w:t>
      </w:r>
      <w:r>
        <w:rPr>
          <w:rFonts w:hint="eastAsia" w:ascii="宋体" w:hAnsi="宋体" w:cs="宋体"/>
          <w:b w:val="0"/>
          <w:bCs w:val="0"/>
          <w:color w:val="auto"/>
          <w:sz w:val="24"/>
          <w:highlight w:val="none"/>
          <w:u w:val="none"/>
        </w:rPr>
        <w:t>日</w:t>
      </w:r>
      <w:r>
        <w:rPr>
          <w:rFonts w:hint="eastAsia" w:ascii="宋体" w:hAnsi="宋体" w:cs="宋体"/>
          <w:b w:val="0"/>
          <w:bCs w:val="0"/>
          <w:color w:val="auto"/>
          <w:sz w:val="24"/>
          <w:highlight w:val="none"/>
          <w:u w:val="none"/>
          <w:lang w:val="en-US" w:eastAsia="zh-CN"/>
        </w:rPr>
        <w:t>08</w:t>
      </w:r>
      <w:r>
        <w:rPr>
          <w:rFonts w:hint="eastAsia" w:ascii="宋体" w:hAnsi="宋体" w:cs="宋体"/>
          <w:b w:val="0"/>
          <w:bCs w:val="0"/>
          <w:color w:val="auto"/>
          <w:sz w:val="24"/>
          <w:highlight w:val="none"/>
          <w:u w:val="none"/>
        </w:rPr>
        <w:t>时</w:t>
      </w:r>
      <w:r>
        <w:rPr>
          <w:rFonts w:hint="eastAsia" w:ascii="宋体" w:hAnsi="宋体" w:cs="宋体"/>
          <w:b w:val="0"/>
          <w:bCs w:val="0"/>
          <w:color w:val="auto"/>
          <w:sz w:val="24"/>
          <w:highlight w:val="none"/>
          <w:u w:val="none"/>
          <w:lang w:val="en-US" w:eastAsia="zh-CN"/>
        </w:rPr>
        <w:t>4</w:t>
      </w:r>
      <w:r>
        <w:rPr>
          <w:rFonts w:hint="eastAsia" w:ascii="宋体" w:hAnsi="宋体" w:cs="宋体"/>
          <w:b w:val="0"/>
          <w:bCs w:val="0"/>
          <w:color w:val="auto"/>
          <w:sz w:val="24"/>
          <w:highlight w:val="none"/>
          <w:u w:val="none"/>
        </w:rPr>
        <w:t>0分（北京时间）前递交投标文件。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3640480.00</w:t>
      </w:r>
      <w:r>
        <w:rPr>
          <w:rFonts w:hint="eastAsia" w:ascii="宋体" w:hAnsi="宋体" w:cs="宋体"/>
          <w:b w:val="0"/>
          <w:bCs w:val="0"/>
          <w:color w:val="auto"/>
          <w:sz w:val="24"/>
          <w:highlight w:val="none"/>
        </w:rPr>
        <w:t>元</w:t>
      </w:r>
    </w:p>
    <w:tbl>
      <w:tblPr>
        <w:tblStyle w:val="2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92"/>
        <w:gridCol w:w="1119"/>
        <w:gridCol w:w="1128"/>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1"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11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128"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1</w:t>
            </w:r>
          </w:p>
        </w:tc>
        <w:tc>
          <w:tcPr>
            <w:tcW w:w="1119"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包3</w:t>
            </w:r>
          </w:p>
        </w:tc>
        <w:tc>
          <w:tcPr>
            <w:tcW w:w="1128"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1000000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1000000</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5.4</w:t>
      </w:r>
      <w:r>
        <w:rPr>
          <w:rFonts w:hint="eastAsia" w:ascii="宋体" w:hAnsi="宋体" w:cs="宋体"/>
          <w:b w:val="0"/>
          <w:bCs w:val="0"/>
          <w:color w:val="auto"/>
          <w:sz w:val="24"/>
          <w:highlight w:val="none"/>
          <w:lang w:eastAsia="zh-CN"/>
        </w:rPr>
        <w:t>交货期：采用进口底盘投标的，自合同签订之日起120日历天，采用国产底盘投标的，自合同签订之日起90日历天；</w:t>
      </w:r>
      <w:bookmarkStart w:id="561" w:name="_GoBack"/>
      <w:bookmarkEnd w:id="56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投标人资格要求：投标人必须为所投车辆的生产企业（须提供承诺函），</w:t>
      </w:r>
      <w:r>
        <w:rPr>
          <w:rFonts w:hint="eastAsia" w:ascii="宋体" w:hAnsi="宋体" w:eastAsia="宋体" w:cs="宋体"/>
          <w:color w:val="auto"/>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8</w:t>
      </w:r>
      <w:r>
        <w:rPr>
          <w:rFonts w:hint="eastAsia" w:ascii="宋体" w:hAnsi="宋体" w:cs="宋体"/>
          <w:b w:val="0"/>
          <w:bCs w:val="0"/>
          <w:color w:val="auto"/>
          <w:kern w:val="0"/>
          <w:sz w:val="24"/>
          <w:szCs w:val="21"/>
          <w:highlight w:val="none"/>
        </w:rPr>
        <w:t xml:space="preserve"> 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01</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default"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rPr>
          <w:color w:val="auto"/>
          <w:highlight w:val="none"/>
        </w:rPr>
      </w:pP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7"/>
          <w:rFonts w:ascii="宋体" w:cs="宋体"/>
          <w:color w:val="auto"/>
          <w:highlight w:val="none"/>
        </w:rPr>
      </w:pPr>
      <w:bookmarkStart w:id="12" w:name="_Toc40112128"/>
      <w:bookmarkStart w:id="13" w:name="_Toc25086"/>
      <w:r>
        <w:rPr>
          <w:rStyle w:val="27"/>
          <w:rFonts w:ascii="宋体" w:cs="宋体"/>
          <w:color w:val="auto"/>
          <w:highlight w:val="none"/>
        </w:rPr>
        <w:br w:type="page"/>
      </w:r>
      <w:bookmarkStart w:id="14" w:name="_Toc4342"/>
      <w:bookmarkStart w:id="15" w:name="_Toc25487"/>
      <w:bookmarkStart w:id="16" w:name="_Toc25564"/>
      <w:r>
        <w:rPr>
          <w:rStyle w:val="27"/>
          <w:rFonts w:hint="eastAsia" w:ascii="宋体" w:hAnsi="宋体" w:cs="宋体"/>
          <w:color w:val="auto"/>
          <w:highlight w:val="none"/>
          <w:lang w:eastAsia="zh-CN"/>
        </w:rPr>
        <w:t>投标人</w:t>
      </w:r>
      <w:r>
        <w:rPr>
          <w:rStyle w:val="27"/>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7"/>
          <w:rFonts w:ascii="宋体" w:hAnsi="Arial" w:cs="宋体"/>
          <w:b/>
          <w:bCs/>
          <w:color w:val="auto"/>
          <w:szCs w:val="32"/>
          <w:highlight w:val="none"/>
        </w:rPr>
      </w:pPr>
      <w:bookmarkStart w:id="17" w:name="_Toc8960"/>
      <w:bookmarkStart w:id="18" w:name="_Toc9954"/>
      <w:bookmarkStart w:id="19" w:name="_Toc14706"/>
      <w:bookmarkStart w:id="20" w:name="_Toc2805"/>
      <w:bookmarkStart w:id="21" w:name="_Toc40112129"/>
      <w:r>
        <w:rPr>
          <w:rStyle w:val="27"/>
          <w:rFonts w:hint="eastAsia" w:ascii="宋体" w:hAnsi="宋体" w:cs="宋体"/>
          <w:b/>
          <w:bCs/>
          <w:color w:val="auto"/>
          <w:szCs w:val="32"/>
          <w:highlight w:val="none"/>
          <w:lang w:eastAsia="zh-CN"/>
        </w:rPr>
        <w:t>投标人</w:t>
      </w:r>
      <w:r>
        <w:rPr>
          <w:rStyle w:val="27"/>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3"/>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4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49"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0375-</w:t>
            </w:r>
            <w:r>
              <w:rPr>
                <w:rFonts w:hint="eastAsia" w:ascii="宋体" w:hAnsi="宋体" w:eastAsia="宋体" w:cs="宋体"/>
                <w:color w:val="auto"/>
                <w:sz w:val="24"/>
                <w:szCs w:val="24"/>
                <w:highlight w:val="none"/>
              </w:rPr>
              <w:t xml:space="preserve">3325025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50"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49" w:type="pct"/>
            <w:vAlign w:val="center"/>
          </w:tcPr>
          <w:p>
            <w:pPr>
              <w:widowControl/>
              <w:adjustRightInd w:val="0"/>
              <w:snapToGrid w:val="0"/>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项目编号：平采招标-2024-35</w:t>
            </w:r>
          </w:p>
          <w:p>
            <w:pPr>
              <w:widowControl/>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3640480.00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b w:val="0"/>
                <w:bCs w:val="0"/>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49"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top"/>
          </w:tcPr>
          <w:p>
            <w:pPr>
              <w:pStyle w:val="33"/>
              <w:spacing w:before="311" w:line="18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1.6.2</w:t>
            </w:r>
          </w:p>
        </w:tc>
        <w:tc>
          <w:tcPr>
            <w:tcW w:w="4449" w:type="pct"/>
            <w:vAlign w:val="center"/>
          </w:tcPr>
          <w:p>
            <w:pPr>
              <w:pStyle w:val="33"/>
              <w:spacing w:before="39" w:line="467"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技术支持资料： 提供相关证明资料(如第三方检测报告、公开发行的彩页或者生产厂商出具尽可能详细的技术参数文件)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49" w:type="pct"/>
            <w:vAlign w:val="center"/>
          </w:tcPr>
          <w:p>
            <w:pPr>
              <w:adjustRightInd w:val="0"/>
              <w:snapToGrid w:val="0"/>
              <w:spacing w:line="360" w:lineRule="auto"/>
              <w:jc w:val="both"/>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numPr>
                <w:ilvl w:val="0"/>
                <w:numId w:val="2"/>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投标人需在投标文件中提供投标产品4张以上整车图片（正前方、左、右前方45度角，后侧）及有关设计图纸。</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中标后，生产前，需提供详尽设计图纸及生产实施方案，待甲方确认后方可生产。</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样品或抽样送检费用由中标人承担，不计入中标合同数量及金额。</w:t>
            </w:r>
          </w:p>
          <w:p>
            <w:pPr>
              <w:numPr>
                <w:ilvl w:val="0"/>
                <w:numId w:val="0"/>
              </w:numPr>
              <w:autoSpaceDE w:val="0"/>
              <w:autoSpaceDN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4.质保期内投标人应按照合同约定到产品使用单位，开展技术巡检和售后服务。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49" w:type="pct"/>
            <w:vAlign w:val="center"/>
          </w:tcPr>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49"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49" w:type="pct"/>
            <w:vAlign w:val="center"/>
          </w:tcPr>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履约保证金的金额：中标金额的5%</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r>
              <w:rPr>
                <w:rFonts w:hint="eastAsia" w:ascii="宋体" w:hAnsi="宋体" w:eastAsia="宋体" w:cs="宋体"/>
                <w:color w:val="auto"/>
                <w:spacing w:val="-3"/>
                <w:sz w:val="24"/>
                <w:szCs w:val="24"/>
                <w:highlight w:val="none"/>
              </w:rPr>
              <w:t>履约保证金的提交形式：①转账及法律法规规定的其他形式②如乙方采用保函形式缴纳履约保证金的，则乙方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③履约保证金（履约保函等）期限：提交之日起至验收合格之日起的第366天止。 ④无论履约保证金、独立保函是否退还，采购人或采购人用户随时都有权对由中标人生产的尚未使用且在质量保证期内的产品发生的质量问题向乙方主张索赔。</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履约保证金期限：提交之日起至全部货物到货验收合格之日起的第366天止。 </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所投车辆尾气排放选用国六排放标准。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投标人交车时（整车）必须是已取得中华人民共和国工业和信息化部发布的对应车型《道路机动车辆生产企业及产品公告》的合格产品（须提供工信部官方查询平台查询截图和网址链接），并在投标文件中进行承诺。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所投车辆（整车）交车验收时需取得办理车辆产权（含上牌）所必需的一切手续资料，应符合现行国家专用汽车的相关要求。否则，采购方有权按照投标人虚假投标处理，解除合同、扣除履约保证金，并收回预付款，拉入企业黑名单，并向上级部门上报相关情况；其它未尽事宜，按国家有关法律、法规执行。投标人应作出声明，提供承诺（格式详见第七章投标文件格式）。投标人所提供的所有技术及商务证明材料需真实有效，若提供虚假文件将追究相关法律责任。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投标语言：中文，投标人提供的外文资料应附有相应的中文译本。投标文件应按照招标文件规定格式填写，内容完整，不得出现关键字迹模糊、 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有上述第 1 至 </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c>
          <w:tcPr>
            <w:tcW w:w="4449" w:type="pct"/>
            <w:vAlign w:val="center"/>
          </w:tcPr>
          <w:p>
            <w:pPr>
              <w:pStyle w:val="28"/>
              <w:numPr>
                <w:ilvl w:val="0"/>
                <w:numId w:val="3"/>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8"/>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8"/>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pStyle w:val="28"/>
              <w:spacing w:line="360" w:lineRule="auto"/>
              <w:ind w:left="28" w:leftChars="0" w:right="-72"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本项目为远程不见面开标方式，远程开标大厅为</w:t>
            </w:r>
            <w:r>
              <w:rPr>
                <w:rFonts w:hint="eastAsia" w:ascii="宋体" w:hAnsi="宋体" w:eastAsia="宋体" w:cs="宋体"/>
                <w:b w:val="0"/>
                <w:bCs w:val="0"/>
                <w:color w:val="auto"/>
                <w:sz w:val="24"/>
                <w:szCs w:val="24"/>
                <w:highlight w:val="none"/>
                <w:lang w:val="en-US" w:eastAsia="zh-CN"/>
              </w:rPr>
              <w:t>http://ggzy.pds.gov.cn/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应在投标截止时间前登录远程开标大厅，在线准时参加开标活动并进行投标文件解密等。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无需到交易中心现场参加开标会议。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.5</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6</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7</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8</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9</w:t>
            </w:r>
          </w:p>
        </w:tc>
        <w:tc>
          <w:tcPr>
            <w:tcW w:w="4449" w:type="pct"/>
            <w:vAlign w:val="center"/>
          </w:tcPr>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10</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1</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bCs/>
                <w:color w:val="auto"/>
                <w:sz w:val="24"/>
                <w:szCs w:val="24"/>
                <w:highlight w:val="none"/>
              </w:rPr>
              <w:t>可同时中标不同产品多个标包。同一产品划分多个标包的，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可同时参与多个标包投标，但只允许中取一个标包</w:t>
            </w:r>
            <w:r>
              <w:rPr>
                <w:rFonts w:hint="eastAsia" w:ascii="宋体" w:hAnsi="宋体" w:eastAsia="宋体" w:cs="宋体"/>
                <w:color w:val="auto"/>
                <w:sz w:val="24"/>
                <w:szCs w:val="24"/>
                <w:highlight w:val="none"/>
              </w:rPr>
              <w:t>（若同一投标人在多个包中综合得分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中国农业银行郑州商都支行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val="en-US" w:eastAsia="zh-CN"/>
              </w:rPr>
              <w:t>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3</w:t>
            </w:r>
          </w:p>
        </w:tc>
        <w:tc>
          <w:tcPr>
            <w:tcW w:w="4449"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8.15</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投标人在制作电子投标文件时，开标一览表</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8.16</w:t>
            </w:r>
          </w:p>
        </w:tc>
        <w:tc>
          <w:tcPr>
            <w:tcW w:w="4449" w:type="pct"/>
            <w:vAlign w:val="center"/>
          </w:tcPr>
          <w:p>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1、招标文件中带“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 w:val="24"/>
                <w:szCs w:val="24"/>
                <w:highlight w:val="none"/>
              </w:rPr>
              <w:t>”条款为实质性要求，供应商必须满足，如不满足，将导致无效投标或投标不予接受。</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jc w:val="both"/>
        <w:rPr>
          <w:rFonts w:hint="eastAsia" w:ascii="宋体" w:hAnsi="宋体" w:eastAsia="宋体" w:cs="宋体"/>
          <w:color w:val="auto"/>
          <w:sz w:val="24"/>
          <w:szCs w:val="24"/>
          <w:highlight w:val="none"/>
        </w:rPr>
        <w:sectPr>
          <w:footerReference r:id="rId7"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5" w:charSpace="0"/>
        </w:sectPr>
      </w:pPr>
    </w:p>
    <w:p>
      <w:pPr>
        <w:numPr>
          <w:ilvl w:val="0"/>
          <w:numId w:val="0"/>
        </w:numPr>
        <w:spacing w:line="400" w:lineRule="exact"/>
        <w:outlineLvl w:val="1"/>
        <w:rPr>
          <w:rFonts w:ascii="宋体" w:cs="宋体"/>
          <w:color w:val="auto"/>
          <w:sz w:val="24"/>
          <w:highlight w:val="none"/>
        </w:rPr>
      </w:pPr>
      <w:bookmarkStart w:id="22" w:name="_Toc15365"/>
      <w:bookmarkStart w:id="23" w:name="_Toc19997"/>
      <w:bookmarkStart w:id="24" w:name="_Toc17929"/>
      <w:bookmarkStart w:id="25" w:name="_Toc3925"/>
      <w:bookmarkStart w:id="26" w:name="_Toc40112130"/>
      <w:r>
        <w:rPr>
          <w:rStyle w:val="29"/>
          <w:rFonts w:hint="eastAsia"/>
          <w:color w:val="auto"/>
          <w:sz w:val="21"/>
          <w:szCs w:val="21"/>
          <w:highlight w:val="none"/>
        </w:rPr>
        <w:t>总则</w:t>
      </w:r>
      <w:bookmarkEnd w:id="22"/>
      <w:bookmarkEnd w:id="23"/>
      <w:bookmarkEnd w:id="24"/>
      <w:bookmarkEnd w:id="25"/>
      <w:bookmarkEnd w:id="26"/>
    </w:p>
    <w:p>
      <w:pPr>
        <w:numPr>
          <w:ilvl w:val="1"/>
          <w:numId w:val="4"/>
        </w:numPr>
        <w:spacing w:line="400" w:lineRule="exact"/>
        <w:ind w:firstLine="422" w:firstLineChars="200"/>
        <w:rPr>
          <w:rFonts w:ascii="宋体" w:cs="宋体"/>
          <w:b/>
          <w:bCs/>
          <w:color w:val="auto"/>
          <w:highlight w:val="none"/>
        </w:rPr>
      </w:pPr>
      <w:bookmarkStart w:id="27" w:name="_Toc4828"/>
      <w:bookmarkStart w:id="28" w:name="_Toc14496"/>
      <w:bookmarkStart w:id="29" w:name="_Toc28200"/>
      <w:bookmarkStart w:id="30" w:name="_Toc5358"/>
      <w:bookmarkStart w:id="31" w:name="_Toc2081"/>
      <w:bookmarkStart w:id="32" w:name="_Toc28377"/>
      <w:bookmarkStart w:id="33" w:name="_Toc15062"/>
      <w:bookmarkStart w:id="34" w:name="_Toc2427"/>
      <w:bookmarkStart w:id="35" w:name="_Toc30513"/>
      <w:bookmarkStart w:id="36" w:name="_Toc20743"/>
      <w:bookmarkStart w:id="37" w:name="_Toc30432"/>
      <w:r>
        <w:rPr>
          <w:rFonts w:hint="eastAsia" w:ascii="宋体" w:hAnsi="宋体" w:cs="宋体"/>
          <w:b/>
          <w:bCs/>
          <w:color w:val="auto"/>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本招标文件仅适用于本次所述的货物及其伴随的服务采购。</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本招标文件的解释权归采购人所有。</w:t>
      </w:r>
    </w:p>
    <w:p>
      <w:pPr>
        <w:numPr>
          <w:ilvl w:val="1"/>
          <w:numId w:val="4"/>
        </w:numPr>
        <w:spacing w:line="400" w:lineRule="exact"/>
        <w:ind w:firstLine="422" w:firstLineChars="200"/>
        <w:rPr>
          <w:rFonts w:ascii="宋体" w:cs="宋体"/>
          <w:b/>
          <w:bCs/>
          <w:color w:val="auto"/>
          <w:highlight w:val="none"/>
        </w:rPr>
      </w:pPr>
      <w:bookmarkStart w:id="38" w:name="_Toc29424"/>
      <w:bookmarkStart w:id="39" w:name="_Toc19192"/>
      <w:bookmarkStart w:id="40" w:name="_Toc18955"/>
      <w:bookmarkStart w:id="41" w:name="_Toc16716"/>
      <w:r>
        <w:rPr>
          <w:rFonts w:hint="eastAsia" w:ascii="宋体" w:hAnsi="宋体" w:cs="宋体"/>
          <w:b/>
          <w:bCs/>
          <w:color w:val="auto"/>
          <w:highlight w:val="none"/>
        </w:rPr>
        <w:t>招标项目概况</w:t>
      </w:r>
      <w:bookmarkEnd w:id="38"/>
      <w:bookmarkEnd w:id="39"/>
      <w:bookmarkEnd w:id="40"/>
      <w:bookmarkEnd w:id="41"/>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须知前附表中所述的、依法进行政府采购的国家机关、事业单位、团体组织。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采购代理机构：受采购人委托组织招标活动，在招标过程中负有相应责任的社会中介组织。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项目编号及项目名称：见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本次采购内容：见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资金来源及预算金额：见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交货地点：见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质保期：见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质量要求：见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资格要求：详见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不接受联合体投标。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不得存在下列情形之一：</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为采购人不具有独立法人资格的附属机构（单位）；</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不得相互串通损害国家利益、社会公共利益和其他当事人的合法权益；不得以任何手段排斥其他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参与竞争；</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不得以向采购人行贿或者采取其他不正当手段谋取非法利益；</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为本项目提供招标代理服务的；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被责令停业的；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被暂停或取消投标资格的；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财产被接管或冻结的；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在最近三年内有骗取中标或严重违约或重大质量问题的。</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中标人：接到并接受中标通知，最终被授予合同的供应商。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根据招标文件提交的所有文件。</w:t>
      </w:r>
    </w:p>
    <w:p>
      <w:pPr>
        <w:numPr>
          <w:ilvl w:val="1"/>
          <w:numId w:val="4"/>
        </w:numPr>
        <w:spacing w:line="400" w:lineRule="exact"/>
        <w:ind w:firstLine="422" w:firstLineChars="200"/>
        <w:rPr>
          <w:rFonts w:ascii="宋体" w:cs="宋体"/>
          <w:b/>
          <w:bCs/>
          <w:color w:val="auto"/>
          <w:highlight w:val="none"/>
        </w:rPr>
      </w:pPr>
      <w:bookmarkStart w:id="42" w:name="_Toc9501"/>
      <w:bookmarkStart w:id="43" w:name="_Toc8166"/>
      <w:bookmarkStart w:id="44" w:name="_Toc4927"/>
      <w:bookmarkStart w:id="45" w:name="_Toc25850"/>
      <w:r>
        <w:rPr>
          <w:rFonts w:hint="eastAsia" w:ascii="宋体" w:hAnsi="宋体" w:cs="宋体"/>
          <w:b/>
          <w:bCs/>
          <w:color w:val="auto"/>
          <w:highlight w:val="none"/>
        </w:rPr>
        <w:t>投标费用</w:t>
      </w:r>
      <w:bookmarkEnd w:id="42"/>
      <w:bookmarkEnd w:id="43"/>
      <w:bookmarkEnd w:id="44"/>
      <w:bookmarkEnd w:id="45"/>
    </w:p>
    <w:p>
      <w:pPr>
        <w:numPr>
          <w:ilvl w:val="2"/>
          <w:numId w:val="4"/>
        </w:numPr>
        <w:adjustRightInd w:val="0"/>
        <w:snapToGrid w:val="0"/>
        <w:spacing w:line="400" w:lineRule="exact"/>
        <w:ind w:firstLine="420" w:firstLineChars="200"/>
        <w:rPr>
          <w:rFonts w:ascii="宋体" w:cs="宋体"/>
          <w:color w:val="auto"/>
          <w:szCs w:val="21"/>
          <w:highlight w:val="none"/>
        </w:rPr>
      </w:pPr>
      <w:bookmarkStart w:id="46" w:name="_Toc22953398"/>
      <w:bookmarkEnd w:id="46"/>
      <w:bookmarkStart w:id="47" w:name="_Toc312133544"/>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准备和参加投标活动发生的费用自理。</w:t>
      </w:r>
    </w:p>
    <w:p>
      <w:pPr>
        <w:numPr>
          <w:ilvl w:val="1"/>
          <w:numId w:val="4"/>
        </w:numPr>
        <w:spacing w:line="400" w:lineRule="exact"/>
        <w:ind w:firstLine="422" w:firstLineChars="200"/>
        <w:rPr>
          <w:rFonts w:ascii="宋体" w:cs="宋体"/>
          <w:b/>
          <w:bCs/>
          <w:color w:val="auto"/>
          <w:highlight w:val="none"/>
        </w:rPr>
      </w:pPr>
      <w:bookmarkStart w:id="48" w:name="_Toc13179"/>
      <w:bookmarkStart w:id="49" w:name="_Toc12301"/>
      <w:bookmarkStart w:id="50" w:name="_Toc23865"/>
      <w:bookmarkStart w:id="51" w:name="_Toc27047"/>
      <w:bookmarkStart w:id="52" w:name="_Toc18613"/>
      <w:bookmarkStart w:id="53" w:name="_Toc31440"/>
      <w:bookmarkStart w:id="54" w:name="_Toc13660"/>
      <w:bookmarkStart w:id="55" w:name="_Toc1130"/>
      <w:bookmarkStart w:id="56" w:name="_Toc28577"/>
      <w:bookmarkStart w:id="57" w:name="_Toc30990"/>
      <w:bookmarkStart w:id="58" w:name="_Toc28829"/>
      <w:r>
        <w:rPr>
          <w:rFonts w:hint="eastAsia" w:ascii="宋体" w:hAnsi="宋体" w:cs="宋体"/>
          <w:b/>
          <w:bCs/>
          <w:color w:val="auto"/>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现场考察：</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前附表规定组织现场考察的，采购人按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前附表规定的时间、地点组织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考察项目现场。部分</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未按时参加现场考察的，不影响现场考察的正常进行。</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现场考察发生的费用自理。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除采购人的原因外，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自行负责在现场考察中所发生的人员伤亡和财产损失。</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采购人在现场考察中介绍的项目场地和相关的周边环境情况，供</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在编制投标文件时参考，采购人不对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据此作出的判断和决策负责。</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答疑会：见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1"/>
          <w:numId w:val="4"/>
        </w:numPr>
        <w:spacing w:line="400" w:lineRule="exact"/>
        <w:ind w:firstLine="422" w:firstLineChars="200"/>
        <w:rPr>
          <w:rFonts w:ascii="宋体" w:cs="宋体"/>
          <w:b/>
          <w:bCs/>
          <w:color w:val="auto"/>
          <w:highlight w:val="none"/>
        </w:rPr>
      </w:pPr>
      <w:bookmarkStart w:id="59" w:name="_Toc10737"/>
      <w:bookmarkStart w:id="60" w:name="_Toc9561"/>
      <w:bookmarkStart w:id="61" w:name="_Toc6051"/>
      <w:bookmarkStart w:id="62" w:name="_Toc26711"/>
      <w:bookmarkStart w:id="63" w:name="_Toc8265"/>
      <w:bookmarkStart w:id="64" w:name="_Toc28493"/>
      <w:bookmarkStart w:id="65" w:name="_Toc20467"/>
      <w:bookmarkStart w:id="66" w:name="_Toc27635"/>
      <w:bookmarkStart w:id="67" w:name="_Toc7448"/>
      <w:bookmarkStart w:id="68" w:name="_Toc11040"/>
      <w:bookmarkStart w:id="69" w:name="_Toc9110"/>
      <w:r>
        <w:rPr>
          <w:rFonts w:hint="eastAsia" w:ascii="宋体" w:hAnsi="宋体" w:cs="宋体"/>
          <w:b/>
          <w:bCs/>
          <w:color w:val="auto"/>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不允许分包</w:t>
      </w:r>
    </w:p>
    <w:p>
      <w:pPr>
        <w:numPr>
          <w:ilvl w:val="1"/>
          <w:numId w:val="4"/>
        </w:numPr>
        <w:spacing w:line="400" w:lineRule="exact"/>
        <w:ind w:firstLine="422" w:firstLineChars="200"/>
        <w:rPr>
          <w:rFonts w:ascii="宋体" w:cs="宋体"/>
          <w:b/>
          <w:bCs/>
          <w:color w:val="auto"/>
          <w:highlight w:val="none"/>
        </w:rPr>
      </w:pPr>
      <w:bookmarkStart w:id="70" w:name="_Toc31207"/>
      <w:bookmarkStart w:id="71" w:name="_Toc2167"/>
      <w:bookmarkStart w:id="72" w:name="_Toc10914"/>
      <w:bookmarkStart w:id="73" w:name="_Toc9963"/>
      <w:bookmarkStart w:id="74" w:name="_Toc21582"/>
      <w:bookmarkStart w:id="75" w:name="_Toc6977"/>
      <w:bookmarkStart w:id="76" w:name="_Toc28651"/>
      <w:bookmarkStart w:id="77" w:name="_Toc18743"/>
      <w:bookmarkStart w:id="78" w:name="_Toc11954"/>
      <w:bookmarkStart w:id="79" w:name="_Toc26863"/>
      <w:bookmarkStart w:id="80" w:name="_Toc26753"/>
      <w:bookmarkStart w:id="81" w:name="_Toc20874"/>
      <w:bookmarkStart w:id="82" w:name="_Toc6725"/>
      <w:r>
        <w:rPr>
          <w:rFonts w:hint="eastAsia" w:ascii="宋体" w:hAnsi="宋体" w:cs="宋体"/>
          <w:b/>
          <w:bCs/>
          <w:color w:val="auto"/>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投标文件应当对招标文件的实质性要求和条件作出响应，实质性要求和条件见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投标文件中应针对实质性要求和条件中列明的技术要求提供技术支持资料。技术支持资料以制造商公开发布的产品说明书，或检测机构</w:t>
      </w:r>
      <w:r>
        <w:rPr>
          <w:rFonts w:hint="eastAsia" w:ascii="宋体" w:hAnsi="宋体" w:cs="宋体"/>
          <w:color w:val="auto"/>
          <w:spacing w:val="-2"/>
          <w:kern w:val="0"/>
          <w:szCs w:val="21"/>
          <w:highlight w:val="none"/>
        </w:rPr>
        <w:t>出具的检测报告或检验报告，</w:t>
      </w:r>
      <w:r>
        <w:rPr>
          <w:rFonts w:hint="eastAsia" w:ascii="宋体" w:hAnsi="宋体" w:cs="宋体"/>
          <w:color w:val="auto"/>
          <w:kern w:val="0"/>
          <w:szCs w:val="21"/>
          <w:highlight w:val="none"/>
        </w:rPr>
        <w:t>或其他相关证明材料为准，不符合前述要求的，视为无技术支持资料。</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前附表允许投标文件偏离招标文件某些要求的，偏差应当符合招标文件规定的偏差范围和幅度。</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件对招标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件的全部偏差，均应在</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标文件</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商务和技术偏</w:t>
      </w:r>
      <w:r>
        <w:rPr>
          <w:rFonts w:hint="eastAsia" w:ascii="宋体" w:hAnsi="宋体" w:cs="宋体"/>
          <w:color w:val="auto"/>
          <w:spacing w:val="-2"/>
          <w:kern w:val="0"/>
          <w:szCs w:val="21"/>
          <w:highlight w:val="none"/>
        </w:rPr>
        <w:t>差</w:t>
      </w:r>
      <w:r>
        <w:rPr>
          <w:rFonts w:hint="eastAsia" w:ascii="宋体" w:hAnsi="宋体" w:cs="宋体"/>
          <w:color w:val="auto"/>
          <w:kern w:val="0"/>
          <w:szCs w:val="21"/>
          <w:highlight w:val="none"/>
        </w:rPr>
        <w:t>表中列明，除列明</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容</w:t>
      </w:r>
      <w:r>
        <w:rPr>
          <w:rFonts w:hint="eastAsia" w:ascii="宋体" w:hAnsi="宋体" w:cs="宋体"/>
          <w:color w:val="auto"/>
          <w:kern w:val="0"/>
          <w:szCs w:val="21"/>
          <w:highlight w:val="none"/>
        </w:rPr>
        <w:t>外</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视</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响</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招</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全</w:t>
      </w:r>
      <w:r>
        <w:rPr>
          <w:rFonts w:hint="eastAsia" w:ascii="宋体" w:hAnsi="宋体" w:cs="宋体"/>
          <w:color w:val="auto"/>
          <w:kern w:val="0"/>
          <w:szCs w:val="21"/>
          <w:highlight w:val="none"/>
        </w:rPr>
        <w:t>部</w:t>
      </w:r>
      <w:r>
        <w:rPr>
          <w:rFonts w:hint="eastAsia" w:ascii="宋体" w:hAnsi="宋体" w:cs="宋体"/>
          <w:color w:val="auto"/>
          <w:spacing w:val="-2"/>
          <w:kern w:val="0"/>
          <w:szCs w:val="21"/>
          <w:highlight w:val="none"/>
        </w:rPr>
        <w:t>要</w:t>
      </w:r>
      <w:r>
        <w:rPr>
          <w:rFonts w:hint="eastAsia" w:ascii="宋体" w:hAnsi="宋体" w:cs="宋体"/>
          <w:color w:val="auto"/>
          <w:kern w:val="0"/>
          <w:szCs w:val="21"/>
          <w:highlight w:val="none"/>
        </w:rPr>
        <w:t>求。</w:t>
      </w:r>
    </w:p>
    <w:p>
      <w:pPr>
        <w:numPr>
          <w:ilvl w:val="1"/>
          <w:numId w:val="4"/>
        </w:numPr>
        <w:spacing w:line="400" w:lineRule="exact"/>
        <w:ind w:firstLine="422" w:firstLineChars="200"/>
        <w:rPr>
          <w:rFonts w:ascii="宋体" w:cs="宋体"/>
          <w:b/>
          <w:bCs/>
          <w:color w:val="auto"/>
          <w:highlight w:val="none"/>
        </w:rPr>
      </w:pPr>
      <w:r>
        <w:rPr>
          <w:rFonts w:hint="eastAsia" w:ascii="宋体" w:hAnsi="宋体" w:cs="宋体"/>
          <w:b/>
          <w:bCs/>
          <w:color w:val="auto"/>
          <w:highlight w:val="none"/>
        </w:rPr>
        <w:t>质量把控</w:t>
      </w:r>
    </w:p>
    <w:p>
      <w:pPr>
        <w:spacing w:line="400" w:lineRule="exact"/>
        <w:ind w:firstLine="420" w:firstLineChars="200"/>
        <w:rPr>
          <w:rFonts w:ascii="宋体" w:cs="宋体"/>
          <w:color w:val="auto"/>
          <w:highlight w:val="none"/>
        </w:rPr>
      </w:pPr>
      <w:r>
        <w:rPr>
          <w:rFonts w:hint="eastAsia" w:ascii="宋体" w:hAnsi="宋体" w:cs="宋体"/>
          <w:color w:val="auto"/>
          <w:highlight w:val="none"/>
        </w:rPr>
        <w:t>详见</w:t>
      </w:r>
      <w:r>
        <w:rPr>
          <w:rFonts w:hint="eastAsia" w:ascii="宋体" w:hAnsi="宋体" w:cs="宋体"/>
          <w:color w:val="auto"/>
          <w:highlight w:val="none"/>
          <w:lang w:eastAsia="zh-CN"/>
        </w:rPr>
        <w:t>投标人须知</w:t>
      </w:r>
      <w:r>
        <w:rPr>
          <w:rFonts w:hint="eastAsia" w:ascii="宋体" w:hAnsi="宋体" w:cs="宋体"/>
          <w:color w:val="auto"/>
          <w:highlight w:val="none"/>
        </w:rPr>
        <w:t>前附表。</w:t>
      </w:r>
    </w:p>
    <w:p>
      <w:pPr>
        <w:numPr>
          <w:ilvl w:val="1"/>
          <w:numId w:val="4"/>
        </w:numPr>
        <w:spacing w:line="400" w:lineRule="exact"/>
        <w:ind w:firstLine="422" w:firstLineChars="200"/>
        <w:rPr>
          <w:rFonts w:ascii="宋体" w:cs="宋体"/>
          <w:b/>
          <w:bCs/>
          <w:color w:val="auto"/>
          <w:highlight w:val="none"/>
        </w:rPr>
      </w:pPr>
      <w:bookmarkStart w:id="83" w:name="_Toc29855"/>
      <w:bookmarkStart w:id="84" w:name="_Toc9588"/>
      <w:bookmarkStart w:id="85" w:name="_Toc25924"/>
      <w:bookmarkStart w:id="86" w:name="_Toc15630"/>
      <w:bookmarkStart w:id="87" w:name="_Toc5477"/>
      <w:bookmarkStart w:id="88" w:name="_Toc16595"/>
      <w:bookmarkStart w:id="89" w:name="_Toc12963"/>
      <w:bookmarkStart w:id="90" w:name="_Toc14740"/>
      <w:bookmarkStart w:id="91" w:name="_Toc9147"/>
      <w:bookmarkStart w:id="92" w:name="_Toc11845"/>
      <w:bookmarkStart w:id="93" w:name="_Toc29202"/>
      <w:r>
        <w:rPr>
          <w:rFonts w:hint="eastAsia" w:ascii="宋体" w:hAnsi="宋体" w:cs="宋体"/>
          <w:b/>
          <w:bCs/>
          <w:color w:val="auto"/>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招标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言</w:t>
      </w:r>
      <w:r>
        <w:rPr>
          <w:rFonts w:hint="eastAsia" w:ascii="宋体" w:hAnsi="宋体" w:cs="宋体"/>
          <w:color w:val="auto"/>
          <w:kern w:val="0"/>
          <w:szCs w:val="21"/>
          <w:highlight w:val="none"/>
        </w:rPr>
        <w:t>文字</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rPr>
        <w:t>中</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专</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术</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用外</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应</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有</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注</w:t>
      </w:r>
      <w:r>
        <w:rPr>
          <w:rFonts w:hint="eastAsia" w:ascii="宋体" w:hAnsi="宋体" w:cs="宋体"/>
          <w:color w:val="auto"/>
          <w:kern w:val="0"/>
          <w:szCs w:val="21"/>
          <w:highlight w:val="none"/>
        </w:rPr>
        <w:t>释</w:t>
      </w:r>
      <w:r>
        <w:rPr>
          <w:rFonts w:hint="eastAsia" w:ascii="宋体" w:hAnsi="宋体" w:cs="宋体"/>
          <w:color w:val="auto"/>
          <w:szCs w:val="21"/>
          <w:highlight w:val="none"/>
        </w:rPr>
        <w:t>。</w:t>
      </w:r>
    </w:p>
    <w:p>
      <w:pPr>
        <w:numPr>
          <w:ilvl w:val="1"/>
          <w:numId w:val="4"/>
        </w:numPr>
        <w:spacing w:line="400" w:lineRule="exact"/>
        <w:ind w:firstLine="422" w:firstLineChars="200"/>
        <w:rPr>
          <w:rFonts w:ascii="宋体" w:cs="宋体"/>
          <w:b/>
          <w:bCs/>
          <w:color w:val="auto"/>
          <w:highlight w:val="none"/>
        </w:rPr>
      </w:pPr>
      <w:bookmarkStart w:id="94" w:name="_Toc14186"/>
      <w:bookmarkStart w:id="95" w:name="_Toc7785"/>
      <w:bookmarkStart w:id="96" w:name="_Toc30395"/>
      <w:bookmarkStart w:id="97" w:name="_Toc22466"/>
      <w:bookmarkStart w:id="98" w:name="_Toc9167"/>
      <w:bookmarkStart w:id="99" w:name="_Toc5019"/>
      <w:bookmarkStart w:id="100" w:name="_Toc22605"/>
      <w:bookmarkStart w:id="101" w:name="_Toc21374"/>
      <w:bookmarkStart w:id="102" w:name="_Toc20418"/>
      <w:bookmarkStart w:id="103" w:name="_Toc14812"/>
      <w:bookmarkStart w:id="104" w:name="_Toc19599"/>
      <w:r>
        <w:rPr>
          <w:rFonts w:hint="eastAsia" w:ascii="宋体" w:hAnsi="宋体" w:cs="宋体"/>
          <w:b/>
          <w:bCs/>
          <w:color w:val="auto"/>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除在招标文件的技术文件中另有规定外，计量单位均使用中华人民共和国法定计量标准单位。</w:t>
      </w:r>
    </w:p>
    <w:p>
      <w:pPr>
        <w:numPr>
          <w:ilvl w:val="1"/>
          <w:numId w:val="4"/>
        </w:numPr>
        <w:spacing w:line="400" w:lineRule="exact"/>
        <w:ind w:firstLine="422" w:firstLineChars="200"/>
        <w:rPr>
          <w:rFonts w:ascii="宋体" w:cs="宋体"/>
          <w:color w:val="auto"/>
          <w:szCs w:val="21"/>
          <w:highlight w:val="none"/>
        </w:rPr>
      </w:pPr>
      <w:bookmarkStart w:id="105" w:name="_Toc4326"/>
      <w:bookmarkStart w:id="106" w:name="_Toc23957"/>
      <w:bookmarkStart w:id="107" w:name="_Toc26769"/>
      <w:bookmarkStart w:id="108" w:name="_Toc15754"/>
      <w:bookmarkStart w:id="109" w:name="_Toc16602"/>
      <w:bookmarkStart w:id="110" w:name="_Toc19923"/>
      <w:bookmarkStart w:id="111" w:name="_Toc2806"/>
      <w:bookmarkStart w:id="112" w:name="_Toc12071"/>
      <w:bookmarkStart w:id="113" w:name="_Toc10045"/>
      <w:bookmarkStart w:id="114" w:name="_Toc24747"/>
      <w:bookmarkStart w:id="115" w:name="_Toc23880"/>
      <w:r>
        <w:rPr>
          <w:rFonts w:hint="eastAsia" w:ascii="宋体" w:hAnsi="宋体" w:cs="宋体"/>
          <w:b/>
          <w:bCs/>
          <w:color w:val="auto"/>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400" w:lineRule="exact"/>
        <w:ind w:left="420" w:leftChars="200"/>
        <w:rPr>
          <w:rFonts w:ascii="宋体" w:cs="宋体"/>
          <w:color w:val="auto"/>
          <w:szCs w:val="21"/>
          <w:highlight w:val="none"/>
        </w:rPr>
      </w:pPr>
      <w:r>
        <w:rPr>
          <w:rFonts w:hint="eastAsia" w:ascii="宋体" w:hAnsi="宋体" w:cs="宋体"/>
          <w:color w:val="auto"/>
          <w:szCs w:val="21"/>
          <w:highlight w:val="none"/>
        </w:rPr>
        <w:t>除非另有规定，</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提供的所有服务用人民币报价。</w:t>
      </w:r>
    </w:p>
    <w:p>
      <w:pPr>
        <w:numPr>
          <w:ilvl w:val="1"/>
          <w:numId w:val="4"/>
        </w:numPr>
        <w:spacing w:line="400" w:lineRule="exact"/>
        <w:ind w:firstLine="422" w:firstLineChars="200"/>
        <w:rPr>
          <w:rFonts w:ascii="宋体" w:cs="宋体"/>
          <w:b/>
          <w:bCs/>
          <w:color w:val="auto"/>
          <w:highlight w:val="none"/>
        </w:rPr>
      </w:pPr>
      <w:bookmarkStart w:id="116" w:name="_Toc28184"/>
      <w:bookmarkStart w:id="117" w:name="_Toc141"/>
      <w:bookmarkStart w:id="118" w:name="_Toc32032"/>
      <w:bookmarkStart w:id="119" w:name="_Toc12030"/>
      <w:bookmarkStart w:id="120" w:name="_Toc19335"/>
      <w:bookmarkStart w:id="121" w:name="_Toc4030"/>
      <w:bookmarkStart w:id="122" w:name="_Toc11598"/>
      <w:bookmarkStart w:id="123" w:name="_Toc31058"/>
      <w:bookmarkStart w:id="124" w:name="_Toc26021"/>
      <w:bookmarkStart w:id="125" w:name="_Toc29095"/>
      <w:bookmarkStart w:id="126" w:name="_Toc14764"/>
      <w:bookmarkStart w:id="127" w:name="_Toc16853"/>
      <w:bookmarkStart w:id="128" w:name="_Toc24561"/>
      <w:r>
        <w:rPr>
          <w:rFonts w:hint="eastAsia" w:ascii="宋体" w:hAnsi="宋体" w:cs="宋体"/>
          <w:b/>
          <w:bCs/>
          <w:color w:val="auto"/>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numPr>
          <w:ilvl w:val="0"/>
          <w:numId w:val="6"/>
        </w:numPr>
        <w:spacing w:line="400" w:lineRule="exact"/>
        <w:ind w:firstLine="422" w:firstLineChars="200"/>
        <w:outlineLvl w:val="1"/>
        <w:rPr>
          <w:rStyle w:val="29"/>
          <w:color w:val="auto"/>
          <w:sz w:val="21"/>
          <w:szCs w:val="21"/>
          <w:highlight w:val="none"/>
        </w:rPr>
      </w:pPr>
      <w:bookmarkStart w:id="129" w:name="_Toc6378"/>
      <w:bookmarkStart w:id="130" w:name="_Toc40112131"/>
      <w:bookmarkStart w:id="131" w:name="_Toc12581"/>
      <w:bookmarkStart w:id="132" w:name="_Toc20563"/>
      <w:bookmarkStart w:id="133" w:name="_Toc11800"/>
      <w:r>
        <w:rPr>
          <w:rStyle w:val="29"/>
          <w:rFonts w:hint="eastAsia"/>
          <w:color w:val="auto"/>
          <w:sz w:val="21"/>
          <w:szCs w:val="21"/>
          <w:highlight w:val="none"/>
        </w:rPr>
        <w:t>招标文件</w:t>
      </w:r>
      <w:bookmarkEnd w:id="47"/>
      <w:bookmarkEnd w:id="129"/>
      <w:bookmarkEnd w:id="130"/>
      <w:bookmarkEnd w:id="131"/>
      <w:bookmarkEnd w:id="132"/>
      <w:bookmarkEnd w:id="133"/>
    </w:p>
    <w:p>
      <w:pPr>
        <w:numPr>
          <w:ilvl w:val="1"/>
          <w:numId w:val="6"/>
        </w:numPr>
        <w:spacing w:line="400" w:lineRule="exact"/>
        <w:ind w:firstLine="422" w:firstLineChars="200"/>
        <w:rPr>
          <w:rFonts w:ascii="宋体" w:cs="宋体"/>
          <w:b/>
          <w:bCs/>
          <w:color w:val="auto"/>
          <w:highlight w:val="none"/>
        </w:rPr>
      </w:pPr>
      <w:bookmarkStart w:id="134" w:name="_Toc3764"/>
      <w:bookmarkStart w:id="135" w:name="_Toc20524"/>
      <w:bookmarkStart w:id="136" w:name="_Toc14801"/>
      <w:bookmarkStart w:id="137" w:name="_Toc8008"/>
      <w:r>
        <w:rPr>
          <w:rFonts w:hint="eastAsia" w:ascii="宋体" w:hAnsi="宋体" w:cs="宋体"/>
          <w:b/>
          <w:bCs/>
          <w:color w:val="auto"/>
          <w:highlight w:val="none"/>
        </w:rPr>
        <w:t>招标文件的构成</w:t>
      </w:r>
      <w:bookmarkEnd w:id="134"/>
      <w:bookmarkEnd w:id="135"/>
      <w:bookmarkEnd w:id="136"/>
      <w:bookmarkEnd w:id="137"/>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招标文件用以阐明本次招标的货物和服务要求、招标投标程序和合同条件。</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招标文件由下述部分组成：</w:t>
      </w:r>
      <w:r>
        <w:rPr>
          <w:rFonts w:ascii="宋体" w:hAnsi="宋体" w:eastAsia="宋体" w:cs="宋体"/>
          <w:color w:val="auto"/>
          <w:sz w:val="21"/>
          <w:szCs w:val="21"/>
          <w:highlight w:val="none"/>
        </w:rPr>
        <w:t xml:space="preserve"> </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招标公告</w:t>
      </w:r>
    </w:p>
    <w:p>
      <w:pPr>
        <w:pStyle w:val="19"/>
        <w:tabs>
          <w:tab w:val="left" w:pos="720"/>
          <w:tab w:val="left" w:pos="1080"/>
        </w:tabs>
        <w:adjustRightInd w:val="0"/>
        <w:snapToGrid w:val="0"/>
        <w:spacing w:line="400" w:lineRule="exact"/>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投标人须知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资格审查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评标办法（综合评分法）</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招标项目需求及技术要求</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投标文件格式</w:t>
      </w:r>
    </w:p>
    <w:p>
      <w:pPr>
        <w:numPr>
          <w:ilvl w:val="2"/>
          <w:numId w:val="6"/>
        </w:numPr>
        <w:adjustRightInd w:val="0"/>
        <w:snapToGrid w:val="0"/>
        <w:spacing w:line="400" w:lineRule="exact"/>
        <w:ind w:firstLine="420" w:firstLineChars="200"/>
        <w:rPr>
          <w:rFonts w:ascii="宋体" w:cs="宋体"/>
          <w:color w:val="auto"/>
          <w:sz w:val="24"/>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应仔细阅读招标文件中</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合同条款的所有事项、格式要求和技术规范，按招标文件的要求提供投标文件，并保证所提供的全部资料的真实性，以使其投标对招标文件做出实质性响应，否则，将承担其投标被拒绝或认定为投标无效的风险。</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制作投标文件时应充分完整理解招标文件的整体要求。</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根据本章第</w:t>
      </w:r>
      <w:r>
        <w:rPr>
          <w:rFonts w:ascii="宋体" w:hAnsi="宋体" w:cs="宋体"/>
          <w:color w:val="auto"/>
          <w:szCs w:val="21"/>
          <w:highlight w:val="none"/>
        </w:rPr>
        <w:t>1.4</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款对招标文件所做的澄清和修改，构成招标文件的组成部分。</w:t>
      </w:r>
    </w:p>
    <w:p>
      <w:pPr>
        <w:numPr>
          <w:ilvl w:val="1"/>
          <w:numId w:val="6"/>
        </w:numPr>
        <w:spacing w:line="400" w:lineRule="exact"/>
        <w:ind w:firstLine="422" w:firstLineChars="200"/>
        <w:rPr>
          <w:rFonts w:ascii="宋体" w:cs="宋体"/>
          <w:b/>
          <w:bCs/>
          <w:color w:val="auto"/>
          <w:highlight w:val="none"/>
        </w:rPr>
      </w:pPr>
      <w:bookmarkStart w:id="138" w:name="_Toc23431"/>
      <w:bookmarkStart w:id="139" w:name="_Toc3408"/>
      <w:bookmarkStart w:id="140" w:name="_Toc6978"/>
      <w:bookmarkStart w:id="141" w:name="_Toc7923"/>
      <w:r>
        <w:rPr>
          <w:rFonts w:hint="eastAsia" w:ascii="宋体" w:hAnsi="宋体" w:cs="宋体"/>
          <w:b/>
          <w:bCs/>
          <w:color w:val="auto"/>
          <w:highlight w:val="none"/>
        </w:rPr>
        <w:t>招标文件的澄清</w:t>
      </w:r>
      <w:bookmarkEnd w:id="138"/>
      <w:bookmarkEnd w:id="139"/>
      <w:bookmarkEnd w:id="140"/>
      <w:bookmarkEnd w:id="14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应仔细阅读和检查招标文件的全部内容。如发现缺页或附件不全，应及时向采购人提出，以便补齐。如有疑问，应按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前附表规定的时间和形式将提出的问题送达采购人，要求采购人对招标文件予以澄清。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招标文件的澄清以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前附表规定的形式发给所有购买招标文件的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，但不指明澄清问题的来源。澄清发出的时间距本章第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日的，并且澄清内容可能影响投标文件编制的，将相应延长投标截止时间。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在收到澄清后，应按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除非采购人认为确有必要答复，否则，采购人有权拒绝回复</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在本章第</w:t>
      </w:r>
      <w:r>
        <w:rPr>
          <w:rFonts w:ascii="宋体" w:hAnsi="宋体" w:cs="宋体"/>
          <w:color w:val="auto"/>
          <w:szCs w:val="21"/>
          <w:highlight w:val="none"/>
        </w:rPr>
        <w:t xml:space="preserve"> 2.2.1 </w:t>
      </w:r>
      <w:r>
        <w:rPr>
          <w:rFonts w:hint="eastAsia" w:ascii="宋体" w:hAnsi="宋体" w:cs="宋体"/>
          <w:color w:val="auto"/>
          <w:szCs w:val="21"/>
          <w:highlight w:val="none"/>
        </w:rPr>
        <w:t>项规定的时间后的任何澄清要求。在规定的时间内未提出疑问的，将被视为对招标文件完全认可。</w:t>
      </w:r>
    </w:p>
    <w:p>
      <w:pPr>
        <w:numPr>
          <w:ilvl w:val="1"/>
          <w:numId w:val="6"/>
        </w:numPr>
        <w:spacing w:line="400" w:lineRule="exact"/>
        <w:ind w:firstLine="422" w:firstLineChars="200"/>
        <w:rPr>
          <w:rFonts w:ascii="宋体" w:cs="宋体"/>
          <w:b/>
          <w:bCs/>
          <w:color w:val="auto"/>
          <w:highlight w:val="none"/>
        </w:rPr>
      </w:pPr>
      <w:bookmarkStart w:id="142" w:name="_Toc12162"/>
      <w:bookmarkStart w:id="143" w:name="_Toc25801"/>
      <w:bookmarkStart w:id="144" w:name="_Toc28742"/>
      <w:bookmarkStart w:id="145" w:name="_Toc32510"/>
      <w:r>
        <w:rPr>
          <w:rFonts w:hint="eastAsia" w:ascii="宋体" w:hAnsi="宋体" w:cs="宋体"/>
          <w:b/>
          <w:bCs/>
          <w:color w:val="auto"/>
          <w:highlight w:val="none"/>
        </w:rPr>
        <w:t>招标文件的修改</w:t>
      </w:r>
      <w:bookmarkEnd w:id="142"/>
      <w:bookmarkEnd w:id="143"/>
      <w:bookmarkEnd w:id="144"/>
      <w:bookmarkEnd w:id="14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采购人或采购代理机构可以对已发出的招标文件进行必要的修改，但不得改变采购标的和资格条件，修改的内容为招标文件的组成部分。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前附表规定的形式修改招标文件，并通知所有已购买招标文件的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。修改招标文件的时间距本章第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日的，并且修改内容可能影响投标文件编制的，将相应延长投标截止时间。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收到修改内容后，应按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前附表规定的时间和形式通知采购人，确认已收到该修改。</w:t>
      </w:r>
    </w:p>
    <w:p>
      <w:pPr>
        <w:numPr>
          <w:ilvl w:val="0"/>
          <w:numId w:val="6"/>
        </w:numPr>
        <w:spacing w:line="400" w:lineRule="exact"/>
        <w:ind w:firstLine="422" w:firstLineChars="200"/>
        <w:outlineLvl w:val="1"/>
        <w:rPr>
          <w:rStyle w:val="29"/>
          <w:color w:val="auto"/>
          <w:sz w:val="21"/>
          <w:szCs w:val="21"/>
          <w:highlight w:val="none"/>
        </w:rPr>
      </w:pPr>
      <w:bookmarkStart w:id="146" w:name="_Toc312133545"/>
      <w:bookmarkStart w:id="147" w:name="_Toc23680"/>
      <w:bookmarkStart w:id="148" w:name="_Toc40112132"/>
      <w:bookmarkStart w:id="149" w:name="_Toc22882"/>
      <w:bookmarkStart w:id="150" w:name="_Toc26472"/>
      <w:bookmarkStart w:id="151" w:name="_Toc18538"/>
      <w:r>
        <w:rPr>
          <w:rStyle w:val="29"/>
          <w:rFonts w:hint="eastAsia"/>
          <w:color w:val="auto"/>
          <w:sz w:val="21"/>
          <w:szCs w:val="21"/>
          <w:highlight w:val="none"/>
        </w:rPr>
        <w:t>投标文件的编写</w:t>
      </w:r>
      <w:bookmarkEnd w:id="146"/>
      <w:bookmarkEnd w:id="147"/>
      <w:bookmarkEnd w:id="148"/>
      <w:bookmarkEnd w:id="149"/>
      <w:bookmarkEnd w:id="150"/>
      <w:bookmarkEnd w:id="151"/>
    </w:p>
    <w:p>
      <w:pPr>
        <w:numPr>
          <w:ilvl w:val="1"/>
          <w:numId w:val="6"/>
        </w:numPr>
        <w:spacing w:line="400" w:lineRule="exact"/>
        <w:ind w:firstLine="422" w:firstLineChars="200"/>
        <w:rPr>
          <w:rFonts w:ascii="宋体" w:cs="宋体"/>
          <w:b/>
          <w:bCs/>
          <w:color w:val="auto"/>
          <w:highlight w:val="none"/>
        </w:rPr>
      </w:pPr>
      <w:bookmarkStart w:id="152" w:name="_Toc27498"/>
      <w:bookmarkStart w:id="153" w:name="_Toc9605"/>
      <w:bookmarkStart w:id="154" w:name="_Toc21879"/>
      <w:bookmarkStart w:id="155" w:name="_Toc17436"/>
      <w:r>
        <w:rPr>
          <w:rFonts w:hint="eastAsia" w:ascii="宋体" w:hAnsi="宋体" w:cs="宋体"/>
          <w:b/>
          <w:bCs/>
          <w:color w:val="auto"/>
          <w:highlight w:val="none"/>
        </w:rPr>
        <w:t>投标文件的组成</w:t>
      </w:r>
      <w:bookmarkEnd w:id="152"/>
      <w:bookmarkEnd w:id="153"/>
      <w:bookmarkEnd w:id="154"/>
      <w:bookmarkEnd w:id="15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投标文件包括下列部分：详见第七章投标文件格式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投标文件应按招标文件中投标文件格式编写。</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招标文件中的每个分包，是项目招标不可拆分的最小投标单元，</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必须按此分包编制投标文件，提交相应的文件资料，拆包投标将视为漏项或非实质性响应予以认定为投标无效。</w:t>
      </w:r>
    </w:p>
    <w:p>
      <w:pPr>
        <w:numPr>
          <w:ilvl w:val="1"/>
          <w:numId w:val="6"/>
        </w:numPr>
        <w:spacing w:line="400" w:lineRule="exact"/>
        <w:ind w:firstLine="422" w:firstLineChars="200"/>
        <w:rPr>
          <w:rFonts w:ascii="宋体" w:cs="宋体"/>
          <w:b/>
          <w:bCs/>
          <w:color w:val="auto"/>
          <w:highlight w:val="none"/>
        </w:rPr>
      </w:pPr>
      <w:bookmarkStart w:id="156" w:name="_Toc1833"/>
      <w:bookmarkStart w:id="157" w:name="_Toc4941"/>
      <w:bookmarkStart w:id="158" w:name="_Toc2826"/>
      <w:bookmarkStart w:id="159" w:name="_Toc32754"/>
      <w:r>
        <w:rPr>
          <w:rFonts w:hint="eastAsia" w:ascii="宋体" w:hAnsi="宋体" w:cs="宋体"/>
          <w:b/>
          <w:bCs/>
          <w:color w:val="auto"/>
          <w:highlight w:val="none"/>
        </w:rPr>
        <w:t>投标报价</w:t>
      </w:r>
      <w:bookmarkEnd w:id="156"/>
      <w:bookmarkEnd w:id="157"/>
      <w:bookmarkEnd w:id="158"/>
      <w:bookmarkEnd w:id="159"/>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应按照招标文件提供的报价明细表格式填写提供各项货物及服务的单价、分项总价和总投标价。</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根据上述规定所作分项报价的目的只是为了评标时对投标文件进行比较的方便，但并不限制采购人订立合同的权力。</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投标报价应完全包括招标文件规定的全部货物及其伴随的服务范围，不得任意分割或合并所规定的货物及其伴随的服务分项。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对每种货物只允许有一个报价，采购人和采购代理机构不接受有任何选择报价的投标。</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不得以任何理由在</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6"/>
        </w:numPr>
        <w:spacing w:line="400" w:lineRule="exact"/>
        <w:ind w:firstLine="422" w:firstLineChars="200"/>
        <w:rPr>
          <w:rFonts w:ascii="宋体" w:cs="宋体"/>
          <w:b/>
          <w:bCs/>
          <w:color w:val="auto"/>
          <w:highlight w:val="none"/>
        </w:rPr>
      </w:pPr>
      <w:bookmarkStart w:id="160" w:name="_Toc28543"/>
      <w:bookmarkStart w:id="161" w:name="_Toc26916"/>
      <w:bookmarkStart w:id="162" w:name="_Toc31023"/>
      <w:bookmarkStart w:id="163" w:name="_Toc25999"/>
      <w:r>
        <w:rPr>
          <w:rFonts w:hint="eastAsia" w:ascii="宋体" w:hAnsi="宋体" w:cs="宋体"/>
          <w:b/>
          <w:bCs/>
          <w:color w:val="auto"/>
          <w:highlight w:val="none"/>
          <w:lang w:eastAsia="zh-CN"/>
        </w:rPr>
        <w:t>投标人</w:t>
      </w:r>
      <w:r>
        <w:rPr>
          <w:rFonts w:hint="eastAsia" w:ascii="宋体" w:hAnsi="宋体" w:cs="宋体"/>
          <w:b/>
          <w:bCs/>
          <w:color w:val="auto"/>
          <w:highlight w:val="none"/>
        </w:rPr>
        <w:t>资格的证明文件</w:t>
      </w:r>
      <w:bookmarkEnd w:id="160"/>
      <w:bookmarkEnd w:id="161"/>
      <w:bookmarkEnd w:id="162"/>
      <w:bookmarkEnd w:id="163"/>
    </w:p>
    <w:p>
      <w:pPr>
        <w:adjustRightInd w:val="0"/>
        <w:snapToGrid w:val="0"/>
        <w:spacing w:line="400" w:lineRule="exact"/>
        <w:ind w:firstLine="420" w:firstLineChars="200"/>
        <w:rPr>
          <w:rFonts w:ascii="宋体" w:cs="宋体"/>
          <w:color w:val="auto"/>
          <w:szCs w:val="21"/>
          <w:highlight w:val="none"/>
        </w:rPr>
      </w:pPr>
      <w:bookmarkStart w:id="164" w:name="_Toc28461"/>
      <w:bookmarkStart w:id="165" w:name="_Toc30002"/>
      <w:r>
        <w:rPr>
          <w:rFonts w:hint="eastAsia" w:ascii="宋体" w:hAnsi="宋体" w:cs="宋体"/>
          <w:color w:val="auto"/>
          <w:szCs w:val="21"/>
          <w:highlight w:val="none"/>
        </w:rPr>
        <w:t>依据</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前附表中的要求提交相应的资格证明文件，作为投标文件资格审查的一部分，以证明其有资格进行投标和有能力履行合同。</w:t>
      </w:r>
    </w:p>
    <w:p>
      <w:pPr>
        <w:numPr>
          <w:ilvl w:val="1"/>
          <w:numId w:val="6"/>
        </w:numPr>
        <w:spacing w:line="400" w:lineRule="exact"/>
        <w:ind w:firstLine="422" w:firstLineChars="200"/>
        <w:rPr>
          <w:rFonts w:ascii="宋体" w:cs="宋体"/>
          <w:b/>
          <w:bCs/>
          <w:color w:val="auto"/>
          <w:highlight w:val="none"/>
        </w:rPr>
      </w:pPr>
      <w:bookmarkStart w:id="166" w:name="_Toc7564"/>
      <w:bookmarkStart w:id="167" w:name="_Toc13866"/>
      <w:r>
        <w:rPr>
          <w:rFonts w:hint="eastAsia" w:ascii="宋体" w:hAnsi="宋体" w:cs="宋体"/>
          <w:b/>
          <w:bCs/>
          <w:color w:val="auto"/>
          <w:highlight w:val="none"/>
          <w:lang w:eastAsia="zh-CN"/>
        </w:rPr>
        <w:t>投标人</w:t>
      </w:r>
      <w:r>
        <w:rPr>
          <w:rFonts w:hint="eastAsia" w:ascii="宋体" w:hAnsi="宋体" w:cs="宋体"/>
          <w:b/>
          <w:bCs/>
          <w:color w:val="auto"/>
          <w:highlight w:val="none"/>
        </w:rPr>
        <w:t>技术证明文件</w:t>
      </w:r>
      <w:bookmarkEnd w:id="164"/>
      <w:bookmarkEnd w:id="165"/>
      <w:bookmarkEnd w:id="166"/>
      <w:bookmarkEnd w:id="167"/>
    </w:p>
    <w:p>
      <w:pPr>
        <w:numPr>
          <w:ilvl w:val="2"/>
          <w:numId w:val="6"/>
        </w:numPr>
        <w:adjustRightInd w:val="0"/>
        <w:snapToGrid w:val="0"/>
        <w:spacing w:line="400" w:lineRule="exact"/>
        <w:ind w:firstLine="420" w:firstLineChars="200"/>
        <w:rPr>
          <w:rFonts w:ascii="宋体" w:cs="宋体"/>
          <w:color w:val="auto"/>
          <w:szCs w:val="21"/>
          <w:highlight w:val="none"/>
        </w:rPr>
      </w:pPr>
      <w:bookmarkStart w:id="168" w:name="_Toc26009"/>
      <w:bookmarkStart w:id="169" w:name="_Toc14418"/>
      <w:bookmarkStart w:id="170" w:name="_Toc26473"/>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应提交证明其拟供货物及伴随服务符合招标文件规定的技术响应文件，作为投标文件的一部分。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在投标文件中应说明各项货物名称、数量、单价、规格型号等。</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证明文件可以是文字资料、图纸和数据。</w:t>
      </w:r>
    </w:p>
    <w:p>
      <w:pPr>
        <w:numPr>
          <w:ilvl w:val="1"/>
          <w:numId w:val="6"/>
        </w:numPr>
        <w:spacing w:line="400" w:lineRule="exact"/>
        <w:ind w:firstLine="422" w:firstLineChars="200"/>
        <w:rPr>
          <w:rFonts w:ascii="宋体" w:cs="宋体"/>
          <w:b/>
          <w:bCs/>
          <w:color w:val="auto"/>
          <w:highlight w:val="none"/>
        </w:rPr>
      </w:pPr>
      <w:bookmarkStart w:id="171" w:name="_Toc20716"/>
      <w:r>
        <w:rPr>
          <w:rFonts w:hint="eastAsia" w:ascii="宋体" w:hAnsi="宋体" w:cs="宋体"/>
          <w:b/>
          <w:bCs/>
          <w:color w:val="auto"/>
          <w:highlight w:val="none"/>
        </w:rPr>
        <w:t>投标保证金</w:t>
      </w:r>
      <w:bookmarkEnd w:id="168"/>
      <w:bookmarkEnd w:id="169"/>
      <w:bookmarkEnd w:id="170"/>
      <w:bookmarkEnd w:id="17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根据豫财购【</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号文要求，不再收取投标保证金。</w:t>
      </w:r>
    </w:p>
    <w:p>
      <w:pPr>
        <w:numPr>
          <w:ilvl w:val="1"/>
          <w:numId w:val="6"/>
        </w:numPr>
        <w:spacing w:line="400" w:lineRule="exact"/>
        <w:ind w:firstLine="422" w:firstLineChars="200"/>
        <w:rPr>
          <w:rFonts w:ascii="宋体" w:cs="宋体"/>
          <w:b/>
          <w:bCs/>
          <w:color w:val="auto"/>
          <w:highlight w:val="none"/>
        </w:rPr>
      </w:pPr>
      <w:bookmarkStart w:id="172" w:name="_Toc11749"/>
      <w:bookmarkStart w:id="173" w:name="_Toc29010"/>
      <w:bookmarkStart w:id="174" w:name="_Toc878"/>
      <w:bookmarkStart w:id="175" w:name="_Toc11525"/>
      <w:r>
        <w:rPr>
          <w:rFonts w:hint="eastAsia" w:ascii="宋体" w:hAnsi="宋体" w:cs="宋体"/>
          <w:b/>
          <w:bCs/>
          <w:color w:val="auto"/>
          <w:highlight w:val="none"/>
        </w:rPr>
        <w:t>投标有效期</w:t>
      </w:r>
      <w:bookmarkEnd w:id="172"/>
      <w:bookmarkEnd w:id="173"/>
      <w:bookmarkEnd w:id="174"/>
      <w:bookmarkEnd w:id="17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投标有效期见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前附表，从递交投标文件的截止之日起算。投标有效期内</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不得要求撤销投标文件。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投标文件应自递交投标文件的截止之日起，在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前附表规定的时间内保持有效。投标有效期不足的将被视为非响应投标而予以拒绝。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在特殊情况下，在原投标有效期截止之前，采购人和采购代理机构可征求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同意延长投标有效期。这种要求与答复均应以书面形式提交。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可以拒绝这种要求。同意延期的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将不会被要求也不允许修改其投标。</w:t>
      </w:r>
    </w:p>
    <w:p>
      <w:pPr>
        <w:numPr>
          <w:ilvl w:val="1"/>
          <w:numId w:val="6"/>
        </w:numPr>
        <w:spacing w:line="400" w:lineRule="exact"/>
        <w:ind w:firstLine="422" w:firstLineChars="200"/>
        <w:rPr>
          <w:rFonts w:ascii="宋体" w:cs="宋体"/>
          <w:b/>
          <w:bCs/>
          <w:color w:val="auto"/>
          <w:highlight w:val="none"/>
        </w:rPr>
      </w:pPr>
      <w:bookmarkStart w:id="176" w:name="_Toc25251"/>
      <w:bookmarkStart w:id="177" w:name="_Toc5773"/>
      <w:bookmarkStart w:id="178" w:name="_Toc10777"/>
      <w:bookmarkStart w:id="179" w:name="_Toc9753"/>
      <w:r>
        <w:rPr>
          <w:rFonts w:hint="eastAsia" w:ascii="宋体" w:hAnsi="宋体" w:cs="宋体"/>
          <w:b/>
          <w:bCs/>
          <w:color w:val="auto"/>
          <w:highlight w:val="none"/>
        </w:rPr>
        <w:t>投标文件编制</w:t>
      </w:r>
      <w:bookmarkEnd w:id="176"/>
      <w:bookmarkEnd w:id="177"/>
      <w:bookmarkEnd w:id="178"/>
      <w:bookmarkEnd w:id="179"/>
    </w:p>
    <w:p>
      <w:pPr>
        <w:numPr>
          <w:ilvl w:val="2"/>
          <w:numId w:val="6"/>
        </w:numPr>
        <w:adjustRightInd w:val="0"/>
        <w:snapToGrid w:val="0"/>
        <w:spacing w:line="400" w:lineRule="exact"/>
        <w:ind w:firstLine="420" w:firstLineChars="200"/>
        <w:rPr>
          <w:rFonts w:ascii="宋体" w:cs="宋体"/>
          <w:color w:val="auto"/>
          <w:szCs w:val="21"/>
          <w:highlight w:val="none"/>
        </w:rPr>
      </w:pPr>
      <w:bookmarkStart w:id="180" w:name="_Toc312133546"/>
      <w:r>
        <w:rPr>
          <w:rFonts w:hint="eastAsia" w:ascii="宋体" w:hAnsi="宋体" w:cs="宋体"/>
          <w:color w:val="auto"/>
          <w:szCs w:val="21"/>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投标文件应当对招标文件有关投标有效期、招标范围等实质性内容作出响应。</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任何行间插字、涂改和增删，必须由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法定代表人或其委托代理人在旁边签字或加盖公章后有效。</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电报、电传和传真投标文件一律不接受。</w:t>
      </w:r>
    </w:p>
    <w:p>
      <w:pPr>
        <w:numPr>
          <w:ilvl w:val="0"/>
          <w:numId w:val="6"/>
        </w:numPr>
        <w:spacing w:line="400" w:lineRule="exact"/>
        <w:ind w:firstLine="422" w:firstLineChars="200"/>
        <w:outlineLvl w:val="1"/>
        <w:rPr>
          <w:rStyle w:val="29"/>
          <w:color w:val="auto"/>
          <w:sz w:val="21"/>
          <w:szCs w:val="21"/>
          <w:highlight w:val="none"/>
        </w:rPr>
      </w:pPr>
      <w:bookmarkStart w:id="181" w:name="_Toc18954"/>
      <w:bookmarkStart w:id="182" w:name="_Toc40112133"/>
      <w:bookmarkStart w:id="183" w:name="_Toc26693"/>
      <w:bookmarkStart w:id="184" w:name="_Toc25147"/>
      <w:bookmarkStart w:id="185" w:name="_Toc5919"/>
      <w:r>
        <w:rPr>
          <w:rStyle w:val="29"/>
          <w:rFonts w:hint="eastAsia"/>
          <w:color w:val="auto"/>
          <w:sz w:val="21"/>
          <w:szCs w:val="21"/>
          <w:highlight w:val="none"/>
        </w:rPr>
        <w:t>投标</w:t>
      </w:r>
      <w:bookmarkEnd w:id="180"/>
      <w:bookmarkEnd w:id="181"/>
      <w:bookmarkEnd w:id="182"/>
      <w:bookmarkEnd w:id="183"/>
      <w:bookmarkEnd w:id="184"/>
      <w:bookmarkEnd w:id="185"/>
    </w:p>
    <w:p>
      <w:pPr>
        <w:numPr>
          <w:ilvl w:val="1"/>
          <w:numId w:val="6"/>
        </w:numPr>
        <w:spacing w:line="400" w:lineRule="exact"/>
        <w:ind w:firstLine="422" w:firstLineChars="200"/>
        <w:rPr>
          <w:rFonts w:ascii="宋体" w:cs="宋体"/>
          <w:b/>
          <w:bCs/>
          <w:color w:val="auto"/>
          <w:highlight w:val="none"/>
        </w:rPr>
      </w:pPr>
      <w:bookmarkStart w:id="186" w:name="_Toc23777"/>
      <w:bookmarkStart w:id="187" w:name="_Toc24770"/>
      <w:bookmarkStart w:id="188" w:name="_Toc7201"/>
      <w:bookmarkStart w:id="189" w:name="_Toc2541"/>
      <w:bookmarkStart w:id="190" w:name="_Toc15515"/>
      <w:bookmarkStart w:id="191" w:name="_Toc7004"/>
      <w:bookmarkStart w:id="192" w:name="_Toc22690"/>
      <w:bookmarkStart w:id="193" w:name="_Toc25740"/>
      <w:bookmarkStart w:id="194" w:name="_Toc24089"/>
      <w:bookmarkStart w:id="195" w:name="_Toc17190"/>
      <w:bookmarkStart w:id="196" w:name="_Toc9486"/>
      <w:bookmarkStart w:id="197" w:name="_Toc312133547"/>
      <w:r>
        <w:rPr>
          <w:rFonts w:hint="eastAsia" w:ascii="宋体" w:hAnsi="宋体" w:cs="宋体"/>
          <w:b/>
          <w:bCs/>
          <w:color w:val="auto"/>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按照招标文件中格式的要求签字或盖章。</w:t>
      </w:r>
    </w:p>
    <w:p>
      <w:pPr>
        <w:numPr>
          <w:ilvl w:val="1"/>
          <w:numId w:val="6"/>
        </w:numPr>
        <w:spacing w:line="400" w:lineRule="exact"/>
        <w:ind w:firstLine="422" w:firstLineChars="200"/>
        <w:rPr>
          <w:rFonts w:ascii="宋体" w:cs="宋体"/>
          <w:b/>
          <w:bCs/>
          <w:color w:val="auto"/>
          <w:highlight w:val="none"/>
        </w:rPr>
      </w:pPr>
      <w:bookmarkStart w:id="198" w:name="_Toc17234"/>
      <w:bookmarkStart w:id="199" w:name="_Toc27621"/>
      <w:bookmarkStart w:id="200" w:name="_Toc20161"/>
      <w:bookmarkStart w:id="201" w:name="_Toc10849"/>
      <w:bookmarkStart w:id="202" w:name="_Toc14647"/>
      <w:bookmarkStart w:id="203" w:name="_Toc8642"/>
      <w:bookmarkStart w:id="204" w:name="_Toc2882"/>
      <w:bookmarkStart w:id="205" w:name="_Toc17164"/>
      <w:bookmarkStart w:id="206" w:name="_Toc25206"/>
      <w:bookmarkStart w:id="207" w:name="_Toc28937"/>
      <w:bookmarkStart w:id="208" w:name="_Toc27859"/>
      <w:r>
        <w:rPr>
          <w:rFonts w:hint="eastAsia" w:ascii="宋体" w:hAnsi="宋体" w:cs="宋体"/>
          <w:b/>
          <w:bCs/>
          <w:color w:val="auto"/>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投标人须知</w:t>
      </w:r>
      <w:r>
        <w:rPr>
          <w:rFonts w:hint="eastAsia" w:ascii="宋体" w:hAnsi="宋体" w:cs="宋体"/>
          <w:color w:val="auto"/>
          <w:kern w:val="0"/>
          <w:szCs w:val="21"/>
          <w:highlight w:val="none"/>
        </w:rPr>
        <w:t>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电子投标文件的递交：</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应在投标截止时间前上传加密的电子投标文件到电子交易平台系统的指定位置。上传时必须得到电脑“上传成功”的确认。请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在上传时认真检查上传投标文件是否完整、正确。</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因交易中心投标系统问题无法上传电子投标文件时，请在工作时间与</w:t>
      </w:r>
      <w:r>
        <w:rPr>
          <w:rFonts w:hint="eastAsia" w:ascii="宋体" w:hAnsi="宋体" w:cs="宋体"/>
          <w:color w:val="auto"/>
          <w:szCs w:val="21"/>
          <w:highlight w:val="none"/>
          <w:lang w:eastAsia="zh-CN"/>
        </w:rPr>
        <w:t>《全国公共资源交易平台（河南省·平顶山市）》</w:t>
      </w:r>
      <w:r>
        <w:rPr>
          <w:rFonts w:hint="eastAsia" w:ascii="宋体" w:hAnsi="宋体" w:cs="宋体"/>
          <w:color w:val="auto"/>
          <w:szCs w:val="21"/>
          <w:highlight w:val="none"/>
        </w:rPr>
        <w:t>联系。</w:t>
      </w:r>
      <w:r>
        <w:rPr>
          <w:rFonts w:ascii="宋体" w:hAnsi="宋体" w:cs="宋体"/>
          <w:color w:val="auto"/>
          <w:szCs w:val="21"/>
          <w:highlight w:val="none"/>
        </w:rPr>
        <w:t xml:space="preserve"> </w:t>
      </w:r>
    </w:p>
    <w:p>
      <w:pPr>
        <w:numPr>
          <w:ilvl w:val="1"/>
          <w:numId w:val="6"/>
        </w:numPr>
        <w:spacing w:line="400" w:lineRule="exact"/>
        <w:ind w:firstLine="422" w:firstLineChars="200"/>
        <w:rPr>
          <w:rFonts w:ascii="宋体" w:cs="宋体"/>
          <w:b/>
          <w:bCs/>
          <w:color w:val="auto"/>
          <w:highlight w:val="none"/>
        </w:rPr>
      </w:pPr>
      <w:bookmarkStart w:id="209" w:name="_Toc23125"/>
      <w:bookmarkStart w:id="210" w:name="_Toc22212"/>
      <w:bookmarkStart w:id="211" w:name="_Toc7423"/>
      <w:bookmarkStart w:id="212" w:name="_Toc27900"/>
      <w:bookmarkStart w:id="213" w:name="_Toc19554"/>
      <w:bookmarkStart w:id="214" w:name="_Toc27084"/>
      <w:bookmarkStart w:id="215" w:name="_Toc32365"/>
      <w:bookmarkStart w:id="216" w:name="_Toc8025"/>
      <w:bookmarkStart w:id="217" w:name="_Toc13886"/>
      <w:bookmarkStart w:id="218" w:name="_Toc3471"/>
      <w:bookmarkStart w:id="219" w:name="_Toc31018"/>
      <w:r>
        <w:rPr>
          <w:rFonts w:hint="eastAsia" w:ascii="宋体" w:hAnsi="宋体" w:cs="宋体"/>
          <w:b/>
          <w:bCs/>
          <w:color w:val="auto"/>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6"/>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在本章第</w:t>
      </w:r>
      <w:r>
        <w:rPr>
          <w:rFonts w:ascii="宋体" w:hAnsi="宋体" w:cs="宋体"/>
          <w:color w:val="auto"/>
          <w:kern w:val="0"/>
          <w:szCs w:val="21"/>
          <w:highlight w:val="none"/>
        </w:rPr>
        <w:t>4.2.1</w:t>
      </w:r>
      <w:r>
        <w:rPr>
          <w:rFonts w:hint="eastAsia" w:ascii="宋体" w:hAnsi="宋体" w:cs="宋体"/>
          <w:color w:val="auto"/>
          <w:kern w:val="0"/>
          <w:szCs w:val="21"/>
          <w:highlight w:val="none"/>
        </w:rPr>
        <w:t>项规定的投标截止时间前，</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可以修改或撤回已上传的投标文件。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在投标截止时间之后，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不得对其投标文件做任何修改。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从投标截止时间至</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在投标文件中载明的投标有效期满期间，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不得撤回其投标文件。</w:t>
      </w:r>
    </w:p>
    <w:p>
      <w:pPr>
        <w:numPr>
          <w:ilvl w:val="0"/>
          <w:numId w:val="6"/>
        </w:numPr>
        <w:spacing w:line="400" w:lineRule="exact"/>
        <w:ind w:firstLine="422" w:firstLineChars="200"/>
        <w:outlineLvl w:val="1"/>
        <w:rPr>
          <w:rStyle w:val="29"/>
          <w:color w:val="auto"/>
          <w:sz w:val="21"/>
          <w:szCs w:val="21"/>
          <w:highlight w:val="none"/>
        </w:rPr>
      </w:pPr>
      <w:bookmarkStart w:id="220" w:name="_Toc17439"/>
      <w:bookmarkStart w:id="221" w:name="_Toc20910"/>
      <w:bookmarkStart w:id="222" w:name="_Toc29190"/>
      <w:bookmarkStart w:id="223" w:name="_Toc40112134"/>
      <w:bookmarkStart w:id="224" w:name="_Toc27025"/>
      <w:r>
        <w:rPr>
          <w:rStyle w:val="29"/>
          <w:rFonts w:hint="eastAsia"/>
          <w:color w:val="auto"/>
          <w:sz w:val="21"/>
          <w:szCs w:val="21"/>
          <w:highlight w:val="none"/>
        </w:rPr>
        <w:t>开标、资格审查与评标</w:t>
      </w:r>
      <w:bookmarkEnd w:id="197"/>
      <w:bookmarkEnd w:id="220"/>
      <w:bookmarkEnd w:id="221"/>
      <w:bookmarkEnd w:id="222"/>
      <w:bookmarkEnd w:id="223"/>
      <w:bookmarkEnd w:id="224"/>
    </w:p>
    <w:p>
      <w:pPr>
        <w:numPr>
          <w:ilvl w:val="1"/>
          <w:numId w:val="6"/>
        </w:numPr>
        <w:spacing w:line="400" w:lineRule="exact"/>
        <w:ind w:firstLine="422" w:firstLineChars="200"/>
        <w:rPr>
          <w:rFonts w:ascii="宋体" w:cs="宋体"/>
          <w:b/>
          <w:bCs/>
          <w:color w:val="auto"/>
          <w:highlight w:val="none"/>
        </w:rPr>
      </w:pPr>
      <w:bookmarkStart w:id="225" w:name="_Toc10372"/>
      <w:bookmarkStart w:id="226" w:name="_Toc3484"/>
      <w:bookmarkStart w:id="227" w:name="_Toc28821"/>
      <w:bookmarkStart w:id="228" w:name="_Toc24837"/>
      <w:bookmarkStart w:id="229" w:name="_Toc30917"/>
      <w:bookmarkStart w:id="230" w:name="_Toc21689"/>
      <w:bookmarkStart w:id="231" w:name="_Toc3802"/>
      <w:bookmarkStart w:id="232" w:name="_Toc1051"/>
      <w:bookmarkStart w:id="233" w:name="_Toc18834"/>
      <w:bookmarkStart w:id="234" w:name="_Toc10066"/>
      <w:bookmarkStart w:id="235" w:name="_Toc22058"/>
      <w:bookmarkStart w:id="236" w:name="_Toc312133548"/>
      <w:r>
        <w:rPr>
          <w:rFonts w:hint="eastAsia" w:ascii="宋体" w:hAnsi="宋体" w:cs="宋体"/>
          <w:b/>
          <w:bCs/>
          <w:color w:val="auto"/>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前附表中规定的时间和地点组织公开开标。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家的，不得开标。开标由采购代理机构主持，邀请所有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的法定代表人或委托代理人参加远程不见面开标会议。</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开标程序：</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bookmarkStart w:id="237" w:name="_Toc14761"/>
      <w:r>
        <w:rPr>
          <w:rFonts w:hint="eastAsia" w:ascii="宋体" w:hAnsi="宋体" w:cs="宋体"/>
          <w:color w:val="auto"/>
          <w:szCs w:val="21"/>
          <w:highlight w:val="none"/>
        </w:rPr>
        <w:t>公布投标人</w:t>
      </w:r>
      <w:bookmarkEnd w:id="237"/>
      <w:r>
        <w:rPr>
          <w:rFonts w:hint="eastAsia" w:ascii="宋体" w:hAnsi="宋体" w:cs="宋体"/>
          <w:color w:val="auto"/>
          <w:szCs w:val="21"/>
          <w:highlight w:val="none"/>
        </w:rPr>
        <w:t>（供应商）；</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bookmarkStart w:id="238" w:name="_Toc2651"/>
      <w:r>
        <w:rPr>
          <w:rFonts w:hint="eastAsia" w:ascii="宋体" w:hAnsi="宋体" w:cs="宋体"/>
          <w:color w:val="auto"/>
          <w:szCs w:val="21"/>
          <w:highlight w:val="none"/>
        </w:rPr>
        <w:t>投标人（供应商）解密</w:t>
      </w:r>
      <w:bookmarkEnd w:id="238"/>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）批量导入完成后，公布开标结果；</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bookmarkStart w:id="239" w:name="_Toc17366"/>
      <w:r>
        <w:rPr>
          <w:rFonts w:hint="eastAsia" w:ascii="宋体" w:hAnsi="宋体" w:cs="宋体"/>
          <w:color w:val="auto"/>
          <w:szCs w:val="21"/>
          <w:highlight w:val="none"/>
        </w:rPr>
        <w:t>异议答复</w:t>
      </w:r>
      <w:bookmarkEnd w:id="239"/>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）开标结束；</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代表提出的询问或者回避申请应当及时处理，并制作记录。</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未参加开标的，视同认可开标结果。</w:t>
      </w:r>
    </w:p>
    <w:p>
      <w:pPr>
        <w:numPr>
          <w:ilvl w:val="1"/>
          <w:numId w:val="6"/>
        </w:numPr>
        <w:spacing w:line="400" w:lineRule="exact"/>
        <w:ind w:firstLine="422" w:firstLineChars="200"/>
        <w:rPr>
          <w:rFonts w:ascii="宋体" w:cs="宋体"/>
          <w:b/>
          <w:bCs/>
          <w:color w:val="auto"/>
          <w:highlight w:val="none"/>
        </w:rPr>
      </w:pPr>
      <w:bookmarkStart w:id="240" w:name="_Toc22131"/>
      <w:bookmarkStart w:id="241" w:name="_Toc13168"/>
      <w:bookmarkStart w:id="242" w:name="_Toc11192"/>
      <w:bookmarkStart w:id="243" w:name="_Toc29955"/>
      <w:bookmarkStart w:id="244" w:name="_Toc22209"/>
      <w:bookmarkStart w:id="245" w:name="_Toc18862"/>
      <w:bookmarkStart w:id="246" w:name="_Toc29637"/>
      <w:bookmarkStart w:id="247" w:name="_Toc24277"/>
      <w:bookmarkStart w:id="248" w:name="_Toc29588"/>
      <w:bookmarkStart w:id="249" w:name="_Toc3031"/>
      <w:bookmarkStart w:id="250" w:name="_Toc29315"/>
      <w:r>
        <w:rPr>
          <w:rFonts w:hint="eastAsia" w:ascii="宋体" w:hAnsi="宋体" w:cs="宋体"/>
          <w:b/>
          <w:bCs/>
          <w:color w:val="auto"/>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开标结束后，采购代理机构应当依法对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的资格进行审查。合格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家的，不得评标。</w:t>
      </w:r>
    </w:p>
    <w:p>
      <w:pPr>
        <w:numPr>
          <w:ilvl w:val="1"/>
          <w:numId w:val="6"/>
        </w:numPr>
        <w:spacing w:line="400" w:lineRule="exact"/>
        <w:ind w:firstLine="422" w:firstLineChars="200"/>
        <w:rPr>
          <w:rFonts w:ascii="宋体" w:cs="宋体"/>
          <w:b/>
          <w:bCs/>
          <w:color w:val="auto"/>
          <w:highlight w:val="none"/>
        </w:rPr>
      </w:pPr>
      <w:bookmarkStart w:id="251" w:name="_Toc19513"/>
      <w:bookmarkStart w:id="252" w:name="_Toc32305"/>
      <w:bookmarkStart w:id="253" w:name="_Toc12598"/>
      <w:bookmarkStart w:id="254" w:name="_Toc8092"/>
      <w:bookmarkStart w:id="255" w:name="_Toc22105"/>
      <w:bookmarkStart w:id="256" w:name="_Toc31474"/>
      <w:bookmarkStart w:id="257" w:name="_Toc26746"/>
      <w:bookmarkStart w:id="258" w:name="_Toc24379"/>
      <w:bookmarkStart w:id="259" w:name="_Toc31129"/>
      <w:bookmarkStart w:id="260" w:name="_Toc2042"/>
      <w:bookmarkStart w:id="261" w:name="_Toc16180"/>
      <w:r>
        <w:rPr>
          <w:rFonts w:hint="eastAsia" w:ascii="宋体" w:hAnsi="宋体" w:cs="宋体"/>
          <w:b/>
          <w:bCs/>
          <w:color w:val="auto"/>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）评标工作由采购人依法组建的评标委员会负责，对符合资格的投标人的投标文件进行</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，并按评标办法规定的方式推荐出</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前附表中载明数量的中标候选人。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）评标委员会由采购人代表和评标专家组成，见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评标专家对本单位的采购项目只能作为采购人代表参与评标，</w:t>
      </w:r>
      <w:r>
        <w:rPr>
          <w:rFonts w:hint="eastAsia" w:ascii="宋体" w:hAnsi="宋体" w:cs="宋体"/>
          <w:color w:val="auto"/>
          <w:kern w:val="0"/>
          <w:szCs w:val="21"/>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）采购代理机构工作人员不得参加由本机构代理的政府采购项目的评标。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）评标委员会成员名单在评标结果公告前应当保密。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评标委员会及其成员不得有下列行为：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）确定参与评标至评标结束前私自接触</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）接受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作出必要的澄清、说明或者补正的除外）；</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）违反评标纪律发表倾向性意见或者征询采购人的倾向性意见；</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）在评标过程中擅离职守，影响评标程序正常进行的；</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）记录、复制或者带走任何评标资料；</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）其他不遵守评标纪律的行为。</w:t>
      </w:r>
    </w:p>
    <w:p>
      <w:pPr>
        <w:tabs>
          <w:tab w:val="left" w:pos="720"/>
        </w:tabs>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评标委员会成员有本章第</w:t>
      </w:r>
      <w:r>
        <w:rPr>
          <w:rFonts w:ascii="宋体" w:hAnsi="宋体" w:cs="宋体"/>
          <w:color w:val="auto"/>
          <w:szCs w:val="21"/>
          <w:highlight w:val="none"/>
        </w:rPr>
        <w:t>5.3.2</w:t>
      </w:r>
      <w:r>
        <w:rPr>
          <w:rFonts w:hint="eastAsia" w:ascii="宋体" w:hAnsi="宋体" w:cs="宋体"/>
          <w:color w:val="auto"/>
          <w:szCs w:val="21"/>
          <w:highlight w:val="none"/>
        </w:rPr>
        <w:t>项第（</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6</w:t>
      </w:r>
      <w:r>
        <w:rPr>
          <w:rFonts w:hint="eastAsia" w:ascii="宋体" w:hAnsi="宋体" w:cs="宋体"/>
          <w:color w:val="auto"/>
          <w:szCs w:val="21"/>
          <w:highlight w:val="none"/>
        </w:rPr>
        <w:t>）目行为之一的，其评标意见无效，并不得获取评标劳务报酬和报销异地评标差旅费。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）评标委员会完成评标后，评标委员会应当向</w:t>
      </w:r>
      <w:r>
        <w:rPr>
          <w:rFonts w:hint="eastAsia" w:ascii="宋体" w:hAnsi="宋体" w:cs="宋体"/>
          <w:color w:val="auto"/>
          <w:kern w:val="0"/>
          <w:szCs w:val="21"/>
          <w:highlight w:val="none"/>
          <w:lang w:eastAsia="zh-CN"/>
        </w:rPr>
        <w:t>《全国公共资源交易平台（河南省·平顶山市）》</w:t>
      </w:r>
      <w:r>
        <w:rPr>
          <w:rFonts w:hint="eastAsia" w:ascii="宋体" w:hAnsi="宋体" w:cs="宋体"/>
          <w:color w:val="auto"/>
          <w:kern w:val="0"/>
          <w:szCs w:val="21"/>
          <w:highlight w:val="none"/>
        </w:rPr>
        <w:t>评标系统上提交书面评标报告和中标候选人名单。评标委员会推荐中标候选人的人数见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评标委员会成员有下列情形之一的，应当回避：</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一</w:t>
      </w:r>
      <w:r>
        <w:rPr>
          <w:rFonts w:ascii="宋体" w:hAnsi="宋体" w:cs="宋体"/>
          <w:color w:val="auto"/>
          <w:kern w:val="0"/>
          <w:szCs w:val="21"/>
          <w:highlight w:val="none"/>
        </w:rPr>
        <w:t>)</w:t>
      </w:r>
      <w:r>
        <w:rPr>
          <w:rFonts w:hint="eastAsia" w:ascii="宋体" w:hAnsi="宋体" w:cs="宋体"/>
          <w:color w:val="auto"/>
          <w:kern w:val="0"/>
          <w:szCs w:val="21"/>
          <w:highlight w:val="none"/>
        </w:rPr>
        <w:t>参加采购活动前三年内</w:t>
      </w:r>
      <w:r>
        <w:rPr>
          <w:rFonts w:hint="eastAsia" w:asci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存在劳动关系</w:t>
      </w:r>
      <w:r>
        <w:rPr>
          <w:rFonts w:hint="eastAsia" w:ascii="宋体" w:cs="宋体"/>
          <w:color w:val="auto"/>
          <w:kern w:val="0"/>
          <w:szCs w:val="21"/>
          <w:highlight w:val="none"/>
        </w:rPr>
        <w:t>，</w:t>
      </w:r>
      <w:r>
        <w:rPr>
          <w:rFonts w:hint="eastAsia" w:ascii="宋体" w:hAnsi="宋体" w:cs="宋体"/>
          <w:color w:val="auto"/>
          <w:kern w:val="0"/>
          <w:szCs w:val="21"/>
          <w:highlight w:val="none"/>
        </w:rPr>
        <w:t>或者担任过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的董事、监事</w:t>
      </w:r>
      <w:r>
        <w:rPr>
          <w:rFonts w:hint="eastAsia" w:ascii="宋体" w:cs="宋体"/>
          <w:color w:val="auto"/>
          <w:kern w:val="0"/>
          <w:szCs w:val="21"/>
          <w:highlight w:val="none"/>
        </w:rPr>
        <w:t>，</w:t>
      </w:r>
      <w:r>
        <w:rPr>
          <w:rFonts w:hint="eastAsia" w:ascii="宋体" w:hAnsi="宋体" w:cs="宋体"/>
          <w:color w:val="auto"/>
          <w:kern w:val="0"/>
          <w:szCs w:val="21"/>
          <w:highlight w:val="none"/>
        </w:rPr>
        <w:t>或者是</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的控股股东或实际控制人；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的法定代表人或者负责人有夫妻、直系血亲、三代以内旁系血亲或者近姻亲关系；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三</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有其他可能影响政府采购活动公平、公正进行的关系。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评标专家发现本人与参加采购活动的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应当主动提出回避。采购代理机构发现评标专家与参加采购活动的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应当要求其回避。</w:t>
      </w:r>
    </w:p>
    <w:p>
      <w:pPr>
        <w:numPr>
          <w:ilvl w:val="1"/>
          <w:numId w:val="6"/>
        </w:numPr>
        <w:spacing w:line="400" w:lineRule="exact"/>
        <w:ind w:firstLine="422" w:firstLineChars="200"/>
        <w:rPr>
          <w:rFonts w:ascii="宋体" w:cs="宋体"/>
          <w:b/>
          <w:bCs/>
          <w:color w:val="auto"/>
          <w:highlight w:val="none"/>
        </w:rPr>
      </w:pPr>
      <w:bookmarkStart w:id="262" w:name="_Toc12131"/>
      <w:bookmarkStart w:id="263" w:name="_Toc25509"/>
      <w:bookmarkStart w:id="264" w:name="_Toc608"/>
      <w:bookmarkStart w:id="265" w:name="_Toc8996"/>
      <w:bookmarkStart w:id="266" w:name="_Toc22420"/>
      <w:bookmarkStart w:id="267" w:name="_Toc10927"/>
      <w:bookmarkStart w:id="268" w:name="_Toc25755"/>
      <w:bookmarkStart w:id="269" w:name="_Toc25530"/>
      <w:bookmarkStart w:id="270" w:name="_Toc7396"/>
      <w:bookmarkStart w:id="271" w:name="_Toc5830"/>
      <w:bookmarkStart w:id="272" w:name="_Toc12609"/>
      <w:r>
        <w:rPr>
          <w:rFonts w:hint="eastAsia" w:ascii="宋体" w:hAnsi="宋体" w:cs="宋体"/>
          <w:b/>
          <w:bCs/>
          <w:color w:val="auto"/>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评标是招标工作的重要环节，评标工作在评标委员会内独立进行。</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评标委员会将遵照规定的评标方法，公正、平等地对待所有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在开标、评标期间，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不得向评委询问评标情况，不得进行旨在影响评标结果的活动。否则其投标可能被拒绝。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为保证评标的公正性，开标后直至授予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合同，评委不得与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私下交换意见。</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在评标工作结束后，凡与评标情况有接触的任何人不得擅自将评标情况扩散出评标人员之外。</w:t>
      </w:r>
    </w:p>
    <w:p>
      <w:pPr>
        <w:numPr>
          <w:ilvl w:val="2"/>
          <w:numId w:val="6"/>
        </w:numPr>
        <w:adjustRightInd w:val="0"/>
        <w:snapToGrid w:val="0"/>
        <w:spacing w:line="400" w:lineRule="exact"/>
        <w:ind w:firstLine="420" w:firstLineChars="200"/>
        <w:rPr>
          <w:rFonts w:ascii="宋体" w:cs="宋体"/>
          <w:b/>
          <w:bCs/>
          <w:color w:val="auto"/>
          <w:highlight w:val="none"/>
        </w:rPr>
      </w:pPr>
      <w:r>
        <w:rPr>
          <w:rFonts w:hint="eastAsia" w:ascii="宋体" w:hAnsi="宋体" w:cs="宋体"/>
          <w:color w:val="auto"/>
          <w:szCs w:val="21"/>
          <w:highlight w:val="none"/>
        </w:rPr>
        <w:t>评标结束后，投标文件概不退还。</w:t>
      </w:r>
      <w:bookmarkStart w:id="273" w:name="_Toc40112135"/>
      <w:bookmarkStart w:id="274" w:name="_Toc30376"/>
    </w:p>
    <w:p>
      <w:pPr>
        <w:numPr>
          <w:ilvl w:val="0"/>
          <w:numId w:val="6"/>
        </w:numPr>
        <w:spacing w:line="400" w:lineRule="exact"/>
        <w:ind w:firstLine="422" w:firstLineChars="200"/>
        <w:outlineLvl w:val="1"/>
        <w:rPr>
          <w:rStyle w:val="29"/>
          <w:color w:val="auto"/>
          <w:sz w:val="21"/>
          <w:szCs w:val="21"/>
          <w:highlight w:val="none"/>
        </w:rPr>
      </w:pPr>
      <w:bookmarkStart w:id="275" w:name="_Toc14201"/>
      <w:bookmarkStart w:id="276" w:name="_Toc11279"/>
      <w:bookmarkStart w:id="277" w:name="_Toc11701"/>
      <w:r>
        <w:rPr>
          <w:rStyle w:val="29"/>
          <w:rFonts w:hint="eastAsia"/>
          <w:color w:val="auto"/>
          <w:sz w:val="21"/>
          <w:szCs w:val="21"/>
          <w:highlight w:val="none"/>
        </w:rPr>
        <w:t>授予合同</w:t>
      </w:r>
      <w:bookmarkEnd w:id="236"/>
      <w:bookmarkEnd w:id="273"/>
      <w:bookmarkEnd w:id="274"/>
      <w:bookmarkEnd w:id="275"/>
      <w:bookmarkEnd w:id="276"/>
      <w:bookmarkEnd w:id="277"/>
    </w:p>
    <w:p>
      <w:pPr>
        <w:numPr>
          <w:ilvl w:val="1"/>
          <w:numId w:val="6"/>
        </w:numPr>
        <w:spacing w:line="400" w:lineRule="exact"/>
        <w:ind w:firstLine="422" w:firstLineChars="200"/>
        <w:rPr>
          <w:rFonts w:ascii="宋体" w:cs="宋体"/>
          <w:b/>
          <w:bCs/>
          <w:color w:val="auto"/>
          <w:highlight w:val="none"/>
        </w:rPr>
      </w:pPr>
      <w:bookmarkStart w:id="278" w:name="_Toc6320"/>
      <w:bookmarkStart w:id="279" w:name="_Toc15637"/>
      <w:bookmarkStart w:id="280" w:name="_Toc27126"/>
      <w:bookmarkStart w:id="281" w:name="_Toc21756"/>
      <w:bookmarkStart w:id="282" w:name="_Toc22971"/>
      <w:bookmarkStart w:id="283" w:name="_Toc13599"/>
      <w:bookmarkStart w:id="284" w:name="_Toc16230"/>
      <w:bookmarkStart w:id="285" w:name="_Toc22245"/>
      <w:bookmarkStart w:id="286" w:name="_Toc3574"/>
      <w:bookmarkStart w:id="287" w:name="_Toc32241"/>
      <w:bookmarkStart w:id="288" w:name="_Toc7898"/>
      <w:bookmarkStart w:id="289" w:name="_Toc17818"/>
      <w:bookmarkStart w:id="290" w:name="_Toc26604"/>
      <w:bookmarkStart w:id="291" w:name="_Toc22457"/>
      <w:bookmarkStart w:id="292" w:name="_Toc22088"/>
      <w:bookmarkStart w:id="293" w:name="_Toc23900"/>
      <w:bookmarkStart w:id="294" w:name="_Toc30644"/>
      <w:r>
        <w:rPr>
          <w:rFonts w:hint="eastAsia" w:ascii="宋体" w:hAnsi="宋体" w:cs="宋体"/>
          <w:b/>
          <w:bCs/>
          <w:color w:val="auto"/>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个工作日内将评标报告送采购人。采购人应自收到评标报告之日起</w:t>
      </w:r>
      <w:r>
        <w:rPr>
          <w:rFonts w:ascii="宋体" w:hAnsi="宋体" w:cs="宋体"/>
          <w:color w:val="auto"/>
          <w:szCs w:val="21"/>
          <w:highlight w:val="none"/>
        </w:rPr>
        <w:t>5</w:t>
      </w:r>
      <w:r>
        <w:rPr>
          <w:rFonts w:hint="eastAsia" w:ascii="宋体" w:hAnsi="宋体" w:cs="宋体"/>
          <w:color w:val="auto"/>
          <w:szCs w:val="21"/>
          <w:highlight w:val="none"/>
        </w:rPr>
        <w:t>个工作日内，依法确定中标人。中标候选人并列的，由采购人确定中标人。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采购代理机构应当自中标人确定之日起</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个工作日内，在省级以上财政部门指定的媒体上公告中标结果，招标文件应当随中标结果同时公告。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在公告中标结果的同时，采购代理机构应当向中标人发出中标通知书；对未通过资格审查的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，应当告知其未通过的原因；采用综合评分法评标的，还应当告知未中标人单位的评审得分与排序。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中标通知书发出后，采购人无正当理由不得改变中标结果，中标人无正当理由不得放弃中标。</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各有关当事人对中标结果有异议的，可以在</w:t>
      </w:r>
      <w:r>
        <w:rPr>
          <w:rFonts w:hint="eastAsia" w:ascii="宋体" w:hAnsi="宋体" w:cs="宋体"/>
          <w:color w:val="auto"/>
          <w:szCs w:val="21"/>
          <w:highlight w:val="none"/>
          <w:lang w:eastAsia="zh-CN"/>
        </w:rPr>
        <w:t>中标结果公告</w:t>
      </w:r>
      <w:r>
        <w:rPr>
          <w:rFonts w:hint="eastAsia" w:ascii="宋体" w:hAnsi="宋体" w:cs="宋体"/>
          <w:color w:val="auto"/>
          <w:szCs w:val="21"/>
          <w:highlight w:val="none"/>
        </w:rPr>
        <w:t>期限届满之日起七个工作日内，按《政府采购质疑和投诉办法》（财政部令第</w:t>
      </w:r>
      <w:r>
        <w:rPr>
          <w:rFonts w:ascii="宋体" w:hAnsi="宋体" w:cs="宋体"/>
          <w:color w:val="auto"/>
          <w:szCs w:val="21"/>
          <w:highlight w:val="none"/>
        </w:rPr>
        <w:t>94</w:t>
      </w:r>
      <w:r>
        <w:rPr>
          <w:rFonts w:hint="eastAsia" w:ascii="宋体" w:hAnsi="宋体" w:cs="宋体"/>
          <w:color w:val="auto"/>
          <w:szCs w:val="21"/>
          <w:highlight w:val="none"/>
        </w:rPr>
        <w:t>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6"/>
        </w:numPr>
        <w:spacing w:line="400" w:lineRule="exact"/>
        <w:ind w:firstLine="422" w:firstLineChars="200"/>
        <w:rPr>
          <w:rFonts w:ascii="宋体" w:cs="宋体"/>
          <w:b/>
          <w:bCs/>
          <w:color w:val="auto"/>
          <w:highlight w:val="none"/>
        </w:rPr>
      </w:pPr>
      <w:bookmarkStart w:id="295" w:name="_Toc7497"/>
      <w:r>
        <w:rPr>
          <w:rFonts w:hint="eastAsia" w:ascii="宋体" w:hAnsi="宋体" w:cs="宋体"/>
          <w:b/>
          <w:bCs/>
          <w:color w:val="auto"/>
          <w:highlight w:val="none"/>
        </w:rPr>
        <w:t>采购任务取消</w:t>
      </w:r>
      <w:bookmarkEnd w:id="295"/>
    </w:p>
    <w:p>
      <w:pPr>
        <w:adjustRightInd w:val="0"/>
        <w:snapToGrid w:val="0"/>
        <w:spacing w:line="400" w:lineRule="exact"/>
        <w:ind w:firstLine="420" w:firstLineChars="200"/>
        <w:rPr>
          <w:rFonts w:ascii="宋体" w:cs="宋体"/>
          <w:color w:val="auto"/>
          <w:szCs w:val="21"/>
          <w:highlight w:val="none"/>
        </w:rPr>
      </w:pPr>
      <w:r>
        <w:rPr>
          <w:rFonts w:hint="eastAsia" w:ascii="宋体" w:cs="宋体"/>
          <w:color w:val="auto"/>
          <w:szCs w:val="21"/>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ascii="宋体" w:cs="宋体"/>
          <w:color w:val="auto"/>
          <w:szCs w:val="21"/>
          <w:highlight w:val="none"/>
        </w:rPr>
        <w:t>5</w:t>
      </w:r>
      <w:r>
        <w:rPr>
          <w:rFonts w:hint="eastAsia" w:ascii="宋体" w:cs="宋体"/>
          <w:color w:val="auto"/>
          <w:szCs w:val="21"/>
          <w:highlight w:val="none"/>
        </w:rPr>
        <w:t>个工作日内，退还所收取的招标文件费用和所收取的投标保证金及其在银行产生的孳息。采购人有权拒绝任何</w:t>
      </w:r>
      <w:r>
        <w:rPr>
          <w:rFonts w:hint="eastAsia" w:ascii="宋体" w:cs="宋体"/>
          <w:color w:val="auto"/>
          <w:szCs w:val="21"/>
          <w:highlight w:val="none"/>
          <w:lang w:eastAsia="zh-CN"/>
        </w:rPr>
        <w:t>投标人</w:t>
      </w:r>
      <w:r>
        <w:rPr>
          <w:rFonts w:hint="eastAsia" w:ascii="宋体" w:cs="宋体"/>
          <w:color w:val="auto"/>
          <w:szCs w:val="21"/>
          <w:highlight w:val="none"/>
        </w:rPr>
        <w:t>中标，且对受影响的</w:t>
      </w:r>
      <w:r>
        <w:rPr>
          <w:rFonts w:hint="eastAsia" w:ascii="宋体" w:cs="宋体"/>
          <w:color w:val="auto"/>
          <w:szCs w:val="21"/>
          <w:highlight w:val="none"/>
          <w:lang w:eastAsia="zh-CN"/>
        </w:rPr>
        <w:t>投标人</w:t>
      </w:r>
      <w:r>
        <w:rPr>
          <w:rFonts w:hint="eastAsia" w:ascii="宋体" w:cs="宋体"/>
          <w:color w:val="auto"/>
          <w:szCs w:val="21"/>
          <w:highlight w:val="none"/>
        </w:rPr>
        <w:t>不承担任何责任。</w:t>
      </w:r>
    </w:p>
    <w:p>
      <w:pPr>
        <w:numPr>
          <w:ilvl w:val="1"/>
          <w:numId w:val="6"/>
        </w:numPr>
        <w:spacing w:line="400" w:lineRule="exact"/>
        <w:ind w:firstLine="422" w:firstLineChars="200"/>
        <w:rPr>
          <w:rFonts w:ascii="宋体" w:cs="宋体"/>
          <w:b/>
          <w:bCs/>
          <w:color w:val="auto"/>
          <w:highlight w:val="none"/>
        </w:rPr>
      </w:pPr>
      <w:bookmarkStart w:id="296" w:name="_Toc12174"/>
      <w:bookmarkStart w:id="297" w:name="_Toc25326"/>
      <w:bookmarkStart w:id="298" w:name="_Toc5799"/>
      <w:bookmarkStart w:id="299" w:name="_Toc23214"/>
      <w:bookmarkStart w:id="300" w:name="_Toc1468"/>
      <w:bookmarkStart w:id="301" w:name="_Toc24223"/>
      <w:bookmarkStart w:id="302" w:name="_Toc21282"/>
      <w:bookmarkStart w:id="303" w:name="_Toc12305"/>
      <w:bookmarkStart w:id="304" w:name="_Toc3846"/>
      <w:bookmarkStart w:id="305" w:name="_Toc14610"/>
      <w:bookmarkStart w:id="306" w:name="_Toc29785"/>
      <w:r>
        <w:rPr>
          <w:rFonts w:hint="eastAsia" w:ascii="宋体" w:hAnsi="宋体" w:cs="宋体"/>
          <w:b/>
          <w:bCs/>
          <w:color w:val="auto"/>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在公告中标结果的同时，采购人或采购代理机构应当向中标人发出中标通知书，中标通知书将作为进行签订合同的依据。</w:t>
      </w:r>
    </w:p>
    <w:p>
      <w:pPr>
        <w:numPr>
          <w:ilvl w:val="1"/>
          <w:numId w:val="6"/>
        </w:numPr>
        <w:spacing w:line="400" w:lineRule="exact"/>
        <w:ind w:firstLine="422" w:firstLineChars="200"/>
        <w:rPr>
          <w:rFonts w:ascii="宋体" w:cs="宋体"/>
          <w:b/>
          <w:bCs/>
          <w:color w:val="auto"/>
          <w:highlight w:val="none"/>
        </w:rPr>
      </w:pPr>
      <w:bookmarkStart w:id="307" w:name="_Toc14397"/>
      <w:bookmarkStart w:id="308" w:name="_Toc9865"/>
      <w:bookmarkStart w:id="309" w:name="_Toc25990"/>
      <w:bookmarkStart w:id="310" w:name="_Toc25686"/>
      <w:bookmarkStart w:id="311" w:name="_Toc26111"/>
      <w:bookmarkStart w:id="312" w:name="_Toc3979"/>
      <w:bookmarkStart w:id="313" w:name="_Toc20517"/>
      <w:bookmarkStart w:id="314" w:name="_Toc21924"/>
      <w:bookmarkStart w:id="315" w:name="_Toc9428"/>
      <w:bookmarkStart w:id="316" w:name="_Toc11448"/>
      <w:bookmarkStart w:id="317" w:name="_Toc15209"/>
      <w:bookmarkStart w:id="318" w:name="_Toc3376"/>
      <w:bookmarkStart w:id="319" w:name="_Toc26471"/>
      <w:bookmarkStart w:id="320" w:name="_Toc15061"/>
      <w:bookmarkStart w:id="321" w:name="_Toc11221"/>
      <w:bookmarkStart w:id="322" w:name="_Toc12530"/>
      <w:bookmarkStart w:id="323" w:name="_Toc1226"/>
      <w:r>
        <w:rPr>
          <w:rFonts w:hint="eastAsia" w:ascii="宋体" w:hAnsi="宋体" w:cs="宋体"/>
          <w:b/>
          <w:bCs/>
          <w:color w:val="auto"/>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6"/>
        </w:numPr>
        <w:adjustRightInd w:val="0"/>
        <w:snapToGrid w:val="0"/>
        <w:spacing w:line="400" w:lineRule="exact"/>
        <w:ind w:firstLine="420" w:firstLineChars="200"/>
        <w:rPr>
          <w:rFonts w:ascii="宋体" w:cs="宋体"/>
          <w:color w:val="auto"/>
          <w:szCs w:val="21"/>
          <w:highlight w:val="none"/>
        </w:rPr>
      </w:pPr>
      <w:bookmarkStart w:id="324" w:name="_Toc13295"/>
      <w:bookmarkStart w:id="325" w:name="_Toc22384"/>
      <w:bookmarkStart w:id="326" w:name="_Toc1508"/>
      <w:bookmarkStart w:id="327" w:name="_Toc24299"/>
      <w:r>
        <w:rPr>
          <w:rFonts w:hint="eastAsia" w:ascii="宋体" w:hAnsi="宋体" w:cs="宋体"/>
          <w:color w:val="auto"/>
          <w:szCs w:val="21"/>
          <w:highlight w:val="none"/>
          <w:lang w:val="en-US" w:eastAsia="zh-CN"/>
        </w:rPr>
        <w:t>中标人应按投标人须知前附表规定的形式、金额和招标文件第五章“合同条款及格式”的规定向招标人提交履约保证金</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中标人不能按</w:t>
      </w:r>
      <w:r>
        <w:rPr>
          <w:rFonts w:hint="eastAsia" w:ascii="宋体" w:hAnsi="宋体" w:cs="宋体"/>
          <w:color w:val="auto"/>
          <w:szCs w:val="21"/>
          <w:highlight w:val="none"/>
          <w:lang w:eastAsia="zh-CN"/>
        </w:rPr>
        <w:t>投标人须知前附表</w:t>
      </w:r>
      <w:r>
        <w:rPr>
          <w:rFonts w:hint="eastAsia" w:ascii="宋体" w:hAnsi="宋体" w:cs="宋体"/>
          <w:color w:val="auto"/>
          <w:szCs w:val="21"/>
          <w:highlight w:val="none"/>
        </w:rPr>
        <w:t>第</w:t>
      </w:r>
      <w:r>
        <w:rPr>
          <w:rFonts w:ascii="宋体" w:hAnsi="宋体" w:cs="宋体"/>
          <w:color w:val="auto"/>
          <w:szCs w:val="21"/>
          <w:highlight w:val="none"/>
        </w:rPr>
        <w:t>6.4.1</w:t>
      </w:r>
      <w:r>
        <w:rPr>
          <w:rFonts w:hint="eastAsia" w:ascii="宋体" w:hAnsi="宋体" w:cs="宋体"/>
          <w:color w:val="auto"/>
          <w:szCs w:val="21"/>
          <w:highlight w:val="none"/>
        </w:rPr>
        <w:t>项要求提交履约保证金的，视为放弃中标。</w:t>
      </w:r>
    </w:p>
    <w:p>
      <w:pPr>
        <w:numPr>
          <w:ilvl w:val="1"/>
          <w:numId w:val="6"/>
        </w:numPr>
        <w:spacing w:line="400" w:lineRule="exact"/>
        <w:ind w:firstLine="422" w:firstLineChars="200"/>
        <w:rPr>
          <w:rFonts w:ascii="宋体" w:cs="宋体"/>
          <w:b/>
          <w:bCs/>
          <w:color w:val="auto"/>
          <w:highlight w:val="none"/>
        </w:rPr>
      </w:pPr>
      <w:bookmarkStart w:id="328" w:name="_Toc20184"/>
      <w:r>
        <w:rPr>
          <w:rFonts w:hint="eastAsia" w:ascii="宋体" w:hAnsi="宋体" w:cs="宋体"/>
          <w:b/>
          <w:bCs/>
          <w:color w:val="auto"/>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采购人应当自中标通知书发出之日起</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日内，按照招标文件和中标人投标文件的规定，与中标人签订书面合同。所签订的合同不得对招标文件确定的事项和中标人投标文件作实质性修改。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招标文件、中标人的投标文件和澄清文件等，均应作为签约合同文本的基础。</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如中标人拒签合同，则按违约处理。对违约方收取中标金额</w:t>
      </w:r>
      <w:r>
        <w:rPr>
          <w:rFonts w:ascii="宋体" w:hAnsi="宋体" w:cs="宋体"/>
          <w:color w:val="auto"/>
          <w:szCs w:val="21"/>
          <w:highlight w:val="none"/>
        </w:rPr>
        <w:t>2%</w:t>
      </w:r>
      <w:r>
        <w:rPr>
          <w:rFonts w:hint="eastAsia" w:ascii="宋体" w:hAnsi="宋体" w:cs="宋体"/>
          <w:color w:val="auto"/>
          <w:szCs w:val="21"/>
          <w:highlight w:val="none"/>
        </w:rPr>
        <w:t>的违约金。</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政府采购合同应当包括采购人与中标人的名称和住所、标的、数量、质量、价款或者报酬、履行期限及地点和方式、验收要求、违约责任、解决争议的方法等内容。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如中标人不</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约定签订合同，采购人将报请取消其中标决定。采购人可重新招标。</w:t>
      </w:r>
    </w:p>
    <w:p>
      <w:pPr>
        <w:numPr>
          <w:ilvl w:val="0"/>
          <w:numId w:val="6"/>
        </w:numPr>
        <w:spacing w:line="400" w:lineRule="exact"/>
        <w:ind w:firstLine="422" w:firstLineChars="200"/>
        <w:outlineLvl w:val="1"/>
        <w:rPr>
          <w:rStyle w:val="29"/>
          <w:color w:val="auto"/>
          <w:sz w:val="21"/>
          <w:szCs w:val="21"/>
          <w:highlight w:val="none"/>
        </w:rPr>
      </w:pPr>
      <w:bookmarkStart w:id="329" w:name="_Toc11106"/>
      <w:bookmarkStart w:id="330" w:name="_Toc27949"/>
      <w:bookmarkStart w:id="331" w:name="_Toc40112136"/>
      <w:bookmarkStart w:id="332" w:name="_Toc23358"/>
      <w:bookmarkStart w:id="333" w:name="_Toc3577"/>
      <w:r>
        <w:rPr>
          <w:rStyle w:val="29"/>
          <w:rFonts w:hint="eastAsia"/>
          <w:color w:val="auto"/>
          <w:sz w:val="21"/>
          <w:szCs w:val="21"/>
          <w:highlight w:val="none"/>
        </w:rPr>
        <w:t>信用记录</w:t>
      </w:r>
      <w:bookmarkEnd w:id="329"/>
      <w:bookmarkEnd w:id="330"/>
      <w:bookmarkEnd w:id="331"/>
      <w:bookmarkEnd w:id="332"/>
      <w:bookmarkEnd w:id="333"/>
    </w:p>
    <w:p>
      <w:pPr>
        <w:adjustRightInd w:val="0"/>
        <w:snapToGrid w:val="0"/>
        <w:spacing w:line="400" w:lineRule="exact"/>
        <w:ind w:firstLine="420" w:firstLineChars="200"/>
        <w:rPr>
          <w:rFonts w:ascii="宋体" w:cs="宋体"/>
          <w:color w:val="auto"/>
          <w:szCs w:val="21"/>
          <w:highlight w:val="none"/>
        </w:rPr>
      </w:pPr>
      <w:bookmarkStart w:id="334" w:name="_Toc18298"/>
      <w:bookmarkStart w:id="335" w:name="_Toc40112137"/>
      <w:bookmarkStart w:id="336" w:name="_Toc16339"/>
      <w:r>
        <w:rPr>
          <w:rFonts w:hint="eastAsia" w:ascii="宋体" w:hAnsi="宋体" w:cs="宋体"/>
          <w:color w:val="auto"/>
          <w:szCs w:val="21"/>
          <w:highlight w:val="none"/>
        </w:rPr>
        <w:t>根据《关于在政府采购活动中查询及使用信用记录有关问题的通知》</w:t>
      </w:r>
      <w:r>
        <w:rPr>
          <w:rFonts w:ascii="宋体" w:hAnsi="宋体" w:cs="宋体"/>
          <w:color w:val="auto"/>
          <w:szCs w:val="21"/>
          <w:highlight w:val="none"/>
        </w:rPr>
        <w:t>(</w:t>
      </w:r>
      <w:r>
        <w:rPr>
          <w:rFonts w:hint="eastAsia" w:ascii="宋体" w:hAnsi="宋体" w:cs="宋体"/>
          <w:color w:val="auto"/>
          <w:szCs w:val="21"/>
          <w:highlight w:val="none"/>
        </w:rPr>
        <w:t>财库</w:t>
      </w:r>
      <w:r>
        <w:rPr>
          <w:rFonts w:ascii="宋体" w:hAnsi="宋体" w:cs="宋体"/>
          <w:color w:val="auto"/>
          <w:szCs w:val="21"/>
          <w:highlight w:val="none"/>
        </w:rPr>
        <w:t>[2016]125</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的规定，</w:t>
      </w:r>
      <w:r>
        <w:rPr>
          <w:rFonts w:hint="eastAsia" w:ascii="宋体" w:hAnsi="宋体" w:cs="宋体"/>
          <w:color w:val="auto"/>
          <w:szCs w:val="21"/>
          <w:highlight w:val="none"/>
          <w:lang w:eastAsia="zh-CN"/>
        </w:rPr>
        <w:t>开标结束后至符合性审查前</w:t>
      </w:r>
      <w:r>
        <w:rPr>
          <w:rFonts w:hint="eastAsia" w:ascii="宋体" w:hAnsi="宋体" w:cs="宋体"/>
          <w:color w:val="auto"/>
          <w:szCs w:val="21"/>
          <w:highlight w:val="none"/>
        </w:rPr>
        <w:t>采购代理机构通过“信用中国”网站（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）、“中国执行信息公开网”网站（</w:t>
      </w:r>
      <w:r>
        <w:rPr>
          <w:rFonts w:ascii="宋体" w:hAnsi="宋体" w:cs="宋体"/>
          <w:color w:val="auto"/>
          <w:szCs w:val="21"/>
          <w:highlight w:val="none"/>
        </w:rPr>
        <w:t>zxgk.court.gov.cn</w:t>
      </w:r>
      <w:r>
        <w:rPr>
          <w:rFonts w:hint="eastAsia" w:ascii="宋体" w:hAnsi="宋体" w:cs="宋体"/>
          <w:color w:val="auto"/>
          <w:szCs w:val="21"/>
          <w:highlight w:val="none"/>
        </w:rPr>
        <w:t>）和中国政府采购网（</w:t>
      </w:r>
      <w:r>
        <w:rPr>
          <w:rFonts w:ascii="宋体" w:hAnsi="宋体" w:cs="宋体"/>
          <w:color w:val="auto"/>
          <w:szCs w:val="21"/>
          <w:highlight w:val="none"/>
        </w:rPr>
        <w:t>www.ccgp.gov.cn</w:t>
      </w:r>
      <w:r>
        <w:rPr>
          <w:rFonts w:hint="eastAsia" w:ascii="宋体" w:hAnsi="宋体" w:cs="宋体"/>
          <w:color w:val="auto"/>
          <w:szCs w:val="21"/>
          <w:highlight w:val="none"/>
        </w:rPr>
        <w:t>）查询企业的信用记录，列入“中国执行信息公开网”网站的“失信被执行人”、“信用中国”网站的</w:t>
      </w:r>
      <w:r>
        <w:rPr>
          <w:rFonts w:hint="eastAsia" w:ascii="宋体" w:hAnsi="宋体" w:cs="宋体"/>
          <w:color w:val="auto"/>
          <w:highlight w:val="none"/>
        </w:rPr>
        <w:t>“重大税收违法失信主体”</w:t>
      </w:r>
      <w:r>
        <w:rPr>
          <w:rFonts w:hint="eastAsia" w:ascii="宋体" w:hAnsi="宋体" w:cs="宋体"/>
          <w:color w:val="auto"/>
          <w:szCs w:val="21"/>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，将拒绝参与本次政府采购活动。</w:t>
      </w:r>
    </w:p>
    <w:p>
      <w:p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在本招标文件规定的查询时间之后，网站信息发生的任何变更均不再作为评标依据。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自行提供的与网站信息不一致的其他证明材料亦不作为资格审查的依据。信用信息查询记录及相关证据与其他采购文件一并保存。</w:t>
      </w:r>
    </w:p>
    <w:p>
      <w:pPr>
        <w:numPr>
          <w:ilvl w:val="0"/>
          <w:numId w:val="6"/>
        </w:numPr>
        <w:spacing w:line="400" w:lineRule="exact"/>
        <w:ind w:firstLine="422" w:firstLineChars="200"/>
        <w:outlineLvl w:val="1"/>
        <w:rPr>
          <w:rStyle w:val="29"/>
          <w:color w:val="auto"/>
          <w:sz w:val="21"/>
          <w:szCs w:val="21"/>
          <w:highlight w:val="none"/>
        </w:rPr>
      </w:pPr>
      <w:bookmarkStart w:id="337" w:name="_Toc28502"/>
      <w:bookmarkStart w:id="338" w:name="_Toc7802"/>
      <w:bookmarkStart w:id="339" w:name="_Toc10534"/>
      <w:r>
        <w:rPr>
          <w:rStyle w:val="29"/>
          <w:rFonts w:hint="eastAsia"/>
          <w:color w:val="auto"/>
          <w:sz w:val="21"/>
          <w:szCs w:val="21"/>
          <w:highlight w:val="none"/>
        </w:rPr>
        <w:t>需要补充的其他内容</w:t>
      </w:r>
      <w:bookmarkEnd w:id="334"/>
      <w:bookmarkEnd w:id="335"/>
      <w:bookmarkEnd w:id="337"/>
      <w:bookmarkEnd w:id="338"/>
      <w:bookmarkEnd w:id="339"/>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bookmarkEnd w:id="336"/>
    </w:p>
    <w:p>
      <w:pPr>
        <w:rPr>
          <w:color w:val="auto"/>
          <w:highlight w:val="none"/>
        </w:rPr>
      </w:pPr>
      <w:r>
        <w:rPr>
          <w:color w:val="auto"/>
          <w:highlight w:val="none"/>
        </w:rPr>
        <w:br w:type="page"/>
      </w:r>
    </w:p>
    <w:p>
      <w:pPr>
        <w:pStyle w:val="2"/>
        <w:adjustRightInd w:val="0"/>
        <w:snapToGrid w:val="0"/>
        <w:rPr>
          <w:rFonts w:ascii="宋体" w:cs="宋体"/>
          <w:color w:val="auto"/>
          <w:szCs w:val="32"/>
          <w:highlight w:val="none"/>
        </w:rPr>
      </w:pPr>
      <w:bookmarkStart w:id="340" w:name="_Toc11970"/>
      <w:bookmarkStart w:id="341" w:name="_Toc40112138"/>
      <w:bookmarkStart w:id="342" w:name="_Toc7871"/>
      <w:bookmarkStart w:id="343" w:name="_Toc19667"/>
      <w:bookmarkStart w:id="344" w:name="_Toc28292"/>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16729"/>
      <w:bookmarkStart w:id="346" w:name="_Toc27205"/>
      <w:bookmarkStart w:id="347" w:name="_Toc30398"/>
      <w:bookmarkStart w:id="348" w:name="_Toc6735"/>
      <w:bookmarkStart w:id="349" w:name="_Toc28519"/>
      <w:bookmarkStart w:id="350" w:name="_Toc13197"/>
      <w:bookmarkStart w:id="351" w:name="_Toc27033"/>
      <w:bookmarkStart w:id="352" w:name="_Toc11714"/>
      <w:bookmarkStart w:id="353" w:name="_Toc21173"/>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3"/>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pStyle w:val="33"/>
              <w:spacing w:before="113" w:line="308" w:lineRule="auto"/>
              <w:ind w:right="190"/>
              <w:jc w:val="both"/>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投标人必须为所投车辆的生产企业（须提供承诺函），</w:t>
            </w:r>
            <w:r>
              <w:rPr>
                <w:rFonts w:hint="default" w:ascii="宋体" w:hAnsi="宋体" w:eastAsia="宋体" w:cs="宋体"/>
                <w:color w:val="auto"/>
                <w:kern w:val="2"/>
                <w:sz w:val="24"/>
                <w:szCs w:val="24"/>
                <w:highlight w:val="none"/>
                <w:lang w:val="en-US" w:eastAsia="zh-CN" w:bidi="ar-SA"/>
              </w:rPr>
              <w:t>交车时（整车）必须是已取得中华人民共和国工业和信息化部发布的对应车型《道路机动车辆生产企业及产品公告》的合格产品（须提供工信部官方查询平台查询截图和网址链接）</w:t>
            </w:r>
          </w:p>
        </w:tc>
        <w:tc>
          <w:tcPr>
            <w:tcW w:w="5153"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pStyle w:val="33"/>
              <w:spacing w:before="78" w:line="219" w:lineRule="auto"/>
              <w:ind w:left="118" w:leftChars="0"/>
              <w:rPr>
                <w:rFonts w:hint="eastAsia"/>
                <w:color w:val="auto"/>
                <w:sz w:val="24"/>
                <w:szCs w:val="24"/>
                <w:highlight w:val="none"/>
                <w:lang w:eastAsia="zh-CN"/>
              </w:rPr>
            </w:pPr>
            <w:r>
              <w:rPr>
                <w:color w:val="auto"/>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jc w:val="center"/>
              <w:rPr>
                <w:rFonts w:hint="eastAsia"/>
                <w:color w:val="auto"/>
                <w:highlight w:val="none"/>
              </w:rPr>
            </w:pPr>
            <w:r>
              <w:rPr>
                <w:rFonts w:hint="eastAsia" w:ascii="宋体" w:hAnsi="宋体" w:cs="宋体"/>
                <w:color w:val="auto"/>
                <w:sz w:val="24"/>
                <w:highlight w:val="none"/>
                <w:lang w:val="en-US" w:eastAsia="zh-CN"/>
              </w:rPr>
              <w:t>投标人必须为所投车辆的生产企业</w:t>
            </w:r>
          </w:p>
        </w:tc>
        <w:tc>
          <w:tcPr>
            <w:tcW w:w="5153" w:type="dxa"/>
            <w:vAlign w:val="top"/>
          </w:tcPr>
          <w:p>
            <w:pPr>
              <w:pStyle w:val="33"/>
              <w:spacing w:before="227" w:line="219" w:lineRule="auto"/>
              <w:ind w:left="118" w:leftChars="0"/>
              <w:rPr>
                <w:rFonts w:hint="eastAsia"/>
                <w:color w:val="auto"/>
                <w:sz w:val="24"/>
                <w:szCs w:val="24"/>
                <w:highlight w:val="none"/>
                <w:lang w:eastAsia="zh-CN"/>
              </w:rPr>
            </w:pPr>
            <w:r>
              <w:rPr>
                <w:color w:val="auto"/>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w:t>
            </w:r>
            <w:r>
              <w:rPr>
                <w:rFonts w:hint="eastAsia" w:ascii="宋体" w:hAnsi="宋体" w:cs="宋体"/>
                <w:color w:val="auto"/>
                <w:sz w:val="24"/>
                <w:highlight w:val="none"/>
                <w:lang w:val="en-US" w:eastAsia="zh-CN"/>
              </w:rPr>
              <w:t>和社会保障资金</w:t>
            </w:r>
            <w:r>
              <w:rPr>
                <w:rFonts w:hint="eastAsia"/>
                <w:color w:val="auto"/>
                <w:sz w:val="24"/>
                <w:szCs w:val="24"/>
                <w:highlight w:val="none"/>
                <w:lang w:eastAsia="zh-CN"/>
              </w:rPr>
              <w:t>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9"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bl>
    <w:p>
      <w:pPr>
        <w:pStyle w:val="4"/>
        <w:numPr>
          <w:ilvl w:val="0"/>
          <w:numId w:val="7"/>
        </w:numPr>
        <w:adjustRightInd w:val="0"/>
        <w:snapToGrid w:val="0"/>
        <w:rPr>
          <w:rFonts w:ascii="宋体" w:cs="宋体"/>
          <w:color w:val="auto"/>
          <w:sz w:val="24"/>
          <w:szCs w:val="24"/>
          <w:highlight w:val="none"/>
        </w:rPr>
      </w:pPr>
      <w:bookmarkStart w:id="354" w:name="_Toc16266"/>
      <w:bookmarkStart w:id="355" w:name="_Toc21337"/>
      <w:bookmarkStart w:id="356" w:name="_Toc19241"/>
      <w:bookmarkStart w:id="357" w:name="_Toc16293"/>
      <w:bookmarkStart w:id="358" w:name="_Toc1301"/>
      <w:bookmarkStart w:id="359" w:name="_Toc25514"/>
      <w:bookmarkStart w:id="360" w:name="_Toc465"/>
      <w:bookmarkStart w:id="361" w:name="_Toc23399"/>
      <w:bookmarkStart w:id="362" w:name="_Toc16607"/>
      <w:bookmarkStart w:id="363" w:name="_Toc2378"/>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7"/>
        </w:numPr>
        <w:adjustRightInd w:val="0"/>
        <w:snapToGrid w:val="0"/>
        <w:rPr>
          <w:rFonts w:ascii="宋体" w:cs="宋体"/>
          <w:color w:val="auto"/>
          <w:sz w:val="24"/>
          <w:szCs w:val="24"/>
          <w:highlight w:val="none"/>
        </w:rPr>
      </w:pPr>
      <w:bookmarkStart w:id="364" w:name="_Toc2610"/>
      <w:bookmarkStart w:id="365" w:name="_Toc12137"/>
      <w:bookmarkStart w:id="366" w:name="_Toc11542"/>
      <w:bookmarkStart w:id="367" w:name="_Toc29893"/>
      <w:bookmarkStart w:id="368" w:name="_Toc23230"/>
      <w:bookmarkStart w:id="369" w:name="_Toc8280"/>
      <w:bookmarkStart w:id="370" w:name="_Toc21593"/>
      <w:bookmarkStart w:id="371" w:name="_Toc3310"/>
      <w:bookmarkStart w:id="372" w:name="_Toc8631"/>
      <w:bookmarkStart w:id="373" w:name="_Toc18033"/>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7"/>
        </w:numPr>
        <w:adjustRightInd w:val="0"/>
        <w:snapToGrid w:val="0"/>
        <w:rPr>
          <w:rFonts w:ascii="宋体" w:cs="宋体"/>
          <w:color w:val="auto"/>
          <w:sz w:val="24"/>
          <w:szCs w:val="24"/>
          <w:highlight w:val="none"/>
        </w:rPr>
      </w:pPr>
      <w:bookmarkStart w:id="374" w:name="_Toc920"/>
      <w:bookmarkStart w:id="375" w:name="_Toc10180"/>
      <w:bookmarkStart w:id="376" w:name="_Toc16031"/>
      <w:bookmarkStart w:id="377" w:name="_Toc14072"/>
      <w:bookmarkStart w:id="378" w:name="_Toc13549"/>
      <w:bookmarkStart w:id="379" w:name="_Toc2029"/>
      <w:bookmarkStart w:id="380" w:name="_Toc32375"/>
      <w:bookmarkStart w:id="381" w:name="_Toc19383"/>
      <w:bookmarkStart w:id="382" w:name="_Toc2259"/>
      <w:bookmarkStart w:id="383" w:name="_Toc5940"/>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是否具备投标资格，有一项不符合评审标准的，资格审查人员应当认定其投标无效，合格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2792"/>
      <w:bookmarkStart w:id="385" w:name="_Toc40112139"/>
      <w:bookmarkStart w:id="386" w:name="_Toc31076"/>
      <w:bookmarkStart w:id="387" w:name="_Toc20425"/>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16535"/>
      <w:bookmarkStart w:id="389" w:name="_Toc22649"/>
      <w:bookmarkStart w:id="390" w:name="_Toc12415"/>
      <w:bookmarkStart w:id="391" w:name="_Toc4734"/>
      <w:bookmarkStart w:id="392" w:name="_Toc1534"/>
      <w:bookmarkStart w:id="393" w:name="_Toc14114"/>
      <w:bookmarkStart w:id="394" w:name="_Toc23659"/>
      <w:bookmarkStart w:id="395" w:name="_Toc16950"/>
      <w:bookmarkStart w:id="396" w:name="_Toc22753"/>
      <w:bookmarkStart w:id="397" w:name="_Toc6633"/>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ascii="宋体" w:cs="宋体"/>
                <w:b/>
                <w:bCs/>
                <w:color w:val="auto"/>
                <w:sz w:val="24"/>
                <w:highlight w:val="none"/>
              </w:rPr>
            </w:pPr>
            <w:r>
              <w:rPr>
                <w:rFonts w:hint="eastAsia" w:ascii="宋体" w:hAnsi="宋体" w:cs="宋体"/>
                <w:b/>
                <w:bCs/>
                <w:color w:val="auto"/>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b/>
                <w:bCs/>
                <w:color w:val="auto"/>
                <w:kern w:val="0"/>
                <w:sz w:val="24"/>
                <w:highlight w:val="none"/>
              </w:rPr>
            </w:pPr>
            <w:r>
              <w:rPr>
                <w:rFonts w:hint="eastAsia" w:ascii="宋体" w:hAnsi="宋体" w:cs="宋体"/>
                <w:b/>
                <w:bCs/>
                <w:color w:val="auto"/>
                <w:kern w:val="0"/>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b/>
                <w:bCs/>
                <w:color w:val="auto"/>
                <w:sz w:val="24"/>
                <w:highlight w:val="none"/>
              </w:rPr>
            </w:pPr>
            <w:r>
              <w:rPr>
                <w:rFonts w:hint="eastAsia" w:ascii="宋体" w:hAnsi="宋体" w:cs="宋体"/>
                <w:b/>
                <w:bCs/>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2.1.1</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形式</w:t>
            </w:r>
          </w:p>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投标文件签署、盖章</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sz w:val="24"/>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投标文件格式</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总报价唯一</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投标报价</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2.1.2</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符合性审查</w:t>
            </w:r>
            <w:r>
              <w:rPr>
                <w:rFonts w:hint="eastAsia" w:ascii="宋体" w:hAnsi="宋体" w:cs="宋体"/>
                <w:color w:val="auto"/>
                <w:kern w:val="0"/>
                <w:sz w:val="24"/>
                <w:highlight w:val="none"/>
              </w:rPr>
              <w:t>标准</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交货期</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1.2.6</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交货地点</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1.2.7</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质保期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1.2.8</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质量要求</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1.2.9</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投标有效期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3.6.1</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技术要求</w:t>
            </w:r>
          </w:p>
        </w:tc>
        <w:tc>
          <w:tcPr>
            <w:tcW w:w="3041"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招标项目需求及技术要求中标注“</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”号条款为实质性条款，符合技术标准要求。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其他</w:t>
            </w:r>
          </w:p>
        </w:tc>
        <w:tc>
          <w:tcPr>
            <w:tcW w:w="3041"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分值构成</w:t>
            </w:r>
          </w:p>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总分</w:t>
            </w:r>
            <w:r>
              <w:rPr>
                <w:rFonts w:ascii="宋体" w:hAnsi="宋体" w:cs="宋体"/>
                <w:color w:val="auto"/>
                <w:kern w:val="0"/>
                <w:sz w:val="24"/>
                <w:highlight w:val="none"/>
              </w:rPr>
              <w:t>100</w:t>
            </w:r>
            <w:r>
              <w:rPr>
                <w:rFonts w:hint="eastAsia" w:ascii="宋体" w:hAnsi="宋体" w:cs="宋体"/>
                <w:color w:val="auto"/>
                <w:kern w:val="0"/>
                <w:sz w:val="24"/>
                <w:highlight w:val="none"/>
              </w:rPr>
              <w:t>分</w:t>
            </w:r>
            <w:r>
              <w:rPr>
                <w:rFonts w:ascii="宋体" w:hAnsi="宋体" w:cs="宋体"/>
                <w:color w:val="auto"/>
                <w:kern w:val="0"/>
                <w:sz w:val="24"/>
                <w:highlight w:val="none"/>
              </w:rPr>
              <w:t>)</w:t>
            </w:r>
          </w:p>
        </w:tc>
        <w:tc>
          <w:tcPr>
            <w:tcW w:w="3041" w:type="pct"/>
            <w:gridSpan w:val="2"/>
            <w:vAlign w:val="center"/>
          </w:tcPr>
          <w:p>
            <w:pPr>
              <w:autoSpaceDE w:val="0"/>
              <w:autoSpaceDN w:val="0"/>
              <w:adjustRightInd w:val="0"/>
              <w:snapToGrid w:val="0"/>
              <w:spacing w:line="360" w:lineRule="auto"/>
              <w:ind w:left="38" w:leftChars="18"/>
              <w:jc w:val="left"/>
              <w:rPr>
                <w:rFonts w:ascii="宋体" w:cs="宋体"/>
                <w:b/>
                <w:bCs/>
                <w:color w:val="auto"/>
                <w:kern w:val="0"/>
                <w:sz w:val="24"/>
                <w:highlight w:val="none"/>
              </w:rPr>
            </w:pPr>
            <w:r>
              <w:rPr>
                <w:rFonts w:hint="eastAsia" w:ascii="宋体" w:hAnsi="宋体" w:cs="宋体"/>
                <w:b/>
                <w:bCs/>
                <w:color w:val="auto"/>
                <w:kern w:val="0"/>
                <w:sz w:val="24"/>
                <w:highlight w:val="none"/>
                <w:lang w:eastAsia="zh-CN"/>
              </w:rPr>
              <w:t>投标报价</w:t>
            </w:r>
            <w:r>
              <w:rPr>
                <w:rFonts w:hint="eastAsia" w:ascii="宋体" w:hAnsi="宋体" w:cs="宋体"/>
                <w:b/>
                <w:bCs/>
                <w:color w:val="auto"/>
                <w:kern w:val="0"/>
                <w:sz w:val="24"/>
                <w:highlight w:val="none"/>
              </w:rPr>
              <w:t>：</w:t>
            </w:r>
            <w:r>
              <w:rPr>
                <w:rFonts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分</w:t>
            </w:r>
            <w:r>
              <w:rPr>
                <w:rFonts w:ascii="宋体" w:hAnsi="宋体" w:cs="宋体"/>
                <w:b/>
                <w:bCs/>
                <w:color w:val="auto"/>
                <w:kern w:val="0"/>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技术部分：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分</w:t>
            </w:r>
            <w:r>
              <w:rPr>
                <w:rFonts w:ascii="宋体" w:hAnsi="宋体" w:cs="宋体"/>
                <w:b/>
                <w:color w:val="auto"/>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商务部分：</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12"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技术指标响应情况（0-35分）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技术参数(0-35分)完全满足或优于招标文件技术要求的得35分，投标技术参数与招标文件参数要求有负偏离的在</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分的基础上，不带标注符号的技术参数出现负偏离的每有一项扣1分，标注“</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1"/>
                <w:szCs w:val="21"/>
                <w:highlight w:val="none"/>
              </w:rPr>
              <w:t>”号项技术参数出现负偏离的每有一项扣</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分，在本项分值范围技术指标</w:t>
            </w:r>
            <w:r>
              <w:rPr>
                <w:rFonts w:hint="eastAsia" w:ascii="宋体" w:hAnsi="宋体" w:cs="宋体"/>
                <w:color w:val="auto"/>
                <w:kern w:val="0"/>
                <w:sz w:val="21"/>
                <w:szCs w:val="21"/>
                <w:highlight w:val="none"/>
                <w:lang w:val="en-US" w:eastAsia="zh-CN"/>
              </w:rPr>
              <w:t>项</w:t>
            </w:r>
            <w:r>
              <w:rPr>
                <w:rFonts w:hint="eastAsia" w:ascii="宋体" w:hAnsi="宋体" w:eastAsia="宋体" w:cs="宋体"/>
                <w:color w:val="auto"/>
                <w:kern w:val="0"/>
                <w:sz w:val="21"/>
                <w:szCs w:val="21"/>
                <w:highlight w:val="none"/>
              </w:rPr>
              <w:t>内扣完为止。招标项目需求及技术要求中标注“</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1"/>
                <w:szCs w:val="21"/>
                <w:highlight w:val="none"/>
              </w:rPr>
              <w:t>”号条款为实质性条款，必须逐条进行响应，有任何一条负偏离的，将导致无效投标。注:提供相关证明资料(如制造商公开发布的产品说明书或检测机构出具的检测报告或投标人须知前附表允许的其他形式予以佐证，否则为负偏离扣分或者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ind w:left="31680" w:hanging="308" w:hangingChars="14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车辆选型（整体设计）（0-5分）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产品的底盘选型、上装设计及布局、电气设备、随车配套设备及配件等情况进行综合评审（须提供设计说明、整体设计图、结构设计图、功能设计图、三维系统图等）：投标产品的底盘选型具有针对性、对各使用场景适用性高，上装设计及布局科学合理，内部结构选用制作板材等材料可靠性高、性能稳定，电气设备配置与采购需求吻合，配置随车器材及备件满足采购需求，且描述清晰、性能稳定可靠的，得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较合理，对于各种适用场景具有较高适用性，上装设计及布局较合理，内部结构选用制作板材等材料可靠性较高、性能较稳定，电气设备配置与采购需求较为吻合，随车器材及备件的相关描述较清晰，性能较稳定、可靠性较高的，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基本合理，对于各种适用场景具有一定适用性，上装设计及布局合理性略有欠缺，内部结构选用制作板材等材料可靠性较高、性能略有不足，电气设备配置与采购需求较为吻合，随车器材及备件的相关描述基本清晰，性能基本稳定、具有基本的可靠性，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性能配置及适用性较差，上装设计及布局有较大缺陷，电气设备配置不明确，随车器材及备件的相关信息描述简单，或者未同时提供设计说明、整体设计图、结构设计图、功能设计图、三维系统图等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车辆制造商专业技术生产能力（0-5分）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所投车辆制造商专业技术生产能力（包括但不限于自主研发能力、生产工艺、生产步骤、产品检验等）进行评审：投标人所投车辆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5分；投标人所投车辆制造商具备一定的自主研发能力及较先进的生产工艺，提供较完整的工艺流程图并配有较详细的图片和文字说明，生产步骤较完整，能够提供各环节较完整的生产车间环境及较详细的实际生产实景照片，具有较严格的产品检验流程，检验设备配置较齐全、检验步骤较严密，得3分；投标人所投车辆制造商具有一定自主研发能力，提供部分生产工艺流程说明，生产步骤基本完善并提供生产车间环境及实际生产照片，产品检验流程及具体检验步骤基本完整，检验设备配置基本齐全，得1分；投标人所投车辆制造商不具备自主研发能力，生产工艺简单粗糙，生产步骤完善程度较差，未能提供生产车间环境及实际生产照片，产品检验流程及具体检验步骤不完整，检验设备配置不齐全，或者未提供投标人所投车辆制造商专业技术生产能力证明材料，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企业认证（0-1.5分）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投标人提供经认监委批准的认证机构颁发的有效的：</w:t>
            </w:r>
          </w:p>
          <w:p>
            <w:pPr>
              <w:numPr>
                <w:ilvl w:val="0"/>
                <w:numId w:val="8"/>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职业健康安全体系认证证书得0.5分。</w:t>
            </w:r>
          </w:p>
          <w:p>
            <w:pPr>
              <w:numPr>
                <w:ilvl w:val="0"/>
                <w:numId w:val="0"/>
              </w:numPr>
              <w:adjustRightInd w:val="0"/>
              <w:snapToGrid w:val="0"/>
              <w:spacing w:line="36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注：本项累计最高得1.5分，需提供有效期内的有效证书扫描件，清晰可辨，无或其它不得分。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产品</w:t>
            </w:r>
            <w:r>
              <w:rPr>
                <w:rFonts w:hint="eastAsia" w:ascii="宋体" w:hAnsi="宋体" w:eastAsia="宋体" w:cs="宋体"/>
                <w:b/>
                <w:color w:val="auto"/>
                <w:kern w:val="0"/>
                <w:sz w:val="21"/>
                <w:szCs w:val="21"/>
                <w:highlight w:val="none"/>
              </w:rPr>
              <w:t>业绩（0-2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投标人每提供一份产品业绩得1分，最多得2分，不提供得0分。业绩年份要求，自202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年1月1日算起。产品业绩是指投标人所投标包项目</w:t>
            </w:r>
            <w:r>
              <w:rPr>
                <w:rFonts w:hint="eastAsia" w:ascii="宋体" w:hAnsi="宋体" w:cs="宋体"/>
                <w:color w:val="auto"/>
                <w:sz w:val="21"/>
                <w:szCs w:val="21"/>
                <w:highlight w:val="none"/>
                <w:lang w:eastAsia="zh-CN"/>
              </w:rPr>
              <w:t>产品相同类别的</w:t>
            </w:r>
            <w:r>
              <w:rPr>
                <w:rFonts w:hint="eastAsia" w:ascii="宋体" w:hAnsi="宋体" w:eastAsia="宋体" w:cs="宋体"/>
                <w:color w:val="auto"/>
                <w:sz w:val="21"/>
                <w:szCs w:val="21"/>
                <w:highlight w:val="none"/>
              </w:rPr>
              <w:t>业绩，以合同签订时间为准，业绩须包括发票、合同。注：投标文件中须附合同（需包含签订合同双方的单位名称、合同项目名称、项目金额与含签订合同双方的落款盖章、签订日期的关键页）、发票扫描件，清晰可辨，并加盖投标人公章，以上内容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节能环保产品（0-1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如为节能产品政府采购品目清单内非强制节能产品的，加0.5分。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所投产品如为环境标志产品政府采购品目清单内的产品，加0.5分。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质保期（0-4.5 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color w:val="auto"/>
                <w:highlight w:val="none"/>
              </w:rPr>
              <w:t>在招标文件要求的质保期基础上，每承诺延长一年质保期得1.5分，最多得4.5分，未承诺的不得分。（注：如标包内有多个产品的，所有产品的质保期均需延长，否则不得分）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优惠条款（0-1分）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参照首保项目及范围进行维保延期承诺，承诺免费增加维保1次加0.5分，最多加1分，未承诺的不得分。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实施方案（0-4分）</w:t>
            </w:r>
          </w:p>
        </w:tc>
        <w:tc>
          <w:tcPr>
            <w:tcW w:w="3040" w:type="pct"/>
            <w:gridSpan w:val="2"/>
            <w:vAlign w:val="center"/>
          </w:tcPr>
          <w:p>
            <w:pPr>
              <w:numPr>
                <w:ilvl w:val="0"/>
                <w:numId w:val="9"/>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进度方案（2分）：（1）整体实施进度方案详实、切实可行，生产进度规划详细、原材料采购及生产计划响应迅速，供货周期优于项目要求，进度保障措施规划详细、响应周全、切实可行，项目组人员配备齐全、分工明确、团队力量强，得2分；（2）整体实施进度方案、生产进度规划、原材料采购及生产计划、供货周期、进度保障措施规划、项目组人员配备不详实、不详细或者部分不满足项目要求，得1分；（3）整体实施进度方案、生产进度规划、原材料采购及生产计划、供货周期、进度保障措施规划、项目组人员配备不能满足采购需求，得0.5分；（4）未提供方案，得0分。</w:t>
            </w:r>
          </w:p>
          <w:p>
            <w:pPr>
              <w:numPr>
                <w:ilvl w:val="0"/>
                <w:numId w:val="9"/>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障措施（1分）：（1）质量保障方案制定详实、切实可行，质量保障制度制定完善、可操作性强，质量保障人员配备齐全、分工明确、团队力量强，有专门的的质量保障经费规划，质量保障设施设备配备齐全，得1分；（2）质量保障方案制定、质量保障制度制定、质量保障人员配备、质量保障设施设备配备不详实、不齐全或者部分不满足项目要求，得0.5分；（3）未提供方案，得0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1分）：（1）方案提供的测试、验收依据和相关的技术标准准确完整，方案制定的测试、验收的组织形式、程序、注意事项周全详实，测试、验收环节和内容设置详实，得1分；（2）方案提供的测试、验收依据和相关的技术标准、方案制定的测试、验收的组织形式、程序、注意事项、测试、验收环节和内容设置不详实或者部分不满足项目要求，得0.5分；（3）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履约能力（0-3分）</w:t>
            </w:r>
          </w:p>
        </w:tc>
        <w:tc>
          <w:tcPr>
            <w:tcW w:w="3040" w:type="pct"/>
            <w:gridSpan w:val="2"/>
            <w:vAlign w:val="center"/>
          </w:tcPr>
          <w:p>
            <w:pPr>
              <w:numPr>
                <w:ilvl w:val="0"/>
                <w:numId w:val="1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各阶段资金使用计划规划明确、各环节资金投入明确且保障有力得1分，没有保障或未提供该项内容得0分。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2.生产过程有落实节能环保相关措施且可行得1分，措施不可行或未提供该项内容得0分。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3.与各用户单位沟通和协调管理制度完善可行得1分，不完善、不可行或未提供该项内容得0分。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售后服务（0-</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售后服务（5分）</w:t>
            </w:r>
          </w:p>
          <w:p>
            <w:pPr>
              <w:numPr>
                <w:ilvl w:val="0"/>
                <w:numId w:val="11"/>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售后服务计划（内容包括但不限于售后服务内容、售后服务体系、故障响应、备品备件保障供应、巡检服务等）进行综合评分：服务计划完整（涵盖上述全部内容）、详尽，完全满足项目要求的，得2分；服务计划基本完整（涵盖上述全部内容，但是内容不够详尽或者其中某项描述欠缺的），得1分；服务计划不完整（内容缺少一项或多项的），或者服务计划无法满足采购需求的得0.5分；无服务计划的不得分。</w:t>
            </w:r>
          </w:p>
          <w:p>
            <w:pPr>
              <w:numPr>
                <w:ilvl w:val="0"/>
                <w:numId w:val="11"/>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应急维修保障措施（内容包括但不限应急维修程序、应急维修预案、应急维修人员配备等）进行综合评分：维修保障措施完整（涵盖上述全部内容）、详尽，完全满足项目要求的，得2分；维修保障措施基本完整（涵盖上述全部内容，但是内容不够详尽或者其中某项描述欠缺的），得1分；维修保障措施不完整（内容缺少一项或多项的），或者服务计划无法满足采购需求的得0.5分；无服务计划的不得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（3）投标人提供本地化服务承诺（具体实施方式在合同中约定）的得1分，未提供的得0分。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培训方案（0-</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课时安排、培训时间安排等）进行综合评分：培训方案全面（涵盖上述全部内容）、详尽，符合项目特点，针对性强，确保满足培训效果的得3分；培训方案不全面（内容缺少一项或多项的）、针对性不强，得1.5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26533"/>
      <w:bookmarkStart w:id="399" w:name="_Toc3406"/>
      <w:bookmarkStart w:id="400" w:name="_Toc5920"/>
      <w:bookmarkStart w:id="401" w:name="_Toc4003"/>
      <w:bookmarkStart w:id="402" w:name="_Toc17219"/>
      <w:bookmarkStart w:id="403" w:name="_Toc13454"/>
      <w:bookmarkStart w:id="404" w:name="_Toc30895"/>
      <w:bookmarkStart w:id="405" w:name="_Toc6135"/>
      <w:bookmarkStart w:id="406" w:name="_Toc30234"/>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27094"/>
      <w:bookmarkStart w:id="408" w:name="_Toc31651"/>
      <w:bookmarkStart w:id="409" w:name="_Toc29139"/>
      <w:bookmarkStart w:id="410" w:name="_Toc17735"/>
      <w:bookmarkStart w:id="411" w:name="_Toc6724"/>
      <w:bookmarkStart w:id="412" w:name="_Toc28336"/>
      <w:bookmarkStart w:id="413" w:name="_Toc5467"/>
      <w:bookmarkStart w:id="414" w:name="_Toc7259"/>
      <w:bookmarkStart w:id="415" w:name="_Toc10856"/>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16356"/>
      <w:bookmarkStart w:id="417" w:name="_Toc1740"/>
      <w:bookmarkStart w:id="418" w:name="_Toc26726"/>
      <w:bookmarkStart w:id="419" w:name="_Toc21732"/>
      <w:bookmarkStart w:id="420" w:name="_Toc5605"/>
      <w:bookmarkStart w:id="421" w:name="_Toc4338"/>
      <w:bookmarkStart w:id="422" w:name="_Toc28724"/>
      <w:bookmarkStart w:id="423" w:name="_Toc22175"/>
      <w:bookmarkStart w:id="424" w:name="_Toc5149"/>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18983"/>
      <w:bookmarkStart w:id="426" w:name="_Toc9443"/>
      <w:bookmarkStart w:id="427" w:name="_Toc5708"/>
      <w:bookmarkStart w:id="428" w:name="_Toc1654"/>
      <w:bookmarkStart w:id="429" w:name="_Toc17957"/>
      <w:bookmarkStart w:id="430" w:name="_Toc10682"/>
      <w:bookmarkStart w:id="431" w:name="_Toc32083"/>
      <w:bookmarkStart w:id="432" w:name="_Toc9613"/>
      <w:bookmarkStart w:id="433" w:name="_Toc7036"/>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的投标文件进行初步评审，以确定其是否满足招标文件的实质性要求，有一项不符合评标标准的，评标委员会应当认定其投标无效。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2449"/>
      <w:bookmarkStart w:id="435" w:name="_Toc1221"/>
      <w:bookmarkStart w:id="436" w:name="_Toc13336"/>
      <w:bookmarkStart w:id="437" w:name="_Toc12089"/>
      <w:bookmarkStart w:id="438" w:name="_Toc18705"/>
      <w:bookmarkStart w:id="439" w:name="_Toc30428"/>
      <w:bookmarkStart w:id="440" w:name="_Toc10132"/>
      <w:bookmarkStart w:id="441" w:name="_Toc24391"/>
      <w:bookmarkStart w:id="442" w:name="_Toc26213"/>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5640"/>
      <w:bookmarkStart w:id="444" w:name="_Toc18083"/>
      <w:bookmarkStart w:id="445" w:name="_Toc11722"/>
      <w:bookmarkStart w:id="446" w:name="_Toc9150"/>
      <w:bookmarkStart w:id="447" w:name="_Toc2162"/>
      <w:bookmarkStart w:id="448" w:name="_Toc7845"/>
      <w:bookmarkStart w:id="449" w:name="_Toc18381"/>
      <w:bookmarkStart w:id="450" w:name="_Toc11785"/>
      <w:bookmarkStart w:id="451" w:name="_Toc6048"/>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28041"/>
      <w:bookmarkStart w:id="453" w:name="_Toc25857"/>
      <w:bookmarkStart w:id="454" w:name="_Toc19426"/>
      <w:bookmarkStart w:id="455" w:name="_Toc7956"/>
      <w:bookmarkStart w:id="456" w:name="_Toc12108"/>
      <w:bookmarkStart w:id="457" w:name="_Toc10336"/>
      <w:bookmarkStart w:id="458" w:name="_Toc19756"/>
      <w:bookmarkStart w:id="459" w:name="_Toc27845"/>
      <w:bookmarkStart w:id="460" w:name="_Toc12060"/>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7178"/>
      <w:bookmarkStart w:id="465" w:name="_Toc16056"/>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Cs w:val="21"/>
          <w:highlight w:val="none"/>
        </w:rPr>
      </w:pPr>
    </w:p>
    <w:p>
      <w:pPr>
        <w:pStyle w:val="12"/>
        <w:spacing w:line="360" w:lineRule="auto"/>
        <w:ind w:left="0" w:leftChars="0" w:right="1470"/>
        <w:rPr>
          <w:rFonts w:ascii="宋体" w:cs="宋体"/>
          <w:color w:val="auto"/>
          <w:sz w:val="32"/>
          <w:szCs w:val="32"/>
          <w:highlight w:val="none"/>
        </w:rPr>
      </w:pPr>
      <w:r>
        <w:rPr>
          <w:rFonts w:hint="eastAsia" w:ascii="宋体" w:hAnsi="宋体" w:cs="宋体"/>
          <w:color w:val="auto"/>
          <w:w w:val="90"/>
          <w:sz w:val="44"/>
          <w:szCs w:val="44"/>
          <w:highlight w:val="none"/>
        </w:rPr>
        <w:t>项目名称：</w:t>
      </w:r>
      <w:r>
        <w:rPr>
          <w:rFonts w:hint="eastAsia" w:ascii="宋体" w:hAnsi="宋体" w:cs="宋体"/>
          <w:color w:val="auto"/>
          <w:w w:val="90"/>
          <w:sz w:val="44"/>
          <w:szCs w:val="44"/>
          <w:highlight w:val="none"/>
          <w:lang w:eastAsia="zh-CN"/>
        </w:rPr>
        <w:t>平顶山市消防救援支队河南省消防救援总队“自然灾害应急能力提升工程”平顶山支队装备建设项目</w:t>
      </w: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甲方（需方）：</w:t>
      </w:r>
    </w:p>
    <w:p>
      <w:pPr>
        <w:widowControl/>
        <w:spacing w:line="360" w:lineRule="auto"/>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乙方（供方）： </w:t>
      </w:r>
    </w:p>
    <w:p>
      <w:pPr>
        <w:widowControl/>
        <w:spacing w:line="360" w:lineRule="auto"/>
        <w:jc w:val="right"/>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合同签订日期：二〇二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r>
        <w:rPr>
          <w:rFonts w:ascii="宋体" w:hAnsi="宋体" w:cs="宋体"/>
          <w:color w:val="auto"/>
          <w:sz w:val="32"/>
          <w:szCs w:val="32"/>
          <w:highlight w:val="none"/>
        </w:rPr>
        <w:t xml:space="preserve">   </w:t>
      </w:r>
    </w:p>
    <w:p>
      <w:pPr>
        <w:spacing w:line="384" w:lineRule="auto"/>
        <w:ind w:firstLine="520"/>
        <w:jc w:val="both"/>
        <w:rPr>
          <w:rFonts w:hint="eastAsia" w:ascii="宋体" w:hAnsi="宋体" w:eastAsia="宋体"/>
          <w:color w:val="auto"/>
          <w:sz w:val="27"/>
          <w:highlight w:val="none"/>
        </w:rPr>
      </w:pP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甲方：</w:t>
      </w:r>
      <w:r>
        <w:rPr>
          <w:rFonts w:hint="eastAsia" w:ascii="宋体" w:hAnsi="宋体" w:eastAsia="宋体"/>
          <w:color w:val="auto"/>
          <w:sz w:val="24"/>
          <w:szCs w:val="24"/>
          <w:highlight w:val="none"/>
          <w:u w:val="single"/>
        </w:rPr>
        <w:t xml:space="preserve">         </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u w:val="single"/>
        </w:rPr>
        <w:t xml:space="preserve">         </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为了保护供需各方的合法权益，甲乙双方依照《中华人民共和国民法典》有关条款，就</w:t>
      </w:r>
      <w:r>
        <w:rPr>
          <w:rFonts w:hint="eastAsia" w:ascii="宋体" w:hAnsi="宋体"/>
          <w:color w:val="auto"/>
          <w:sz w:val="24"/>
          <w:szCs w:val="24"/>
          <w:highlight w:val="none"/>
          <w:u w:val="single"/>
          <w:lang w:val="en-US" w:eastAsia="zh-CN"/>
        </w:rPr>
        <w:t xml:space="preserve">          项目 </w:t>
      </w:r>
      <w:r>
        <w:rPr>
          <w:rFonts w:hint="eastAsia" w:ascii="宋体" w:hAnsi="宋体" w:eastAsia="宋体"/>
          <w:color w:val="auto"/>
          <w:sz w:val="24"/>
          <w:szCs w:val="24"/>
          <w:highlight w:val="none"/>
        </w:rPr>
        <w:t>（项目编号：</w:t>
      </w: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包中，乙方向甲方提供的供货及相关服务，经甲乙双方协商一致，签订本合同，共同遵守执行。</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．合同货物清单</w:t>
      </w:r>
    </w:p>
    <w:tbl>
      <w:tblPr>
        <w:tblStyle w:val="23"/>
        <w:tblW w:w="941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49"/>
        <w:gridCol w:w="1754"/>
        <w:gridCol w:w="1350"/>
        <w:gridCol w:w="631"/>
        <w:gridCol w:w="596"/>
        <w:gridCol w:w="701"/>
        <w:gridCol w:w="1297"/>
        <w:gridCol w:w="1227"/>
        <w:gridCol w:w="121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1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货物名称</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产地厂家</w:t>
            </w:r>
          </w:p>
        </w:tc>
        <w:tc>
          <w:tcPr>
            <w:tcW w:w="63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单位</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数量</w:t>
            </w:r>
          </w:p>
        </w:tc>
        <w:tc>
          <w:tcPr>
            <w:tcW w:w="7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规格型号</w:t>
            </w:r>
          </w:p>
        </w:tc>
        <w:tc>
          <w:tcPr>
            <w:tcW w:w="1297"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单价（元）</w:t>
            </w:r>
          </w:p>
        </w:tc>
        <w:tc>
          <w:tcPr>
            <w:tcW w:w="1227"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小计（元）</w:t>
            </w:r>
          </w:p>
        </w:tc>
        <w:tc>
          <w:tcPr>
            <w:tcW w:w="121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需求单位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1</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2</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3</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2" w:hRule="atLeast"/>
          <w:jc w:val="center"/>
        </w:trPr>
        <w:tc>
          <w:tcPr>
            <w:tcW w:w="9416" w:type="dxa"/>
            <w:gridSpan w:val="9"/>
            <w:tcBorders>
              <w:top w:val="single" w:color="000000" w:sz="4" w:space="0"/>
              <w:left w:val="single" w:color="000000" w:sz="4" w:space="0"/>
              <w:bottom w:val="single" w:color="000000" w:sz="4" w:space="0"/>
              <w:right w:val="single" w:color="000000" w:sz="4" w:space="0"/>
            </w:tcBorders>
            <w:vAlign w:val="center"/>
          </w:tcPr>
          <w:p>
            <w:pPr>
              <w:spacing w:line="384" w:lineRule="auto"/>
              <w:ind w:firstLine="0"/>
              <w:jc w:val="both"/>
              <w:rPr>
                <w:color w:val="auto"/>
                <w:sz w:val="24"/>
                <w:szCs w:val="24"/>
                <w:highlight w:val="none"/>
              </w:rPr>
            </w:pPr>
            <w:r>
              <w:rPr>
                <w:rFonts w:hint="eastAsia" w:ascii="宋体" w:hAnsi="宋体" w:eastAsia="宋体"/>
                <w:color w:val="auto"/>
                <w:sz w:val="24"/>
                <w:szCs w:val="24"/>
                <w:highlight w:val="none"/>
              </w:rPr>
              <w:t>合计总价</w:t>
            </w:r>
            <w:r>
              <w:rPr>
                <w:rFonts w:hint="eastAsia" w:ascii="Calibri" w:hAnsi="Calibri" w:eastAsia="Calibri"/>
                <w:color w:val="auto"/>
                <w:sz w:val="24"/>
                <w:szCs w:val="24"/>
                <w:highlight w:val="none"/>
              </w:rPr>
              <w:t>RMB</w:t>
            </w:r>
            <w:r>
              <w:rPr>
                <w:rFonts w:hint="eastAsia" w:ascii="宋体" w:hAnsi="宋体" w:eastAsia="宋体"/>
                <w:color w:val="auto"/>
                <w:sz w:val="24"/>
                <w:szCs w:val="24"/>
                <w:highlight w:val="none"/>
              </w:rPr>
              <w:t>¥：   元</w:t>
            </w:r>
          </w:p>
        </w:tc>
      </w:tr>
    </w:tbl>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．合同总价</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总价为人民币（大写）：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整，即</w:t>
      </w:r>
      <w:r>
        <w:rPr>
          <w:rFonts w:hint="eastAsia" w:ascii="Calibri" w:hAnsi="Calibri" w:eastAsia="Calibri"/>
          <w:color w:val="auto"/>
          <w:sz w:val="24"/>
          <w:szCs w:val="24"/>
          <w:highlight w:val="none"/>
        </w:rPr>
        <w:t>RMB</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合同总价包括货物的全部价款、税率及汇率的变化风险、包装、运输、装卸、安装、调试及出厂前验收、技术、指导、培训、咨询、服务、检测、保险、验收、交付、售后服务等全部费用，甲方不再另向乙方支付本合同规定之外的任何费用。本合同总价为固定不变价。</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．合同组成</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技术规格、技术要求及其他有关货物的特定信息由合同附件说明。所有合同附件及本项目的报价文件、中标通知书、招标文件、投标文件、会议纪要、协议等均为本合同不可分割之部分。解释的顺序除特别说明外，以文件生成时间在后的为准。</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．技术要求</w:t>
      </w:r>
    </w:p>
    <w:p>
      <w:pPr>
        <w:spacing w:line="360" w:lineRule="auto"/>
        <w:ind w:firstLine="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 xml:space="preserve"> 乙方提供的货物必须符合中华人民共和国国家安全环保标准、国家有关产品质量认证标准，以及甲方采购文件和乙方投标文件中规定的质量要求和技术指标；甲乙双方如遇对质量要求和技术指标的约定标准有相互抵触或异议的事项，由甲方在采购与投标文件中按质量要求和技术指标比较优胜的原则确定该项的约定标准。如果中华人民共和国没有相关标准的，则采用货物来源国适用的官方标准。这些标准必须是相关国家或行业机构发布的最新版标准。</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 xml:space="preserve"> 乙方保证提供的货物不侵犯任何第三方的专利、商标版权或其他知识产权。一旦出现任何第三方提出侵权指控，乙方必须与第三方交涉，并承担可能发生的一切责任与费用，如因此给甲方造成损失的，乙方负责全额赔偿。</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 xml:space="preserve"> 进口底盘及设备必须具备有效的原产地证明、报关手续、商检部门的检验证明及合法进口渠道证明。</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 xml:space="preserve"> 合同货物上均应标有铭牌（内容包括：制造商、货物名称、型号规格、出厂日期等），并附有产品质量检验合格标志。</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．合同货物交货及验收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交货期</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交货时间：合同签订之日起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交货地点：</w:t>
      </w:r>
    </w:p>
    <w:p>
      <w:pPr>
        <w:spacing w:line="360" w:lineRule="auto"/>
        <w:ind w:firstLine="1160"/>
        <w:jc w:val="both"/>
        <w:rPr>
          <w:color w:val="auto"/>
          <w:sz w:val="24"/>
          <w:szCs w:val="24"/>
          <w:highlight w:val="none"/>
        </w:rPr>
      </w:pPr>
      <w:r>
        <w:rPr>
          <w:rFonts w:hint="eastAsia" w:ascii="宋体" w:hAnsi="宋体" w:eastAsia="宋体"/>
          <w:color w:val="auto"/>
          <w:sz w:val="24"/>
          <w:szCs w:val="24"/>
          <w:highlight w:val="none"/>
        </w:rPr>
        <w:t>甲方联系人：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pPr>
        <w:spacing w:line="360" w:lineRule="auto"/>
        <w:ind w:firstLine="1160"/>
        <w:jc w:val="both"/>
        <w:rPr>
          <w:color w:val="auto"/>
          <w:sz w:val="24"/>
          <w:szCs w:val="24"/>
          <w:highlight w:val="none"/>
        </w:rPr>
      </w:pPr>
      <w:r>
        <w:rPr>
          <w:rFonts w:hint="eastAsia" w:ascii="宋体" w:hAnsi="宋体" w:eastAsia="宋体"/>
          <w:color w:val="auto"/>
          <w:sz w:val="24"/>
          <w:szCs w:val="24"/>
          <w:highlight w:val="none"/>
        </w:rPr>
        <w:t>乙方联系人：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乙方交付的车辆（整车）应为已取得中华人民共和国工业和信息化部发布的对应车型《道路机动车辆生产企业及产品公告》的合格产品；所交付车辆已取得办理车辆产权（含上牌）所必需的一切手续资料，应符合现行国家专用汽车的相关要求，否则，甲方有权按照投标人虚假投标处理，解除合同、扣除履约保证金，收回预付款，拉入企业黑名单，并向上级部门上报相关情况；其它未尽事宜，按国家有关法律、法规执行；同时，乙方向甲方递交验收申请书；货物到达甲方指定地点，乙方应自行完成安装调试工作，货物安装调试完成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个工作日内，甲乙双方共同进行验收，验收合格后双方签订验收调试合格报告书一式</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份。</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货物验收时，乙方必须向甲方验收小组提供货物发票、合格证及相关检测证明资料，并同时向甲方设立的维修中心提供</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套完整的操作、维修技术资料，包括整车操作使用说明书及光盘（中文）、底盘使用说明书及光盘（中文）、整车操作维修手册（中文）、底盘操作维修手册（中文）等。</w:t>
      </w:r>
    </w:p>
    <w:p>
      <w:pPr>
        <w:spacing w:line="360" w:lineRule="auto"/>
        <w:ind w:firstLine="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货物在运输和安装调试过程中发生短缺、损坏，乙方应及时安排换装，所需费用由乙方承担。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乙方交货时应将货物的配置清单、用户手册、保修手册、原厂保修卡、产品合格证、资料及配件、随车工具、进口货物的商检证明、合法进口渠道证明、设计三视图等资料交付给甲方：乙方为执行本合同而提供的技术资料（具体内容见本合同</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条）、软件的使用权归甲方所有。乙方不能完整交付货物及本款规定的资料和工具的，视为未按合同约定交货，乙方必须负责补齐，因此导致逾期交付的，由乙方承担相关的违约责任。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货物到达交货地点之前的所有保险费用和派往甲方进行服务人员的人身险和其他有关险种，以及有关费用由乙方负责。</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底盘进场后，甲方安排技术骨干驻厂监督（期间，人员食宿费自理）。监造过程中如发现有车辆主要部件性能不达标、质量差并经国家检测部门检测不符合国家或行业标准等问题拒不改正的，采购方有权终止合同，并按相关法律规定有权向上级主管机构举报，列入本系统消防车招标采购项目黑名单。</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甲方有正当理由拒收货物或者解除合同的，货物毁损、丢失的风险由乙方承担。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．质量保证及售后服务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乙方保证货物是通过合法渠道进货、全新且未使用过的，所有权权属无任何瑕疵（即不存在抵押或其他可能影响货物所有权属事宜），其质量、规格及技术特征要符合本合同及合同第</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条所包括的资料的要求。</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以书面形式提供货物原厂家承诺的质量保证。</w:t>
      </w:r>
    </w:p>
    <w:p>
      <w:pPr>
        <w:spacing w:line="360" w:lineRule="auto"/>
        <w:ind w:firstLine="480"/>
        <w:jc w:val="both"/>
        <w:rPr>
          <w:color w:val="auto"/>
          <w:sz w:val="24"/>
          <w:szCs w:val="24"/>
          <w:highlight w:val="none"/>
        </w:rPr>
      </w:pPr>
      <w:r>
        <w:rPr>
          <w:rFonts w:hint="eastAsia" w:ascii="宋体" w:hAnsi="宋体" w:eastAsia="宋体"/>
          <w:color w:val="auto"/>
          <w:sz w:val="24"/>
          <w:szCs w:val="24"/>
          <w:highlight w:val="none"/>
        </w:rPr>
        <w:t>乙方及货物原厂家应保证车辆在正常行驶状况下的安全性，而无安全隐患。乙方及货物原厂家应保证车辆在保修期内，所有《产品说明书》或《产品使用书》所载明的安全装置都处在有效的使用状态。</w:t>
      </w:r>
    </w:p>
    <w:p>
      <w:pPr>
        <w:spacing w:line="360" w:lineRule="auto"/>
        <w:ind w:firstLine="480"/>
        <w:jc w:val="both"/>
        <w:rPr>
          <w:color w:val="auto"/>
          <w:sz w:val="24"/>
          <w:szCs w:val="24"/>
          <w:highlight w:val="none"/>
        </w:rPr>
      </w:pPr>
      <w:r>
        <w:rPr>
          <w:rFonts w:hint="eastAsia" w:ascii="宋体" w:hAnsi="宋体" w:eastAsia="宋体"/>
          <w:color w:val="auto"/>
          <w:sz w:val="24"/>
          <w:szCs w:val="24"/>
          <w:highlight w:val="none"/>
        </w:rPr>
        <w:t>乙方提供整车（含车内和改装设备）不少于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的质保服务（与投标文件承诺一致），质保期自甲乙双方代表在货物交付后的验收合格报告书上签字之日起计算（如果乙方投标承诺或生产制造厂家提供的质保期超过本款要求，按乙方投标承诺或生产制造厂家的质保期执行），首保费用由中标人承担。</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质保期内非甲方的人为原因而出现货物质量及安装问题，由乙方负责包修、包换或包退，并承担因此而产生的一切费用。乙方应在收到甲方通知后派员在</w:t>
      </w:r>
    </w:p>
    <w:p>
      <w:pPr>
        <w:spacing w:line="384" w:lineRule="auto"/>
        <w:ind w:firstLine="0"/>
        <w:jc w:val="both"/>
        <w:rPr>
          <w:color w:val="auto"/>
          <w:sz w:val="24"/>
          <w:szCs w:val="24"/>
          <w:highlight w:val="none"/>
        </w:rPr>
      </w:pP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小时内到现场维修。质保期后，由乙方提供</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的免费保修服务，保修费用计入合同总价，乙方只收取材料费。</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如有下列情况之一乙方不负责免费保修：</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）甲方不按照乙方提供的正确方法使用而引致货物故障损坏；</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）甲方擅自改装货物：</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）各种不可抗力事件造成的损坏。</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货物交付使用后，仍需以书面形式承诺维修服务，实行终身维护：在质保期内，乙方必须提供至少</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次免费上门维保服务（与投标文件承诺一致），乙方必须提供</w:t>
      </w:r>
      <w:r>
        <w:rPr>
          <w:rFonts w:hint="eastAsia" w:ascii="Calibri" w:hAnsi="Calibri" w:eastAsia="Calibri"/>
          <w:color w:val="auto"/>
          <w:sz w:val="24"/>
          <w:szCs w:val="24"/>
          <w:highlight w:val="none"/>
        </w:rPr>
        <w:t>24</w:t>
      </w:r>
      <w:r>
        <w:rPr>
          <w:rFonts w:hint="eastAsia" w:ascii="宋体" w:hAnsi="宋体" w:eastAsia="宋体"/>
          <w:color w:val="auto"/>
          <w:sz w:val="24"/>
          <w:szCs w:val="24"/>
          <w:highlight w:val="none"/>
        </w:rPr>
        <w:t>小时电话服务热线，保证在接到甲方故障报告电话后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小时内到达现场。</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保修期内，乙方负责对其提供的全部货物进行维修和维护，不再向甲方收取费用，但自然因素（如火灾、雷击等）造成的故障除外。货物厂家因货物发生质量问题需要成批召回维修的，乙方应及时通知甲方并积极协助办理有关手续，一切费用由乙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所有货物保修服务方式均为乙方上门保修，即由乙方派员到甲方货物使用现场维修，由此产生的一切费用均由乙方承担。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保修期内，乙方应负责货物运行的稳定性。</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乙方应于验收后向甲方提供项目各项详细验收报告、技术文档的归纳、整理、提交。并提供完整的硬件技术资料。</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技术文件：包括验收报告、技术文档、完整的软、硬件技术资料（含纸介质和光电介质），进口货物必须提供中文说明书。</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如甲方向乙方单独订购配件，乙方应按照投标（中标）文件中所约定的比例进行优惠。</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乙方应建立质量跟踪档案，每季度不少于一次向甲方进行现场（或电话）回访，以保证货物的正常高效使用，并以售后服务情况记录及甲方使用单位的反馈意见作为质量保证金退还凭证。如乙方已与甲方设立的维修中心签订了售后服务协议，乙方至少每半年与维修中心开展一次技术交流活动，并采取派人现场培训或入厂培训的方式对维修中心员工进行技术培训。</w:t>
      </w:r>
    </w:p>
    <w:p>
      <w:pPr>
        <w:spacing w:line="360" w:lineRule="auto"/>
        <w:ind w:firstLine="480" w:firstLineChars="20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依据法律规定或直观观察等日常使用情况能够直接确认的事实，可以直接作为判断是否有质量问题的依据，无需鉴定；确需鉴定的，以国家消防装备质量监督检验中心出具的书面鉴定意见为准。货物符合质量标准的，鉴定费用由甲方承担；货物不符合质量标准的，鉴定费用由乙方承担，并且甲方有权追究乙方的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车辆控制面板的软件应用中，后期涉及所有更新换代及升级问题，乙方不得向甲方收取任何相关费用，终身免费升级维护。</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针对本标包产品（货物），甲方有权采取驻厂监督、随机送检、到货验收等方式全程监督货物质量。存在质量问题，拒不改正的，甲方有权单方解除合同，并依法追究乙方商违约责任。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货物送达合同约定地点后，乙方书面向采购方递交验收申请，双方共同参与验收。必要时，甲方有权邀请参加本项目的评标专家或者第三方机构参与验收。对验收结果有争议的，可以委托国家相关机构质量检验，产生费用由过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乙方在批量生产前需提供详尽设计图纸及生产实施方案，待甲方确认后方可生产。样品或抽样送检费用由乙方承担，不计入中标合同数量及金额。质保期内乙方应到甲方开展技术巡检和售后服务。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在发出信息、通知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日内没有收到回复，视为对方收到信息、通知。</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．付款方式</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s="宋体"/>
          <w:color w:val="auto"/>
          <w:sz w:val="24"/>
          <w:szCs w:val="24"/>
          <w:highlight w:val="none"/>
        </w:rPr>
        <w:t>合同签订之日起 14 个工作日内，乙方向甲方提供合同总金额5%的履约保证金</w:t>
      </w:r>
      <w:r>
        <w:rPr>
          <w:rFonts w:hint="eastAsia" w:ascii="宋体" w:hAnsi="宋体" w:eastAsia="宋体"/>
          <w:color w:val="auto"/>
          <w:sz w:val="24"/>
          <w:szCs w:val="24"/>
          <w:highlight w:val="none"/>
        </w:rPr>
        <w:t>（履约保证金期限届满后</w:t>
      </w:r>
      <w:r>
        <w:rPr>
          <w:rFonts w:hint="eastAsia" w:ascii="Calibri" w:hAnsi="Calibri" w:eastAsia="Calibri"/>
          <w:color w:val="auto"/>
          <w:sz w:val="24"/>
          <w:szCs w:val="24"/>
          <w:highlight w:val="none"/>
        </w:rPr>
        <w:t>60</w:t>
      </w:r>
      <w:r>
        <w:rPr>
          <w:rFonts w:hint="eastAsia" w:ascii="宋体" w:hAnsi="宋体" w:eastAsia="宋体"/>
          <w:color w:val="auto"/>
          <w:sz w:val="24"/>
          <w:szCs w:val="24"/>
          <w:highlight w:val="none"/>
        </w:rPr>
        <w:t xml:space="preserve">日内向乙方退还）。同时乙方先向甲方提供合同金额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 xml:space="preserve">％的预付款银行保函（乙方提供的保函须为具有开保函资格和所属额度的信誉良好的地市级以上的国有或股份制商业银行分行或支行开具的独立保函，预付款银行保函有效期大于供货期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 xml:space="preserve">日历天以上，如乙方延期供货的，预付款保函有限期应相应的延长），甲方向乙方支付合同总金额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的预付款。车辆验收合格后，乙方向甲方提交车辆资料（产品出厂合格证、工信部公告、中文产品使用说明书、电子文档产品使用说明书、检验报告和货物有关配件等）及车辆质量验收报告及意见反馈单。经审核后，乙方向甲方提供审定金额全额发票后</w:t>
      </w:r>
      <w:r>
        <w:rPr>
          <w:rFonts w:hint="eastAsia" w:ascii="Calibri" w:hAnsi="Calibri" w:eastAsia="Calibri"/>
          <w:color w:val="auto"/>
          <w:sz w:val="24"/>
          <w:szCs w:val="24"/>
          <w:highlight w:val="none"/>
        </w:rPr>
        <w:t>60</w:t>
      </w:r>
      <w:r>
        <w:rPr>
          <w:rFonts w:hint="eastAsia" w:ascii="宋体" w:hAnsi="宋体" w:eastAsia="宋体"/>
          <w:color w:val="auto"/>
          <w:sz w:val="24"/>
          <w:szCs w:val="24"/>
          <w:highlight w:val="none"/>
        </w:rPr>
        <w:t>日历天内，甲方向乙方支付全部货款。质保期内乙方应到产品使用单位，开展技术巡检和售后服务。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履约保证金的提交形式：转账及法律法规规定的其他形式。</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 xml:space="preserve"> 如乙方采用保函形式缴纳履约保证金的，则乙方提供的保函须为具有开保函资格和所属额度的信誉良好的地市级以上的国有或股份制商业银行分行或支行开具的独立保函，该保函需载明：（</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）见索即付：（</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 xml:space="preserve"> 履约保证金（履约保函等）期限：提交之日起至验收合格之日起的第</w:t>
      </w:r>
      <w:r>
        <w:rPr>
          <w:rFonts w:hint="eastAsia" w:ascii="Calibri" w:hAnsi="Calibri" w:eastAsia="Calibri"/>
          <w:color w:val="auto"/>
          <w:sz w:val="24"/>
          <w:szCs w:val="24"/>
          <w:highlight w:val="none"/>
        </w:rPr>
        <w:t>366</w:t>
      </w:r>
      <w:r>
        <w:rPr>
          <w:rFonts w:hint="eastAsia" w:ascii="宋体" w:hAnsi="宋体" w:eastAsia="宋体"/>
          <w:color w:val="auto"/>
          <w:sz w:val="24"/>
          <w:szCs w:val="24"/>
          <w:highlight w:val="none"/>
        </w:rPr>
        <w:t>天止。</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 xml:space="preserve"> 无论履约保证金、独立保函是否退还，采购人或采购人用户随时都有权对由中标人生产的尚未使用且在质量保证期内的产品发生的质量问题向乙方主张索赔。</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．保密条款</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未事先得到甲方书面同意，乙方不得将涉及货物的任何保密资料透露或以其他方式提供给合同以外的其他方或乙方内部与本合同无关的任何人员，乙方不得对保密信息进行拷贝或抄写。</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乙方在合同履行期间知悉的甲方秘密（包括业务信息在内），同样负有保密责任。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乙方的保密责任不因合同的终止而终止，保密期限：永久（除非甲方将有关信息向社会公开）。</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．不可抗力</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不可抗力指战争、严重火灾、洪水、台风、地震等或其它双方认定的不可抗力事件。无法克服的技术因素不属于不可抗力范围。</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进口货物或附属设备及备品、备件由于出口国限制出口导致不能供货、政策变化等原因导致本采购项目不能继续实施，不属于不可抗力范围。</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由于不可抗力导致本合同不能履行的，双方均不需承担违约责任。但如系因违约而遇上不可抗力，违约方不得以不可抗力为由进行抗辩，违约方仍应按本合同约定执行。</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索赔</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货物经两次验收仍不合格的，甲方将根据国家消防装备质量监督检验中心的检验结果向乙方提出索赔或乙方同意甲方选择下列一种或多种方式解决：</w:t>
      </w:r>
    </w:p>
    <w:p>
      <w:pPr>
        <w:spacing w:line="384" w:lineRule="auto"/>
        <w:ind w:firstLine="480" w:firstLineChars="20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）甲方拒收货物，乙方按合同规定的同种货币将货款退还给甲方，并承担由此发生的一切损失和费用。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用符合规格、质量和性能要求的新零件、部件或货物来更换有缺陷的部分或修补缺陷的部分，乙方应承担一切费用和风险并赔偿甲方的一切直接损失和费用。同时，相应延长被更换零件、部件或货物的质量保证期。</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货物验收不合格，甲方按照</w:t>
      </w: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条款履行权利后，有权单方面解除合同。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如果在甲方发出索赔通知后</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天内，乙方未作答复，索赔应视为已被乙方接受。甲方将有权从合同款或从乙方的履约保证金中优先扣除索赔金额。若不足以赔偿索赔金额的，不足部分由乙方另行赔偿。</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．违约责任</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甲方无正当理由拒收货物的，甲方向乙方偿付货款总值</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％的违约金。</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乙方不能按期交付货物的，乙方每日向甲方支付货款总值</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‰的违约金。非不可抗力，延期交货超过</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个月的，甲方可以单方解除合同，若违约金不足以弥补损失的，由乙方继续承担全部损失。并扣除全部履约保证金。</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乙方所交货物品牌、型号、规格、产地及制造商、质量不符合合同约定标准的，甲方有权拒收。</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因货物质量问题发生争议的，由国家消防装备质量检验中心质量鉴定，该鉴定结论是终局的，甲乙双方均应当接受，发生的相关费用由责任方承担。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因验收不合格需要更换同规格的货物时，货物更换完成时间晚于交货时间的视为逾期交货。</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．合同解除和终止</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如果一方严重违反合同，并在收到对方违约通知书后在</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天内仍未能改正违约行为的，另一方可立即解除本合同。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本合同履行完毕，自然终止。</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．法律诉讼</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凡与本合同有关的一切争议，甲乙双方应首先通过友好协商解决：如经协商后仍不能达成协议时，双方同意采取</w:t>
      </w:r>
      <w:r>
        <w:rPr>
          <w:rFonts w:hint="eastAsia" w:ascii="Calibri" w:hAnsi="Calibri" w:eastAsia="Calibri"/>
          <w:color w:val="auto"/>
          <w:sz w:val="24"/>
          <w:szCs w:val="24"/>
          <w:highlight w:val="none"/>
          <w:u w:val="single"/>
        </w:rPr>
        <w:t>13</w:t>
      </w:r>
      <w:r>
        <w:rPr>
          <w:rFonts w:hint="eastAsia" w:ascii="宋体" w:hAnsi="宋体" w:eastAsia="宋体"/>
          <w:color w:val="auto"/>
          <w:sz w:val="24"/>
          <w:szCs w:val="24"/>
          <w:highlight w:val="none"/>
          <w:u w:val="single"/>
        </w:rPr>
        <w:t>.</w:t>
      </w:r>
      <w:r>
        <w:rPr>
          <w:rFonts w:hint="eastAsia" w:ascii="Calibri" w:hAnsi="Calibri" w:eastAsia="Calibri"/>
          <w:color w:val="auto"/>
          <w:sz w:val="24"/>
          <w:szCs w:val="24"/>
          <w:highlight w:val="none"/>
          <w:u w:val="single"/>
        </w:rPr>
        <w:t>1</w:t>
      </w:r>
      <w:r>
        <w:rPr>
          <w:rFonts w:hint="eastAsia" w:ascii="宋体" w:hAnsi="宋体" w:eastAsia="宋体"/>
          <w:color w:val="auto"/>
          <w:sz w:val="24"/>
          <w:szCs w:val="24"/>
          <w:highlight w:val="none"/>
          <w:u w:val="single"/>
        </w:rPr>
        <w:t>.</w:t>
      </w:r>
      <w:r>
        <w:rPr>
          <w:rFonts w:hint="eastAsia" w:ascii="Calibri" w:hAnsi="Calibri" w:eastAsia="Calibri"/>
          <w:color w:val="auto"/>
          <w:sz w:val="24"/>
          <w:szCs w:val="24"/>
          <w:highlight w:val="none"/>
          <w:u w:val="single"/>
        </w:rPr>
        <w:t>2</w:t>
      </w:r>
      <w:r>
        <w:rPr>
          <w:rFonts w:hint="eastAsia" w:ascii="宋体" w:hAnsi="宋体" w:eastAsia="宋体"/>
          <w:color w:val="auto"/>
          <w:sz w:val="24"/>
          <w:szCs w:val="24"/>
          <w:highlight w:val="none"/>
        </w:rPr>
        <w:t>条款约定方式解决：</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向</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仲裁委员会申请仲裁：</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向甲方所在地法院提出诉讼。</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在仲裁或诉讼期间，除有争议部分的事项外，合同其他部分仍应继续履行。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甲乙双方共同确认，本合同中所列明的联系地址及电话，视为双方在履行本合同中及发生争议时，各类文书（包括法律文书）的送达地址。</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其他</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本合同一式</w:t>
      </w:r>
      <w:r>
        <w:rPr>
          <w:rFonts w:hint="eastAsia" w:ascii="宋体" w:hAnsi="宋体" w:eastAsia="宋体"/>
          <w:color w:val="auto"/>
          <w:sz w:val="24"/>
          <w:szCs w:val="24"/>
          <w:highlight w:val="none"/>
          <w:u w:val="single"/>
        </w:rPr>
        <w:t>肆</w:t>
      </w:r>
      <w:r>
        <w:rPr>
          <w:rFonts w:hint="eastAsia" w:ascii="宋体" w:hAnsi="宋体" w:eastAsia="宋体"/>
          <w:color w:val="auto"/>
          <w:sz w:val="24"/>
          <w:szCs w:val="24"/>
          <w:highlight w:val="none"/>
        </w:rPr>
        <w:t>份，均为正本，具有同等法律效力，甲方</w:t>
      </w:r>
      <w:r>
        <w:rPr>
          <w:rFonts w:hint="eastAsia" w:ascii="宋体" w:hAnsi="宋体" w:eastAsia="宋体"/>
          <w:color w:val="auto"/>
          <w:sz w:val="24"/>
          <w:szCs w:val="24"/>
          <w:highlight w:val="none"/>
          <w:u w:val="single"/>
        </w:rPr>
        <w:t>叁</w:t>
      </w:r>
      <w:r>
        <w:rPr>
          <w:rFonts w:hint="eastAsia" w:ascii="宋体" w:hAnsi="宋体" w:eastAsia="宋体"/>
          <w:color w:val="auto"/>
          <w:sz w:val="24"/>
          <w:szCs w:val="24"/>
          <w:highlight w:val="none"/>
        </w:rPr>
        <w:t>份，乙方</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份。合同自双方法人代表或授权代表签字并加盖合同专用章或公章之日起生效。合同生效日期以最后一个签字日期为准。</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合同附件包括：</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：投标一览表；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：投标分项报价：</w:t>
      </w:r>
      <w:r>
        <w:rPr>
          <w:rFonts w:hint="eastAsia" w:ascii="Calibri" w:hAnsi="Calibri" w:eastAsia="Calibri"/>
          <w:color w:val="auto"/>
          <w:sz w:val="24"/>
          <w:szCs w:val="24"/>
          <w:highlight w:val="none"/>
        </w:rPr>
        <w:t xml:space="preserve">                       I</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：技术规格偏离表：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：技术规格及供货范围：</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：技术文件（包括图纸、手册等）；</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：售后服务条款（同投标文件内容一致）；</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：合同最后一页请附中标通知书复印件；</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：零配件清单报价表。</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货物的技术规格、性能指标、培训计划及售后服务方案等以招投标文件为依据。本合同中未尽事宜，由双方协商处理。</w:t>
      </w:r>
    </w:p>
    <w:p>
      <w:pPr>
        <w:spacing w:line="360"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jc w:val="both"/>
        <w:rPr>
          <w:color w:val="auto"/>
          <w:sz w:val="24"/>
          <w:szCs w:val="24"/>
          <w:highlight w:val="none"/>
        </w:rPr>
      </w:pPr>
    </w:p>
    <w:p>
      <w:pPr>
        <w:spacing w:line="360" w:lineRule="auto"/>
        <w:ind w:firstLine="480"/>
        <w:jc w:val="both"/>
        <w:rPr>
          <w:color w:val="auto"/>
          <w:sz w:val="24"/>
          <w:szCs w:val="24"/>
          <w:highlight w:val="none"/>
        </w:rPr>
      </w:pPr>
    </w:p>
    <w:p>
      <w:pPr>
        <w:rPr>
          <w:rFonts w:hint="eastAsia" w:ascii="宋体" w:cs="宋体"/>
          <w:color w:val="auto"/>
          <w:kern w:val="0"/>
          <w:sz w:val="24"/>
          <w:szCs w:val="24"/>
          <w:highlight w:val="none"/>
        </w:rPr>
      </w:pPr>
      <w:r>
        <w:rPr>
          <w:rFonts w:hint="eastAsia" w:ascii="宋体" w:cs="宋体"/>
          <w:color w:val="auto"/>
          <w:kern w:val="0"/>
          <w:sz w:val="24"/>
          <w:szCs w:val="24"/>
          <w:highlight w:val="none"/>
        </w:rPr>
        <w:t>（本页为签署页）</w:t>
      </w:r>
    </w:p>
    <w:tbl>
      <w:tblPr>
        <w:tblStyle w:val="23"/>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  方（盖章）：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  方（盖章）：</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甲方授权代表（签字）：</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邮政编码：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开户账号：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c>
          <w:tcPr>
            <w:tcW w:w="4658"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r>
    </w:tbl>
    <w:p>
      <w:pPr>
        <w:snapToGrid w:val="0"/>
        <w:spacing w:before="119" w:line="360" w:lineRule="auto"/>
        <w:textAlignment w:val="baseline"/>
        <w:rPr>
          <w:rFonts w:hint="eastAsia" w:ascii="宋体" w:cs="宋体"/>
          <w:color w:val="auto"/>
          <w:kern w:val="0"/>
          <w:szCs w:val="21"/>
          <w:highlight w:val="none"/>
        </w:rPr>
      </w:pPr>
    </w:p>
    <w:p>
      <w:pPr>
        <w:pStyle w:val="22"/>
        <w:rPr>
          <w:rFonts w:hint="eastAsia"/>
          <w:color w:val="auto"/>
          <w:highlight w:val="none"/>
        </w:rPr>
      </w:pPr>
    </w:p>
    <w:p>
      <w:pPr>
        <w:pStyle w:val="6"/>
        <w:rPr>
          <w:rFonts w:hint="eastAsia"/>
          <w:color w:val="auto"/>
          <w:highlight w:val="none"/>
        </w:rPr>
      </w:pPr>
    </w:p>
    <w:bookmarkEnd w:id="466"/>
    <w:p>
      <w:pPr>
        <w:spacing w:line="360" w:lineRule="auto"/>
        <w:jc w:val="center"/>
        <w:rPr>
          <w:rFonts w:ascii="宋体" w:cs="宋体"/>
          <w:color w:val="auto"/>
          <w:sz w:val="36"/>
          <w:szCs w:val="44"/>
          <w:highlight w:val="none"/>
        </w:rPr>
      </w:pPr>
      <w:bookmarkStart w:id="467" w:name="bookmark23"/>
      <w:bookmarkStart w:id="468" w:name="bookmark22"/>
      <w:bookmarkStart w:id="469" w:name="bookmark24"/>
      <w:r>
        <w:rPr>
          <w:rFonts w:ascii="宋体" w:cs="宋体"/>
          <w:b/>
          <w:bCs/>
          <w:color w:val="auto"/>
          <w:sz w:val="36"/>
          <w:szCs w:val="36"/>
          <w:highlight w:val="none"/>
        </w:rPr>
        <w:br w:type="page"/>
      </w:r>
      <w:bookmarkEnd w:id="467"/>
      <w:bookmarkEnd w:id="468"/>
      <w:bookmarkEnd w:id="469"/>
      <w:r>
        <w:rPr>
          <w:rFonts w:hint="eastAsia" w:ascii="宋体" w:hAnsi="宋体" w:cs="宋体"/>
          <w:color w:val="auto"/>
          <w:sz w:val="36"/>
          <w:szCs w:val="44"/>
          <w:highlight w:val="none"/>
        </w:rPr>
        <w:t>政府采购廉政合同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甲方（供货方）：</w:t>
      </w:r>
      <w:r>
        <w:rPr>
          <w:rFonts w:ascii="宋体" w:hAnsi="宋体" w:cs="宋体"/>
          <w:color w:val="auto"/>
          <w:kern w:val="0"/>
          <w:sz w:val="24"/>
          <w:highlight w:val="none"/>
        </w:rPr>
        <w:t xml:space="preserve"> </w:t>
      </w:r>
      <w:r>
        <w:rPr>
          <w:rFonts w:ascii="宋体" w:hAnsi="宋体" w:cs="宋体"/>
          <w:color w:val="auto"/>
          <w:kern w:val="0"/>
          <w:sz w:val="24"/>
          <w:highlight w:val="none"/>
        </w:rPr>
        <w:tab/>
      </w:r>
      <w:r>
        <w:rPr>
          <w:rFonts w:ascii="宋体" w:hAnsi="宋体" w:cs="宋体"/>
          <w:color w:val="auto"/>
          <w:kern w:val="0"/>
          <w:sz w:val="24"/>
          <w:highlight w:val="none"/>
        </w:rPr>
        <w:t xml:space="preserve"> </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乙方（购货方）：</w:t>
      </w:r>
      <w:r>
        <w:rPr>
          <w:rFonts w:ascii="宋体" w:hAnsi="宋体" w:cs="宋体"/>
          <w:color w:val="auto"/>
          <w:kern w:val="0"/>
          <w:sz w:val="24"/>
          <w:highlight w:val="none"/>
        </w:rPr>
        <w:t xml:space="preserve"> </w:t>
      </w:r>
      <w:r>
        <w:rPr>
          <w:rFonts w:ascii="宋体" w:hAnsi="宋体" w:cs="宋体"/>
          <w:color w:val="auto"/>
          <w:kern w:val="0"/>
          <w:sz w:val="24"/>
          <w:highlight w:val="none"/>
        </w:rPr>
        <w:tab/>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为促进甲乙双方廉洁高效合作，促使甲乙双方工作人员廉洁从业，不断推动党风廉政建设工作，按照《中华人民共和国民法典》和国家其他有关法律法规、廉政规定，经甲乙双方协商一致，</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自愿签订以下廉政合同。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第一条：甲乙双方的权利和义务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（一）严格遵守党和国家有关法律法规及党风廉政建设各项规定。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（四）甲方不准为乙方工作人员在住房装修、婚丧嫁娶、配偶、子女、亲友出国（境）</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（三）乙方及其工作人员不得在甲方报销应由乙方或个人支付的任何费用。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第四条：违约责任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（一）甲方违反本《廉政合同》规定义务的，须向乙方承担经济合同总额</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的经济违约责任。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（二）甲方发生多次违反廉政合同约定内容，乙方有权将甲方列入黑名单，禁止</w:t>
      </w:r>
      <w:r>
        <w:rPr>
          <w:rFonts w:ascii="宋体" w:hAnsi="宋体" w:cs="宋体"/>
          <w:color w:val="auto"/>
          <w:kern w:val="0"/>
          <w:sz w:val="24"/>
          <w:highlight w:val="none"/>
        </w:rPr>
        <w:t xml:space="preserve"> 3-5 </w:t>
      </w:r>
      <w:r>
        <w:rPr>
          <w:rFonts w:hint="eastAsia" w:ascii="宋体" w:hAnsi="宋体" w:cs="宋体"/>
          <w:color w:val="auto"/>
          <w:kern w:val="0"/>
          <w:sz w:val="24"/>
          <w:highlight w:val="none"/>
        </w:rPr>
        <w:t>年内进入乙方作业市场；给乙方造成经济损失、社会影响较大的，乙方有权终止履行合同。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第五条：检查方式</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第六条：本合同有效期同经济合同期限。</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第八条：本合同一式</w:t>
      </w:r>
      <w:r>
        <w:rPr>
          <w:rFonts w:ascii="宋体" w:cs="宋体"/>
          <w:color w:val="auto"/>
          <w:kern w:val="0"/>
          <w:sz w:val="24"/>
          <w:highlight w:val="none"/>
        </w:rPr>
        <w:tab/>
      </w:r>
      <w:r>
        <w:rPr>
          <w:rFonts w:hint="eastAsia" w:ascii="宋体" w:hAnsi="宋体" w:cs="宋体"/>
          <w:color w:val="auto"/>
          <w:kern w:val="0"/>
          <w:sz w:val="24"/>
          <w:highlight w:val="none"/>
        </w:rPr>
        <w:t>份，甲、乙双方</w:t>
      </w:r>
      <w:r>
        <w:rPr>
          <w:rFonts w:ascii="宋体" w:cs="宋体"/>
          <w:color w:val="auto"/>
          <w:kern w:val="0"/>
          <w:sz w:val="24"/>
          <w:highlight w:val="none"/>
        </w:rPr>
        <w:tab/>
      </w:r>
      <w:r>
        <w:rPr>
          <w:rFonts w:hint="eastAsia" w:ascii="宋体" w:hAnsi="宋体" w:cs="宋体"/>
          <w:color w:val="auto"/>
          <w:kern w:val="0"/>
          <w:sz w:val="24"/>
          <w:highlight w:val="none"/>
        </w:rPr>
        <w:t>份、采购办</w:t>
      </w:r>
      <w:r>
        <w:rPr>
          <w:rFonts w:ascii="宋体" w:cs="宋体"/>
          <w:color w:val="auto"/>
          <w:kern w:val="0"/>
          <w:sz w:val="24"/>
          <w:highlight w:val="none"/>
        </w:rPr>
        <w:tab/>
      </w:r>
      <w:r>
        <w:rPr>
          <w:rFonts w:hint="eastAsia" w:ascii="宋体" w:hAnsi="宋体" w:cs="宋体"/>
          <w:color w:val="auto"/>
          <w:kern w:val="0"/>
          <w:sz w:val="24"/>
          <w:highlight w:val="none"/>
        </w:rPr>
        <w:t>份。</w:t>
      </w:r>
    </w:p>
    <w:p>
      <w:pPr>
        <w:snapToGrid w:val="0"/>
        <w:spacing w:line="360" w:lineRule="auto"/>
        <w:ind w:firstLine="480" w:firstLineChars="200"/>
        <w:textAlignment w:val="baseline"/>
        <w:rPr>
          <w:rFonts w:ascii="宋体" w:cs="宋体"/>
          <w:color w:val="auto"/>
          <w:kern w:val="0"/>
          <w:sz w:val="24"/>
          <w:highlight w:val="none"/>
        </w:rPr>
      </w:pP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甲方单位：（盖章）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乙方单位：（盖章）</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法定代表人：</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法定代表人：</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（或委托代理人）签字：</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（或委托代理人）签字：</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单位地址：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单位地址：</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联系电话：</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color w:val="auto"/>
          <w:sz w:val="36"/>
          <w:szCs w:val="44"/>
          <w:highlight w:val="none"/>
        </w:rPr>
      </w:pPr>
      <w:r>
        <w:rPr>
          <w:rFonts w:hint="eastAsia" w:ascii="宋体" w:hAnsi="宋体" w:cs="宋体"/>
          <w:color w:val="auto"/>
          <w:sz w:val="36"/>
          <w:szCs w:val="44"/>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p>
    <w:p>
      <w:pPr>
        <w:pStyle w:val="21"/>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36"/>
          <w:szCs w:val="36"/>
          <w:highlight w:val="none"/>
        </w:rPr>
      </w:pPr>
      <w:r>
        <w:rPr>
          <w:rFonts w:ascii="宋体" w:cs="宋体"/>
          <w:b/>
          <w:bCs/>
          <w:color w:val="auto"/>
          <w:sz w:val="36"/>
          <w:szCs w:val="36"/>
          <w:highlight w:val="none"/>
        </w:rPr>
        <w:br w:type="page"/>
      </w:r>
      <w:r>
        <w:rPr>
          <w:rFonts w:hint="eastAsia" w:ascii="宋体" w:hAnsi="宋体" w:cs="宋体"/>
          <w:b/>
          <w:bCs/>
          <w:color w:val="auto"/>
          <w:sz w:val="36"/>
          <w:szCs w:val="36"/>
          <w:highlight w:val="none"/>
        </w:rPr>
        <w:t>河南省政府采购合同融资政策告知函</w:t>
      </w:r>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autoSpaceDE w:val="0"/>
        <w:autoSpaceDN w:val="0"/>
        <w:spacing w:line="360" w:lineRule="auto"/>
        <w:ind w:firstLine="480" w:firstLineChars="200"/>
        <w:rPr>
          <w:rFonts w:ascii="宋体" w:cs="宋体"/>
          <w:color w:val="auto"/>
          <w:sz w:val="24"/>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sectPr>
          <w:footerReference r:id="rId8" w:type="default"/>
          <w:pgSz w:w="11911" w:h="16838"/>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linePitch="315" w:charSpace="0"/>
        </w:sectPr>
      </w:pPr>
    </w:p>
    <w:p>
      <w:pPr>
        <w:spacing w:line="360" w:lineRule="auto"/>
        <w:rPr>
          <w:rFonts w:ascii="宋体" w:cs="宋体"/>
          <w:bCs/>
          <w:color w:val="auto"/>
          <w:kern w:val="0"/>
          <w:szCs w:val="21"/>
          <w:highlight w:val="none"/>
        </w:rPr>
      </w:pPr>
    </w:p>
    <w:p>
      <w:pPr>
        <w:pStyle w:val="2"/>
        <w:rPr>
          <w:rFonts w:hint="eastAsia" w:ascii="宋体" w:hAnsi="宋体" w:cs="宋体"/>
          <w:color w:val="auto"/>
          <w:szCs w:val="32"/>
          <w:highlight w:val="none"/>
        </w:rPr>
      </w:pPr>
      <w:bookmarkStart w:id="470" w:name="_Toc22008"/>
      <w:bookmarkStart w:id="471" w:name="_Toc40112141"/>
      <w:bookmarkStart w:id="472" w:name="_Toc410"/>
      <w:bookmarkStart w:id="473" w:name="_Toc23795"/>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70"/>
      <w:bookmarkEnd w:id="471"/>
      <w:bookmarkEnd w:id="472"/>
      <w:bookmarkEnd w:id="473"/>
    </w:p>
    <w:p>
      <w:pPr>
        <w:spacing w:line="360" w:lineRule="auto"/>
        <w:jc w:val="center"/>
        <w:outlineLvl w:val="1"/>
        <w:rPr>
          <w:rFonts w:ascii="宋体" w:cs="宋体"/>
          <w:b/>
          <w:color w:val="auto"/>
          <w:sz w:val="32"/>
          <w:szCs w:val="32"/>
          <w:highlight w:val="none"/>
        </w:rPr>
      </w:pPr>
      <w:bookmarkStart w:id="474" w:name="_Toc2376"/>
      <w:bookmarkStart w:id="475" w:name="_Toc30884"/>
      <w:bookmarkStart w:id="476" w:name="_Toc24050"/>
      <w:bookmarkStart w:id="477" w:name="_Toc612"/>
      <w:r>
        <w:rPr>
          <w:rFonts w:hint="eastAsia" w:ascii="宋体" w:hAnsi="宋体" w:cs="宋体"/>
          <w:b/>
          <w:color w:val="auto"/>
          <w:sz w:val="32"/>
          <w:szCs w:val="32"/>
          <w:highlight w:val="none"/>
        </w:rPr>
        <w:t>一、项目需求</w:t>
      </w:r>
      <w:bookmarkEnd w:id="474"/>
      <w:bookmarkEnd w:id="475"/>
      <w:bookmarkEnd w:id="476"/>
      <w:bookmarkEnd w:id="477"/>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 项目名称：</w:t>
      </w:r>
      <w:r>
        <w:rPr>
          <w:rFonts w:hint="eastAsia" w:ascii="宋体" w:hAnsi="宋体" w:eastAsia="宋体" w:cs="宋体"/>
          <w:bCs/>
          <w:color w:val="auto"/>
          <w:sz w:val="24"/>
          <w:szCs w:val="24"/>
          <w:highlight w:val="none"/>
          <w:lang w:eastAsia="zh-CN"/>
        </w:rPr>
        <w:t>平顶山市消防救援支队河南省消防救援总队“自然灾害应急能力提升工程”平顶山支队装备建设项目</w:t>
      </w:r>
      <w:r>
        <w:rPr>
          <w:rFonts w:hint="eastAsia" w:ascii="宋体" w:hAnsi="宋体" w:cs="宋体"/>
          <w:bCs/>
          <w:color w:val="auto"/>
          <w:sz w:val="24"/>
          <w:szCs w:val="24"/>
          <w:highlight w:val="none"/>
          <w:lang w:eastAsia="zh-CN"/>
        </w:rPr>
        <w:t>（三次）</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 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 质量要求：合格（符合现行国家、行业、地方相关规范要求）。</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1.4 交货期：采用进口底盘投标的，自合同签订之日起120日历天，采用国产底盘投标的，自合同签订之日起90日历天。</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交货地点：采购人指定地点。</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本次采购车型整车质保期为5年（自验收合格之日算起）。</w:t>
      </w:r>
    </w:p>
    <w:p>
      <w:p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1.7标包划分（包3）：</w:t>
      </w:r>
    </w:p>
    <w:tbl>
      <w:tblPr>
        <w:tblStyle w:val="23"/>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684"/>
        <w:gridCol w:w="1391"/>
        <w:gridCol w:w="939"/>
        <w:gridCol w:w="1082"/>
        <w:gridCol w:w="1111"/>
        <w:gridCol w:w="907"/>
        <w:gridCol w:w="1077"/>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w:t>
            </w:r>
            <w:r>
              <w:rPr>
                <w:rFonts w:hint="eastAsia" w:ascii="宋体" w:hAnsi="宋体" w:cs="宋体"/>
                <w:b/>
                <w:bCs/>
                <w:i w:val="0"/>
                <w:iCs w:val="0"/>
                <w:color w:val="auto"/>
                <w:kern w:val="0"/>
                <w:sz w:val="24"/>
                <w:szCs w:val="24"/>
                <w:highlight w:val="none"/>
                <w:u w:val="none"/>
                <w:lang w:val="en-US" w:eastAsia="zh-CN" w:bidi="ar"/>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预算单价（单品最高限价）（万元）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单品合计金额（万元）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包最高限价（万元）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质保期（年，自验收合格之日算起）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36"/>
                <w:color w:val="auto"/>
                <w:sz w:val="24"/>
                <w:szCs w:val="24"/>
                <w:highlight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包3</w:t>
            </w:r>
          </w:p>
        </w:tc>
        <w:tc>
          <w:tcPr>
            <w:tcW w:w="13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冷藏车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0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采用进口底盘投标的，自合同签订之日起120日历天，采用国产底盘投标的，自合同签订之日起90日历天</w:t>
            </w:r>
          </w:p>
        </w:tc>
      </w:tr>
    </w:tbl>
    <w:p>
      <w:pPr>
        <w:numPr>
          <w:ilvl w:val="0"/>
          <w:numId w:val="12"/>
        </w:numPr>
        <w:spacing w:line="360" w:lineRule="auto"/>
        <w:jc w:val="center"/>
        <w:outlineLvl w:val="1"/>
        <w:rPr>
          <w:rFonts w:hint="eastAsia" w:ascii="宋体" w:hAnsi="宋体" w:cs="宋体"/>
          <w:b/>
          <w:color w:val="auto"/>
          <w:sz w:val="32"/>
          <w:szCs w:val="32"/>
          <w:highlight w:val="none"/>
          <w:lang w:eastAsia="zh-CN"/>
        </w:rPr>
      </w:pPr>
      <w:bookmarkStart w:id="478" w:name="_Toc18501"/>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要求</w:t>
      </w:r>
      <w:bookmarkEnd w:id="478"/>
    </w:p>
    <w:p>
      <w:pPr>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szCs w:val="24"/>
          <w:highlight w:val="none"/>
        </w:rPr>
      </w:pPr>
      <w:bookmarkStart w:id="479" w:name="_Toc30543"/>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通用要求</w:t>
      </w:r>
      <w:bookmarkEnd w:id="4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1车辆整车外廓尺寸、轴荷及质量符合GB1589-2016《道路车辆外廓尺寸、轴荷及质量限值》规定。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2、车辆整车外部照明和信号装置符合GB4785《汽车及挂车外部照明和光信号装置的安装规定》的规定，车辆标识：按照《消防救援局关于做好消防救援车辆外观制式涂装工作的通知》（应急消[2019]76号）要求涂装。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3、车辆标记符合GB7258《机动车安全技术条件》。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4、车辆后下防护要求符合GB11567.1《汽车及挂车外部照明和信号装置的安装规定》。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应急消〔2020〕138号文件：所有消防车均应响应文件要求。底盘均应配置前轮盘式制动器（全驱越野底盘除外）、ABS（防抱死制动系统）和EBS（电控制动系统）等；配置ESP电子车身稳定系统，应设置限速装置，最高车速不得超过95Km/h，确保限制的车速不超过底盘厂允许的最高车速；加装排气制动、发动机缸内制动技术并配备液力缓速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装主外视镜、广角外视镜、前视镜、补盲外视镜、外部照明、信号装置、反光警示标识、前后保险杠、侧面防护等安全防护性能，以及各类报警装置、后排座加装安全带，配备PDT制式350MHz数模两用车载台（符合PDT技术标准，兼容370MHz应急专用频段，天线阻抗50Ω；防水防尘≥IP54；含吸盘天线，北斗卫星定位装置，能接入北斗消防综合管理服务平台），360°无盲区高清行车记录仪、倒车雷达（≥4个）及高清倒车影像（彩色显示屏≥7寸，具有夜视功能，夜间图像清晰），记录仪为硬盘式存储≥500G；行车记录仪采用自动分段录制，记录卡录满后可以自行删除最早记录；预留12V车载台连接线、220V充电线，配置24V转12V和24V转220V逆变器，便于后期加装设备；轮胎采用子午线钢丝胎及胎压监测系统，并与原车前轮胎同品牌、同型号备用轮胎一条，配备专用防滑链，加装轮胎调压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7、车辆交付时须附着由“消防装备物资信息采集系统”统一发行的装备物资二维码（或RFID）。</w:t>
      </w:r>
      <w:r>
        <w:rPr>
          <w:rFonts w:hint="eastAsia" w:ascii="宋体" w:hAnsi="宋体" w:eastAsia="宋体" w:cs="宋体"/>
          <w:color w:val="auto"/>
          <w:sz w:val="24"/>
          <w:szCs w:val="24"/>
          <w:highlight w:val="none"/>
          <w:lang w:bidi="ar"/>
        </w:rPr>
        <w:t>按照采购人要求，免费安装消防车感知定位终端及车辆多模芯片；终端及芯片数据能够实时传输至河南消防总队应急装备物资保障管理平台及国家消防局“消防一张图”系统，可查看消防车辆的实时动态信息(位置、车速、发动机转速、剩余燃油、故障预警信息、水量、泡沫量等)和车辆基础数据信息(隶属单位、车辆类型、随车装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8、进口底盘入港时须做港检，交车现场须底盘厂家做PDI(交车前检测)。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各类车型显著位置须设置标注生产厂家名称、品牌名称、型号、发动机号、规格、生产日期、出厂日期等产品信息永久铭牌。各类操作开关、阀门、保险盒、随车器材等设置永久性标识。裸露在外的传动轴、皮带、设备等设置防护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在车厢结构设计布置时需提前与采购单位联系，设计方案必须经采购单位同意后方可进行生产，采购需求未全部列出所需功能或部件，投标时需全部列出其他全部配置以满足实际需求，保证所投车辆具备各项功能。若因投标人未全部列出其他配置导致产品不能正常使用，投标人需承诺免费增添部件或更换所供产品或作退货处理。交车时中标单位须提供详细电路图、水路图、液压管路图和保险分布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11、器材箱改装后不得影响加油、清洗油箱管路滤网、更换蓄电池、燃油滤芯、干燥罐、空气滤芯、柴油滤芯等底盘部件正常维护保养。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bidi="ar"/>
        </w:rPr>
        <w:t>车辆排气管尾部配备防火罩。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标包整车所有焊接部位牢固，光洁，平整；所有缝隙硅胶填充平整、密封良好。所有板材及骨架、零部件、结构件，均经过严格防锈处理，铝型材、铝板、花纹板均进行氧化处理。器材箱布置紧凑、装夹牢固，取用方便，使用防锈、防震、防脱落、防划伤的专用夹具固定随车器材（交车前固定完毕）。电气系统线路标识清楚，每根电线都具备单独编号，整车电气系统线路采用铜芯或铜合金芯电线，正负电极线路颜色区分明显，改装线路及接头采用防水、防尘材质，各线路捆扎整齐，线路铺设位置便于检查维修。改装线路裸露在车体外部、接近热源、靠近油箱等情况下应加装隔板或相应的保护。</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14、随车文件</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rPr>
        <w:t>：1、整车操作使用说明书，均为中文。纸制和电子（PPT格式）各一套；2、整车维护保养手册，均为中文。纸制和电子（PPT格式）各一套；3、整车零配件清单，提供不少于200种零配件，内附价格，质保期内可按照此价格采购；4、底盘质量保修卡；5、底盘合格证；6、底盘随车配件清单（需提供原装底盘保养滤芯1套（空滤、柴油油滤、机滤、空调滤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改装零件目录图：8、消防车消防器材清单；9、整车合格证；10、国家工信部公告；11、消防车跟踪服务卡；12、消防车交接清单；13、机动车销售统一发票、发动机号拓印件3份、车架号拓印件3份、车辆照片4张（左前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、带接头的轮胎充气管1根≥10m，车辆限位块4块，车用三角</w:t>
      </w:r>
      <w:r>
        <w:rPr>
          <w:rFonts w:hint="eastAsia" w:ascii="宋体" w:hAnsi="宋体" w:eastAsia="宋体" w:cs="宋体"/>
          <w:color w:val="auto"/>
          <w:sz w:val="24"/>
          <w:szCs w:val="24"/>
          <w:highlight w:val="none"/>
          <w:lang w:eastAsia="zh-CN"/>
        </w:rPr>
        <w:t>警示架</w:t>
      </w:r>
      <w:r>
        <w:rPr>
          <w:rFonts w:hint="eastAsia" w:ascii="宋体" w:hAnsi="宋体" w:eastAsia="宋体" w:cs="宋体"/>
          <w:color w:val="auto"/>
          <w:sz w:val="24"/>
          <w:szCs w:val="24"/>
          <w:highlight w:val="none"/>
          <w:lang w:val="en-US" w:eastAsia="zh-CN"/>
        </w:rPr>
        <w:t>1套</w:t>
      </w:r>
      <w:r>
        <w:rPr>
          <w:rFonts w:hint="eastAsia" w:ascii="宋体" w:hAnsi="宋体" w:eastAsia="宋体" w:cs="宋体"/>
          <w:color w:val="auto"/>
          <w:sz w:val="24"/>
          <w:szCs w:val="24"/>
          <w:highlight w:val="none"/>
        </w:rPr>
        <w:t>，原装备用轮胎1个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防滑链1套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电路检测工具1套 ；15、配备维修工具≥150件套，符合国家有关标准；便携式拉杆箱分层设计，包括液压千斤顶≥30T、大小套筒、8-32#开口/梅花两用扳手、黄油枪等维修工具，维修组套≥150件、扭力扳手、棘轮扳手组、滤芯扳手、大中小#尖嘴钳、卡簧钳、大中小#大力钳等）</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备用保险套装1套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灭火器（含支架）4kg2具</w:t>
      </w:r>
      <w:r>
        <w:rPr>
          <w:rFonts w:hint="eastAsia" w:ascii="宋体" w:hAnsi="宋体" w:eastAsia="宋体" w:cs="宋体"/>
          <w:color w:val="auto"/>
          <w:sz w:val="24"/>
          <w:szCs w:val="24"/>
          <w:highlight w:val="none"/>
          <w:lang w:eastAsia="zh-CN"/>
        </w:rPr>
        <w:t>。</w:t>
      </w:r>
    </w:p>
    <w:p>
      <w:pPr>
        <w:rPr>
          <w:rFonts w:hint="eastAsia"/>
          <w:color w:val="auto"/>
          <w:highlight w:val="none"/>
          <w:lang w:val="en-US" w:eastAsia="zh-CN"/>
        </w:rPr>
      </w:pPr>
    </w:p>
    <w:p>
      <w:pPr>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480" w:name="_Toc7135"/>
      <w:r>
        <w:rPr>
          <w:rFonts w:hint="eastAsia" w:ascii="宋体" w:hAnsi="宋体" w:eastAsia="宋体" w:cs="宋体"/>
          <w:b/>
          <w:color w:val="auto"/>
          <w:sz w:val="24"/>
          <w:szCs w:val="24"/>
          <w:highlight w:val="none"/>
          <w:lang w:eastAsia="zh-CN"/>
        </w:rPr>
        <w:t>（二）技术需求专用要求</w:t>
      </w:r>
      <w:bookmarkEnd w:id="4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冷藏车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技术参数：存储量满足 300 人以上至少 3 天所需的肉蛋蔬菜水果及主副食品。用于消防救援队伍野外长时间作战，处置灾害事故时餐饮保障储存各类副食品需要。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1、发动机及功率：柴油燃料，功率≥240kW；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2、排放标准：符合国家现行排放标准；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3、整车外形尺寸（mm，长*宽*高）:≥8900*2450*3800；底盘：最大允许总质量≥18T；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4、驱动：4×2；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5、油箱容积：≥300L；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6、轮胎：原厂标准配置子午线钢丝真空轮胎，备用轮胎1个。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7、制动：包含全空气双回路刹车系统；具备防抱死制动系统（ABS）、电控制动系统（EBS）、驱动防滑系统（ASR）、电子车身稳定系统（ESP）和排气制动等；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8、驾乘室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8.1布局结构:双门单排驾驶室。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8.2座位设置:单排座，座位(1+1)。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8.3安全设置:主副驾驶安装有三点式预紧安全带及安全气囊。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8.4主副驾配有电动加热后视镜及电动玻璃升降器。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8.5音频：可通过手机蓝牙播放音频，带独立USB接口可播放音频。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9、车厢整体材质：304或更高不锈钢材质，保温车厢采用“钢骨架+蒙皮+保温材料”制作，防腐防漏性能≥5年；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10、车门：厢体设置两个手动外开门，前侧单开门可实现≥180°开启，后部对开门可实现≥270°开启；车门配套风钩，实现车门开启固定。车门设有保温帘；车厢内部设置自动照明灯，防雾、防爆、防水、防撞；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11、车内布局：舱体内部分为冷冻室和冷藏室两个区域：前部为冷冻室约占舱体容积的1/3。设置内部报警器，防止工作人员被误锁；厢体内设置温度记录仪，可通过蜂鸣器等方式进行自动监控报警。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12、冷冻室预留≥8个肉钩，每个肉钩承重≥75kg；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13、冷藏区一侧第一层货架高度≥80cm，配≥6个双层小推车，小推车带万向轮；冷藏区货架第二层，留≥4个大框放置；冷藏和冷冻区货框一半空心带孔，一半不带孔，存放不同食品。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14、配电系统：电源（配备市电220V和冷机380V）经电源输入插座接入；副电瓶：除原底盘启动电瓶增加12V副电瓶作为制冷机组的启动电瓶，配备安装电瓶总开关；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15、制冷机组可接外部电源；配备≥50米电源线缆盘外接电源，具备外接电优先功能。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16、冷藏设备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16.1厢体最低温度：≤-18℃；车厢前部安装制冷机组，型式：多温独立制冷机组，两台蒸发器可独立运行；制冷量≥3600W，可自动除霜；温度可调节：冷冻室最低温度≤-20°，冷藏室最低温度≤0°至-15°，驾驶室内设有LED 显示，可以实时显示温度。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16.2制冷机组含发电机，可实现行车途中制冷机正常工作，配备独立副油箱，保证不间断工作≥ 3 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17、货架：冷冻室和冷藏室各存放一组货架，采用不锈钢材质，与车身固定牢固。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18、周转筐≥100个，与货架配套使用，耐低温，在货架相应位置需设置固定周转筐装置。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19、边仓系统：车辆裙箱设计边仓。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20、液压系统：车辆尾部增加液压尾板。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21、水路系统：冷冻室和冷藏室水管相通，冷冻水、冷凝水和冷藏室污水存储不锈钢保温水箱内，水路保温处理，在低位设置污水排放口。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22、箱体左右安装LED频闪灯带；顶部后侧布置≥1个LED照明灯（功率≥100w）。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23、警灯警报：符合应急管理部相关标准。</w:t>
      </w:r>
    </w:p>
    <w:p>
      <w:pPr>
        <w:rPr>
          <w:rFonts w:hint="eastAsia" w:asciiTheme="minorEastAsia" w:hAnsiTheme="minorEastAsia" w:eastAsiaTheme="minorEastAsia" w:cstheme="minorEastAsia"/>
          <w:color w:val="auto"/>
          <w:sz w:val="24"/>
          <w:szCs w:val="24"/>
          <w:highlight w:val="none"/>
        </w:rPr>
      </w:pPr>
      <w:r>
        <w:rPr>
          <w:rFonts w:hint="eastAsia"/>
          <w:color w:val="auto"/>
          <w:highlight w:val="none"/>
        </w:rPr>
        <w:br w:type="page"/>
      </w:r>
    </w:p>
    <w:p>
      <w:pPr>
        <w:pStyle w:val="2"/>
        <w:rPr>
          <w:rFonts w:ascii="宋体" w:cs="宋体"/>
          <w:color w:val="auto"/>
          <w:szCs w:val="32"/>
          <w:highlight w:val="none"/>
        </w:rPr>
      </w:pPr>
      <w:bookmarkStart w:id="481" w:name="_Toc21444"/>
      <w:bookmarkStart w:id="482" w:name="_Toc40112142"/>
      <w:bookmarkStart w:id="483" w:name="_Toc11783"/>
      <w:bookmarkStart w:id="484" w:name="_Toc140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481"/>
      <w:bookmarkEnd w:id="482"/>
      <w:bookmarkEnd w:id="483"/>
      <w:bookmarkEnd w:id="484"/>
    </w:p>
    <w:p>
      <w:pPr>
        <w:spacing w:line="360" w:lineRule="auto"/>
        <w:ind w:left="720"/>
        <w:rPr>
          <w:color w:val="auto"/>
          <w:highlight w:val="none"/>
        </w:rPr>
      </w:pPr>
    </w:p>
    <w:p>
      <w:pPr>
        <w:pStyle w:val="13"/>
        <w:spacing w:beforeLines="100" w:afterLines="100" w:line="360" w:lineRule="auto"/>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平顶山市消防救援支队河南省消防救援总队“自然灾害应急能力提升工程”平顶山支队装备建设项目（三次）</w:t>
      </w:r>
    </w:p>
    <w:p>
      <w:pPr>
        <w:pStyle w:val="13"/>
        <w:spacing w:beforeLines="100" w:afterLines="100" w:line="360" w:lineRule="auto"/>
        <w:jc w:val="center"/>
        <w:rPr>
          <w:rFonts w:hint="eastAsia" w:hAnsi="宋体" w:cs="宋体"/>
          <w:b/>
          <w:color w:val="auto"/>
          <w:sz w:val="44"/>
          <w:szCs w:val="44"/>
          <w:highlight w:val="none"/>
          <w:lang w:eastAsia="zh-CN"/>
        </w:rPr>
      </w:pPr>
    </w:p>
    <w:p>
      <w:pPr>
        <w:pStyle w:val="13"/>
        <w:spacing w:beforeLines="100" w:afterLines="100" w:line="360" w:lineRule="auto"/>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（包</w:t>
      </w:r>
      <w:r>
        <w:rPr>
          <w:rFonts w:hint="eastAsia" w:hAnsi="宋体" w:cs="宋体"/>
          <w:b/>
          <w:color w:val="auto"/>
          <w:sz w:val="44"/>
          <w:szCs w:val="44"/>
          <w:highlight w:val="none"/>
          <w:lang w:val="en-US" w:eastAsia="zh-CN"/>
        </w:rPr>
        <w:t xml:space="preserve">  </w:t>
      </w:r>
      <w:r>
        <w:rPr>
          <w:rFonts w:hint="eastAsia" w:hAnsi="宋体" w:cs="宋体"/>
          <w:b/>
          <w:color w:val="auto"/>
          <w:sz w:val="44"/>
          <w:szCs w:val="44"/>
          <w:highlight w:val="none"/>
          <w:lang w:eastAsia="zh-CN"/>
        </w:rPr>
        <w:t>）</w:t>
      </w:r>
    </w:p>
    <w:p>
      <w:pPr>
        <w:pStyle w:val="13"/>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3"/>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3"/>
        <w:spacing w:beforeLines="100" w:afterLines="100" w:line="360" w:lineRule="auto"/>
        <w:rPr>
          <w:rFonts w:hAnsi="宋体" w:cs="宋体"/>
          <w:b/>
          <w:bCs/>
          <w:color w:val="auto"/>
          <w:sz w:val="32"/>
          <w:highlight w:val="none"/>
          <w:u w:val="single"/>
        </w:rPr>
      </w:pPr>
    </w:p>
    <w:p>
      <w:pPr>
        <w:pStyle w:val="13"/>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11"/>
        <w:spacing w:line="360" w:lineRule="auto"/>
        <w:ind w:left="0" w:leftChars="0" w:firstLine="2129" w:firstLineChars="707"/>
        <w:rPr>
          <w:rFonts w:ascii="宋体" w:cs="宋体"/>
          <w:b/>
          <w:bCs/>
          <w:color w:val="auto"/>
          <w:sz w:val="30"/>
          <w:szCs w:val="30"/>
          <w:highlight w:val="none"/>
        </w:rPr>
      </w:pPr>
    </w:p>
    <w:p>
      <w:pPr>
        <w:pStyle w:val="12"/>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2"/>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485" w:name="_Toc13005"/>
      <w:bookmarkStart w:id="486" w:name="_Toc5119"/>
      <w:bookmarkStart w:id="487" w:name="_Toc13982"/>
      <w:r>
        <w:rPr>
          <w:rFonts w:hint="eastAsia" w:ascii="宋体" w:hAnsi="宋体" w:cs="宋体"/>
          <w:b/>
          <w:color w:val="auto"/>
          <w:sz w:val="32"/>
          <w:highlight w:val="none"/>
        </w:rPr>
        <w:t>一、投标函及投标函附录</w:t>
      </w:r>
      <w:bookmarkEnd w:id="485"/>
      <w:bookmarkEnd w:id="486"/>
      <w:bookmarkEnd w:id="487"/>
    </w:p>
    <w:p>
      <w:pPr>
        <w:spacing w:before="212" w:line="360" w:lineRule="auto"/>
        <w:ind w:left="1"/>
        <w:jc w:val="center"/>
        <w:rPr>
          <w:b/>
          <w:color w:val="auto"/>
          <w:sz w:val="32"/>
          <w:highlight w:val="none"/>
        </w:rPr>
      </w:pPr>
      <w:bookmarkStart w:id="488" w:name="（一）投标函"/>
      <w:bookmarkEnd w:id="488"/>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平顶山市消防救援支队河南省消防救援总队“自然灾害应急能力提升工程”平顶山支队装备建设项目（三次）</w:t>
      </w:r>
      <w:r>
        <w:rPr>
          <w:rFonts w:hint="eastAsia" w:ascii="宋体" w:hAnsi="宋体" w:cs="宋体"/>
          <w:color w:val="auto"/>
          <w:kern w:val="0"/>
          <w:sz w:val="24"/>
          <w:highlight w:val="none"/>
          <w:u w:val="single"/>
        </w:rPr>
        <w:t>（项目名称）（项目编号）（包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2400" w:firstLineChars="10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30"/>
          <w:color w:val="auto"/>
          <w:szCs w:val="18"/>
          <w:highlight w:val="none"/>
        </w:rPr>
      </w:pPr>
    </w:p>
    <w:p>
      <w:pPr>
        <w:numPr>
          <w:ilvl w:val="0"/>
          <w:numId w:val="14"/>
        </w:numPr>
        <w:spacing w:before="217" w:line="360" w:lineRule="auto"/>
        <w:ind w:left="3"/>
        <w:jc w:val="center"/>
        <w:rPr>
          <w:b/>
          <w:color w:val="auto"/>
          <w:sz w:val="32"/>
          <w:highlight w:val="none"/>
        </w:rPr>
      </w:pPr>
      <w:bookmarkStart w:id="489" w:name="（二）投标函附录1"/>
      <w:bookmarkEnd w:id="489"/>
      <w:r>
        <w:rPr>
          <w:rFonts w:hint="eastAsia"/>
          <w:b/>
          <w:color w:val="auto"/>
          <w:sz w:val="32"/>
          <w:highlight w:val="none"/>
        </w:rPr>
        <w:t>投标函附录</w:t>
      </w:r>
      <w:r>
        <w:rPr>
          <w:b/>
          <w:color w:val="auto"/>
          <w:sz w:val="32"/>
          <w:highlight w:val="none"/>
        </w:rPr>
        <w:t xml:space="preserve"> </w:t>
      </w:r>
    </w:p>
    <w:p>
      <w:pPr>
        <w:pStyle w:val="12"/>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8"/>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8"/>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8"/>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8"/>
              <w:spacing w:before="43" w:line="360" w:lineRule="auto"/>
              <w:ind w:left="106"/>
              <w:jc w:val="center"/>
              <w:rPr>
                <w:rFonts w:hint="eastAsia" w:eastAsia="宋体"/>
                <w:color w:val="auto"/>
                <w:highlight w:val="none"/>
                <w:lang w:eastAsia="zh-CN"/>
              </w:rPr>
            </w:pPr>
            <w:r>
              <w:rPr>
                <w:rFonts w:hint="eastAsia"/>
                <w:color w:val="auto"/>
                <w:highlight w:val="none"/>
                <w:lang w:eastAsia="zh-CN"/>
              </w:rPr>
              <w:t>包名称</w:t>
            </w:r>
          </w:p>
        </w:tc>
        <w:tc>
          <w:tcPr>
            <w:tcW w:w="6976" w:type="dxa"/>
            <w:vAlign w:val="center"/>
          </w:tcPr>
          <w:p>
            <w:pPr>
              <w:pStyle w:val="28"/>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8"/>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8"/>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8"/>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8"/>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8"/>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8"/>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8"/>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18" w:line="360" w:lineRule="auto"/>
              <w:ind w:left="106" w:leftChars="0"/>
              <w:jc w:val="center"/>
              <w:rPr>
                <w:color w:val="auto"/>
                <w:highlight w:val="none"/>
              </w:rPr>
            </w:pPr>
            <w:r>
              <w:rPr>
                <w:rFonts w:hint="eastAsia"/>
                <w:color w:val="auto"/>
                <w:highlight w:val="none"/>
              </w:rPr>
              <w:t>质量要求</w:t>
            </w:r>
          </w:p>
        </w:tc>
        <w:tc>
          <w:tcPr>
            <w:tcW w:w="6976" w:type="dxa"/>
            <w:vAlign w:val="top"/>
          </w:tcPr>
          <w:p>
            <w:pPr>
              <w:pStyle w:val="28"/>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43" w:line="360" w:lineRule="auto"/>
              <w:jc w:val="center"/>
              <w:rPr>
                <w:color w:val="auto"/>
                <w:highlight w:val="none"/>
              </w:rPr>
            </w:pPr>
            <w:r>
              <w:rPr>
                <w:rFonts w:hint="eastAsia" w:ascii="宋体" w:hAnsi="宋体" w:cs="宋体"/>
                <w:b w:val="0"/>
                <w:bCs w:val="0"/>
                <w:color w:val="auto"/>
                <w:sz w:val="24"/>
                <w:highlight w:val="none"/>
              </w:rPr>
              <w:t>交货地点</w:t>
            </w:r>
          </w:p>
        </w:tc>
        <w:tc>
          <w:tcPr>
            <w:tcW w:w="6976" w:type="dxa"/>
            <w:vAlign w:val="top"/>
          </w:tcPr>
          <w:p>
            <w:pPr>
              <w:pStyle w:val="28"/>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12" w:line="360" w:lineRule="auto"/>
              <w:ind w:left="106" w:leftChars="0"/>
              <w:jc w:val="center"/>
              <w:rPr>
                <w:rFonts w:hint="eastAsia" w:ascii="宋体" w:hAnsi="宋体" w:cs="宋体"/>
                <w:b w:val="0"/>
                <w:bCs w:val="0"/>
                <w:color w:val="auto"/>
                <w:sz w:val="24"/>
                <w:highlight w:val="none"/>
              </w:rPr>
            </w:pPr>
            <w:r>
              <w:rPr>
                <w:rFonts w:hint="eastAsia"/>
                <w:color w:val="auto"/>
                <w:highlight w:val="none"/>
              </w:rPr>
              <w:t>投标内容</w:t>
            </w:r>
          </w:p>
        </w:tc>
        <w:tc>
          <w:tcPr>
            <w:tcW w:w="6976" w:type="dxa"/>
            <w:vAlign w:val="top"/>
          </w:tcPr>
          <w:p>
            <w:pPr>
              <w:pStyle w:val="28"/>
              <w:spacing w:before="12" w:line="360" w:lineRule="auto"/>
              <w:ind w:left="107" w:leftChars="0"/>
              <w:jc w:val="center"/>
              <w:rPr>
                <w:rFonts w:hint="eastAsia" w:ascii="宋体" w:hAnsi="宋体" w:cs="宋体"/>
                <w:b w:val="0"/>
                <w:bCs w:val="0"/>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spacing w:before="12" w:line="360" w:lineRule="auto"/>
              <w:ind w:left="106"/>
              <w:jc w:val="center"/>
              <w:rPr>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spacing w:before="12" w:line="360" w:lineRule="auto"/>
              <w:ind w:left="107"/>
              <w:jc w:val="left"/>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8"/>
              <w:spacing w:before="12" w:line="360" w:lineRule="auto"/>
              <w:ind w:left="106"/>
              <w:jc w:val="center"/>
              <w:rPr>
                <w:rFonts w:hint="eastAsia"/>
                <w:color w:val="auto"/>
                <w:highlight w:val="none"/>
              </w:rPr>
            </w:pPr>
            <w:r>
              <w:rPr>
                <w:rFonts w:hint="eastAsia"/>
                <w:color w:val="auto"/>
                <w:highlight w:val="none"/>
              </w:rPr>
              <w:t>其他声明</w:t>
            </w:r>
          </w:p>
        </w:tc>
        <w:tc>
          <w:tcPr>
            <w:tcW w:w="6976" w:type="dxa"/>
          </w:tcPr>
          <w:p>
            <w:pPr>
              <w:pStyle w:val="28"/>
              <w:spacing w:before="12" w:line="360" w:lineRule="auto"/>
              <w:ind w:left="107"/>
              <w:jc w:val="center"/>
              <w:rPr>
                <w:rFonts w:hint="eastAsia"/>
                <w:color w:val="auto"/>
                <w:highlight w:val="none"/>
              </w:rPr>
            </w:pPr>
          </w:p>
        </w:tc>
      </w:tr>
    </w:tbl>
    <w:p>
      <w:pPr>
        <w:pStyle w:val="7"/>
        <w:spacing w:line="360" w:lineRule="auto"/>
        <w:rPr>
          <w:b/>
          <w:color w:val="auto"/>
          <w:sz w:val="20"/>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b/>
          <w:color w:val="auto"/>
          <w:sz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before="216" w:line="240" w:lineRule="auto"/>
        <w:jc w:val="center"/>
        <w:textAlignment w:val="auto"/>
        <w:rPr>
          <w:b/>
          <w:color w:val="auto"/>
          <w:sz w:val="28"/>
          <w:highlight w:val="none"/>
        </w:rPr>
      </w:pPr>
      <w:bookmarkStart w:id="490" w:name="报价明细表"/>
      <w:bookmarkEnd w:id="490"/>
      <w:r>
        <w:rPr>
          <w:b/>
          <w:color w:val="auto"/>
          <w:sz w:val="28"/>
          <w:highlight w:val="none"/>
        </w:rPr>
        <w:t>2.</w:t>
      </w:r>
      <w:r>
        <w:rPr>
          <w:rFonts w:hint="eastAsia"/>
          <w:b/>
          <w:color w:val="auto"/>
          <w:sz w:val="28"/>
          <w:highlight w:val="none"/>
        </w:rPr>
        <w:t>报价明细表</w:t>
      </w:r>
    </w:p>
    <w:p>
      <w:pPr>
        <w:pStyle w:val="7"/>
        <w:keepNext w:val="0"/>
        <w:keepLines w:val="0"/>
        <w:pageBreakBefore w:val="0"/>
        <w:widowControl w:val="0"/>
        <w:kinsoku/>
        <w:wordWrap/>
        <w:overflowPunct/>
        <w:topLinePunct w:val="0"/>
        <w:autoSpaceDE/>
        <w:autoSpaceDN/>
        <w:bidi w:val="0"/>
        <w:adjustRightInd/>
        <w:snapToGrid/>
        <w:spacing w:before="4" w:line="240" w:lineRule="auto"/>
        <w:textAlignment w:val="auto"/>
        <w:rPr>
          <w:b/>
          <w:color w:val="auto"/>
          <w:sz w:val="9"/>
          <w:highlight w:val="none"/>
        </w:rPr>
      </w:pPr>
    </w:p>
    <w:p>
      <w:pPr>
        <w:pStyle w:val="7"/>
        <w:keepNext w:val="0"/>
        <w:keepLines w:val="0"/>
        <w:pageBreakBefore w:val="0"/>
        <w:widowControl w:val="0"/>
        <w:kinsoku/>
        <w:wordWrap/>
        <w:overflowPunct/>
        <w:topLinePunct w:val="0"/>
        <w:autoSpaceDE/>
        <w:autoSpaceDN/>
        <w:bidi w:val="0"/>
        <w:adjustRightInd/>
        <w:snapToGrid/>
        <w:spacing w:before="66" w:line="240" w:lineRule="auto"/>
        <w:ind w:right="333"/>
        <w:jc w:val="center"/>
        <w:textAlignment w:val="auto"/>
        <w:rPr>
          <w:rFonts w:hint="default" w:ascii="Calibri" w:hAnsi="Calibri" w:eastAsia="Calibri" w:cs="Times New Roman"/>
          <w:b/>
          <w:color w:val="auto"/>
          <w:kern w:val="2"/>
          <w:sz w:val="28"/>
          <w:szCs w:val="24"/>
          <w:highlight w:val="none"/>
          <w:lang w:val="en-US" w:eastAsia="zh-CN" w:bidi="ar-SA"/>
        </w:rPr>
      </w:pPr>
      <w:r>
        <w:rPr>
          <w:rFonts w:hint="eastAsia" w:ascii="Calibri" w:hAnsi="Calibri" w:eastAsia="Calibri" w:cs="Times New Roman"/>
          <w:b/>
          <w:color w:val="auto"/>
          <w:kern w:val="2"/>
          <w:sz w:val="28"/>
          <w:szCs w:val="24"/>
          <w:highlight w:val="none"/>
          <w:lang w:val="en-US" w:eastAsia="zh-CN" w:bidi="ar-SA"/>
        </w:rPr>
        <w:t>2.1车辆报价表</w:t>
      </w:r>
    </w:p>
    <w:tbl>
      <w:tblPr>
        <w:tblStyle w:val="23"/>
        <w:tblW w:w="10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2"/>
        <w:gridCol w:w="750"/>
        <w:gridCol w:w="711"/>
        <w:gridCol w:w="1149"/>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jc w:val="center"/>
        </w:trPr>
        <w:tc>
          <w:tcPr>
            <w:tcW w:w="599" w:type="dxa"/>
            <w:vAlign w:val="center"/>
          </w:tcPr>
          <w:p>
            <w:pPr>
              <w:pStyle w:val="28"/>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8"/>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8"/>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8"/>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8"/>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8"/>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8"/>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8"/>
              <w:spacing w:line="240" w:lineRule="auto"/>
              <w:ind w:left="186"/>
              <w:jc w:val="center"/>
              <w:rPr>
                <w:b w:val="0"/>
                <w:bCs w:val="0"/>
                <w:color w:val="auto"/>
                <w:highlight w:val="none"/>
              </w:rPr>
            </w:pPr>
            <w:r>
              <w:rPr>
                <w:rFonts w:hint="eastAsia"/>
                <w:b w:val="0"/>
                <w:bCs w:val="0"/>
                <w:color w:val="auto"/>
                <w:highlight w:val="none"/>
              </w:rPr>
              <w:t>单位</w:t>
            </w:r>
          </w:p>
        </w:tc>
        <w:tc>
          <w:tcPr>
            <w:tcW w:w="712" w:type="dxa"/>
            <w:vAlign w:val="center"/>
          </w:tcPr>
          <w:p>
            <w:pPr>
              <w:pStyle w:val="28"/>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单价</w:t>
            </w:r>
            <w:r>
              <w:rPr>
                <w:rFonts w:hint="eastAsia"/>
                <w:b w:val="0"/>
                <w:bCs w:val="0"/>
                <w:color w:val="auto"/>
                <w:highlight w:val="none"/>
                <w:lang w:eastAsia="zh-CN"/>
              </w:rPr>
              <w:t>（元）</w:t>
            </w:r>
          </w:p>
        </w:tc>
        <w:tc>
          <w:tcPr>
            <w:tcW w:w="711" w:type="dxa"/>
            <w:vAlign w:val="center"/>
          </w:tcPr>
          <w:p>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总价</w:t>
            </w:r>
            <w:r>
              <w:rPr>
                <w:rFonts w:hint="eastAsia"/>
                <w:b w:val="0"/>
                <w:bCs w:val="0"/>
                <w:color w:val="auto"/>
                <w:highlight w:val="none"/>
                <w:lang w:eastAsia="zh-CN"/>
              </w:rPr>
              <w:t>（元）</w:t>
            </w:r>
          </w:p>
        </w:tc>
        <w:tc>
          <w:tcPr>
            <w:tcW w:w="1149" w:type="dxa"/>
            <w:vAlign w:val="center"/>
          </w:tcPr>
          <w:p>
            <w:pPr>
              <w:pStyle w:val="28"/>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8"/>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634" w:type="dxa"/>
            <w:vAlign w:val="center"/>
          </w:tcPr>
          <w:p>
            <w:pPr>
              <w:pStyle w:val="28"/>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99" w:type="dxa"/>
          </w:tcPr>
          <w:p>
            <w:pPr>
              <w:pStyle w:val="28"/>
              <w:spacing w:before="6" w:line="360" w:lineRule="auto"/>
              <w:rPr>
                <w:b w:val="0"/>
                <w:bCs w:val="0"/>
                <w:color w:val="auto"/>
                <w:sz w:val="26"/>
                <w:highlight w:val="none"/>
              </w:rPr>
            </w:pPr>
          </w:p>
          <w:p>
            <w:pPr>
              <w:pStyle w:val="28"/>
              <w:spacing w:line="360" w:lineRule="auto"/>
              <w:ind w:left="9"/>
              <w:jc w:val="center"/>
              <w:rPr>
                <w:b w:val="0"/>
                <w:bCs w:val="0"/>
                <w:color w:val="auto"/>
                <w:highlight w:val="none"/>
              </w:rPr>
            </w:pPr>
            <w:r>
              <w:rPr>
                <w:b w:val="0"/>
                <w:bCs w:val="0"/>
                <w:color w:val="auto"/>
                <w:highlight w:val="none"/>
              </w:rPr>
              <w:t>1</w:t>
            </w:r>
          </w:p>
        </w:tc>
        <w:tc>
          <w:tcPr>
            <w:tcW w:w="661" w:type="dxa"/>
          </w:tcPr>
          <w:p>
            <w:pPr>
              <w:pStyle w:val="28"/>
              <w:spacing w:line="360" w:lineRule="auto"/>
              <w:rPr>
                <w:b w:val="0"/>
                <w:bCs w:val="0"/>
                <w:color w:val="auto"/>
                <w:sz w:val="22"/>
                <w:highlight w:val="none"/>
              </w:rPr>
            </w:pPr>
          </w:p>
        </w:tc>
        <w:tc>
          <w:tcPr>
            <w:tcW w:w="1117" w:type="dxa"/>
            <w:gridSpan w:val="2"/>
          </w:tcPr>
          <w:p>
            <w:pPr>
              <w:pStyle w:val="28"/>
              <w:spacing w:line="360" w:lineRule="auto"/>
              <w:rPr>
                <w:b w:val="0"/>
                <w:bCs w:val="0"/>
                <w:color w:val="auto"/>
                <w:sz w:val="22"/>
                <w:highlight w:val="none"/>
              </w:rPr>
            </w:pPr>
          </w:p>
        </w:tc>
        <w:tc>
          <w:tcPr>
            <w:tcW w:w="63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950" w:type="dxa"/>
          </w:tcPr>
          <w:p>
            <w:pPr>
              <w:pStyle w:val="28"/>
              <w:spacing w:line="360" w:lineRule="auto"/>
              <w:rPr>
                <w:b w:val="0"/>
                <w:bCs w:val="0"/>
                <w:color w:val="auto"/>
                <w:sz w:val="22"/>
                <w:highlight w:val="none"/>
              </w:rPr>
            </w:pPr>
          </w:p>
        </w:tc>
        <w:tc>
          <w:tcPr>
            <w:tcW w:w="775" w:type="dxa"/>
          </w:tcPr>
          <w:p>
            <w:pPr>
              <w:pStyle w:val="28"/>
              <w:spacing w:line="360" w:lineRule="auto"/>
              <w:rPr>
                <w:b w:val="0"/>
                <w:bCs w:val="0"/>
                <w:color w:val="auto"/>
                <w:sz w:val="22"/>
                <w:highlight w:val="none"/>
              </w:rPr>
            </w:pPr>
          </w:p>
        </w:tc>
        <w:tc>
          <w:tcPr>
            <w:tcW w:w="712" w:type="dxa"/>
          </w:tcPr>
          <w:p>
            <w:pPr>
              <w:pStyle w:val="28"/>
              <w:spacing w:line="360" w:lineRule="auto"/>
              <w:rPr>
                <w:b w:val="0"/>
                <w:bCs w:val="0"/>
                <w:color w:val="auto"/>
                <w:sz w:val="22"/>
                <w:highlight w:val="none"/>
              </w:rPr>
            </w:pPr>
          </w:p>
        </w:tc>
        <w:tc>
          <w:tcPr>
            <w:tcW w:w="750" w:type="dxa"/>
          </w:tcPr>
          <w:p>
            <w:pPr>
              <w:pStyle w:val="28"/>
              <w:spacing w:line="360" w:lineRule="auto"/>
              <w:rPr>
                <w:b w:val="0"/>
                <w:bCs w:val="0"/>
                <w:color w:val="auto"/>
                <w:sz w:val="22"/>
                <w:highlight w:val="none"/>
              </w:rPr>
            </w:pPr>
          </w:p>
        </w:tc>
        <w:tc>
          <w:tcPr>
            <w:tcW w:w="711" w:type="dxa"/>
          </w:tcPr>
          <w:p>
            <w:pPr>
              <w:pStyle w:val="28"/>
              <w:spacing w:line="360" w:lineRule="auto"/>
              <w:rPr>
                <w:b w:val="0"/>
                <w:bCs w:val="0"/>
                <w:color w:val="auto"/>
                <w:sz w:val="22"/>
                <w:highlight w:val="none"/>
              </w:rPr>
            </w:pPr>
          </w:p>
        </w:tc>
        <w:tc>
          <w:tcPr>
            <w:tcW w:w="1149" w:type="dxa"/>
          </w:tcPr>
          <w:p>
            <w:pPr>
              <w:pStyle w:val="28"/>
              <w:spacing w:line="360" w:lineRule="auto"/>
              <w:rPr>
                <w:b w:val="0"/>
                <w:bCs w:val="0"/>
                <w:color w:val="auto"/>
                <w:sz w:val="22"/>
                <w:highlight w:val="none"/>
              </w:rPr>
            </w:pPr>
          </w:p>
        </w:tc>
        <w:tc>
          <w:tcPr>
            <w:tcW w:w="634" w:type="dxa"/>
          </w:tcPr>
          <w:p>
            <w:pPr>
              <w:pStyle w:val="28"/>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99" w:type="dxa"/>
          </w:tcPr>
          <w:p>
            <w:pPr>
              <w:pStyle w:val="28"/>
              <w:spacing w:before="3" w:line="360" w:lineRule="auto"/>
              <w:rPr>
                <w:b w:val="0"/>
                <w:bCs w:val="0"/>
                <w:color w:val="auto"/>
                <w:sz w:val="21"/>
                <w:highlight w:val="none"/>
              </w:rPr>
            </w:pPr>
          </w:p>
          <w:p>
            <w:pPr>
              <w:pStyle w:val="28"/>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8"/>
              <w:spacing w:line="360" w:lineRule="auto"/>
              <w:rPr>
                <w:b w:val="0"/>
                <w:bCs w:val="0"/>
                <w:color w:val="auto"/>
                <w:sz w:val="22"/>
                <w:highlight w:val="none"/>
              </w:rPr>
            </w:pPr>
          </w:p>
        </w:tc>
        <w:tc>
          <w:tcPr>
            <w:tcW w:w="1117" w:type="dxa"/>
            <w:gridSpan w:val="2"/>
          </w:tcPr>
          <w:p>
            <w:pPr>
              <w:pStyle w:val="28"/>
              <w:spacing w:line="360" w:lineRule="auto"/>
              <w:rPr>
                <w:b w:val="0"/>
                <w:bCs w:val="0"/>
                <w:color w:val="auto"/>
                <w:sz w:val="22"/>
                <w:highlight w:val="none"/>
              </w:rPr>
            </w:pPr>
          </w:p>
        </w:tc>
        <w:tc>
          <w:tcPr>
            <w:tcW w:w="63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950" w:type="dxa"/>
          </w:tcPr>
          <w:p>
            <w:pPr>
              <w:pStyle w:val="28"/>
              <w:spacing w:line="360" w:lineRule="auto"/>
              <w:rPr>
                <w:b w:val="0"/>
                <w:bCs w:val="0"/>
                <w:color w:val="auto"/>
                <w:sz w:val="22"/>
                <w:highlight w:val="none"/>
              </w:rPr>
            </w:pPr>
          </w:p>
        </w:tc>
        <w:tc>
          <w:tcPr>
            <w:tcW w:w="775" w:type="dxa"/>
          </w:tcPr>
          <w:p>
            <w:pPr>
              <w:pStyle w:val="28"/>
              <w:spacing w:line="360" w:lineRule="auto"/>
              <w:rPr>
                <w:b w:val="0"/>
                <w:bCs w:val="0"/>
                <w:color w:val="auto"/>
                <w:sz w:val="22"/>
                <w:highlight w:val="none"/>
              </w:rPr>
            </w:pPr>
          </w:p>
        </w:tc>
        <w:tc>
          <w:tcPr>
            <w:tcW w:w="712" w:type="dxa"/>
          </w:tcPr>
          <w:p>
            <w:pPr>
              <w:pStyle w:val="28"/>
              <w:spacing w:line="360" w:lineRule="auto"/>
              <w:rPr>
                <w:b w:val="0"/>
                <w:bCs w:val="0"/>
                <w:color w:val="auto"/>
                <w:sz w:val="22"/>
                <w:highlight w:val="none"/>
              </w:rPr>
            </w:pPr>
          </w:p>
        </w:tc>
        <w:tc>
          <w:tcPr>
            <w:tcW w:w="750" w:type="dxa"/>
          </w:tcPr>
          <w:p>
            <w:pPr>
              <w:pStyle w:val="28"/>
              <w:spacing w:line="360" w:lineRule="auto"/>
              <w:rPr>
                <w:b w:val="0"/>
                <w:bCs w:val="0"/>
                <w:color w:val="auto"/>
                <w:sz w:val="22"/>
                <w:highlight w:val="none"/>
              </w:rPr>
            </w:pPr>
          </w:p>
        </w:tc>
        <w:tc>
          <w:tcPr>
            <w:tcW w:w="711" w:type="dxa"/>
          </w:tcPr>
          <w:p>
            <w:pPr>
              <w:pStyle w:val="28"/>
              <w:spacing w:line="360" w:lineRule="auto"/>
              <w:rPr>
                <w:b w:val="0"/>
                <w:bCs w:val="0"/>
                <w:color w:val="auto"/>
                <w:sz w:val="22"/>
                <w:highlight w:val="none"/>
              </w:rPr>
            </w:pPr>
          </w:p>
        </w:tc>
        <w:tc>
          <w:tcPr>
            <w:tcW w:w="1149" w:type="dxa"/>
          </w:tcPr>
          <w:p>
            <w:pPr>
              <w:pStyle w:val="28"/>
              <w:spacing w:line="360" w:lineRule="auto"/>
              <w:rPr>
                <w:b w:val="0"/>
                <w:bCs w:val="0"/>
                <w:color w:val="auto"/>
                <w:sz w:val="22"/>
                <w:highlight w:val="none"/>
              </w:rPr>
            </w:pPr>
          </w:p>
        </w:tc>
        <w:tc>
          <w:tcPr>
            <w:tcW w:w="634" w:type="dxa"/>
          </w:tcPr>
          <w:p>
            <w:pPr>
              <w:pStyle w:val="28"/>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599" w:type="dxa"/>
          </w:tcPr>
          <w:p>
            <w:pPr>
              <w:pStyle w:val="28"/>
              <w:spacing w:before="1" w:line="360" w:lineRule="auto"/>
              <w:ind w:left="179"/>
              <w:rPr>
                <w:b w:val="0"/>
                <w:bCs w:val="0"/>
                <w:color w:val="auto"/>
                <w:highlight w:val="none"/>
              </w:rPr>
            </w:pPr>
            <w:r>
              <w:rPr>
                <w:rFonts w:hint="eastAsia"/>
                <w:b w:val="0"/>
                <w:bCs w:val="0"/>
                <w:color w:val="auto"/>
                <w:highlight w:val="none"/>
              </w:rPr>
              <w:t>合</w:t>
            </w:r>
          </w:p>
          <w:p>
            <w:pPr>
              <w:pStyle w:val="28"/>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8"/>
              <w:spacing w:line="360" w:lineRule="auto"/>
              <w:rPr>
                <w:b w:val="0"/>
                <w:bCs w:val="0"/>
                <w:color w:val="auto"/>
                <w:sz w:val="22"/>
                <w:highlight w:val="none"/>
              </w:rPr>
            </w:pPr>
          </w:p>
        </w:tc>
        <w:tc>
          <w:tcPr>
            <w:tcW w:w="8753" w:type="dxa"/>
            <w:gridSpan w:val="11"/>
          </w:tcPr>
          <w:p>
            <w:pPr>
              <w:pStyle w:val="28"/>
              <w:spacing w:line="360" w:lineRule="auto"/>
              <w:rPr>
                <w:b w:val="0"/>
                <w:bCs w:val="0"/>
                <w:color w:val="auto"/>
                <w:sz w:val="22"/>
                <w:highlight w:val="none"/>
              </w:rPr>
            </w:pPr>
          </w:p>
        </w:tc>
      </w:tr>
    </w:tbl>
    <w:p>
      <w:pPr>
        <w:pStyle w:val="7"/>
        <w:spacing w:line="360" w:lineRule="auto"/>
        <w:rPr>
          <w:color w:val="auto"/>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288" w:lineRule="auto"/>
        <w:ind w:firstLine="2660"/>
        <w:jc w:val="both"/>
        <w:rPr>
          <w:rFonts w:hint="eastAsia" w:eastAsia="宋体"/>
          <w:color w:val="auto"/>
          <w:sz w:val="28"/>
          <w:highlight w:val="none"/>
          <w:lang w:eastAsia="zh-CN"/>
        </w:rPr>
      </w:pPr>
      <w:r>
        <w:rPr>
          <w:rFonts w:hint="eastAsia" w:ascii="Calibri" w:hAnsi="Calibri" w:eastAsia="Calibri"/>
          <w:b/>
          <w:color w:val="auto"/>
          <w:sz w:val="28"/>
          <w:highlight w:val="none"/>
        </w:rPr>
        <w:t>2</w:t>
      </w:r>
      <w:r>
        <w:rPr>
          <w:rFonts w:hint="eastAsia" w:ascii="宋体" w:hAnsi="宋体" w:eastAsia="宋体"/>
          <w:b/>
          <w:color w:val="auto"/>
          <w:sz w:val="28"/>
          <w:highlight w:val="none"/>
        </w:rPr>
        <w:t>.</w:t>
      </w:r>
      <w:r>
        <w:rPr>
          <w:rFonts w:hint="eastAsia" w:ascii="Calibri" w:hAnsi="Calibri" w:eastAsia="Calibri"/>
          <w:b/>
          <w:color w:val="auto"/>
          <w:sz w:val="28"/>
          <w:highlight w:val="none"/>
        </w:rPr>
        <w:t>2</w:t>
      </w:r>
      <w:r>
        <w:rPr>
          <w:rFonts w:hint="eastAsia" w:ascii="宋体" w:hAnsi="宋体" w:eastAsia="宋体"/>
          <w:b/>
          <w:color w:val="auto"/>
          <w:sz w:val="28"/>
          <w:highlight w:val="none"/>
        </w:rPr>
        <w:t xml:space="preserve"> 报价分析</w:t>
      </w:r>
      <w:r>
        <w:rPr>
          <w:rFonts w:hint="eastAsia" w:ascii="宋体" w:hAnsi="宋体" w:eastAsia="宋体"/>
          <w:b/>
          <w:color w:val="auto"/>
          <w:sz w:val="28"/>
          <w:highlight w:val="none"/>
          <w:lang w:eastAsia="zh-CN"/>
        </w:rPr>
        <w:t>表</w:t>
      </w:r>
    </w:p>
    <w:p>
      <w:pPr>
        <w:spacing w:line="360" w:lineRule="auto"/>
        <w:ind w:firstLine="0"/>
        <w:jc w:val="both"/>
        <w:rPr>
          <w:color w:val="auto"/>
          <w:sz w:val="27"/>
          <w:highlight w:val="none"/>
        </w:rPr>
      </w:pPr>
      <w:r>
        <w:rPr>
          <w:rFonts w:hint="eastAsia" w:ascii="宋体" w:hAnsi="宋体" w:eastAsia="宋体"/>
          <w:color w:val="auto"/>
          <w:sz w:val="27"/>
          <w:highlight w:val="none"/>
        </w:rPr>
        <w:t>投标车辆名称：</w:t>
      </w:r>
    </w:p>
    <w:tbl>
      <w:tblPr>
        <w:tblStyle w:val="23"/>
        <w:tblW w:w="104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30"/>
        <w:gridCol w:w="3090"/>
        <w:gridCol w:w="2161"/>
        <w:gridCol w:w="1575"/>
        <w:gridCol w:w="1454"/>
        <w:gridCol w:w="105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序号</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分项内容</w:t>
            </w:r>
          </w:p>
        </w:tc>
        <w:tc>
          <w:tcPr>
            <w:tcW w:w="21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报价（元）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产地及品牌</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型号规格</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车辆配件</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1.1</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1.2</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b w:val="0"/>
                <w:bCs w:val="0"/>
                <w:color w:val="auto"/>
                <w:highlight w:val="none"/>
              </w:rPr>
              <w:t>...</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安装调试费</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3</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首次保养</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其它费用</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5</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rFonts w:hint="eastAsia" w:eastAsia="宋体"/>
                <w:color w:val="auto"/>
                <w:sz w:val="27"/>
                <w:highlight w:val="none"/>
                <w:lang w:val="en-US" w:eastAsia="zh-CN"/>
              </w:rPr>
            </w:pPr>
            <w:r>
              <w:rPr>
                <w:b w:val="0"/>
                <w:bCs w:val="0"/>
                <w:color w:val="auto"/>
                <w:highlight w:val="none"/>
              </w:rPr>
              <w:t>...</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4180" w:type="dxa"/>
            <w:gridSpan w:val="2"/>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合计金额</w:t>
            </w:r>
          </w:p>
        </w:tc>
        <w:tc>
          <w:tcPr>
            <w:tcW w:w="6180" w:type="dxa"/>
            <w:gridSpan w:val="4"/>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小写：    大写：</w:t>
            </w:r>
          </w:p>
        </w:tc>
      </w:tr>
    </w:tbl>
    <w:p>
      <w:pPr>
        <w:spacing w:line="360" w:lineRule="auto"/>
        <w:ind w:firstLine="620"/>
        <w:jc w:val="both"/>
        <w:rPr>
          <w:color w:val="auto"/>
          <w:sz w:val="21"/>
          <w:szCs w:val="21"/>
          <w:highlight w:val="none"/>
        </w:rPr>
      </w:pPr>
      <w:r>
        <w:rPr>
          <w:rFonts w:hint="eastAsia" w:ascii="宋体" w:hAnsi="宋体" w:eastAsia="宋体"/>
          <w:color w:val="auto"/>
          <w:sz w:val="21"/>
          <w:szCs w:val="21"/>
          <w:highlight w:val="none"/>
        </w:rPr>
        <w:t>注：</w:t>
      </w:r>
      <w:r>
        <w:rPr>
          <w:rFonts w:hint="eastAsia" w:ascii="Calibri" w:hAnsi="Calibri" w:eastAsia="Calibri"/>
          <w:color w:val="auto"/>
          <w:sz w:val="21"/>
          <w:szCs w:val="21"/>
          <w:highlight w:val="none"/>
        </w:rPr>
        <w:t>1</w:t>
      </w:r>
      <w:r>
        <w:rPr>
          <w:rFonts w:hint="eastAsia" w:ascii="宋体" w:hAnsi="宋体" w:eastAsia="宋体"/>
          <w:color w:val="auto"/>
          <w:sz w:val="21"/>
          <w:szCs w:val="21"/>
          <w:highlight w:val="none"/>
        </w:rPr>
        <w:t>、请在左上角注明投标车辆型号；</w:t>
      </w:r>
    </w:p>
    <w:p>
      <w:pPr>
        <w:spacing w:line="360" w:lineRule="auto"/>
        <w:ind w:firstLine="620"/>
        <w:jc w:val="both"/>
        <w:rPr>
          <w:color w:val="auto"/>
          <w:sz w:val="21"/>
          <w:szCs w:val="21"/>
          <w:highlight w:val="none"/>
        </w:rPr>
      </w:pPr>
      <w:r>
        <w:rPr>
          <w:rFonts w:hint="eastAsia" w:ascii="Calibri" w:hAnsi="Calibri" w:eastAsia="Calibri"/>
          <w:color w:val="auto"/>
          <w:sz w:val="21"/>
          <w:szCs w:val="21"/>
          <w:highlight w:val="none"/>
        </w:rPr>
        <w:t>2</w:t>
      </w:r>
      <w:r>
        <w:rPr>
          <w:rFonts w:hint="eastAsia" w:ascii="宋体" w:hAnsi="宋体" w:eastAsia="宋体"/>
          <w:color w:val="auto"/>
          <w:sz w:val="21"/>
          <w:szCs w:val="21"/>
          <w:highlight w:val="none"/>
        </w:rPr>
        <w:t>．表中根据所投货物类型分项列明底盘、其他主要设备和安装调试费、首次保养及其他费用等的分项报价，合计金额应当与</w:t>
      </w:r>
      <w:r>
        <w:rPr>
          <w:rFonts w:hint="eastAsia" w:ascii="Calibri" w:hAnsi="Calibri" w:eastAsia="Calibri"/>
          <w:color w:val="auto"/>
          <w:sz w:val="21"/>
          <w:szCs w:val="21"/>
          <w:highlight w:val="none"/>
        </w:rPr>
        <w:t>2</w:t>
      </w:r>
      <w:r>
        <w:rPr>
          <w:rFonts w:hint="eastAsia" w:ascii="宋体" w:hAnsi="宋体" w:eastAsia="宋体"/>
          <w:color w:val="auto"/>
          <w:sz w:val="21"/>
          <w:szCs w:val="21"/>
          <w:highlight w:val="none"/>
        </w:rPr>
        <w:t>.</w:t>
      </w:r>
      <w:r>
        <w:rPr>
          <w:rFonts w:hint="eastAsia" w:ascii="Calibri" w:hAnsi="Calibri" w:eastAsia="Calibri"/>
          <w:color w:val="auto"/>
          <w:sz w:val="21"/>
          <w:szCs w:val="21"/>
          <w:highlight w:val="none"/>
        </w:rPr>
        <w:t>1</w:t>
      </w:r>
      <w:r>
        <w:rPr>
          <w:rFonts w:hint="eastAsia" w:ascii="宋体" w:hAnsi="宋体" w:eastAsia="宋体"/>
          <w:color w:val="auto"/>
          <w:sz w:val="21"/>
          <w:szCs w:val="21"/>
          <w:highlight w:val="none"/>
        </w:rPr>
        <w:t>车辆报价表中同类型货物单价相同；</w:t>
      </w:r>
    </w:p>
    <w:p>
      <w:pPr>
        <w:spacing w:line="360" w:lineRule="auto"/>
        <w:ind w:firstLine="62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所有货物的价格应包含货物及配置产品的设计、采购、制造、检测、试验、包装、运输、保险、税费和原厂服务内容的检验、验收、技术服务（包括技术资料、图纸的提供）、全部的辅助材料费用、安装费、招标代理服务费、首保费、质保期保障等的全部费用。所有价格均应以人民币报价，金额单位为元；</w:t>
      </w:r>
    </w:p>
    <w:p>
      <w:pPr>
        <w:spacing w:line="360" w:lineRule="auto"/>
        <w:ind w:firstLine="62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4．投标人在编写投标文件时，如果遇到技术参数内的产品名称／设备名称与投标产品的商品名称不一致的，须在“备注”内写明商品名称。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color w:val="auto"/>
          <w:highlight w:val="none"/>
        </w:rPr>
      </w:pPr>
      <w:bookmarkStart w:id="491" w:name="_Toc75"/>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before="54" w:line="360" w:lineRule="auto"/>
        <w:ind w:left="6"/>
        <w:jc w:val="center"/>
        <w:outlineLvl w:val="1"/>
        <w:rPr>
          <w:b/>
          <w:color w:val="auto"/>
          <w:w w:val="95"/>
          <w:sz w:val="32"/>
          <w:highlight w:val="none"/>
        </w:rPr>
      </w:pPr>
      <w:bookmarkStart w:id="492" w:name="_Toc9250"/>
      <w:bookmarkStart w:id="493" w:name="_Toc25454"/>
      <w:r>
        <w:rPr>
          <w:rFonts w:hint="eastAsia"/>
          <w:b/>
          <w:color w:val="auto"/>
          <w:w w:val="95"/>
          <w:sz w:val="32"/>
          <w:highlight w:val="none"/>
        </w:rPr>
        <w:t>二、法定代表人身份证明</w:t>
      </w:r>
      <w:bookmarkEnd w:id="491"/>
      <w:bookmarkEnd w:id="492"/>
      <w:bookmarkEnd w:id="493"/>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spacing w:before="54" w:line="360" w:lineRule="auto"/>
        <w:ind w:left="6"/>
        <w:jc w:val="center"/>
        <w:outlineLvl w:val="1"/>
        <w:rPr>
          <w:b/>
          <w:color w:val="auto"/>
          <w:w w:val="95"/>
          <w:sz w:val="32"/>
          <w:highlight w:val="none"/>
        </w:rPr>
      </w:pPr>
      <w:bookmarkStart w:id="494" w:name="_Toc670"/>
      <w:bookmarkStart w:id="495" w:name="_Toc30731"/>
      <w:bookmarkStart w:id="496" w:name="_Toc27272"/>
      <w:r>
        <w:rPr>
          <w:rFonts w:hint="eastAsia"/>
          <w:b/>
          <w:color w:val="auto"/>
          <w:w w:val="95"/>
          <w:sz w:val="32"/>
          <w:highlight w:val="none"/>
        </w:rPr>
        <w:t>三、授权委托书</w:t>
      </w:r>
      <w:bookmarkEnd w:id="494"/>
      <w:bookmarkEnd w:id="495"/>
      <w:bookmarkEnd w:id="496"/>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平顶山市消防救援支队河南省消防救援总队“自然灾害应急能力提升工程”平顶山支队装备建设项目（三次）</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1"/>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pStyle w:val="12"/>
        <w:spacing w:line="360" w:lineRule="auto"/>
        <w:ind w:left="31680" w:right="31680"/>
        <w:rPr>
          <w:b/>
          <w:color w:val="auto"/>
          <w:w w:val="95"/>
          <w:sz w:val="32"/>
          <w:highlight w:val="none"/>
        </w:rPr>
      </w:pPr>
    </w:p>
    <w:p>
      <w:pPr>
        <w:pStyle w:val="12"/>
        <w:spacing w:line="360" w:lineRule="auto"/>
        <w:ind w:left="31680" w:right="31680"/>
        <w:rPr>
          <w:b/>
          <w:color w:val="auto"/>
          <w:w w:val="95"/>
          <w:sz w:val="32"/>
          <w:highlight w:val="none"/>
        </w:rPr>
      </w:pPr>
    </w:p>
    <w:p>
      <w:pPr>
        <w:rPr>
          <w:color w:val="auto"/>
          <w:highlight w:val="none"/>
        </w:rPr>
      </w:pPr>
    </w:p>
    <w:p>
      <w:pPr>
        <w:rPr>
          <w:color w:val="auto"/>
          <w:highlight w:val="none"/>
        </w:rPr>
      </w:pPr>
    </w:p>
    <w:p>
      <w:pPr>
        <w:spacing w:before="54" w:line="360" w:lineRule="auto"/>
        <w:ind w:left="6"/>
        <w:jc w:val="center"/>
        <w:outlineLvl w:val="1"/>
        <w:rPr>
          <w:b/>
          <w:color w:val="auto"/>
          <w:w w:val="95"/>
          <w:sz w:val="32"/>
          <w:highlight w:val="none"/>
        </w:rPr>
      </w:pPr>
      <w:bookmarkStart w:id="497" w:name="_Toc15621"/>
      <w:bookmarkStart w:id="498" w:name="_Toc30345"/>
      <w:bookmarkStart w:id="499" w:name="_Toc15380"/>
      <w:r>
        <w:rPr>
          <w:rFonts w:hint="eastAsia"/>
          <w:b/>
          <w:color w:val="auto"/>
          <w:w w:val="95"/>
          <w:sz w:val="32"/>
          <w:highlight w:val="none"/>
        </w:rPr>
        <w:t>四、投标承诺书</w:t>
      </w:r>
      <w:bookmarkEnd w:id="497"/>
      <w:bookmarkEnd w:id="498"/>
      <w:bookmarkEnd w:id="499"/>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00" w:name="_Toc32164"/>
      <w:bookmarkStart w:id="501" w:name="_Toc4122"/>
      <w:bookmarkStart w:id="502" w:name="_Toc14405"/>
      <w:r>
        <w:rPr>
          <w:rFonts w:hint="eastAsia"/>
          <w:b/>
          <w:color w:val="auto"/>
          <w:w w:val="95"/>
          <w:sz w:val="32"/>
          <w:highlight w:val="none"/>
        </w:rPr>
        <w:t>五、技术部分</w:t>
      </w:r>
      <w:bookmarkEnd w:id="500"/>
      <w:bookmarkEnd w:id="501"/>
      <w:bookmarkEnd w:id="502"/>
    </w:p>
    <w:p>
      <w:pPr>
        <w:spacing w:before="212" w:line="360" w:lineRule="auto"/>
        <w:ind w:left="1"/>
        <w:jc w:val="center"/>
        <w:rPr>
          <w:b/>
          <w:color w:val="auto"/>
          <w:sz w:val="32"/>
          <w:highlight w:val="none"/>
        </w:rPr>
      </w:pPr>
      <w:bookmarkStart w:id="503" w:name="（一）技术参数偏差表"/>
      <w:bookmarkEnd w:id="503"/>
      <w:r>
        <w:rPr>
          <w:rFonts w:hint="eastAsia"/>
          <w:b/>
          <w:color w:val="auto"/>
          <w:w w:val="95"/>
          <w:sz w:val="32"/>
          <w:highlight w:val="none"/>
        </w:rPr>
        <w:t>（一）技术参数偏差表</w:t>
      </w:r>
    </w:p>
    <w:p>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color w:val="auto"/>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8"/>
              <w:spacing w:before="4" w:line="360" w:lineRule="auto"/>
              <w:jc w:val="center"/>
              <w:rPr>
                <w:b/>
                <w:color w:val="auto"/>
                <w:sz w:val="18"/>
                <w:highlight w:val="none"/>
              </w:rPr>
            </w:pPr>
          </w:p>
          <w:p>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8"/>
              <w:spacing w:before="2" w:line="360" w:lineRule="auto"/>
              <w:ind w:left="22"/>
              <w:jc w:val="center"/>
              <w:rPr>
                <w:b/>
                <w:color w:val="auto"/>
                <w:highlight w:val="none"/>
              </w:rPr>
            </w:pPr>
            <w:r>
              <w:rPr>
                <w:rFonts w:hint="eastAsia"/>
                <w:b/>
                <w:color w:val="auto"/>
                <w:w w:val="99"/>
                <w:highlight w:val="none"/>
              </w:rPr>
              <w:t>名</w:t>
            </w:r>
          </w:p>
          <w:p>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8"/>
              <w:spacing w:before="2" w:line="360" w:lineRule="auto"/>
              <w:ind w:left="219" w:right="192"/>
              <w:jc w:val="center"/>
              <w:rPr>
                <w:b/>
                <w:color w:val="auto"/>
                <w:highlight w:val="none"/>
              </w:rPr>
            </w:pPr>
            <w:r>
              <w:rPr>
                <w:rFonts w:hint="eastAsia"/>
                <w:b/>
                <w:color w:val="auto"/>
                <w:highlight w:val="none"/>
              </w:rPr>
              <w:t>招标文件要求的</w:t>
            </w:r>
          </w:p>
          <w:p>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8"/>
              <w:spacing w:before="2" w:line="360" w:lineRule="auto"/>
              <w:ind w:left="14"/>
              <w:jc w:val="center"/>
              <w:rPr>
                <w:b/>
                <w:color w:val="auto"/>
                <w:highlight w:val="none"/>
              </w:rPr>
            </w:pPr>
            <w:r>
              <w:rPr>
                <w:rFonts w:hint="eastAsia"/>
                <w:b/>
                <w:color w:val="auto"/>
                <w:highlight w:val="none"/>
              </w:rPr>
              <w:t>投标文件所附</w:t>
            </w:r>
          </w:p>
          <w:p>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15"/>
              <w:jc w:val="center"/>
              <w:rPr>
                <w:color w:val="auto"/>
                <w:highlight w:val="none"/>
              </w:rPr>
            </w:pPr>
            <w:r>
              <w:rPr>
                <w:color w:val="auto"/>
                <w:highlight w:val="none"/>
              </w:rPr>
              <w:t>1</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0" w:line="360" w:lineRule="auto"/>
              <w:ind w:left="15"/>
              <w:jc w:val="center"/>
              <w:rPr>
                <w:color w:val="auto"/>
                <w:highlight w:val="none"/>
              </w:rPr>
            </w:pPr>
            <w:r>
              <w:rPr>
                <w:color w:val="auto"/>
                <w:highlight w:val="none"/>
              </w:rPr>
              <w:t>2</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1" w:line="360" w:lineRule="auto"/>
              <w:ind w:left="15"/>
              <w:jc w:val="center"/>
              <w:rPr>
                <w:color w:val="auto"/>
                <w:highlight w:val="none"/>
              </w:rPr>
            </w:pPr>
            <w:r>
              <w:rPr>
                <w:color w:val="auto"/>
                <w:highlight w:val="none"/>
              </w:rPr>
              <w:t>3</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8"/>
              <w:spacing w:before="161" w:line="360" w:lineRule="auto"/>
              <w:ind w:left="15"/>
              <w:jc w:val="center"/>
              <w:rPr>
                <w:color w:val="auto"/>
                <w:highlight w:val="none"/>
              </w:rPr>
            </w:pPr>
            <w:r>
              <w:rPr>
                <w:color w:val="auto"/>
                <w:highlight w:val="none"/>
              </w:rPr>
              <w:t>4</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8"/>
              <w:spacing w:before="162" w:line="360" w:lineRule="auto"/>
              <w:ind w:left="15"/>
              <w:jc w:val="center"/>
              <w:rPr>
                <w:color w:val="auto"/>
                <w:highlight w:val="none"/>
              </w:rPr>
            </w:pPr>
            <w:r>
              <w:rPr>
                <w:color w:val="auto"/>
                <w:highlight w:val="none"/>
              </w:rPr>
              <w:t>5</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241" w:right="226"/>
              <w:jc w:val="center"/>
              <w:rPr>
                <w:color w:val="auto"/>
                <w:highlight w:val="none"/>
              </w:rPr>
            </w:pPr>
            <w:r>
              <w:rPr>
                <w:color w:val="auto"/>
                <w:highlight w:val="none"/>
              </w:rPr>
              <w:t>...</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8"/>
        <w:spacing w:line="360" w:lineRule="auto"/>
        <w:rPr>
          <w:color w:val="auto"/>
          <w:sz w:val="20"/>
          <w:highlight w:val="none"/>
        </w:rPr>
      </w:pPr>
    </w:p>
    <w:p>
      <w:pPr>
        <w:spacing w:line="360" w:lineRule="auto"/>
        <w:rPr>
          <w:color w:val="auto"/>
          <w:sz w:val="20"/>
          <w:highlight w:val="none"/>
        </w:rPr>
      </w:pPr>
    </w:p>
    <w:p>
      <w:pPr>
        <w:pStyle w:val="21"/>
        <w:spacing w:line="360" w:lineRule="auto"/>
        <w:ind w:firstLine="0"/>
        <w:rPr>
          <w:color w:val="auto"/>
          <w:sz w:val="20"/>
          <w:highlight w:val="none"/>
        </w:rPr>
      </w:pPr>
    </w:p>
    <w:p>
      <w:pPr>
        <w:pStyle w:val="31"/>
        <w:tabs>
          <w:tab w:val="left" w:pos="580"/>
        </w:tabs>
        <w:spacing w:before="215" w:line="360" w:lineRule="auto"/>
        <w:ind w:left="335" w:firstLine="0" w:firstLineChars="0"/>
        <w:jc w:val="left"/>
        <w:rPr>
          <w:b/>
          <w:color w:val="auto"/>
          <w:sz w:val="24"/>
          <w:highlight w:val="none"/>
        </w:rPr>
      </w:pPr>
    </w:p>
    <w:p>
      <w:pPr>
        <w:pStyle w:val="31"/>
        <w:tabs>
          <w:tab w:val="left" w:pos="580"/>
        </w:tabs>
        <w:spacing w:before="215" w:line="360" w:lineRule="auto"/>
        <w:ind w:left="335" w:firstLine="0" w:firstLineChars="0"/>
        <w:jc w:val="left"/>
        <w:rPr>
          <w:b/>
          <w:color w:val="auto"/>
          <w:sz w:val="24"/>
          <w:highlight w:val="none"/>
        </w:rPr>
      </w:pPr>
    </w:p>
    <w:p>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color w:val="auto"/>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8"/>
              <w:spacing w:before="4" w:line="360" w:lineRule="auto"/>
              <w:jc w:val="center"/>
              <w:rPr>
                <w:b/>
                <w:color w:val="auto"/>
                <w:sz w:val="18"/>
                <w:highlight w:val="none"/>
              </w:rPr>
            </w:pPr>
          </w:p>
          <w:p>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8"/>
              <w:spacing w:before="2" w:line="360" w:lineRule="auto"/>
              <w:ind w:left="22"/>
              <w:jc w:val="center"/>
              <w:rPr>
                <w:b/>
                <w:color w:val="auto"/>
                <w:highlight w:val="none"/>
              </w:rPr>
            </w:pPr>
            <w:r>
              <w:rPr>
                <w:rFonts w:hint="eastAsia"/>
                <w:b/>
                <w:color w:val="auto"/>
                <w:w w:val="99"/>
                <w:highlight w:val="none"/>
              </w:rPr>
              <w:t>名</w:t>
            </w:r>
          </w:p>
          <w:p>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8"/>
              <w:spacing w:before="2" w:line="360" w:lineRule="auto"/>
              <w:ind w:left="219" w:right="192"/>
              <w:jc w:val="center"/>
              <w:rPr>
                <w:b/>
                <w:color w:val="auto"/>
                <w:highlight w:val="none"/>
              </w:rPr>
            </w:pPr>
            <w:r>
              <w:rPr>
                <w:rFonts w:hint="eastAsia"/>
                <w:b/>
                <w:color w:val="auto"/>
                <w:highlight w:val="none"/>
              </w:rPr>
              <w:t>招标文件要求的</w:t>
            </w:r>
          </w:p>
          <w:p>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8"/>
              <w:spacing w:before="2" w:line="360" w:lineRule="auto"/>
              <w:ind w:left="14"/>
              <w:jc w:val="center"/>
              <w:rPr>
                <w:b/>
                <w:color w:val="auto"/>
                <w:highlight w:val="none"/>
              </w:rPr>
            </w:pPr>
            <w:r>
              <w:rPr>
                <w:rFonts w:hint="eastAsia"/>
                <w:b/>
                <w:color w:val="auto"/>
                <w:highlight w:val="none"/>
              </w:rPr>
              <w:t>投标文件所附</w:t>
            </w:r>
          </w:p>
          <w:p>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15"/>
              <w:jc w:val="center"/>
              <w:rPr>
                <w:color w:val="auto"/>
                <w:highlight w:val="none"/>
              </w:rPr>
            </w:pPr>
            <w:r>
              <w:rPr>
                <w:color w:val="auto"/>
                <w:highlight w:val="none"/>
              </w:rPr>
              <w:t>1</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0" w:line="360" w:lineRule="auto"/>
              <w:ind w:left="15"/>
              <w:jc w:val="center"/>
              <w:rPr>
                <w:color w:val="auto"/>
                <w:highlight w:val="none"/>
              </w:rPr>
            </w:pPr>
            <w:r>
              <w:rPr>
                <w:color w:val="auto"/>
                <w:highlight w:val="none"/>
              </w:rPr>
              <w:t>2</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1" w:line="360" w:lineRule="auto"/>
              <w:ind w:left="15"/>
              <w:jc w:val="center"/>
              <w:rPr>
                <w:color w:val="auto"/>
                <w:highlight w:val="none"/>
              </w:rPr>
            </w:pPr>
            <w:r>
              <w:rPr>
                <w:color w:val="auto"/>
                <w:highlight w:val="none"/>
              </w:rPr>
              <w:t>3</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8"/>
              <w:spacing w:before="161" w:line="360" w:lineRule="auto"/>
              <w:ind w:left="15"/>
              <w:jc w:val="center"/>
              <w:rPr>
                <w:color w:val="auto"/>
                <w:highlight w:val="none"/>
              </w:rPr>
            </w:pPr>
            <w:r>
              <w:rPr>
                <w:color w:val="auto"/>
                <w:highlight w:val="none"/>
              </w:rPr>
              <w:t>4</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8"/>
              <w:spacing w:before="162" w:line="360" w:lineRule="auto"/>
              <w:ind w:left="15"/>
              <w:jc w:val="center"/>
              <w:rPr>
                <w:color w:val="auto"/>
                <w:highlight w:val="none"/>
              </w:rPr>
            </w:pPr>
            <w:r>
              <w:rPr>
                <w:color w:val="auto"/>
                <w:highlight w:val="none"/>
              </w:rPr>
              <w:t>5</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241" w:right="226"/>
              <w:jc w:val="center"/>
              <w:rPr>
                <w:color w:val="auto"/>
                <w:highlight w:val="none"/>
              </w:rPr>
            </w:pPr>
            <w:r>
              <w:rPr>
                <w:color w:val="auto"/>
                <w:highlight w:val="none"/>
              </w:rPr>
              <w:t>...</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hint="eastAsia" w:ascii="宋体" w:hAns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pStyle w:val="31"/>
        <w:numPr>
          <w:ilvl w:val="0"/>
          <w:numId w:val="15"/>
        </w:numPr>
        <w:tabs>
          <w:tab w:val="left" w:pos="580"/>
        </w:tabs>
        <w:spacing w:before="215" w:line="360" w:lineRule="auto"/>
        <w:ind w:firstLineChars="0"/>
        <w:jc w:val="left"/>
        <w:rPr>
          <w:b/>
          <w:color w:val="auto"/>
          <w:sz w:val="24"/>
          <w:highlight w:val="none"/>
        </w:rPr>
      </w:pP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1"/>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8"/>
              <w:spacing w:before="4" w:line="360" w:lineRule="auto"/>
              <w:jc w:val="center"/>
              <w:rPr>
                <w:b/>
                <w:color w:val="auto"/>
                <w:sz w:val="18"/>
                <w:highlight w:val="none"/>
              </w:rPr>
            </w:pPr>
          </w:p>
          <w:p>
            <w:pPr>
              <w:pStyle w:val="28"/>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8"/>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8"/>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8"/>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8"/>
              <w:spacing w:before="162" w:line="360" w:lineRule="auto"/>
              <w:ind w:left="15"/>
              <w:jc w:val="center"/>
              <w:rPr>
                <w:color w:val="auto"/>
                <w:highlight w:val="none"/>
              </w:rPr>
            </w:pPr>
            <w:r>
              <w:rPr>
                <w:color w:val="auto"/>
                <w:highlight w:val="none"/>
              </w:rPr>
              <w:t>1</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8"/>
              <w:spacing w:before="162" w:line="360" w:lineRule="auto"/>
              <w:ind w:left="15"/>
              <w:jc w:val="center"/>
              <w:rPr>
                <w:color w:val="auto"/>
                <w:highlight w:val="none"/>
              </w:rPr>
            </w:pPr>
            <w:r>
              <w:rPr>
                <w:color w:val="auto"/>
                <w:highlight w:val="none"/>
              </w:rPr>
              <w:t>2</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1" w:line="360" w:lineRule="auto"/>
              <w:ind w:left="15"/>
              <w:jc w:val="center"/>
              <w:rPr>
                <w:color w:val="auto"/>
                <w:highlight w:val="none"/>
              </w:rPr>
            </w:pPr>
            <w:r>
              <w:rPr>
                <w:color w:val="auto"/>
                <w:highlight w:val="none"/>
              </w:rPr>
              <w:t>3</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1" w:line="360" w:lineRule="auto"/>
              <w:ind w:left="15"/>
              <w:jc w:val="center"/>
              <w:rPr>
                <w:color w:val="auto"/>
                <w:highlight w:val="none"/>
              </w:rPr>
            </w:pPr>
            <w:r>
              <w:rPr>
                <w:color w:val="auto"/>
                <w:highlight w:val="none"/>
              </w:rPr>
              <w:t>4</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2" w:line="360" w:lineRule="auto"/>
              <w:ind w:left="15"/>
              <w:jc w:val="center"/>
              <w:rPr>
                <w:color w:val="auto"/>
                <w:highlight w:val="none"/>
              </w:rPr>
            </w:pPr>
            <w:r>
              <w:rPr>
                <w:color w:val="auto"/>
                <w:highlight w:val="none"/>
              </w:rPr>
              <w:t>5</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2" w:line="360" w:lineRule="auto"/>
              <w:ind w:left="241" w:right="226"/>
              <w:jc w:val="center"/>
              <w:rPr>
                <w:color w:val="auto"/>
                <w:highlight w:val="none"/>
              </w:rPr>
            </w:pPr>
            <w:r>
              <w:rPr>
                <w:color w:val="auto"/>
                <w:highlight w:val="none"/>
              </w:rPr>
              <w:t>...</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spacing w:line="240" w:lineRule="auto"/>
        <w:jc w:val="center"/>
        <w:rPr>
          <w:color w:val="auto"/>
          <w:sz w:val="24"/>
          <w:szCs w:val="24"/>
          <w:highlight w:val="none"/>
        </w:rPr>
      </w:pPr>
      <w:r>
        <w:rPr>
          <w:rFonts w:hint="eastAsia" w:ascii="宋体" w:hAnsi="宋体" w:eastAsia="宋体"/>
          <w:b/>
          <w:color w:val="auto"/>
          <w:sz w:val="24"/>
          <w:szCs w:val="24"/>
          <w:highlight w:val="none"/>
        </w:rPr>
        <w:t>（二）主要设备性能</w:t>
      </w:r>
    </w:p>
    <w:p>
      <w:pPr>
        <w:spacing w:line="288" w:lineRule="auto"/>
        <w:ind w:firstLine="0"/>
        <w:jc w:val="both"/>
        <w:rPr>
          <w:color w:val="auto"/>
          <w:sz w:val="24"/>
          <w:szCs w:val="24"/>
          <w:highlight w:val="none"/>
        </w:rPr>
      </w:pPr>
    </w:p>
    <w:p>
      <w:pPr>
        <w:spacing w:line="288" w:lineRule="auto"/>
        <w:ind w:firstLine="0"/>
        <w:jc w:val="both"/>
        <w:rPr>
          <w:color w:val="auto"/>
          <w:sz w:val="24"/>
          <w:szCs w:val="24"/>
          <w:highlight w:val="none"/>
        </w:rPr>
      </w:pPr>
    </w:p>
    <w:p>
      <w:pPr>
        <w:spacing w:line="360" w:lineRule="auto"/>
        <w:ind w:firstLine="0"/>
        <w:jc w:val="both"/>
        <w:rPr>
          <w:color w:val="auto"/>
          <w:sz w:val="24"/>
          <w:szCs w:val="24"/>
          <w:highlight w:val="none"/>
        </w:rPr>
      </w:pPr>
      <w:r>
        <w:rPr>
          <w:rFonts w:hint="eastAsia" w:ascii="宋体" w:hAnsi="宋体" w:eastAsia="宋体"/>
          <w:color w:val="auto"/>
          <w:sz w:val="24"/>
          <w:szCs w:val="24"/>
          <w:highlight w:val="none"/>
        </w:rPr>
        <w:t>投标车辆名称</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u w:val="single"/>
        </w:rPr>
        <w:t xml:space="preserve">           </w:t>
      </w:r>
    </w:p>
    <w:p>
      <w:pPr>
        <w:spacing w:line="360" w:lineRule="auto"/>
        <w:ind w:firstLine="0"/>
        <w:jc w:val="both"/>
        <w:rPr>
          <w:color w:val="auto"/>
          <w:sz w:val="24"/>
          <w:szCs w:val="24"/>
          <w:highlight w:val="none"/>
        </w:rPr>
      </w:pPr>
    </w:p>
    <w:tbl>
      <w:tblPr>
        <w:tblStyle w:val="23"/>
        <w:tblW w:w="100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91"/>
        <w:gridCol w:w="2130"/>
        <w:gridCol w:w="1095"/>
        <w:gridCol w:w="1055"/>
        <w:gridCol w:w="2596"/>
        <w:gridCol w:w="233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型号</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品牌</w:t>
            </w:r>
          </w:p>
        </w:tc>
        <w:tc>
          <w:tcPr>
            <w:tcW w:w="256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性能描述</w:t>
            </w: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底盘</w:t>
            </w: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408"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bl>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r>
        <w:rPr>
          <w:rFonts w:hint="eastAsia" w:ascii="宋体" w:hAnsi="宋体" w:eastAsia="宋体"/>
          <w:color w:val="auto"/>
          <w:sz w:val="24"/>
          <w:szCs w:val="24"/>
          <w:highlight w:val="none"/>
        </w:rPr>
        <w:t>注：</w:t>
      </w:r>
    </w:p>
    <w:p>
      <w:pPr>
        <w:spacing w:line="360" w:lineRule="auto"/>
        <w:ind w:firstLine="54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．本表所填内容应与招标文件第四章“评标办法”</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宋体"/>
          <w:color w:val="auto"/>
          <w:sz w:val="24"/>
          <w:szCs w:val="24"/>
          <w:highlight w:val="none"/>
          <w:lang w:val="en-US" w:eastAsia="zh-CN"/>
        </w:rPr>
        <w:t>2</w:t>
      </w:r>
      <w:r>
        <w:rPr>
          <w:rFonts w:hint="eastAsia" w:ascii="宋体" w:hAnsi="宋体" w:eastAsia="宋体"/>
          <w:color w:val="auto"/>
          <w:sz w:val="24"/>
          <w:szCs w:val="24"/>
          <w:highlight w:val="none"/>
        </w:rPr>
        <w:t>）款中的评标内容相照应，为评标委员会方便评标使用。</w:t>
      </w:r>
    </w:p>
    <w:p>
      <w:pPr>
        <w:spacing w:line="360" w:lineRule="auto"/>
        <w:ind w:firstLine="54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．投标人应根据所投标包对应的评分标准进行填写，表中名称内容可根据投报设备情况自行增加（删减）调整。</w:t>
      </w:r>
    </w:p>
    <w:p>
      <w:pPr>
        <w:rPr>
          <w:rFonts w:hint="eastAsia"/>
          <w:color w:val="auto"/>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highlight w:val="none"/>
        </w:rPr>
      </w:pPr>
    </w:p>
    <w:p>
      <w:pPr>
        <w:numPr>
          <w:ilvl w:val="0"/>
          <w:numId w:val="14"/>
        </w:numPr>
        <w:spacing w:line="240" w:lineRule="auto"/>
        <w:ind w:left="3" w:leftChars="0" w:firstLine="0" w:firstLineChars="0"/>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技术参数证明材料</w:t>
      </w:r>
    </w:p>
    <w:p>
      <w:pPr>
        <w:numPr>
          <w:ilvl w:val="0"/>
          <w:numId w:val="0"/>
        </w:numPr>
        <w:spacing w:line="240" w:lineRule="auto"/>
        <w:ind w:left="3" w:leftChars="0"/>
        <w:jc w:val="both"/>
        <w:rPr>
          <w:rFonts w:hint="eastAsia" w:ascii="宋体" w:hAnsi="宋体" w:eastAsia="宋体"/>
          <w:b/>
          <w:color w:val="auto"/>
          <w:sz w:val="24"/>
          <w:szCs w:val="24"/>
          <w:highlight w:val="none"/>
        </w:rPr>
      </w:pPr>
    </w:p>
    <w:p>
      <w:pPr>
        <w:keepNext/>
        <w:keepLines/>
        <w:spacing w:line="360" w:lineRule="auto"/>
        <w:jc w:val="center"/>
        <w:rPr>
          <w:rFonts w:ascii="宋体" w:cs="宋体"/>
          <w:b/>
          <w:bCs/>
          <w:color w:val="auto"/>
          <w:kern w:val="0"/>
          <w:sz w:val="24"/>
          <w:highlight w:val="none"/>
        </w:rPr>
      </w:pPr>
    </w:p>
    <w:p>
      <w:pPr>
        <w:pStyle w:val="12"/>
        <w:spacing w:line="360" w:lineRule="auto"/>
        <w:ind w:left="31680" w:right="31680"/>
        <w:rPr>
          <w:color w:val="auto"/>
          <w:highlight w:val="none"/>
        </w:rPr>
        <w:sectPr>
          <w:footerReference r:id="rId9"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4" w:name="_Toc26886"/>
      <w:bookmarkStart w:id="505" w:name="_Toc9417"/>
      <w:bookmarkStart w:id="506" w:name="_Toc31940"/>
      <w:r>
        <w:rPr>
          <w:rFonts w:hint="eastAsia"/>
          <w:b/>
          <w:color w:val="auto"/>
          <w:w w:val="95"/>
          <w:sz w:val="32"/>
          <w:highlight w:val="none"/>
        </w:rPr>
        <w:t>六、</w:t>
      </w:r>
      <w:r>
        <w:rPr>
          <w:rFonts w:hint="eastAsia"/>
          <w:b/>
          <w:color w:val="auto"/>
          <w:w w:val="95"/>
          <w:sz w:val="32"/>
          <w:highlight w:val="none"/>
          <w:lang w:eastAsia="zh-CN"/>
        </w:rPr>
        <w:t>类似</w:t>
      </w:r>
      <w:r>
        <w:rPr>
          <w:rFonts w:hint="eastAsia"/>
          <w:b/>
          <w:color w:val="auto"/>
          <w:sz w:val="32"/>
          <w:highlight w:val="none"/>
        </w:rPr>
        <w:t>业绩</w:t>
      </w:r>
      <w:bookmarkEnd w:id="504"/>
      <w:bookmarkEnd w:id="505"/>
      <w:bookmarkEnd w:id="506"/>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3"/>
        <w:tblW w:w="51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
        <w:gridCol w:w="1214"/>
        <w:gridCol w:w="903"/>
        <w:gridCol w:w="937"/>
        <w:gridCol w:w="1158"/>
        <w:gridCol w:w="991"/>
        <w:gridCol w:w="946"/>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83" w:type="pct"/>
          </w:tcPr>
          <w:p>
            <w:pPr>
              <w:pStyle w:val="28"/>
              <w:spacing w:line="360" w:lineRule="auto"/>
              <w:jc w:val="center"/>
              <w:rPr>
                <w:color w:val="auto"/>
                <w:highlight w:val="none"/>
              </w:rPr>
            </w:pPr>
          </w:p>
          <w:p>
            <w:pPr>
              <w:pStyle w:val="28"/>
              <w:spacing w:before="161" w:line="360" w:lineRule="auto"/>
              <w:ind w:right="132"/>
              <w:jc w:val="center"/>
              <w:rPr>
                <w:color w:val="auto"/>
                <w:highlight w:val="none"/>
              </w:rPr>
            </w:pPr>
            <w:r>
              <w:rPr>
                <w:rFonts w:hint="eastAsia"/>
                <w:color w:val="auto"/>
                <w:highlight w:val="none"/>
              </w:rPr>
              <w:t>序号</w:t>
            </w:r>
          </w:p>
        </w:tc>
        <w:tc>
          <w:tcPr>
            <w:tcW w:w="706" w:type="pct"/>
          </w:tcPr>
          <w:p>
            <w:pPr>
              <w:pStyle w:val="28"/>
              <w:spacing w:before="3" w:line="360" w:lineRule="auto"/>
              <w:jc w:val="center"/>
              <w:rPr>
                <w:color w:val="auto"/>
                <w:sz w:val="18"/>
                <w:highlight w:val="none"/>
              </w:rPr>
            </w:pPr>
          </w:p>
          <w:p>
            <w:pPr>
              <w:pStyle w:val="28"/>
              <w:spacing w:line="360" w:lineRule="auto"/>
              <w:ind w:left="138" w:right="128"/>
              <w:jc w:val="center"/>
              <w:rPr>
                <w:color w:val="auto"/>
                <w:spacing w:val="-2"/>
                <w:highlight w:val="none"/>
              </w:rPr>
            </w:pPr>
            <w:r>
              <w:rPr>
                <w:rFonts w:hint="eastAsia"/>
                <w:color w:val="auto"/>
                <w:spacing w:val="-2"/>
                <w:highlight w:val="none"/>
              </w:rPr>
              <w:t>用户单位</w:t>
            </w:r>
          </w:p>
          <w:p>
            <w:pPr>
              <w:pStyle w:val="28"/>
              <w:spacing w:line="360" w:lineRule="auto"/>
              <w:ind w:left="138" w:right="128"/>
              <w:jc w:val="center"/>
              <w:rPr>
                <w:color w:val="auto"/>
                <w:highlight w:val="none"/>
              </w:rPr>
            </w:pPr>
            <w:r>
              <w:rPr>
                <w:rFonts w:hint="eastAsia"/>
                <w:color w:val="auto"/>
                <w:spacing w:val="-2"/>
                <w:highlight w:val="none"/>
              </w:rPr>
              <w:t>名称</w:t>
            </w:r>
          </w:p>
        </w:tc>
        <w:tc>
          <w:tcPr>
            <w:tcW w:w="525" w:type="pct"/>
          </w:tcPr>
          <w:p>
            <w:pPr>
              <w:pStyle w:val="28"/>
              <w:spacing w:before="3" w:line="360" w:lineRule="auto"/>
              <w:jc w:val="center"/>
              <w:rPr>
                <w:color w:val="auto"/>
                <w:sz w:val="18"/>
                <w:highlight w:val="none"/>
              </w:rPr>
            </w:pPr>
          </w:p>
          <w:p>
            <w:pPr>
              <w:pStyle w:val="28"/>
              <w:spacing w:line="360" w:lineRule="auto"/>
              <w:ind w:left="152" w:right="140"/>
              <w:jc w:val="center"/>
              <w:rPr>
                <w:color w:val="auto"/>
                <w:highlight w:val="none"/>
              </w:rPr>
            </w:pPr>
            <w:r>
              <w:rPr>
                <w:rFonts w:hint="eastAsia"/>
                <w:color w:val="auto"/>
                <w:spacing w:val="-2"/>
                <w:highlight w:val="none"/>
              </w:rPr>
              <w:t>项目内容</w:t>
            </w:r>
          </w:p>
        </w:tc>
        <w:tc>
          <w:tcPr>
            <w:tcW w:w="545" w:type="pct"/>
          </w:tcPr>
          <w:p>
            <w:pPr>
              <w:pStyle w:val="28"/>
              <w:spacing w:line="360" w:lineRule="auto"/>
              <w:jc w:val="center"/>
              <w:rPr>
                <w:color w:val="auto"/>
                <w:highlight w:val="none"/>
              </w:rPr>
            </w:pPr>
          </w:p>
          <w:p>
            <w:pPr>
              <w:pStyle w:val="28"/>
              <w:spacing w:before="161" w:line="360" w:lineRule="auto"/>
              <w:ind w:left="147"/>
              <w:jc w:val="center"/>
              <w:rPr>
                <w:color w:val="auto"/>
                <w:highlight w:val="none"/>
              </w:rPr>
            </w:pPr>
            <w:r>
              <w:rPr>
                <w:rFonts w:hint="eastAsia"/>
                <w:color w:val="auto"/>
                <w:highlight w:val="none"/>
              </w:rPr>
              <w:t>实施地点</w:t>
            </w:r>
          </w:p>
        </w:tc>
        <w:tc>
          <w:tcPr>
            <w:tcW w:w="673" w:type="pct"/>
          </w:tcPr>
          <w:p>
            <w:pPr>
              <w:pStyle w:val="28"/>
              <w:spacing w:before="3" w:line="360" w:lineRule="auto"/>
              <w:jc w:val="center"/>
              <w:rPr>
                <w:color w:val="auto"/>
                <w:sz w:val="18"/>
                <w:highlight w:val="none"/>
              </w:rPr>
            </w:pPr>
          </w:p>
          <w:p>
            <w:pPr>
              <w:pStyle w:val="28"/>
              <w:spacing w:line="360" w:lineRule="auto"/>
              <w:ind w:left="136" w:right="128"/>
              <w:jc w:val="center"/>
              <w:rPr>
                <w:color w:val="auto"/>
                <w:spacing w:val="-1"/>
                <w:highlight w:val="none"/>
              </w:rPr>
            </w:pPr>
            <w:r>
              <w:rPr>
                <w:rFonts w:hint="eastAsia"/>
                <w:color w:val="auto"/>
                <w:spacing w:val="-1"/>
                <w:highlight w:val="none"/>
              </w:rPr>
              <w:t>用户联系人</w:t>
            </w:r>
          </w:p>
          <w:p>
            <w:pPr>
              <w:pStyle w:val="28"/>
              <w:spacing w:line="360" w:lineRule="auto"/>
              <w:ind w:left="136" w:right="128"/>
              <w:jc w:val="center"/>
              <w:rPr>
                <w:color w:val="auto"/>
                <w:highlight w:val="none"/>
              </w:rPr>
            </w:pPr>
            <w:r>
              <w:rPr>
                <w:rFonts w:hint="eastAsia"/>
                <w:color w:val="auto"/>
                <w:spacing w:val="-1"/>
                <w:highlight w:val="none"/>
              </w:rPr>
              <w:t>及联系方式</w:t>
            </w:r>
          </w:p>
        </w:tc>
        <w:tc>
          <w:tcPr>
            <w:tcW w:w="576" w:type="pct"/>
          </w:tcPr>
          <w:p>
            <w:pPr>
              <w:pStyle w:val="28"/>
              <w:spacing w:before="3" w:line="360" w:lineRule="auto"/>
              <w:jc w:val="center"/>
              <w:rPr>
                <w:color w:val="auto"/>
                <w:sz w:val="18"/>
                <w:highlight w:val="none"/>
              </w:rPr>
            </w:pPr>
          </w:p>
          <w:p>
            <w:pPr>
              <w:pStyle w:val="28"/>
              <w:spacing w:line="360" w:lineRule="auto"/>
              <w:ind w:left="214" w:right="204"/>
              <w:jc w:val="center"/>
              <w:rPr>
                <w:color w:val="auto"/>
                <w:highlight w:val="none"/>
              </w:rPr>
            </w:pPr>
            <w:r>
              <w:rPr>
                <w:rFonts w:hint="eastAsia"/>
                <w:color w:val="auto"/>
                <w:spacing w:val="-2"/>
                <w:highlight w:val="none"/>
              </w:rPr>
              <w:t>项目起止时间</w:t>
            </w:r>
          </w:p>
        </w:tc>
        <w:tc>
          <w:tcPr>
            <w:tcW w:w="550" w:type="pct"/>
          </w:tcPr>
          <w:p>
            <w:pPr>
              <w:pStyle w:val="28"/>
              <w:spacing w:before="3" w:line="360" w:lineRule="auto"/>
              <w:jc w:val="center"/>
              <w:rPr>
                <w:color w:val="auto"/>
                <w:sz w:val="18"/>
                <w:highlight w:val="none"/>
              </w:rPr>
            </w:pPr>
          </w:p>
          <w:p>
            <w:pPr>
              <w:pStyle w:val="28"/>
              <w:spacing w:line="360" w:lineRule="auto"/>
              <w:ind w:left="148" w:right="140"/>
              <w:jc w:val="center"/>
              <w:rPr>
                <w:color w:val="auto"/>
                <w:spacing w:val="-2"/>
                <w:highlight w:val="none"/>
              </w:rPr>
            </w:pPr>
            <w:r>
              <w:rPr>
                <w:rFonts w:hint="eastAsia"/>
                <w:color w:val="auto"/>
                <w:spacing w:val="-2"/>
                <w:highlight w:val="none"/>
              </w:rPr>
              <w:t>合同</w:t>
            </w:r>
          </w:p>
          <w:p>
            <w:pPr>
              <w:pStyle w:val="28"/>
              <w:spacing w:line="360" w:lineRule="auto"/>
              <w:ind w:left="148" w:right="140"/>
              <w:jc w:val="center"/>
              <w:rPr>
                <w:color w:val="auto"/>
                <w:highlight w:val="none"/>
              </w:rPr>
            </w:pPr>
            <w:r>
              <w:rPr>
                <w:rFonts w:hint="eastAsia"/>
                <w:color w:val="auto"/>
                <w:spacing w:val="-2"/>
                <w:highlight w:val="none"/>
              </w:rPr>
              <w:t>金额</w:t>
            </w:r>
          </w:p>
        </w:tc>
        <w:tc>
          <w:tcPr>
            <w:tcW w:w="1038" w:type="pct"/>
          </w:tcPr>
          <w:p>
            <w:pPr>
              <w:pStyle w:val="28"/>
              <w:spacing w:before="8" w:line="360" w:lineRule="auto"/>
              <w:ind w:left="838" w:right="110" w:hanging="720"/>
              <w:jc w:val="center"/>
              <w:rPr>
                <w:rFonts w:ascii="宋体" w:cs="宋体"/>
                <w:color w:val="auto"/>
                <w:highlight w:val="none"/>
              </w:rPr>
            </w:pPr>
          </w:p>
          <w:p>
            <w:pPr>
              <w:pStyle w:val="28"/>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before="1" w:line="360" w:lineRule="auto"/>
              <w:ind w:left="9"/>
              <w:jc w:val="center"/>
              <w:rPr>
                <w:color w:val="auto"/>
                <w:highlight w:val="none"/>
              </w:rPr>
            </w:pPr>
            <w:r>
              <w:rPr>
                <w:color w:val="auto"/>
                <w:highlight w:val="none"/>
              </w:rPr>
              <w:t>1</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83" w:type="pct"/>
          </w:tcPr>
          <w:p>
            <w:pPr>
              <w:pStyle w:val="28"/>
              <w:spacing w:before="2" w:line="360" w:lineRule="auto"/>
              <w:ind w:left="9"/>
              <w:jc w:val="center"/>
              <w:rPr>
                <w:color w:val="auto"/>
                <w:highlight w:val="none"/>
              </w:rPr>
            </w:pPr>
            <w:r>
              <w:rPr>
                <w:color w:val="auto"/>
                <w:highlight w:val="none"/>
              </w:rPr>
              <w:t>2</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83" w:type="pct"/>
          </w:tcPr>
          <w:p>
            <w:pPr>
              <w:pStyle w:val="28"/>
              <w:spacing w:line="360" w:lineRule="auto"/>
              <w:ind w:left="9"/>
              <w:jc w:val="center"/>
              <w:rPr>
                <w:color w:val="auto"/>
                <w:highlight w:val="none"/>
              </w:rPr>
            </w:pPr>
            <w:r>
              <w:rPr>
                <w:color w:val="auto"/>
                <w:highlight w:val="none"/>
              </w:rPr>
              <w:t>3</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line="360" w:lineRule="auto"/>
              <w:ind w:left="9"/>
              <w:jc w:val="center"/>
              <w:rPr>
                <w:color w:val="auto"/>
                <w:highlight w:val="none"/>
              </w:rPr>
            </w:pPr>
            <w:r>
              <w:rPr>
                <w:color w:val="auto"/>
                <w:highlight w:val="none"/>
              </w:rPr>
              <w:t>4</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before="1" w:line="360" w:lineRule="auto"/>
              <w:ind w:left="9"/>
              <w:jc w:val="center"/>
              <w:rPr>
                <w:color w:val="auto"/>
                <w:highlight w:val="none"/>
              </w:rPr>
            </w:pPr>
            <w:r>
              <w:rPr>
                <w:color w:val="auto"/>
                <w:highlight w:val="none"/>
              </w:rPr>
              <w:t>5</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3" w:type="pct"/>
          </w:tcPr>
          <w:p>
            <w:pPr>
              <w:pStyle w:val="28"/>
              <w:spacing w:before="3" w:line="360" w:lineRule="auto"/>
              <w:ind w:right="192"/>
              <w:jc w:val="right"/>
              <w:rPr>
                <w:color w:val="auto"/>
                <w:highlight w:val="none"/>
              </w:rPr>
            </w:pPr>
            <w:r>
              <w:rPr>
                <w:color w:val="auto"/>
                <w:highlight w:val="none"/>
              </w:rPr>
              <w:t>...</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7" w:name="七、售后服务及优惠条件"/>
      <w:bookmarkEnd w:id="507"/>
      <w:bookmarkStart w:id="508" w:name="_Toc8374"/>
      <w:bookmarkStart w:id="509" w:name="_Toc24889"/>
      <w:bookmarkStart w:id="510" w:name="_Toc27520"/>
      <w:bookmarkStart w:id="511" w:name="_Toc24222"/>
      <w:r>
        <w:rPr>
          <w:rFonts w:hint="eastAsia"/>
          <w:b/>
          <w:color w:val="auto"/>
          <w:sz w:val="32"/>
          <w:highlight w:val="none"/>
        </w:rPr>
        <w:t>七、实施方案</w:t>
      </w:r>
      <w:bookmarkEnd w:id="508"/>
      <w:bookmarkEnd w:id="509"/>
      <w:bookmarkEnd w:id="510"/>
      <w:bookmarkEnd w:id="511"/>
    </w:p>
    <w:p>
      <w:pPr>
        <w:jc w:val="center"/>
        <w:rPr>
          <w:color w:val="auto"/>
          <w:highlight w:val="none"/>
        </w:rPr>
      </w:pPr>
      <w:bookmarkStart w:id="512" w:name="_Toc16080"/>
      <w:bookmarkStart w:id="513" w:name="_Toc24558"/>
      <w:bookmarkStart w:id="514" w:name="_Toc24813"/>
      <w:r>
        <w:rPr>
          <w:rFonts w:hint="eastAsia"/>
          <w:color w:val="auto"/>
          <w:highlight w:val="none"/>
        </w:rPr>
        <w:t>（格式自拟）</w:t>
      </w:r>
      <w:bookmarkEnd w:id="512"/>
      <w:bookmarkEnd w:id="513"/>
      <w:bookmarkEnd w:id="514"/>
    </w:p>
    <w:p>
      <w:pPr>
        <w:pStyle w:val="21"/>
        <w:spacing w:line="360" w:lineRule="auto"/>
        <w:ind w:left="420" w:leftChars="200" w:firstLine="0"/>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15" w:name="_Toc20033"/>
      <w:bookmarkStart w:id="516" w:name="_Toc25273"/>
      <w:bookmarkStart w:id="517" w:name="_Toc7491"/>
      <w:r>
        <w:rPr>
          <w:rFonts w:hint="eastAsia"/>
          <w:b/>
          <w:color w:val="auto"/>
          <w:sz w:val="32"/>
          <w:highlight w:val="none"/>
        </w:rPr>
        <w:t>八、履约能力</w:t>
      </w:r>
      <w:bookmarkEnd w:id="515"/>
      <w:bookmarkEnd w:id="516"/>
      <w:bookmarkEnd w:id="517"/>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18" w:name="_Toc11835"/>
      <w:bookmarkStart w:id="519" w:name="_Toc16342"/>
      <w:bookmarkStart w:id="520" w:name="_Toc21298"/>
      <w:r>
        <w:rPr>
          <w:rFonts w:hint="eastAsia"/>
          <w:b/>
          <w:color w:val="auto"/>
          <w:sz w:val="32"/>
          <w:highlight w:val="none"/>
        </w:rPr>
        <w:t>九、售后服务及培训方案</w:t>
      </w:r>
      <w:bookmarkEnd w:id="518"/>
      <w:bookmarkEnd w:id="519"/>
      <w:bookmarkEnd w:id="520"/>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2"/>
        <w:spacing w:line="360" w:lineRule="auto"/>
        <w:ind w:left="31680" w:right="31680"/>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ind w:left="6"/>
        <w:jc w:val="center"/>
        <w:outlineLvl w:val="1"/>
        <w:rPr>
          <w:b/>
          <w:color w:val="auto"/>
          <w:sz w:val="32"/>
          <w:highlight w:val="none"/>
        </w:rPr>
      </w:pPr>
      <w:bookmarkStart w:id="521" w:name="_Toc11976"/>
      <w:bookmarkStart w:id="522" w:name="_Toc12316"/>
      <w:bookmarkStart w:id="523" w:name="_Toc29592"/>
      <w:r>
        <w:rPr>
          <w:rFonts w:hint="eastAsia"/>
          <w:b/>
          <w:color w:val="auto"/>
          <w:sz w:val="32"/>
          <w:highlight w:val="none"/>
        </w:rPr>
        <w:t>十、资格证明文件</w:t>
      </w:r>
      <w:bookmarkEnd w:id="521"/>
      <w:bookmarkEnd w:id="522"/>
      <w:bookmarkEnd w:id="523"/>
    </w:p>
    <w:p>
      <w:pPr>
        <w:spacing w:before="212" w:line="360" w:lineRule="auto"/>
        <w:ind w:left="628" w:right="408"/>
        <w:jc w:val="center"/>
        <w:rPr>
          <w:b/>
          <w:color w:val="auto"/>
          <w:w w:val="95"/>
          <w:sz w:val="32"/>
          <w:highlight w:val="none"/>
        </w:rPr>
      </w:pPr>
      <w:bookmarkStart w:id="524" w:name="（一）资格审查资料"/>
      <w:bookmarkEnd w:id="524"/>
      <w:bookmarkStart w:id="525" w:name="_Toc100065839"/>
      <w:bookmarkStart w:id="526" w:name="_Toc25140"/>
      <w:bookmarkStart w:id="527" w:name="_Toc32080"/>
      <w:bookmarkStart w:id="528" w:name="_Toc16240"/>
      <w:bookmarkStart w:id="529" w:name="_Toc1252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25"/>
      <w:bookmarkEnd w:id="526"/>
      <w:bookmarkEnd w:id="527"/>
      <w:bookmarkEnd w:id="528"/>
      <w:bookmarkEnd w:id="529"/>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6"/>
        <w:gridCol w:w="873"/>
        <w:gridCol w:w="708"/>
        <w:gridCol w:w="818"/>
        <w:gridCol w:w="234"/>
        <w:gridCol w:w="166"/>
        <w:gridCol w:w="1028"/>
        <w:gridCol w:w="210"/>
        <w:gridCol w:w="584"/>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r>
        <w:rPr>
          <w:rFonts w:hint="eastAsia" w:ascii="宋体" w:hAnsi="宋体" w:cs="宋体"/>
          <w:color w:val="auto"/>
          <w:highlight w:val="none"/>
          <w:lang w:eastAsia="zh-CN"/>
        </w:rPr>
        <w:t>等材料</w:t>
      </w:r>
      <w:r>
        <w:rPr>
          <w:rFonts w:hint="eastAsia" w:ascii="宋体" w:hAnsi="宋体" w:cs="宋体"/>
          <w:color w:val="auto"/>
          <w:highlight w:val="none"/>
        </w:rPr>
        <w:t>。</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rPr>
          <w:rFonts w:hint="eastAsia" w:ascii="宋体" w:hAnsi="宋体" w:eastAsia="宋体" w:cs="宋体"/>
          <w:b/>
          <w:bCs/>
          <w:color w:val="auto"/>
          <w:sz w:val="28"/>
          <w:szCs w:val="28"/>
          <w:highlight w:val="none"/>
          <w:shd w:val="clear" w:color="FFFFFF" w:fill="auto"/>
          <w:lang w:eastAsia="zh-CN"/>
        </w:rPr>
      </w:pPr>
      <w:bookmarkStart w:id="530" w:name="（二）供应商基本情况表"/>
      <w:bookmarkEnd w:id="530"/>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spacing w:line="360" w:lineRule="auto"/>
        <w:ind w:firstLine="560"/>
        <w:jc w:val="both"/>
        <w:rPr>
          <w:rFonts w:hint="eastAsia" w:ascii="宋体" w:hAnsi="宋体" w:eastAsia="宋体"/>
          <w:color w:val="auto"/>
          <w:sz w:val="24"/>
          <w:szCs w:val="24"/>
          <w:highlight w:val="none"/>
        </w:rPr>
      </w:pPr>
    </w:p>
    <w:p>
      <w:pPr>
        <w:spacing w:line="360" w:lineRule="auto"/>
        <w:ind w:firstLine="560"/>
        <w:jc w:val="both"/>
        <w:rPr>
          <w:color w:val="auto"/>
          <w:sz w:val="24"/>
          <w:szCs w:val="24"/>
          <w:highlight w:val="none"/>
        </w:rPr>
      </w:pPr>
      <w:r>
        <w:rPr>
          <w:rFonts w:hint="eastAsia" w:ascii="宋体" w:hAnsi="宋体" w:eastAsia="宋体"/>
          <w:color w:val="auto"/>
          <w:sz w:val="24"/>
          <w:szCs w:val="24"/>
          <w:highlight w:val="none"/>
        </w:rPr>
        <w:t>我公司</w:t>
      </w:r>
      <w:r>
        <w:rPr>
          <w:rFonts w:hint="eastAsia" w:ascii="宋体" w:hAnsi="宋体" w:eastAsia="宋体"/>
          <w:color w:val="auto"/>
          <w:sz w:val="24"/>
          <w:szCs w:val="24"/>
          <w:highlight w:val="none"/>
          <w:u w:val="single"/>
        </w:rPr>
        <w:t>（投标人名称）</w:t>
      </w:r>
      <w:r>
        <w:rPr>
          <w:rFonts w:hint="eastAsia" w:ascii="宋体" w:hAnsi="宋体" w:eastAsia="宋体"/>
          <w:color w:val="auto"/>
          <w:sz w:val="24"/>
          <w:szCs w:val="24"/>
          <w:highlight w:val="none"/>
        </w:rPr>
        <w:t>参加（</w:t>
      </w:r>
      <w:r>
        <w:rPr>
          <w:rFonts w:hint="eastAsia" w:ascii="宋体" w:hAnsi="宋体" w:eastAsia="宋体"/>
          <w:color w:val="auto"/>
          <w:sz w:val="24"/>
          <w:szCs w:val="24"/>
          <w:highlight w:val="none"/>
          <w:u w:val="single"/>
        </w:rPr>
        <w:t>项目名称、项目编号、</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包</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）采购活动，现郑重承诺：</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．所投车辆交车时（整车）是已取得中华人民共和国工业和信息化部发布的对应车型《道路机动车辆生产企业及产品公告》的合格产品（须提供工信部官方查询平台查询截图和网址链接）。</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．我公司为所投车辆的生产企业。</w:t>
      </w:r>
    </w:p>
    <w:p>
      <w:pPr>
        <w:spacing w:line="360" w:lineRule="auto"/>
        <w:ind w:firstLine="560"/>
        <w:jc w:val="both"/>
        <w:rPr>
          <w:color w:val="auto"/>
          <w:sz w:val="24"/>
          <w:szCs w:val="24"/>
          <w:highlight w:val="none"/>
        </w:rPr>
      </w:pPr>
      <w:r>
        <w:rPr>
          <w:rFonts w:hint="eastAsia" w:ascii="Calibri" w:hAnsi="Calibri" w:eastAsia="宋体"/>
          <w:color w:val="auto"/>
          <w:sz w:val="24"/>
          <w:szCs w:val="24"/>
          <w:highlight w:val="none"/>
          <w:lang w:val="en-US" w:eastAsia="zh-CN"/>
        </w:rPr>
        <w:t>3</w:t>
      </w:r>
      <w:r>
        <w:rPr>
          <w:rFonts w:hint="eastAsia" w:ascii="宋体" w:hAnsi="宋体" w:eastAsia="宋体"/>
          <w:color w:val="auto"/>
          <w:sz w:val="24"/>
          <w:szCs w:val="24"/>
          <w:highlight w:val="none"/>
        </w:rPr>
        <w:t>．所投车辆（整车）交车验收时需取得办理车辆产权（含上牌）所必需的一切其他手续资料、应符合现行国家专用汽车的相关要求。若不能按要求时限提供上述手续，采购人有权按照投标人</w:t>
      </w:r>
      <w:r>
        <w:rPr>
          <w:rFonts w:hint="eastAsia" w:ascii="宋体" w:hAnsi="宋体" w:eastAsia="宋体"/>
          <w:color w:val="auto"/>
          <w:sz w:val="24"/>
          <w:szCs w:val="24"/>
          <w:highlight w:val="none"/>
          <w:lang w:eastAsia="zh-CN"/>
        </w:rPr>
        <w:t>虚</w:t>
      </w:r>
      <w:r>
        <w:rPr>
          <w:rFonts w:hint="eastAsia" w:ascii="宋体" w:hAnsi="宋体" w:eastAsia="宋体"/>
          <w:color w:val="auto"/>
          <w:sz w:val="24"/>
          <w:szCs w:val="24"/>
          <w:highlight w:val="none"/>
        </w:rPr>
        <w:t>假投标处理，解除合同、扣除</w:t>
      </w:r>
      <w:r>
        <w:rPr>
          <w:rFonts w:hint="eastAsia" w:ascii="宋体" w:hAnsi="宋体" w:eastAsia="宋体"/>
          <w:color w:val="auto"/>
          <w:sz w:val="24"/>
          <w:szCs w:val="24"/>
          <w:highlight w:val="none"/>
          <w:lang w:eastAsia="zh-CN"/>
        </w:rPr>
        <w:t>履</w:t>
      </w:r>
      <w:r>
        <w:rPr>
          <w:rFonts w:hint="eastAsia" w:ascii="宋体" w:hAnsi="宋体" w:eastAsia="宋体"/>
          <w:color w:val="auto"/>
          <w:sz w:val="24"/>
          <w:szCs w:val="24"/>
          <w:highlight w:val="none"/>
        </w:rPr>
        <w:t>约保证金，拉入企业黑名单，并向上级部门上报相关情况。</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．限公司所提供的所有技术及商务证明材料真实有效，若提供虚假文件将愿意接受任何法律的制裁。</w:t>
      </w:r>
    </w:p>
    <w:p>
      <w:pPr>
        <w:spacing w:line="360" w:lineRule="auto"/>
        <w:ind w:firstLine="0"/>
        <w:jc w:val="both"/>
        <w:rPr>
          <w:color w:val="auto"/>
          <w:sz w:val="24"/>
          <w:szCs w:val="24"/>
          <w:highlight w:val="none"/>
        </w:rPr>
      </w:pPr>
    </w:p>
    <w:p>
      <w:pPr>
        <w:spacing w:line="360" w:lineRule="auto"/>
        <w:ind w:firstLine="560"/>
        <w:jc w:val="both"/>
        <w:rPr>
          <w:color w:val="auto"/>
          <w:sz w:val="24"/>
          <w:szCs w:val="24"/>
          <w:highlight w:val="none"/>
        </w:rPr>
      </w:pPr>
      <w:r>
        <w:rPr>
          <w:rFonts w:hint="eastAsia" w:ascii="宋体" w:hAnsi="宋体" w:eastAsia="宋体"/>
          <w:color w:val="auto"/>
          <w:sz w:val="24"/>
          <w:szCs w:val="24"/>
          <w:highlight w:val="none"/>
          <w:lang w:eastAsia="zh-CN"/>
        </w:rPr>
        <w:t>特</w:t>
      </w:r>
      <w:r>
        <w:rPr>
          <w:rFonts w:hint="eastAsia" w:ascii="宋体" w:hAnsi="宋体" w:eastAsia="宋体"/>
          <w:color w:val="auto"/>
          <w:sz w:val="24"/>
          <w:szCs w:val="24"/>
          <w:highlight w:val="none"/>
        </w:rPr>
        <w:t>此承诺</w:t>
      </w:r>
    </w:p>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p>
    <w:p>
      <w:pPr>
        <w:spacing w:line="360" w:lineRule="auto"/>
        <w:ind w:firstLine="2720"/>
        <w:jc w:val="both"/>
        <w:rPr>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投</w:t>
      </w:r>
      <w:r>
        <w:rPr>
          <w:rFonts w:hint="eastAsia" w:ascii="宋体" w:hAnsi="宋体" w:eastAsia="宋体"/>
          <w:color w:val="auto"/>
          <w:sz w:val="24"/>
          <w:szCs w:val="24"/>
          <w:highlight w:val="none"/>
        </w:rPr>
        <w:t>标人：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（电子签章）</w:t>
      </w:r>
    </w:p>
    <w:p>
      <w:pPr>
        <w:spacing w:line="360" w:lineRule="auto"/>
        <w:ind w:firstLine="2720"/>
        <w:jc w:val="both"/>
        <w:rPr>
          <w:color w:val="auto"/>
          <w:sz w:val="24"/>
          <w:szCs w:val="24"/>
          <w:highlight w:val="none"/>
        </w:rPr>
      </w:pPr>
      <w:r>
        <w:rPr>
          <w:rFonts w:hint="eastAsia" w:ascii="宋体" w:hAnsi="宋体" w:eastAsia="宋体"/>
          <w:color w:val="auto"/>
          <w:sz w:val="24"/>
          <w:szCs w:val="24"/>
          <w:highlight w:val="none"/>
        </w:rPr>
        <w:t>法定代表人或委托代理人：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（电子签章或签字）</w:t>
      </w:r>
    </w:p>
    <w:p>
      <w:pPr>
        <w:spacing w:line="360" w:lineRule="auto"/>
        <w:ind w:firstLine="0"/>
        <w:jc w:val="right"/>
        <w:rPr>
          <w:color w:val="auto"/>
          <w:sz w:val="24"/>
          <w:szCs w:val="24"/>
          <w:highlight w:val="none"/>
        </w:rPr>
      </w:pPr>
      <w:r>
        <w:rPr>
          <w:rFonts w:hint="eastAsia" w:ascii="宋体" w:hAnsi="宋体" w:eastAsia="宋体"/>
          <w:color w:val="auto"/>
          <w:sz w:val="24"/>
          <w:szCs w:val="24"/>
          <w:highlight w:val="none"/>
        </w:rPr>
        <w:t>日 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1"/>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31" w:name="_Toc13247"/>
      <w:bookmarkStart w:id="532" w:name="_Toc16445"/>
      <w:bookmarkStart w:id="533" w:name="_Toc29503"/>
      <w:bookmarkStart w:id="534" w:name="_Toc24610"/>
      <w:bookmarkStart w:id="535" w:name="_Toc30714"/>
      <w:bookmarkStart w:id="536" w:name="_Toc1425"/>
      <w:bookmarkStart w:id="537" w:name="_Toc9291"/>
      <w:bookmarkStart w:id="538" w:name="_Toc17484"/>
      <w:r>
        <w:rPr>
          <w:rFonts w:hint="eastAsia"/>
          <w:b/>
          <w:color w:val="auto"/>
          <w:sz w:val="32"/>
          <w:highlight w:val="none"/>
        </w:rPr>
        <w:t>十一、</w:t>
      </w:r>
      <w:bookmarkEnd w:id="531"/>
      <w:bookmarkEnd w:id="532"/>
      <w:bookmarkEnd w:id="533"/>
      <w:r>
        <w:rPr>
          <w:rFonts w:hint="eastAsia"/>
          <w:b/>
          <w:color w:val="auto"/>
          <w:sz w:val="32"/>
          <w:highlight w:val="none"/>
        </w:rPr>
        <w:t>其他资料</w:t>
      </w:r>
      <w:bookmarkEnd w:id="534"/>
      <w:bookmarkEnd w:id="535"/>
      <w:bookmarkEnd w:id="536"/>
      <w:bookmarkEnd w:id="537"/>
      <w:bookmarkEnd w:id="538"/>
    </w:p>
    <w:p>
      <w:pPr>
        <w:pStyle w:val="4"/>
        <w:jc w:val="center"/>
        <w:rPr>
          <w:color w:val="auto"/>
          <w:highlight w:val="none"/>
        </w:rPr>
      </w:pPr>
      <w:bookmarkStart w:id="539" w:name="_Toc31476"/>
      <w:bookmarkStart w:id="540" w:name="_Toc14926"/>
      <w:bookmarkStart w:id="541" w:name="_Toc4468"/>
      <w:bookmarkStart w:id="542" w:name="_Toc20383"/>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39"/>
      <w:bookmarkEnd w:id="540"/>
      <w:bookmarkEnd w:id="541"/>
      <w:bookmarkEnd w:id="542"/>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43" w:name="_Toc13340"/>
      <w:bookmarkStart w:id="544" w:name="_Toc10490"/>
      <w:bookmarkStart w:id="545" w:name="_Toc10731"/>
      <w:r>
        <w:rPr>
          <w:color w:val="auto"/>
          <w:highlight w:val="none"/>
        </w:rPr>
        <w:br w:type="page"/>
      </w:r>
      <w:bookmarkStart w:id="546" w:name="_Toc28969"/>
      <w:r>
        <w:rPr>
          <w:rFonts w:hint="eastAsia"/>
          <w:color w:val="auto"/>
          <w:highlight w:val="none"/>
        </w:rPr>
        <w:t>（二）反商业贿赂承诺书</w:t>
      </w:r>
      <w:bookmarkEnd w:id="543"/>
      <w:bookmarkEnd w:id="544"/>
      <w:bookmarkEnd w:id="545"/>
      <w:bookmarkEnd w:id="546"/>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2"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jc w:val="center"/>
        <w:rPr>
          <w:rFonts w:ascii="宋体" w:cs="宋体"/>
          <w:color w:val="auto"/>
          <w:sz w:val="24"/>
          <w:highlight w:val="none"/>
        </w:rPr>
      </w:pPr>
      <w:bookmarkStart w:id="547" w:name="_Toc6109"/>
      <w:bookmarkStart w:id="548" w:name="_Toc1453"/>
      <w:bookmarkStart w:id="549" w:name="_Toc7741"/>
      <w:r>
        <w:rPr>
          <w:rFonts w:ascii="宋体" w:cs="宋体"/>
          <w:color w:val="auto"/>
          <w:sz w:val="24"/>
          <w:highlight w:val="none"/>
        </w:rPr>
        <w:br w:type="page"/>
      </w:r>
    </w:p>
    <w:p>
      <w:pPr>
        <w:jc w:val="center"/>
        <w:rPr>
          <w:rFonts w:asci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eastAsia="宋体"/>
          <w:color w:val="auto"/>
          <w:highlight w:val="none"/>
        </w:rPr>
      </w:pPr>
      <w:r>
        <w:rPr>
          <w:rFonts w:hint="eastAsia" w:ascii="Times New Roman" w:hAnsi="Times New Roman" w:eastAsia="宋体" w:cs="Times New Roman"/>
          <w:b/>
          <w:color w:val="auto"/>
          <w:kern w:val="2"/>
          <w:sz w:val="21"/>
          <w:szCs w:val="20"/>
          <w:highlight w:val="none"/>
          <w:lang w:val="en-US" w:eastAsia="zh-CN" w:bidi="ar-SA"/>
        </w:rPr>
        <w:t>（三）投标人认为需提供的其他材料</w:t>
      </w:r>
      <w:bookmarkEnd w:id="547"/>
      <w:bookmarkEnd w:id="548"/>
      <w:bookmarkEnd w:id="549"/>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1.优惠条款</w:t>
      </w:r>
    </w:p>
    <w:p>
      <w:pPr>
        <w:spacing w:line="360" w:lineRule="auto"/>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车辆选型（整体设计）</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车辆制造商专业技术生产能力</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0"/>
        </w:numPr>
        <w:spacing w:line="360" w:lineRule="auto"/>
        <w:ind w:leftChars="0"/>
        <w:rPr>
          <w:rFonts w:ascii="宋体" w:cs="宋体"/>
          <w:b/>
          <w:color w:val="auto"/>
          <w:sz w:val="28"/>
          <w:szCs w:val="28"/>
          <w:highlight w:val="none"/>
        </w:rPr>
      </w:pPr>
      <w:r>
        <w:rPr>
          <w:rFonts w:hint="eastAsia" w:ascii="宋体" w:cs="宋体"/>
          <w:color w:val="auto"/>
          <w:sz w:val="24"/>
          <w:szCs w:val="24"/>
          <w:highlight w:val="none"/>
          <w:lang w:val="en-US" w:eastAsia="zh-CN"/>
        </w:rPr>
        <w:t>4.投标人认为应附的其他材料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50" w:name="_Toc15503"/>
      <w:bookmarkStart w:id="551" w:name="_Toc131"/>
      <w:bookmarkStart w:id="552" w:name="_Toc26116"/>
      <w:r>
        <w:rPr>
          <w:rFonts w:hint="eastAsia" w:ascii="宋体" w:hAnsi="宋体" w:cs="宋体"/>
          <w:b/>
          <w:bCs/>
          <w:color w:val="auto"/>
          <w:kern w:val="0"/>
          <w:sz w:val="32"/>
          <w:szCs w:val="32"/>
          <w:highlight w:val="none"/>
        </w:rPr>
        <w:t>中小企业声明函（货物）</w:t>
      </w:r>
      <w:bookmarkEnd w:id="550"/>
      <w:bookmarkEnd w:id="551"/>
      <w:bookmarkEnd w:id="552"/>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2"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2"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jc w:val="center"/>
        <w:rPr>
          <w:rFonts w:ascii="宋体" w:cs="宋体"/>
          <w:color w:val="auto"/>
          <w:sz w:val="32"/>
          <w:szCs w:val="32"/>
          <w:highlight w:val="none"/>
        </w:rPr>
      </w:pPr>
      <w:r>
        <w:rPr>
          <w:rFonts w:ascii="宋体" w:cs="宋体"/>
          <w:color w:val="auto"/>
          <w:szCs w:val="21"/>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3" w:name="_Toc27929"/>
      <w:bookmarkStart w:id="554" w:name="_Toc16860"/>
      <w:r>
        <w:rPr>
          <w:rFonts w:hint="eastAsia" w:ascii="宋体" w:hAnsi="宋体" w:cs="宋体"/>
          <w:b/>
          <w:bCs/>
          <w:color w:val="auto"/>
          <w:kern w:val="0"/>
          <w:sz w:val="32"/>
          <w:szCs w:val="32"/>
          <w:highlight w:val="none"/>
        </w:rPr>
        <w:t>监狱企业的证明文件</w:t>
      </w:r>
      <w:bookmarkEnd w:id="553"/>
      <w:bookmarkEnd w:id="554"/>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5" w:name="_Toc5950"/>
      <w:bookmarkStart w:id="556" w:name="_Toc5146"/>
      <w:r>
        <w:rPr>
          <w:rFonts w:hint="eastAsia" w:ascii="宋体" w:hAnsi="宋体" w:cs="宋体"/>
          <w:b/>
          <w:bCs/>
          <w:color w:val="auto"/>
          <w:kern w:val="0"/>
          <w:sz w:val="32"/>
          <w:szCs w:val="32"/>
          <w:highlight w:val="none"/>
        </w:rPr>
        <w:t>残疾人福利性单位声明函</w:t>
      </w:r>
      <w:bookmarkEnd w:id="555"/>
      <w:bookmarkEnd w:id="556"/>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2"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57" w:name="_Toc5378"/>
      <w:r>
        <w:rPr>
          <w:rFonts w:hint="eastAsia" w:ascii="宋体" w:hAnsi="宋体" w:cs="宋体"/>
          <w:b/>
          <w:bCs/>
          <w:color w:val="auto"/>
          <w:sz w:val="24"/>
          <w:szCs w:val="21"/>
          <w:highlight w:val="none"/>
        </w:rPr>
        <w:t>关于印发节能产品政府采购品目清单的通知</w:t>
      </w:r>
      <w:bookmarkEnd w:id="557"/>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1"/>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58" w:name="_Toc873"/>
      <w:r>
        <w:rPr>
          <w:rFonts w:hint="eastAsia" w:ascii="宋体" w:hAnsi="宋体" w:cs="宋体"/>
          <w:b/>
          <w:bCs/>
          <w:color w:val="auto"/>
          <w:sz w:val="24"/>
          <w:szCs w:val="21"/>
          <w:highlight w:val="none"/>
        </w:rPr>
        <w:t>节能产品政府采购品目清单</w:t>
      </w:r>
      <w:bookmarkEnd w:id="558"/>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6"/>
        <w:gridCol w:w="1825"/>
        <w:gridCol w:w="159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以“★”标注的为政府强制采购产品。</w:t>
      </w:r>
    </w:p>
    <w:p>
      <w:pPr>
        <w:pStyle w:val="15"/>
        <w:spacing w:line="360" w:lineRule="auto"/>
        <w:ind w:left="0" w:leftChars="0"/>
        <w:jc w:val="center"/>
        <w:outlineLvl w:val="2"/>
        <w:rPr>
          <w:color w:val="auto"/>
          <w:highlight w:val="none"/>
        </w:rPr>
      </w:pPr>
      <w:r>
        <w:rPr>
          <w:color w:val="auto"/>
          <w:highlight w:val="none"/>
        </w:rPr>
        <w:br w:type="page"/>
      </w:r>
      <w:bookmarkStart w:id="559" w:name="_Toc7371"/>
      <w:r>
        <w:rPr>
          <w:rStyle w:val="32"/>
          <w:rFonts w:hint="eastAsia"/>
          <w:color w:val="auto"/>
          <w:highlight w:val="none"/>
        </w:rPr>
        <w:t>关于印发环境标志产品政府采购品目清单的通知</w:t>
      </w:r>
      <w:bookmarkEnd w:id="559"/>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60" w:name="_Toc4050"/>
      <w:r>
        <w:rPr>
          <w:rFonts w:hint="eastAsia"/>
          <w:color w:val="auto"/>
          <w:highlight w:val="none"/>
        </w:rPr>
        <w:t>环境标志产品政府采购品目清单</w:t>
      </w:r>
      <w:bookmarkEnd w:id="560"/>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7"/>
        <w:gridCol w:w="2348"/>
        <w:gridCol w:w="1667"/>
        <w:gridCol w:w="2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lang w:eastAsia="zh-CN"/>
              </w:rPr>
              <w:t>二次</w:t>
            </w:r>
            <w:r>
              <w:rPr>
                <w:rFonts w:hint="eastAsia"/>
                <w:color w:val="auto"/>
                <w:highlight w:val="none"/>
              </w:rPr>
              <w:t>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8"/>
        <w:gridCol w:w="2545"/>
        <w:gridCol w:w="1803"/>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color w:val="auto"/>
          <w:highlight w:val="none"/>
        </w:rPr>
      </w:pPr>
    </w:p>
    <w:sectPr>
      <w:headerReference r:id="rId10"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firstLine="315" w:firstLineChars="150"/>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lang w:eastAsia="zh-CN"/>
      </w:rPr>
      <w:tab/>
    </w:r>
    <w:r>
      <w:rPr>
        <w:rFonts w:hint="eastAsia"/>
        <w:sz w:val="21"/>
        <w:szCs w:val="21"/>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mc:Fallback>
      </mc:AlternateContent>
    </w:r>
    <w:r>
      <w:t xml:space="preserve"> </w:t>
    </w:r>
    <w:r>
      <w:rPr>
        <w:rFonts w:hint="eastAsia"/>
        <w:lang w:val="en-US" w:eastAsia="zh-CN"/>
      </w:rPr>
      <w:t xml:space="preserve">         </w: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100" w:afterLines="100" w:line="360" w:lineRule="auto"/>
      <w:jc w:val="both"/>
      <w:rPr>
        <w:rFonts w:ascii="宋体" w:cs="宋体"/>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3">
    <w:nsid w:val="D8DFCB99"/>
    <w:multiLevelType w:val="singleLevel"/>
    <w:tmpl w:val="D8DFCB99"/>
    <w:lvl w:ilvl="0" w:tentative="0">
      <w:start w:val="1"/>
      <w:numFmt w:val="decimal"/>
      <w:lvlText w:val="%1."/>
      <w:lvlJc w:val="left"/>
      <w:pPr>
        <w:tabs>
          <w:tab w:val="left" w:pos="312"/>
        </w:tabs>
      </w:pPr>
    </w:lvl>
  </w:abstractNum>
  <w:abstractNum w:abstractNumId="4">
    <w:nsid w:val="DE9385D2"/>
    <w:multiLevelType w:val="multilevel"/>
    <w:tmpl w:val="DE9385D2"/>
    <w:lvl w:ilvl="0" w:tentative="0">
      <w:start w:val="1"/>
      <w:numFmt w:val="decimal"/>
      <w:lvlText w:val="%1."/>
      <w:lvlJc w:val="left"/>
      <w:pPr>
        <w:ind w:left="579" w:hanging="244"/>
      </w:pPr>
      <w:rPr>
        <w:rFonts w:hint="default" w:ascii="宋体" w:hAnsi="宋体" w:eastAsia="宋体" w:cs="宋体"/>
        <w:b/>
        <w:bCs/>
        <w:i w:val="0"/>
        <w:iCs w:val="0"/>
        <w:spacing w:val="0"/>
        <w:w w:val="99"/>
        <w:sz w:val="22"/>
        <w:szCs w:val="22"/>
      </w:rPr>
    </w:lvl>
    <w:lvl w:ilvl="1" w:tentative="0">
      <w:start w:val="1"/>
      <w:numFmt w:val="decimal"/>
      <w:lvlText w:val="%2."/>
      <w:lvlJc w:val="left"/>
      <w:pPr>
        <w:ind w:left="636" w:hanging="241"/>
      </w:pPr>
      <w:rPr>
        <w:rFonts w:hint="default" w:ascii="宋体" w:hAnsi="宋体" w:eastAsia="宋体" w:cs="宋体"/>
        <w:b w:val="0"/>
        <w:bCs w:val="0"/>
        <w:i w:val="0"/>
        <w:iCs w:val="0"/>
        <w:w w:val="100"/>
        <w:sz w:val="22"/>
        <w:szCs w:val="22"/>
      </w:rPr>
    </w:lvl>
    <w:lvl w:ilvl="2" w:tentative="0">
      <w:start w:val="0"/>
      <w:numFmt w:val="bullet"/>
      <w:lvlText w:val="•"/>
      <w:lvlJc w:val="left"/>
      <w:pPr>
        <w:ind w:left="1683" w:hanging="241"/>
      </w:pPr>
      <w:rPr>
        <w:rFonts w:hint="default"/>
      </w:rPr>
    </w:lvl>
    <w:lvl w:ilvl="3" w:tentative="0">
      <w:start w:val="0"/>
      <w:numFmt w:val="bullet"/>
      <w:lvlText w:val="•"/>
      <w:lvlJc w:val="left"/>
      <w:pPr>
        <w:ind w:left="2726" w:hanging="241"/>
      </w:pPr>
      <w:rPr>
        <w:rFonts w:hint="default"/>
      </w:rPr>
    </w:lvl>
    <w:lvl w:ilvl="4" w:tentative="0">
      <w:start w:val="0"/>
      <w:numFmt w:val="bullet"/>
      <w:lvlText w:val="•"/>
      <w:lvlJc w:val="left"/>
      <w:pPr>
        <w:ind w:left="3770"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856" w:hanging="241"/>
      </w:pPr>
      <w:rPr>
        <w:rFonts w:hint="default"/>
      </w:rPr>
    </w:lvl>
    <w:lvl w:ilvl="7" w:tentative="0">
      <w:start w:val="0"/>
      <w:numFmt w:val="bullet"/>
      <w:lvlText w:val="•"/>
      <w:lvlJc w:val="left"/>
      <w:pPr>
        <w:ind w:left="6900" w:hanging="241"/>
      </w:pPr>
      <w:rPr>
        <w:rFonts w:hint="default"/>
      </w:rPr>
    </w:lvl>
    <w:lvl w:ilvl="8" w:tentative="0">
      <w:start w:val="0"/>
      <w:numFmt w:val="bullet"/>
      <w:lvlText w:val="•"/>
      <w:lvlJc w:val="left"/>
      <w:pPr>
        <w:ind w:left="7943" w:hanging="241"/>
      </w:pPr>
      <w:rPr>
        <w:rFonts w:hint="default"/>
      </w:rPr>
    </w:lvl>
  </w:abstractNum>
  <w:abstractNum w:abstractNumId="5">
    <w:nsid w:val="F365E3D1"/>
    <w:multiLevelType w:val="singleLevel"/>
    <w:tmpl w:val="F365E3D1"/>
    <w:lvl w:ilvl="0" w:tentative="0">
      <w:start w:val="2"/>
      <w:numFmt w:val="chineseCounting"/>
      <w:suff w:val="nothing"/>
      <w:lvlText w:val="%1、"/>
      <w:lvlJc w:val="left"/>
      <w:rPr>
        <w:rFonts w:hint="eastAsia"/>
      </w:rPr>
    </w:lvl>
  </w:abstractNum>
  <w:abstractNum w:abstractNumId="6">
    <w:nsid w:val="1068C811"/>
    <w:multiLevelType w:val="singleLevel"/>
    <w:tmpl w:val="1068C811"/>
    <w:lvl w:ilvl="0" w:tentative="0">
      <w:start w:val="1"/>
      <w:numFmt w:val="decimal"/>
      <w:suff w:val="space"/>
      <w:lvlText w:val="%1."/>
      <w:lvlJc w:val="left"/>
      <w:rPr>
        <w:rFonts w:cs="Times New Roman"/>
      </w:rPr>
    </w:lvl>
  </w:abstractNum>
  <w:abstractNum w:abstractNumId="7">
    <w:nsid w:val="24619331"/>
    <w:multiLevelType w:val="singleLevel"/>
    <w:tmpl w:val="24619331"/>
    <w:lvl w:ilvl="0" w:tentative="0">
      <w:start w:val="1"/>
      <w:numFmt w:val="decimal"/>
      <w:suff w:val="nothing"/>
      <w:lvlText w:val="（%1）"/>
      <w:lvlJc w:val="left"/>
    </w:lvl>
  </w:abstractNum>
  <w:abstractNum w:abstractNumId="8">
    <w:nsid w:val="2554A3B8"/>
    <w:multiLevelType w:val="singleLevel"/>
    <w:tmpl w:val="2554A3B8"/>
    <w:lvl w:ilvl="0" w:tentative="0">
      <w:start w:val="1"/>
      <w:numFmt w:val="decimal"/>
      <w:lvlText w:val="%1."/>
      <w:lvlJc w:val="left"/>
      <w:pPr>
        <w:tabs>
          <w:tab w:val="left" w:pos="312"/>
        </w:tabs>
      </w:pPr>
    </w:lvl>
  </w:abstractNum>
  <w:abstractNum w:abstractNumId="9">
    <w:nsid w:val="2F542411"/>
    <w:multiLevelType w:val="singleLevel"/>
    <w:tmpl w:val="2F542411"/>
    <w:lvl w:ilvl="0" w:tentative="0">
      <w:start w:val="1"/>
      <w:numFmt w:val="upperLetter"/>
      <w:suff w:val="nothing"/>
      <w:lvlText w:val="%1、"/>
      <w:lvlJc w:val="left"/>
    </w:lvl>
  </w:abstractNum>
  <w:abstractNum w:abstractNumId="10">
    <w:nsid w:val="3486C138"/>
    <w:multiLevelType w:val="singleLevel"/>
    <w:tmpl w:val="3486C138"/>
    <w:lvl w:ilvl="0" w:tentative="0">
      <w:start w:val="1"/>
      <w:numFmt w:val="decimal"/>
      <w:suff w:val="nothing"/>
      <w:lvlText w:val="（%1）"/>
      <w:lvlJc w:val="left"/>
      <w:rPr>
        <w:rFonts w:cs="Times New Roman"/>
      </w:rPr>
    </w:lvl>
  </w:abstractNum>
  <w:abstractNum w:abstractNumId="11">
    <w:nsid w:val="426AA2D1"/>
    <w:multiLevelType w:val="singleLevel"/>
    <w:tmpl w:val="426AA2D1"/>
    <w:lvl w:ilvl="0" w:tentative="0">
      <w:start w:val="1"/>
      <w:numFmt w:val="decimal"/>
      <w:lvlText w:val="%1."/>
      <w:lvlJc w:val="left"/>
      <w:pPr>
        <w:tabs>
          <w:tab w:val="left" w:pos="312"/>
        </w:tabs>
      </w:p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3F3EEF4"/>
    <w:multiLevelType w:val="singleLevel"/>
    <w:tmpl w:val="53F3EEF4"/>
    <w:lvl w:ilvl="0" w:tentative="0">
      <w:start w:val="1"/>
      <w:numFmt w:val="decimal"/>
      <w:suff w:val="nothing"/>
      <w:lvlText w:val="%1、"/>
      <w:lvlJc w:val="left"/>
    </w:lvl>
  </w:abstractNum>
  <w:abstractNum w:abstractNumId="14">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3"/>
  </w:num>
  <w:num w:numId="10">
    <w:abstractNumId w:val="8"/>
  </w:num>
  <w:num w:numId="11">
    <w:abstractNumId w:val="7"/>
  </w:num>
  <w:num w:numId="12">
    <w:abstractNumId w:val="5"/>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0B6281"/>
    <w:rsid w:val="00665BAD"/>
    <w:rsid w:val="01042CD0"/>
    <w:rsid w:val="01395070"/>
    <w:rsid w:val="0156352C"/>
    <w:rsid w:val="01F84816"/>
    <w:rsid w:val="02854DA6"/>
    <w:rsid w:val="02B56978"/>
    <w:rsid w:val="02C63366"/>
    <w:rsid w:val="02CF7A3A"/>
    <w:rsid w:val="02DB65A7"/>
    <w:rsid w:val="02E5280C"/>
    <w:rsid w:val="034E1A4E"/>
    <w:rsid w:val="035E4919"/>
    <w:rsid w:val="03810CCF"/>
    <w:rsid w:val="03ED5FC9"/>
    <w:rsid w:val="03FB03BA"/>
    <w:rsid w:val="03FD2384"/>
    <w:rsid w:val="04143B3D"/>
    <w:rsid w:val="043D6C25"/>
    <w:rsid w:val="043F31AA"/>
    <w:rsid w:val="0488132A"/>
    <w:rsid w:val="04BA3DF1"/>
    <w:rsid w:val="057D0931"/>
    <w:rsid w:val="05D62E8D"/>
    <w:rsid w:val="05FB64DB"/>
    <w:rsid w:val="060024AE"/>
    <w:rsid w:val="06103112"/>
    <w:rsid w:val="067601CC"/>
    <w:rsid w:val="069D39AB"/>
    <w:rsid w:val="076A2FDB"/>
    <w:rsid w:val="07BF5EA8"/>
    <w:rsid w:val="07DA01B9"/>
    <w:rsid w:val="07F25F78"/>
    <w:rsid w:val="086A6259"/>
    <w:rsid w:val="0895702F"/>
    <w:rsid w:val="08F301FA"/>
    <w:rsid w:val="099E6AD6"/>
    <w:rsid w:val="09AC5DD3"/>
    <w:rsid w:val="0A0856C6"/>
    <w:rsid w:val="0A5F5B47"/>
    <w:rsid w:val="0A8530D4"/>
    <w:rsid w:val="0A856C30"/>
    <w:rsid w:val="0AA12D94"/>
    <w:rsid w:val="0AB17A25"/>
    <w:rsid w:val="0AD84D58"/>
    <w:rsid w:val="0AFF4C34"/>
    <w:rsid w:val="0B1137D4"/>
    <w:rsid w:val="0B2226D0"/>
    <w:rsid w:val="0B2843B0"/>
    <w:rsid w:val="0B8D20D9"/>
    <w:rsid w:val="0BD63AB0"/>
    <w:rsid w:val="0BF978D5"/>
    <w:rsid w:val="0C1F79E5"/>
    <w:rsid w:val="0C2B1A59"/>
    <w:rsid w:val="0C73630C"/>
    <w:rsid w:val="0C7451AE"/>
    <w:rsid w:val="0CC673BF"/>
    <w:rsid w:val="0CE42333"/>
    <w:rsid w:val="0D066349"/>
    <w:rsid w:val="0D2564A8"/>
    <w:rsid w:val="0DA273CD"/>
    <w:rsid w:val="0DC23114"/>
    <w:rsid w:val="0DDB2286"/>
    <w:rsid w:val="0E016238"/>
    <w:rsid w:val="0EBB0830"/>
    <w:rsid w:val="0EC96337"/>
    <w:rsid w:val="0EDB7766"/>
    <w:rsid w:val="0F250FAA"/>
    <w:rsid w:val="0FB81855"/>
    <w:rsid w:val="10156CA8"/>
    <w:rsid w:val="101A42BE"/>
    <w:rsid w:val="10535D9C"/>
    <w:rsid w:val="10685029"/>
    <w:rsid w:val="10764133"/>
    <w:rsid w:val="10A926FD"/>
    <w:rsid w:val="1131366D"/>
    <w:rsid w:val="118C2F9A"/>
    <w:rsid w:val="11BF511D"/>
    <w:rsid w:val="11CD7AC2"/>
    <w:rsid w:val="120B0362"/>
    <w:rsid w:val="121723F3"/>
    <w:rsid w:val="121D0DB5"/>
    <w:rsid w:val="121E0096"/>
    <w:rsid w:val="12211934"/>
    <w:rsid w:val="12490E8B"/>
    <w:rsid w:val="124B075F"/>
    <w:rsid w:val="125E66E4"/>
    <w:rsid w:val="126B39CE"/>
    <w:rsid w:val="12E14A8F"/>
    <w:rsid w:val="132C6C0E"/>
    <w:rsid w:val="13561AB1"/>
    <w:rsid w:val="138403CC"/>
    <w:rsid w:val="138A62D2"/>
    <w:rsid w:val="13A730FF"/>
    <w:rsid w:val="1444682C"/>
    <w:rsid w:val="14847F58"/>
    <w:rsid w:val="149E563B"/>
    <w:rsid w:val="14DA34ED"/>
    <w:rsid w:val="14F055ED"/>
    <w:rsid w:val="150E0609"/>
    <w:rsid w:val="1534372C"/>
    <w:rsid w:val="15685C72"/>
    <w:rsid w:val="159E5049"/>
    <w:rsid w:val="15EC2259"/>
    <w:rsid w:val="164C6DAB"/>
    <w:rsid w:val="165513CD"/>
    <w:rsid w:val="16585B40"/>
    <w:rsid w:val="16610551"/>
    <w:rsid w:val="1662251B"/>
    <w:rsid w:val="168626AD"/>
    <w:rsid w:val="16BA5EB3"/>
    <w:rsid w:val="170B4961"/>
    <w:rsid w:val="174D31CB"/>
    <w:rsid w:val="17A30EF0"/>
    <w:rsid w:val="17B574AD"/>
    <w:rsid w:val="17B9616B"/>
    <w:rsid w:val="18025D64"/>
    <w:rsid w:val="180E66B2"/>
    <w:rsid w:val="182B52BA"/>
    <w:rsid w:val="18A1732B"/>
    <w:rsid w:val="18D47700"/>
    <w:rsid w:val="18ED3323"/>
    <w:rsid w:val="19053D5D"/>
    <w:rsid w:val="19434886"/>
    <w:rsid w:val="1977008B"/>
    <w:rsid w:val="19792055"/>
    <w:rsid w:val="19A560B8"/>
    <w:rsid w:val="19BD1B7A"/>
    <w:rsid w:val="19D83220"/>
    <w:rsid w:val="19F06A96"/>
    <w:rsid w:val="1A8C5DB8"/>
    <w:rsid w:val="1B3C0B7D"/>
    <w:rsid w:val="1B3D393E"/>
    <w:rsid w:val="1B994BDB"/>
    <w:rsid w:val="1BB9498B"/>
    <w:rsid w:val="1BED2887"/>
    <w:rsid w:val="1C0323C0"/>
    <w:rsid w:val="1C1918CE"/>
    <w:rsid w:val="1C4E5A1B"/>
    <w:rsid w:val="1C9F1DD3"/>
    <w:rsid w:val="1CFB015B"/>
    <w:rsid w:val="1D6B6159"/>
    <w:rsid w:val="1D7E5E8C"/>
    <w:rsid w:val="1D9B6A3E"/>
    <w:rsid w:val="1DA33B45"/>
    <w:rsid w:val="1DB91C7D"/>
    <w:rsid w:val="1DCF0F79"/>
    <w:rsid w:val="1DFF039E"/>
    <w:rsid w:val="1E276524"/>
    <w:rsid w:val="1EA336D1"/>
    <w:rsid w:val="1EB55657"/>
    <w:rsid w:val="1ED558F8"/>
    <w:rsid w:val="1F433F10"/>
    <w:rsid w:val="1F95570F"/>
    <w:rsid w:val="1FDB2EE6"/>
    <w:rsid w:val="1FE10954"/>
    <w:rsid w:val="20065D2D"/>
    <w:rsid w:val="202820DF"/>
    <w:rsid w:val="204213F3"/>
    <w:rsid w:val="208F215E"/>
    <w:rsid w:val="20DF4E94"/>
    <w:rsid w:val="21331FC1"/>
    <w:rsid w:val="21C422DC"/>
    <w:rsid w:val="21E36C06"/>
    <w:rsid w:val="21FC6C72"/>
    <w:rsid w:val="22141307"/>
    <w:rsid w:val="22230DB0"/>
    <w:rsid w:val="22364F87"/>
    <w:rsid w:val="223E5BEA"/>
    <w:rsid w:val="225E628C"/>
    <w:rsid w:val="22851A6B"/>
    <w:rsid w:val="22A243CB"/>
    <w:rsid w:val="22B569E9"/>
    <w:rsid w:val="22BD7457"/>
    <w:rsid w:val="22C02AA3"/>
    <w:rsid w:val="22D20CB4"/>
    <w:rsid w:val="22D80C0E"/>
    <w:rsid w:val="23403BE4"/>
    <w:rsid w:val="235D4796"/>
    <w:rsid w:val="23C91E2B"/>
    <w:rsid w:val="24402A93"/>
    <w:rsid w:val="248D62D0"/>
    <w:rsid w:val="24D82326"/>
    <w:rsid w:val="255E0351"/>
    <w:rsid w:val="25A530AD"/>
    <w:rsid w:val="25D52D09"/>
    <w:rsid w:val="26153106"/>
    <w:rsid w:val="268C786C"/>
    <w:rsid w:val="26957503"/>
    <w:rsid w:val="26A821CC"/>
    <w:rsid w:val="26AB75C6"/>
    <w:rsid w:val="26C41FC9"/>
    <w:rsid w:val="26E36D60"/>
    <w:rsid w:val="27677991"/>
    <w:rsid w:val="278542BB"/>
    <w:rsid w:val="27A84A9C"/>
    <w:rsid w:val="27BF77CD"/>
    <w:rsid w:val="27DA4607"/>
    <w:rsid w:val="280678EA"/>
    <w:rsid w:val="28096170"/>
    <w:rsid w:val="288F4F38"/>
    <w:rsid w:val="289742A6"/>
    <w:rsid w:val="28C055AB"/>
    <w:rsid w:val="28F434A6"/>
    <w:rsid w:val="29086F52"/>
    <w:rsid w:val="299D756B"/>
    <w:rsid w:val="29B8189D"/>
    <w:rsid w:val="29C349B7"/>
    <w:rsid w:val="2A3F4BF5"/>
    <w:rsid w:val="2A846AAC"/>
    <w:rsid w:val="2AB0164F"/>
    <w:rsid w:val="2ABC6246"/>
    <w:rsid w:val="2ACA0963"/>
    <w:rsid w:val="2AE84E91"/>
    <w:rsid w:val="2AF76522"/>
    <w:rsid w:val="2B475E24"/>
    <w:rsid w:val="2B9F3B9D"/>
    <w:rsid w:val="2BAA2542"/>
    <w:rsid w:val="2BCA4992"/>
    <w:rsid w:val="2BF46A00"/>
    <w:rsid w:val="2C0E0D23"/>
    <w:rsid w:val="2C471B3F"/>
    <w:rsid w:val="2C646B95"/>
    <w:rsid w:val="2C901738"/>
    <w:rsid w:val="2CC31B0E"/>
    <w:rsid w:val="2CE7712B"/>
    <w:rsid w:val="2CF81446"/>
    <w:rsid w:val="2D0D0FDB"/>
    <w:rsid w:val="2DBB4593"/>
    <w:rsid w:val="2DEB6E74"/>
    <w:rsid w:val="2E1D524D"/>
    <w:rsid w:val="2E254102"/>
    <w:rsid w:val="2EA119DB"/>
    <w:rsid w:val="2EEB534C"/>
    <w:rsid w:val="2F0401BB"/>
    <w:rsid w:val="2F320885"/>
    <w:rsid w:val="2F3F11F4"/>
    <w:rsid w:val="2FB223BC"/>
    <w:rsid w:val="2FDD4C94"/>
    <w:rsid w:val="2FF131D4"/>
    <w:rsid w:val="30226B4B"/>
    <w:rsid w:val="30B637BB"/>
    <w:rsid w:val="30D836AE"/>
    <w:rsid w:val="30DB4CF6"/>
    <w:rsid w:val="311E0417"/>
    <w:rsid w:val="313B316A"/>
    <w:rsid w:val="31456F95"/>
    <w:rsid w:val="31AE3364"/>
    <w:rsid w:val="31E00A6C"/>
    <w:rsid w:val="31ED1F65"/>
    <w:rsid w:val="320F1351"/>
    <w:rsid w:val="32110C25"/>
    <w:rsid w:val="321D3A6E"/>
    <w:rsid w:val="325B2637"/>
    <w:rsid w:val="32B90276"/>
    <w:rsid w:val="330445FA"/>
    <w:rsid w:val="334F40FB"/>
    <w:rsid w:val="339E5B16"/>
    <w:rsid w:val="33A61841"/>
    <w:rsid w:val="33BB6DF6"/>
    <w:rsid w:val="33D04B10"/>
    <w:rsid w:val="34403A44"/>
    <w:rsid w:val="34684A32"/>
    <w:rsid w:val="347656B7"/>
    <w:rsid w:val="34A264AC"/>
    <w:rsid w:val="34BE15C4"/>
    <w:rsid w:val="34E95E89"/>
    <w:rsid w:val="34F0546A"/>
    <w:rsid w:val="351D5B33"/>
    <w:rsid w:val="35E87EEF"/>
    <w:rsid w:val="360D3DFA"/>
    <w:rsid w:val="362C1AE2"/>
    <w:rsid w:val="362D1DA6"/>
    <w:rsid w:val="364D069A"/>
    <w:rsid w:val="36A007CA"/>
    <w:rsid w:val="36C56482"/>
    <w:rsid w:val="37716772"/>
    <w:rsid w:val="3772660A"/>
    <w:rsid w:val="37887BDC"/>
    <w:rsid w:val="37BE184F"/>
    <w:rsid w:val="380803DD"/>
    <w:rsid w:val="38327B47"/>
    <w:rsid w:val="389425B0"/>
    <w:rsid w:val="38A5656B"/>
    <w:rsid w:val="38D155B2"/>
    <w:rsid w:val="391601B4"/>
    <w:rsid w:val="39643D30"/>
    <w:rsid w:val="399C796E"/>
    <w:rsid w:val="399F745E"/>
    <w:rsid w:val="39C944DB"/>
    <w:rsid w:val="39E84962"/>
    <w:rsid w:val="3A157778"/>
    <w:rsid w:val="3AAF722D"/>
    <w:rsid w:val="3AB111F7"/>
    <w:rsid w:val="3ACF5B21"/>
    <w:rsid w:val="3B0C4680"/>
    <w:rsid w:val="3B20637D"/>
    <w:rsid w:val="3B581673"/>
    <w:rsid w:val="3B702E61"/>
    <w:rsid w:val="3BC60CD2"/>
    <w:rsid w:val="3BD77022"/>
    <w:rsid w:val="3C29300F"/>
    <w:rsid w:val="3C917532"/>
    <w:rsid w:val="3C96602F"/>
    <w:rsid w:val="3CDC62D4"/>
    <w:rsid w:val="3DBF59D9"/>
    <w:rsid w:val="3DD57B16"/>
    <w:rsid w:val="3DE82891"/>
    <w:rsid w:val="3DFA1607"/>
    <w:rsid w:val="3E156929"/>
    <w:rsid w:val="3E333F33"/>
    <w:rsid w:val="3E377C66"/>
    <w:rsid w:val="3E4D7A48"/>
    <w:rsid w:val="3E9230EE"/>
    <w:rsid w:val="3EAE5A4E"/>
    <w:rsid w:val="3F5860E5"/>
    <w:rsid w:val="3F7722E4"/>
    <w:rsid w:val="3F7B2E16"/>
    <w:rsid w:val="3F890995"/>
    <w:rsid w:val="3F9F4F42"/>
    <w:rsid w:val="40185875"/>
    <w:rsid w:val="40294FD0"/>
    <w:rsid w:val="402B1824"/>
    <w:rsid w:val="41097E97"/>
    <w:rsid w:val="41160006"/>
    <w:rsid w:val="415D5C35"/>
    <w:rsid w:val="41A04032"/>
    <w:rsid w:val="41D61543"/>
    <w:rsid w:val="41E12488"/>
    <w:rsid w:val="41EC0D67"/>
    <w:rsid w:val="41EF2605"/>
    <w:rsid w:val="42114C71"/>
    <w:rsid w:val="42273E61"/>
    <w:rsid w:val="423B3A9C"/>
    <w:rsid w:val="4249440B"/>
    <w:rsid w:val="426A2D2C"/>
    <w:rsid w:val="42F44377"/>
    <w:rsid w:val="43525522"/>
    <w:rsid w:val="438077F3"/>
    <w:rsid w:val="43A318F9"/>
    <w:rsid w:val="43E4263E"/>
    <w:rsid w:val="43F3462F"/>
    <w:rsid w:val="44223166"/>
    <w:rsid w:val="44501A81"/>
    <w:rsid w:val="44AC2A30"/>
    <w:rsid w:val="44BD69EB"/>
    <w:rsid w:val="45120AE5"/>
    <w:rsid w:val="4517434D"/>
    <w:rsid w:val="45285849"/>
    <w:rsid w:val="453F38A4"/>
    <w:rsid w:val="4547215D"/>
    <w:rsid w:val="4580244D"/>
    <w:rsid w:val="458A4B1F"/>
    <w:rsid w:val="459D5567"/>
    <w:rsid w:val="45B85B30"/>
    <w:rsid w:val="46027B5A"/>
    <w:rsid w:val="4647558D"/>
    <w:rsid w:val="46D02A05"/>
    <w:rsid w:val="46E14C12"/>
    <w:rsid w:val="47055C12"/>
    <w:rsid w:val="474B6530"/>
    <w:rsid w:val="476D46F8"/>
    <w:rsid w:val="47705F96"/>
    <w:rsid w:val="47A03E00"/>
    <w:rsid w:val="47A14939"/>
    <w:rsid w:val="47B562E3"/>
    <w:rsid w:val="47C36A0E"/>
    <w:rsid w:val="48195DD4"/>
    <w:rsid w:val="48541414"/>
    <w:rsid w:val="48BF2D31"/>
    <w:rsid w:val="48CE7418"/>
    <w:rsid w:val="48EC789E"/>
    <w:rsid w:val="491F5D08"/>
    <w:rsid w:val="49E14F29"/>
    <w:rsid w:val="49EF440A"/>
    <w:rsid w:val="49F20EE5"/>
    <w:rsid w:val="4A301A0D"/>
    <w:rsid w:val="4A3C3144"/>
    <w:rsid w:val="4A54710F"/>
    <w:rsid w:val="4A9C36AB"/>
    <w:rsid w:val="4B5E0F27"/>
    <w:rsid w:val="4C060CE1"/>
    <w:rsid w:val="4C247489"/>
    <w:rsid w:val="4C431ECB"/>
    <w:rsid w:val="4C433C79"/>
    <w:rsid w:val="4C5479B0"/>
    <w:rsid w:val="4C9C63D3"/>
    <w:rsid w:val="4CB16E35"/>
    <w:rsid w:val="4CC90623"/>
    <w:rsid w:val="4D115B26"/>
    <w:rsid w:val="4D3D4B6D"/>
    <w:rsid w:val="4D447DD6"/>
    <w:rsid w:val="4D4952BF"/>
    <w:rsid w:val="4D5D520F"/>
    <w:rsid w:val="4D9F3131"/>
    <w:rsid w:val="4DA64B6C"/>
    <w:rsid w:val="4DBB3B00"/>
    <w:rsid w:val="4DDF79D2"/>
    <w:rsid w:val="4E094A4F"/>
    <w:rsid w:val="4E165AE9"/>
    <w:rsid w:val="4E2F2C58"/>
    <w:rsid w:val="4E485577"/>
    <w:rsid w:val="4E48737C"/>
    <w:rsid w:val="4E6F6FA8"/>
    <w:rsid w:val="4EA75C5A"/>
    <w:rsid w:val="4EE259CC"/>
    <w:rsid w:val="4EE631A7"/>
    <w:rsid w:val="4F302BDB"/>
    <w:rsid w:val="4F6A1303"/>
    <w:rsid w:val="4F764366"/>
    <w:rsid w:val="4F79685C"/>
    <w:rsid w:val="4FBC621D"/>
    <w:rsid w:val="4FC11A85"/>
    <w:rsid w:val="4FC568A1"/>
    <w:rsid w:val="500E7CC5"/>
    <w:rsid w:val="501C315F"/>
    <w:rsid w:val="501E6ED7"/>
    <w:rsid w:val="502E3492"/>
    <w:rsid w:val="50350ED7"/>
    <w:rsid w:val="504E68E8"/>
    <w:rsid w:val="50687CFD"/>
    <w:rsid w:val="50AF5D81"/>
    <w:rsid w:val="50E83041"/>
    <w:rsid w:val="510760F2"/>
    <w:rsid w:val="51106C21"/>
    <w:rsid w:val="51200A2D"/>
    <w:rsid w:val="51263104"/>
    <w:rsid w:val="51B80C66"/>
    <w:rsid w:val="51BF1FF4"/>
    <w:rsid w:val="51FF0643"/>
    <w:rsid w:val="526F0D33"/>
    <w:rsid w:val="52787DBA"/>
    <w:rsid w:val="52C23008"/>
    <w:rsid w:val="52D03D8D"/>
    <w:rsid w:val="52E50EA7"/>
    <w:rsid w:val="534E6397"/>
    <w:rsid w:val="541008E5"/>
    <w:rsid w:val="5414112F"/>
    <w:rsid w:val="54183C3E"/>
    <w:rsid w:val="543550AF"/>
    <w:rsid w:val="54574766"/>
    <w:rsid w:val="54AA4020"/>
    <w:rsid w:val="54D1276A"/>
    <w:rsid w:val="552A1E7F"/>
    <w:rsid w:val="5540047B"/>
    <w:rsid w:val="55826B5A"/>
    <w:rsid w:val="5583158B"/>
    <w:rsid w:val="5588094F"/>
    <w:rsid w:val="55CB0FAC"/>
    <w:rsid w:val="55CE45EF"/>
    <w:rsid w:val="56301712"/>
    <w:rsid w:val="566118CC"/>
    <w:rsid w:val="56C868C8"/>
    <w:rsid w:val="5717642E"/>
    <w:rsid w:val="575256B8"/>
    <w:rsid w:val="575D6537"/>
    <w:rsid w:val="576066BE"/>
    <w:rsid w:val="577675F9"/>
    <w:rsid w:val="577B69BD"/>
    <w:rsid w:val="57A579F3"/>
    <w:rsid w:val="57CE2EBC"/>
    <w:rsid w:val="57D31D9D"/>
    <w:rsid w:val="580E0C05"/>
    <w:rsid w:val="581C4403"/>
    <w:rsid w:val="58904F59"/>
    <w:rsid w:val="58975A79"/>
    <w:rsid w:val="58C12AF6"/>
    <w:rsid w:val="592762E1"/>
    <w:rsid w:val="59305585"/>
    <w:rsid w:val="59510812"/>
    <w:rsid w:val="595353A2"/>
    <w:rsid w:val="5978648C"/>
    <w:rsid w:val="5A042C75"/>
    <w:rsid w:val="5A137381"/>
    <w:rsid w:val="5A780A25"/>
    <w:rsid w:val="5A8262B5"/>
    <w:rsid w:val="5A900D5F"/>
    <w:rsid w:val="5AF730C2"/>
    <w:rsid w:val="5B5C6B06"/>
    <w:rsid w:val="5B946295"/>
    <w:rsid w:val="5BA26C0E"/>
    <w:rsid w:val="5BC72888"/>
    <w:rsid w:val="5C076A71"/>
    <w:rsid w:val="5C245875"/>
    <w:rsid w:val="5C294C3A"/>
    <w:rsid w:val="5C3163EC"/>
    <w:rsid w:val="5C447CC6"/>
    <w:rsid w:val="5C616DD3"/>
    <w:rsid w:val="5C78796F"/>
    <w:rsid w:val="5C790656"/>
    <w:rsid w:val="5D027239"/>
    <w:rsid w:val="5D573A29"/>
    <w:rsid w:val="5E272947"/>
    <w:rsid w:val="5E481638"/>
    <w:rsid w:val="5E7919F9"/>
    <w:rsid w:val="5E864BBA"/>
    <w:rsid w:val="5ED06A86"/>
    <w:rsid w:val="5EEC63F2"/>
    <w:rsid w:val="5F0B0F9E"/>
    <w:rsid w:val="5F13572D"/>
    <w:rsid w:val="5F296CFF"/>
    <w:rsid w:val="5F3C2ED6"/>
    <w:rsid w:val="5F772160"/>
    <w:rsid w:val="600A6B30"/>
    <w:rsid w:val="60234096"/>
    <w:rsid w:val="609B00D0"/>
    <w:rsid w:val="609C06B7"/>
    <w:rsid w:val="61646714"/>
    <w:rsid w:val="619458FD"/>
    <w:rsid w:val="61A60ADB"/>
    <w:rsid w:val="61E17D65"/>
    <w:rsid w:val="624F1172"/>
    <w:rsid w:val="62854B94"/>
    <w:rsid w:val="62D358FF"/>
    <w:rsid w:val="632653D9"/>
    <w:rsid w:val="634C47E8"/>
    <w:rsid w:val="637A3FCD"/>
    <w:rsid w:val="6381535B"/>
    <w:rsid w:val="638D707F"/>
    <w:rsid w:val="63A332E7"/>
    <w:rsid w:val="63FE69AC"/>
    <w:rsid w:val="64195594"/>
    <w:rsid w:val="643E324C"/>
    <w:rsid w:val="64BB2AEF"/>
    <w:rsid w:val="64DE67DD"/>
    <w:rsid w:val="64F34037"/>
    <w:rsid w:val="64F41B5D"/>
    <w:rsid w:val="6545060B"/>
    <w:rsid w:val="6582360D"/>
    <w:rsid w:val="65FF4C5D"/>
    <w:rsid w:val="665E57F4"/>
    <w:rsid w:val="66D9725C"/>
    <w:rsid w:val="67123833"/>
    <w:rsid w:val="67241AA7"/>
    <w:rsid w:val="67281F92"/>
    <w:rsid w:val="673144D8"/>
    <w:rsid w:val="674768BC"/>
    <w:rsid w:val="674C7A2E"/>
    <w:rsid w:val="679F11A6"/>
    <w:rsid w:val="67C701E5"/>
    <w:rsid w:val="67C73559"/>
    <w:rsid w:val="67E4235D"/>
    <w:rsid w:val="68260593"/>
    <w:rsid w:val="6850354E"/>
    <w:rsid w:val="685F3791"/>
    <w:rsid w:val="686134C7"/>
    <w:rsid w:val="68882CE8"/>
    <w:rsid w:val="68E85E7D"/>
    <w:rsid w:val="6907076B"/>
    <w:rsid w:val="691A0A26"/>
    <w:rsid w:val="693D5649"/>
    <w:rsid w:val="696574CD"/>
    <w:rsid w:val="69AB38CC"/>
    <w:rsid w:val="6A1D3904"/>
    <w:rsid w:val="6A7B27A9"/>
    <w:rsid w:val="6ABA5FF7"/>
    <w:rsid w:val="6AD93CCF"/>
    <w:rsid w:val="6AE82881"/>
    <w:rsid w:val="6AEF704E"/>
    <w:rsid w:val="6B036F9E"/>
    <w:rsid w:val="6B20545A"/>
    <w:rsid w:val="6B264A3A"/>
    <w:rsid w:val="6B3B6738"/>
    <w:rsid w:val="6B68554D"/>
    <w:rsid w:val="6B8974A3"/>
    <w:rsid w:val="6BAE6F0A"/>
    <w:rsid w:val="6BE01F8A"/>
    <w:rsid w:val="6C25027B"/>
    <w:rsid w:val="6C44161C"/>
    <w:rsid w:val="6C9E39A0"/>
    <w:rsid w:val="6CCC1D1B"/>
    <w:rsid w:val="6D167479"/>
    <w:rsid w:val="6D2356D5"/>
    <w:rsid w:val="6D2646F7"/>
    <w:rsid w:val="6D5E670D"/>
    <w:rsid w:val="6DA560EA"/>
    <w:rsid w:val="6DE3690D"/>
    <w:rsid w:val="6DF36E56"/>
    <w:rsid w:val="6E0252EB"/>
    <w:rsid w:val="6E0A23F1"/>
    <w:rsid w:val="6E1D46BB"/>
    <w:rsid w:val="6EA37EDF"/>
    <w:rsid w:val="6EB760D5"/>
    <w:rsid w:val="6EB84D6F"/>
    <w:rsid w:val="6EBD1290"/>
    <w:rsid w:val="6EE45C9F"/>
    <w:rsid w:val="6EFC61DE"/>
    <w:rsid w:val="6F103A37"/>
    <w:rsid w:val="6F433AAD"/>
    <w:rsid w:val="6F4A6F49"/>
    <w:rsid w:val="6F5C6C7D"/>
    <w:rsid w:val="6FB865A9"/>
    <w:rsid w:val="6FCC795E"/>
    <w:rsid w:val="6FCF56A0"/>
    <w:rsid w:val="6FD827A7"/>
    <w:rsid w:val="7036571F"/>
    <w:rsid w:val="705F07D2"/>
    <w:rsid w:val="70B56644"/>
    <w:rsid w:val="70F52EE5"/>
    <w:rsid w:val="710E12C0"/>
    <w:rsid w:val="719324B2"/>
    <w:rsid w:val="71A52B5D"/>
    <w:rsid w:val="71BE3C1E"/>
    <w:rsid w:val="722F2426"/>
    <w:rsid w:val="725974A3"/>
    <w:rsid w:val="726E2F4F"/>
    <w:rsid w:val="72D919F1"/>
    <w:rsid w:val="73012015"/>
    <w:rsid w:val="731004AA"/>
    <w:rsid w:val="733B7C71"/>
    <w:rsid w:val="7342122D"/>
    <w:rsid w:val="73614861"/>
    <w:rsid w:val="7374041D"/>
    <w:rsid w:val="73942E89"/>
    <w:rsid w:val="739629B5"/>
    <w:rsid w:val="742D0BE7"/>
    <w:rsid w:val="746A5998"/>
    <w:rsid w:val="7491469F"/>
    <w:rsid w:val="74956EB9"/>
    <w:rsid w:val="74A0585D"/>
    <w:rsid w:val="74CB28DA"/>
    <w:rsid w:val="7537044B"/>
    <w:rsid w:val="759E1D9D"/>
    <w:rsid w:val="75A241B6"/>
    <w:rsid w:val="75F220E9"/>
    <w:rsid w:val="76893729"/>
    <w:rsid w:val="76CA730F"/>
    <w:rsid w:val="76DA5057"/>
    <w:rsid w:val="77626DFA"/>
    <w:rsid w:val="77732F67"/>
    <w:rsid w:val="77A3571E"/>
    <w:rsid w:val="77A45665"/>
    <w:rsid w:val="77B77146"/>
    <w:rsid w:val="77B80A62"/>
    <w:rsid w:val="77DE08BF"/>
    <w:rsid w:val="77E12415"/>
    <w:rsid w:val="781F7B88"/>
    <w:rsid w:val="78270C1F"/>
    <w:rsid w:val="784D3606"/>
    <w:rsid w:val="785227EC"/>
    <w:rsid w:val="7881167C"/>
    <w:rsid w:val="78A05E2C"/>
    <w:rsid w:val="78BF6934"/>
    <w:rsid w:val="78D02DFD"/>
    <w:rsid w:val="78D21D5D"/>
    <w:rsid w:val="790939D1"/>
    <w:rsid w:val="797D43BF"/>
    <w:rsid w:val="79B2253B"/>
    <w:rsid w:val="79B2594A"/>
    <w:rsid w:val="79B53B59"/>
    <w:rsid w:val="7A6A1F9F"/>
    <w:rsid w:val="7AE446F6"/>
    <w:rsid w:val="7B195B51"/>
    <w:rsid w:val="7B2C1BF9"/>
    <w:rsid w:val="7B42141C"/>
    <w:rsid w:val="7B503B39"/>
    <w:rsid w:val="7B7D06A6"/>
    <w:rsid w:val="7B937896"/>
    <w:rsid w:val="7BB56B01"/>
    <w:rsid w:val="7BB75966"/>
    <w:rsid w:val="7C0E12FE"/>
    <w:rsid w:val="7C480979"/>
    <w:rsid w:val="7CA10D08"/>
    <w:rsid w:val="7CA67789"/>
    <w:rsid w:val="7CBC6FAC"/>
    <w:rsid w:val="7CD442F6"/>
    <w:rsid w:val="7D3E3E65"/>
    <w:rsid w:val="7D4C20DE"/>
    <w:rsid w:val="7DB57F98"/>
    <w:rsid w:val="7DC51384"/>
    <w:rsid w:val="7DD93BCA"/>
    <w:rsid w:val="7DEB7B49"/>
    <w:rsid w:val="7E094473"/>
    <w:rsid w:val="7EB0669D"/>
    <w:rsid w:val="7F1E7AAB"/>
    <w:rsid w:val="7F270A21"/>
    <w:rsid w:val="7F2A72D7"/>
    <w:rsid w:val="7F2E23E3"/>
    <w:rsid w:val="7F736048"/>
    <w:rsid w:val="7F7E5CC6"/>
    <w:rsid w:val="7FA04963"/>
    <w:rsid w:val="7FEE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spacing w:line="360" w:lineRule="auto"/>
      <w:jc w:val="center"/>
      <w:outlineLvl w:val="0"/>
    </w:pPr>
    <w:rPr>
      <w:b/>
      <w:kern w:val="44"/>
      <w:sz w:val="32"/>
      <w:szCs w:val="20"/>
    </w:rPr>
  </w:style>
  <w:style w:type="paragraph" w:styleId="3">
    <w:name w:val="heading 2"/>
    <w:basedOn w:val="1"/>
    <w:next w:val="1"/>
    <w:link w:val="29"/>
    <w:qFormat/>
    <w:uiPriority w:val="99"/>
    <w:pPr>
      <w:keepNext/>
      <w:keepLines/>
      <w:spacing w:line="360" w:lineRule="auto"/>
      <w:jc w:val="left"/>
      <w:outlineLvl w:val="1"/>
    </w:pPr>
    <w:rPr>
      <w:rFonts w:ascii="Arial" w:hAnsi="Arial"/>
      <w:b/>
      <w:sz w:val="24"/>
      <w:szCs w:val="20"/>
    </w:rPr>
  </w:style>
  <w:style w:type="paragraph" w:styleId="4">
    <w:name w:val="heading 3"/>
    <w:basedOn w:val="1"/>
    <w:next w:val="1"/>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next w:val="8"/>
    <w:autoRedefine/>
    <w:qFormat/>
    <w:uiPriority w:val="99"/>
    <w:pPr>
      <w:spacing w:after="120"/>
    </w:pPr>
    <w:rPr>
      <w:sz w:val="24"/>
      <w:szCs w:val="20"/>
    </w:rPr>
  </w:style>
  <w:style w:type="paragraph" w:customStyle="1" w:styleId="8">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9">
    <w:name w:val="Body Text Indent"/>
    <w:basedOn w:val="1"/>
    <w:next w:val="10"/>
    <w:autoRedefine/>
    <w:qFormat/>
    <w:uiPriority w:val="99"/>
    <w:pPr>
      <w:spacing w:after="120"/>
      <w:ind w:left="420" w:leftChars="200"/>
    </w:pPr>
    <w:rPr>
      <w:sz w:val="24"/>
      <w:szCs w:val="20"/>
    </w:rPr>
  </w:style>
  <w:style w:type="paragraph" w:styleId="10">
    <w:name w:val="envelope return"/>
    <w:basedOn w:val="1"/>
    <w:autoRedefine/>
    <w:qFormat/>
    <w:uiPriority w:val="99"/>
    <w:pPr>
      <w:snapToGrid w:val="0"/>
      <w:jc w:val="left"/>
    </w:pPr>
    <w:rPr>
      <w:rFonts w:ascii="Arial" w:hAnsi="Arial" w:cs="黑体"/>
      <w:kern w:val="0"/>
      <w:sz w:val="22"/>
      <w:szCs w:val="22"/>
      <w:lang w:eastAsia="en-US"/>
    </w:rPr>
  </w:style>
  <w:style w:type="paragraph" w:styleId="11">
    <w:name w:val="List 2"/>
    <w:basedOn w:val="1"/>
    <w:autoRedefine/>
    <w:qFormat/>
    <w:uiPriority w:val="99"/>
    <w:pPr>
      <w:ind w:left="100" w:leftChars="200" w:hanging="200" w:hangingChars="200"/>
    </w:pPr>
  </w:style>
  <w:style w:type="paragraph" w:styleId="12">
    <w:name w:val="Block Text"/>
    <w:basedOn w:val="1"/>
    <w:autoRedefine/>
    <w:qFormat/>
    <w:uiPriority w:val="99"/>
    <w:pPr>
      <w:spacing w:after="120"/>
      <w:ind w:left="1440" w:leftChars="700" w:right="1440" w:rightChars="700"/>
    </w:pPr>
  </w:style>
  <w:style w:type="paragraph" w:styleId="13">
    <w:name w:val="Plain Text"/>
    <w:basedOn w:val="1"/>
    <w:autoRedefine/>
    <w:qFormat/>
    <w:uiPriority w:val="99"/>
    <w:rPr>
      <w:rFonts w:ascii="宋体" w:hAnsi="Courier New"/>
      <w:szCs w:val="20"/>
    </w:rPr>
  </w:style>
  <w:style w:type="paragraph" w:styleId="14">
    <w:name w:val="Date"/>
    <w:basedOn w:val="1"/>
    <w:next w:val="1"/>
    <w:unhideWhenUsed/>
    <w:qFormat/>
    <w:uiPriority w:val="99"/>
    <w:pPr>
      <w:tabs>
        <w:tab w:val="left" w:pos="420"/>
      </w:tabs>
      <w:ind w:left="100" w:leftChars="2500"/>
    </w:pPr>
  </w:style>
  <w:style w:type="paragraph" w:styleId="15">
    <w:name w:val="Body Text Indent 2"/>
    <w:basedOn w:val="1"/>
    <w:next w:val="1"/>
    <w:autoRedefine/>
    <w:qFormat/>
    <w:uiPriority w:val="99"/>
    <w:pPr>
      <w:spacing w:after="120" w:line="480" w:lineRule="auto"/>
      <w:ind w:left="420" w:leftChars="200"/>
    </w:pPr>
    <w:rPr>
      <w:sz w:val="24"/>
      <w:szCs w:val="20"/>
    </w:rPr>
  </w:style>
  <w:style w:type="paragraph" w:styleId="16">
    <w:name w:val="footer"/>
    <w:basedOn w:val="1"/>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99"/>
    <w:pPr>
      <w:spacing w:line="360" w:lineRule="auto"/>
    </w:pPr>
    <w:rPr>
      <w:b/>
      <w:sz w:val="28"/>
    </w:rPr>
  </w:style>
  <w:style w:type="paragraph" w:styleId="19">
    <w:name w:val="List 5"/>
    <w:basedOn w:val="1"/>
    <w:autoRedefine/>
    <w:qFormat/>
    <w:uiPriority w:val="99"/>
    <w:pPr>
      <w:ind w:left="2100" w:hanging="420"/>
    </w:pPr>
    <w:rPr>
      <w:rFonts w:eastAsia="楷体_GB2312"/>
      <w:sz w:val="32"/>
      <w:szCs w:val="20"/>
    </w:rPr>
  </w:style>
  <w:style w:type="paragraph" w:styleId="20">
    <w:name w:val="toc 2"/>
    <w:basedOn w:val="1"/>
    <w:next w:val="1"/>
    <w:autoRedefine/>
    <w:qFormat/>
    <w:uiPriority w:val="99"/>
    <w:pPr>
      <w:spacing w:line="360" w:lineRule="auto"/>
    </w:pPr>
    <w:rPr>
      <w:sz w:val="28"/>
    </w:rPr>
  </w:style>
  <w:style w:type="paragraph" w:styleId="21">
    <w:name w:val="Body Text First Indent"/>
    <w:basedOn w:val="7"/>
    <w:next w:val="1"/>
    <w:autoRedefine/>
    <w:qFormat/>
    <w:uiPriority w:val="99"/>
    <w:pPr>
      <w:ind w:firstLine="420"/>
    </w:pPr>
    <w:rPr>
      <w:rFonts w:eastAsia="楷体_GB2312"/>
      <w:sz w:val="32"/>
    </w:rPr>
  </w:style>
  <w:style w:type="paragraph" w:styleId="22">
    <w:name w:val="Body Text First Indent 2"/>
    <w:basedOn w:val="9"/>
    <w:next w:val="6"/>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customStyle="1" w:styleId="27">
    <w:name w:val="Heading 1 Char"/>
    <w:basedOn w:val="25"/>
    <w:link w:val="2"/>
    <w:autoRedefine/>
    <w:qFormat/>
    <w:locked/>
    <w:uiPriority w:val="99"/>
    <w:rPr>
      <w:b/>
      <w:kern w:val="44"/>
      <w:sz w:val="32"/>
      <w:szCs w:val="20"/>
    </w:rPr>
  </w:style>
  <w:style w:type="paragraph" w:customStyle="1" w:styleId="28">
    <w:name w:val="Table Paragraph"/>
    <w:basedOn w:val="1"/>
    <w:autoRedefine/>
    <w:qFormat/>
    <w:uiPriority w:val="99"/>
    <w:rPr>
      <w:sz w:val="24"/>
    </w:rPr>
  </w:style>
  <w:style w:type="character" w:customStyle="1" w:styleId="29">
    <w:name w:val="Heading 2 Char"/>
    <w:basedOn w:val="25"/>
    <w:link w:val="3"/>
    <w:autoRedefine/>
    <w:qFormat/>
    <w:locked/>
    <w:uiPriority w:val="99"/>
    <w:rPr>
      <w:rFonts w:ascii="Arial" w:hAnsi="Arial"/>
      <w:b/>
      <w:sz w:val="24"/>
      <w:szCs w:val="20"/>
    </w:rPr>
  </w:style>
  <w:style w:type="character" w:customStyle="1" w:styleId="30">
    <w:name w:val="Char Char11"/>
    <w:autoRedefine/>
    <w:qFormat/>
    <w:uiPriority w:val="99"/>
    <w:rPr>
      <w:kern w:val="2"/>
      <w:sz w:val="18"/>
    </w:rPr>
  </w:style>
  <w:style w:type="paragraph" w:styleId="31">
    <w:name w:val="List Paragraph"/>
    <w:basedOn w:val="1"/>
    <w:autoRedefine/>
    <w:qFormat/>
    <w:uiPriority w:val="99"/>
    <w:pPr>
      <w:ind w:firstLine="420" w:firstLineChars="200"/>
    </w:pPr>
    <w:rPr>
      <w:rFonts w:ascii="Calibri" w:hAnsi="Calibri"/>
      <w:szCs w:val="22"/>
    </w:rPr>
  </w:style>
  <w:style w:type="character" w:customStyle="1" w:styleId="32">
    <w:name w:val="标题 3 Char1"/>
    <w:autoRedefine/>
    <w:qFormat/>
    <w:locked/>
    <w:uiPriority w:val="99"/>
    <w:rPr>
      <w:rFonts w:ascii="Times New Roman" w:hAnsi="Times New Roman" w:eastAsia="宋体"/>
      <w:b/>
      <w:kern w:val="2"/>
      <w:sz w:val="28"/>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font51"/>
    <w:basedOn w:val="25"/>
    <w:qFormat/>
    <w:uiPriority w:val="0"/>
    <w:rPr>
      <w:rFonts w:hint="eastAsia" w:ascii="宋体" w:hAnsi="宋体" w:eastAsia="宋体" w:cs="宋体"/>
      <w:b/>
      <w:bCs/>
      <w:color w:val="000000"/>
      <w:sz w:val="21"/>
      <w:szCs w:val="21"/>
      <w:u w:val="none"/>
    </w:rPr>
  </w:style>
  <w:style w:type="character" w:customStyle="1" w:styleId="36">
    <w:name w:val="font21"/>
    <w:basedOn w:val="2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47178</Words>
  <Characters>51310</Characters>
  <Lines>0</Lines>
  <Paragraphs>0</Paragraphs>
  <TotalTime>2</TotalTime>
  <ScaleCrop>false</ScaleCrop>
  <LinksUpToDate>false</LinksUpToDate>
  <CharactersWithSpaces>53661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cp:lastPrinted>2024-05-30T04:11:00Z</cp:lastPrinted>
  <dcterms:modified xsi:type="dcterms:W3CDTF">2024-08-09T06:29:43Z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E43172E853C04046AF7E1006A37747DC_13</vt:lpwstr>
  </property>
</Properties>
</file>