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highlight w:val="none"/>
        </w:rPr>
      </w:pPr>
      <w:r>
        <w:rPr>
          <w:rFonts w:hint="eastAsia"/>
          <w:sz w:val="28"/>
          <w:highlight w:val="none"/>
        </w:rPr>
        <w:t>合同编号：豫财招标采购-2024-1513-2</w:t>
      </w:r>
    </w:p>
    <w:p>
      <w:pPr>
        <w:jc w:val="center"/>
        <w:rPr>
          <w:sz w:val="52"/>
        </w:rPr>
      </w:pPr>
    </w:p>
    <w:p>
      <w:pPr>
        <w:jc w:val="center"/>
        <w:rPr>
          <w:sz w:val="52"/>
        </w:rPr>
      </w:pPr>
      <w:r>
        <w:rPr>
          <w:rFonts w:hint="eastAsia"/>
          <w:sz w:val="52"/>
        </w:rPr>
        <w:t>货物（</w:t>
      </w:r>
      <w:r>
        <w:rPr>
          <w:rFonts w:hint="eastAsia"/>
          <w:sz w:val="52"/>
          <w:u w:val="single"/>
        </w:rPr>
        <w:t>设备</w:t>
      </w:r>
      <w:r>
        <w:rPr>
          <w:rFonts w:hint="eastAsia"/>
          <w:sz w:val="52"/>
        </w:rPr>
        <w:t>）采购合同</w:t>
      </w:r>
    </w:p>
    <w:p>
      <w:pPr>
        <w:jc w:val="center"/>
        <w:rPr>
          <w:sz w:val="36"/>
        </w:rPr>
      </w:pPr>
    </w:p>
    <w:p>
      <w:pPr>
        <w:jc w:val="center"/>
        <w:rPr>
          <w:sz w:val="36"/>
        </w:rPr>
      </w:pPr>
    </w:p>
    <w:p>
      <w:pPr>
        <w:ind w:left="1800" w:hanging="1800" w:hangingChars="500"/>
        <w:rPr>
          <w:sz w:val="36"/>
          <w:u w:val="single"/>
        </w:rPr>
      </w:pPr>
      <w:r>
        <w:rPr>
          <w:rFonts w:hint="eastAsia"/>
          <w:sz w:val="36"/>
        </w:rPr>
        <w:t>项目名称：河南大学全息流式细胞分选仪等设备购置项目 </w:t>
      </w:r>
    </w:p>
    <w:p>
      <w:pPr>
        <w:rPr>
          <w:sz w:val="36"/>
          <w:u w:val="single"/>
        </w:rPr>
      </w:pPr>
    </w:p>
    <w:p>
      <w:pPr>
        <w:rPr>
          <w:sz w:val="36"/>
          <w:u w:val="single"/>
        </w:rPr>
      </w:pPr>
      <w:r>
        <w:rPr>
          <w:rFonts w:hint="eastAsia"/>
          <w:sz w:val="36"/>
        </w:rPr>
        <w:t xml:space="preserve">      买方（甲方）：河南大学</w:t>
      </w:r>
    </w:p>
    <w:p>
      <w:pPr>
        <w:rPr>
          <w:sz w:val="36"/>
          <w:u w:val="single"/>
        </w:rPr>
      </w:pPr>
    </w:p>
    <w:p>
      <w:pPr>
        <w:rPr>
          <w:sz w:val="36"/>
          <w:u w:val="single"/>
        </w:rPr>
      </w:pPr>
    </w:p>
    <w:p>
      <w:pPr>
        <w:rPr>
          <w:sz w:val="36"/>
        </w:rPr>
      </w:pPr>
      <w:r>
        <w:rPr>
          <w:rFonts w:hint="eastAsia"/>
          <w:sz w:val="36"/>
        </w:rPr>
        <w:t xml:space="preserve">      卖方（乙方）：</w:t>
      </w:r>
      <w:bookmarkStart w:id="0" w:name="OLE_LINK1"/>
      <w:r>
        <w:rPr>
          <w:rFonts w:hint="eastAsia"/>
          <w:sz w:val="36"/>
        </w:rPr>
        <w:t>中康健(郑州)医疗设备有限公司</w:t>
      </w:r>
      <w:bookmarkEnd w:id="0"/>
    </w:p>
    <w:p>
      <w:pPr>
        <w:ind w:left="-540"/>
        <w:rPr>
          <w:sz w:val="36"/>
          <w:u w:val="single"/>
        </w:rPr>
      </w:pPr>
    </w:p>
    <w:p>
      <w:pPr>
        <w:ind w:left="-180"/>
        <w:rPr>
          <w:sz w:val="36"/>
        </w:rPr>
      </w:pPr>
    </w:p>
    <w:p>
      <w:pPr>
        <w:rPr>
          <w:sz w:val="36"/>
          <w:u w:val="single"/>
        </w:rPr>
      </w:pPr>
      <w:r>
        <w:rPr>
          <w:rFonts w:hint="eastAsia"/>
          <w:sz w:val="36"/>
        </w:rPr>
        <w:t xml:space="preserve">      签订时间：</w:t>
      </w:r>
      <w:r>
        <w:rPr>
          <w:rFonts w:hint="eastAsia"/>
          <w:color w:val="000000"/>
          <w:sz w:val="36"/>
        </w:rPr>
        <w:t>2025年2月</w:t>
      </w:r>
      <w:r>
        <w:rPr>
          <w:rFonts w:hint="eastAsia"/>
          <w:color w:val="000000"/>
          <w:sz w:val="36"/>
          <w:lang w:val="en-US" w:eastAsia="zh-CN"/>
        </w:rPr>
        <w:t>20</w:t>
      </w:r>
      <w:r>
        <w:rPr>
          <w:rFonts w:hint="eastAsia"/>
          <w:color w:val="000000"/>
          <w:sz w:val="36"/>
        </w:rPr>
        <w:t>日</w:t>
      </w:r>
    </w:p>
    <w:p>
      <w:pPr>
        <w:rPr>
          <w:sz w:val="36"/>
        </w:rPr>
      </w:pPr>
      <w:r>
        <w:rPr>
          <w:rFonts w:hint="eastAsia"/>
          <w:sz w:val="36"/>
        </w:rPr>
        <w:t xml:space="preserve">      签订地点：河南开封</w:t>
      </w:r>
    </w:p>
    <w:p>
      <w:pPr>
        <w:rPr>
          <w:sz w:val="36"/>
          <w:u w:val="single"/>
        </w:rPr>
      </w:pPr>
      <w:r>
        <w:rPr>
          <w:rFonts w:hint="eastAsia"/>
          <w:sz w:val="36"/>
        </w:rPr>
        <w:t xml:space="preserve">      有效期限：3年3个月</w:t>
      </w:r>
    </w:p>
    <w:p>
      <w:pPr>
        <w:rPr>
          <w:sz w:val="36"/>
        </w:rPr>
      </w:pPr>
    </w:p>
    <w:p>
      <w:pPr>
        <w:jc w:val="center"/>
        <w:rPr>
          <w:sz w:val="30"/>
        </w:rPr>
      </w:pPr>
      <w:r>
        <w:rPr>
          <w:rFonts w:hint="eastAsia"/>
          <w:sz w:val="30"/>
        </w:rPr>
        <w:t>河南大学招标办制</w:t>
      </w:r>
    </w:p>
    <w:p>
      <w:pPr>
        <w:jc w:val="center"/>
        <w:rPr>
          <w:b/>
          <w:bCs/>
          <w:sz w:val="44"/>
          <w:szCs w:val="44"/>
        </w:rPr>
        <w:sectPr>
          <w:headerReference r:id="rId3" w:type="default"/>
          <w:headerReference r:id="rId4" w:type="even"/>
          <w:footerReference r:id="rId5" w:type="even"/>
          <w:pgSz w:w="11906" w:h="16838"/>
          <w:pgMar w:top="1440" w:right="1800" w:bottom="1440" w:left="1800" w:header="851" w:footer="992" w:gutter="0"/>
          <w:cols w:space="720" w:num="1"/>
          <w:docGrid w:type="lines" w:linePitch="312" w:charSpace="0"/>
        </w:sectPr>
      </w:pPr>
    </w:p>
    <w:p>
      <w:pPr>
        <w:jc w:val="center"/>
        <w:rPr>
          <w:b/>
          <w:bCs/>
          <w:sz w:val="30"/>
          <w:szCs w:val="30"/>
        </w:rPr>
      </w:pPr>
      <w:r>
        <w:rPr>
          <w:rFonts w:hint="eastAsia"/>
          <w:b/>
          <w:bCs/>
          <w:sz w:val="30"/>
          <w:szCs w:val="30"/>
        </w:rPr>
        <w:t>货物（设备）采购合同</w:t>
      </w:r>
    </w:p>
    <w:p>
      <w:pPr>
        <w:ind w:right="-154"/>
        <w:jc w:val="center"/>
        <w:rPr>
          <w:szCs w:val="21"/>
        </w:rPr>
      </w:pPr>
    </w:p>
    <w:p>
      <w:pPr>
        <w:ind w:right="90"/>
        <w:rPr>
          <w:bCs/>
          <w:sz w:val="24"/>
        </w:rPr>
      </w:pPr>
      <w:r>
        <w:rPr>
          <w:rFonts w:hint="eastAsia"/>
          <w:b/>
          <w:sz w:val="24"/>
        </w:rPr>
        <w:t>买方（甲方）：</w:t>
      </w:r>
      <w:r>
        <w:rPr>
          <w:rFonts w:hint="eastAsia"/>
          <w:b/>
          <w:sz w:val="24"/>
          <w:u w:val="single"/>
        </w:rPr>
        <w:t xml:space="preserve">河南大学  </w:t>
      </w:r>
      <w:r>
        <w:rPr>
          <w:rFonts w:hint="eastAsia"/>
          <w:b/>
          <w:sz w:val="24"/>
        </w:rPr>
        <w:t xml:space="preserve">                           </w:t>
      </w:r>
      <w:r>
        <w:rPr>
          <w:rFonts w:hint="eastAsia"/>
          <w:sz w:val="24"/>
        </w:rPr>
        <w:t>签订地点：</w:t>
      </w:r>
      <w:r>
        <w:rPr>
          <w:rFonts w:hint="eastAsia"/>
          <w:sz w:val="24"/>
          <w:u w:val="single"/>
        </w:rPr>
        <w:t>河南开封</w:t>
      </w:r>
    </w:p>
    <w:p>
      <w:pPr>
        <w:spacing w:line="360" w:lineRule="auto"/>
        <w:rPr>
          <w:sz w:val="24"/>
        </w:rPr>
      </w:pPr>
      <w:r>
        <w:rPr>
          <w:rFonts w:hint="eastAsia"/>
          <w:b/>
          <w:sz w:val="24"/>
        </w:rPr>
        <w:t>卖方（乙方）：</w:t>
      </w:r>
      <w:r>
        <w:rPr>
          <w:rFonts w:hint="eastAsia"/>
          <w:b/>
          <w:sz w:val="24"/>
          <w:u w:val="single"/>
        </w:rPr>
        <w:t xml:space="preserve">中康健(郑州)医疗设备有限公司 </w:t>
      </w:r>
      <w:r>
        <w:rPr>
          <w:rFonts w:hint="eastAsia"/>
          <w:b/>
          <w:sz w:val="24"/>
        </w:rPr>
        <w:t xml:space="preserve">       </w:t>
      </w:r>
      <w:r>
        <w:rPr>
          <w:rFonts w:hint="eastAsia"/>
          <w:sz w:val="24"/>
        </w:rPr>
        <w:t>签订时间：</w:t>
      </w:r>
      <w:r>
        <w:rPr>
          <w:rFonts w:hint="eastAsia"/>
          <w:sz w:val="24"/>
          <w:u w:val="single"/>
        </w:rPr>
        <w:t>2025</w:t>
      </w:r>
      <w:r>
        <w:rPr>
          <w:rFonts w:hint="eastAsia"/>
          <w:sz w:val="24"/>
        </w:rPr>
        <w:t>年</w:t>
      </w:r>
      <w:r>
        <w:rPr>
          <w:rFonts w:hint="eastAsia"/>
          <w:sz w:val="24"/>
          <w:lang w:val="en-US" w:eastAsia="zh-CN"/>
        </w:rPr>
        <w:t>2</w:t>
      </w:r>
      <w:r>
        <w:rPr>
          <w:rFonts w:hint="eastAsia"/>
          <w:sz w:val="24"/>
        </w:rPr>
        <w:t xml:space="preserve"> 月</w:t>
      </w:r>
      <w:r>
        <w:rPr>
          <w:rFonts w:hint="eastAsia"/>
          <w:sz w:val="24"/>
          <w:lang w:val="en-US" w:eastAsia="zh-CN"/>
        </w:rPr>
        <w:t>20</w:t>
      </w:r>
      <w:r>
        <w:rPr>
          <w:rFonts w:hint="eastAsia"/>
          <w:sz w:val="24"/>
        </w:rPr>
        <w:t>日</w:t>
      </w:r>
    </w:p>
    <w:p>
      <w:pPr>
        <w:spacing w:line="360" w:lineRule="auto"/>
        <w:ind w:firstLine="480" w:firstLineChars="200"/>
        <w:rPr>
          <w:sz w:val="24"/>
        </w:rPr>
      </w:pPr>
      <w:r>
        <w:rPr>
          <w:rFonts w:hint="eastAsia"/>
          <w:sz w:val="24"/>
        </w:rPr>
        <w:t>根据《中华人民共和国招标投标法》、《中华人民共和国政府采购法》、《中华人民共和国民法典》等国家法律法规，就甲方向乙方购买商品（设备）的型号、数量、质量、包装、运输、价款、税金、保险、验收、技术服务、售后服务、违约责任、争议解决方式等合同内容，经双方协商一致，签订合同，以兹共同遵守。</w:t>
      </w:r>
    </w:p>
    <w:p>
      <w:pPr>
        <w:spacing w:line="360" w:lineRule="auto"/>
        <w:ind w:firstLine="472" w:firstLineChars="196"/>
        <w:rPr>
          <w:b/>
          <w:sz w:val="24"/>
        </w:rPr>
      </w:pPr>
      <w:r>
        <w:rPr>
          <w:rFonts w:hint="eastAsia"/>
          <w:b/>
          <w:sz w:val="24"/>
        </w:rPr>
        <w:t>一、合同价款</w:t>
      </w:r>
    </w:p>
    <w:p>
      <w:pPr>
        <w:spacing w:line="360" w:lineRule="auto"/>
        <w:ind w:firstLine="480" w:firstLineChars="200"/>
        <w:rPr>
          <w:sz w:val="24"/>
        </w:rPr>
      </w:pPr>
      <w:r>
        <w:rPr>
          <w:rFonts w:hint="eastAsia"/>
          <w:sz w:val="24"/>
        </w:rPr>
        <w:t>本合同的总金额为</w:t>
      </w:r>
      <w:r>
        <w:rPr>
          <w:rFonts w:hint="eastAsia"/>
          <w:sz w:val="24"/>
          <w:u w:val="single"/>
        </w:rPr>
        <w:t>人民币：玖佰叁拾捌万伍仟元整（￥9,385,000.00元）</w:t>
      </w:r>
      <w:r>
        <w:rPr>
          <w:rFonts w:hint="eastAsia"/>
          <w:sz w:val="24"/>
        </w:rPr>
        <w:t>；该价格已经包含制造生产、安装、调试、保险、培训、运输、装卸、税金、利润、保修及乙方人员差旅费用等全部费用。</w:t>
      </w:r>
    </w:p>
    <w:p>
      <w:pPr>
        <w:spacing w:line="360" w:lineRule="auto"/>
        <w:ind w:firstLine="482" w:firstLineChars="200"/>
        <w:rPr>
          <w:b/>
          <w:sz w:val="24"/>
        </w:rPr>
      </w:pPr>
      <w:r>
        <w:rPr>
          <w:rFonts w:hint="eastAsia"/>
          <w:b/>
          <w:sz w:val="24"/>
        </w:rPr>
        <w:t>二、货物（设备）的名称、型号、制造单位、单价、数量和合同价数量及质量要求</w:t>
      </w:r>
    </w:p>
    <w:p>
      <w:pPr>
        <w:kinsoku w:val="0"/>
        <w:spacing w:line="360" w:lineRule="auto"/>
        <w:ind w:firstLine="480" w:firstLineChars="200"/>
        <w:rPr>
          <w:sz w:val="24"/>
        </w:rPr>
      </w:pPr>
      <w:r>
        <w:rPr>
          <w:rFonts w:hint="eastAsia"/>
          <w:sz w:val="24"/>
        </w:rPr>
        <w:t>1、乙方提供的货物（设备）是未有使用过（包括零部件）的商品（设备）、符合国家相关部门制定的生产（制造）标准和检测标准以及该商品（设备）的出厂标准。</w:t>
      </w:r>
    </w:p>
    <w:p>
      <w:pPr>
        <w:kinsoku w:val="0"/>
        <w:spacing w:line="360" w:lineRule="auto"/>
        <w:ind w:firstLine="480" w:firstLineChars="200"/>
        <w:rPr>
          <w:b/>
          <w:sz w:val="24"/>
        </w:rPr>
      </w:pPr>
      <w:r>
        <w:rPr>
          <w:rFonts w:hint="eastAsia"/>
          <w:sz w:val="24"/>
        </w:rPr>
        <w:t>2、购买货物（设备）的名称、型号、制造单位、单价、数量和合同价：</w:t>
      </w:r>
    </w:p>
    <w:tbl>
      <w:tblPr>
        <w:tblStyle w:val="7"/>
        <w:tblW w:w="94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3"/>
        <w:gridCol w:w="1179"/>
        <w:gridCol w:w="1810"/>
        <w:gridCol w:w="2077"/>
        <w:gridCol w:w="379"/>
        <w:gridCol w:w="411"/>
        <w:gridCol w:w="1612"/>
        <w:gridCol w:w="1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333" w:type="dxa"/>
            <w:vAlign w:val="center"/>
          </w:tcPr>
          <w:p>
            <w:pPr>
              <w:kinsoku w:val="0"/>
              <w:jc w:val="center"/>
              <w:rPr>
                <w:b/>
                <w:sz w:val="24"/>
              </w:rPr>
            </w:pPr>
            <w:r>
              <w:rPr>
                <w:rFonts w:hint="eastAsia"/>
                <w:b/>
                <w:sz w:val="24"/>
              </w:rPr>
              <w:t>序号</w:t>
            </w:r>
          </w:p>
        </w:tc>
        <w:tc>
          <w:tcPr>
            <w:tcW w:w="1179" w:type="dxa"/>
            <w:vAlign w:val="center"/>
          </w:tcPr>
          <w:p>
            <w:pPr>
              <w:kinsoku w:val="0"/>
              <w:jc w:val="center"/>
              <w:rPr>
                <w:b/>
                <w:sz w:val="24"/>
              </w:rPr>
            </w:pPr>
            <w:r>
              <w:rPr>
                <w:rFonts w:hint="eastAsia"/>
                <w:b/>
                <w:sz w:val="24"/>
              </w:rPr>
              <w:t>名称</w:t>
            </w:r>
          </w:p>
        </w:tc>
        <w:tc>
          <w:tcPr>
            <w:tcW w:w="1810" w:type="dxa"/>
            <w:vAlign w:val="center"/>
          </w:tcPr>
          <w:p>
            <w:pPr>
              <w:kinsoku w:val="0"/>
              <w:jc w:val="center"/>
              <w:rPr>
                <w:b/>
                <w:sz w:val="24"/>
              </w:rPr>
            </w:pPr>
            <w:r>
              <w:rPr>
                <w:rFonts w:hint="eastAsia"/>
                <w:b/>
                <w:sz w:val="24"/>
              </w:rPr>
              <w:t>品牌型号</w:t>
            </w:r>
          </w:p>
        </w:tc>
        <w:tc>
          <w:tcPr>
            <w:tcW w:w="2077" w:type="dxa"/>
            <w:vAlign w:val="center"/>
          </w:tcPr>
          <w:p>
            <w:pPr>
              <w:kinsoku w:val="0"/>
              <w:ind w:firstLine="104" w:firstLineChars="43"/>
              <w:jc w:val="center"/>
              <w:rPr>
                <w:b/>
                <w:sz w:val="24"/>
              </w:rPr>
            </w:pPr>
            <w:r>
              <w:rPr>
                <w:rFonts w:hint="eastAsia"/>
                <w:b/>
                <w:sz w:val="24"/>
              </w:rPr>
              <w:t>制造商</w:t>
            </w:r>
          </w:p>
        </w:tc>
        <w:tc>
          <w:tcPr>
            <w:tcW w:w="379" w:type="dxa"/>
            <w:vAlign w:val="center"/>
          </w:tcPr>
          <w:p>
            <w:pPr>
              <w:kinsoku w:val="0"/>
              <w:jc w:val="center"/>
              <w:rPr>
                <w:b/>
                <w:sz w:val="24"/>
              </w:rPr>
            </w:pPr>
            <w:r>
              <w:rPr>
                <w:rFonts w:hint="eastAsia"/>
                <w:b/>
                <w:sz w:val="24"/>
              </w:rPr>
              <w:t>单位</w:t>
            </w:r>
          </w:p>
        </w:tc>
        <w:tc>
          <w:tcPr>
            <w:tcW w:w="411" w:type="dxa"/>
            <w:vAlign w:val="center"/>
          </w:tcPr>
          <w:p>
            <w:pPr>
              <w:kinsoku w:val="0"/>
              <w:jc w:val="center"/>
              <w:rPr>
                <w:b/>
                <w:sz w:val="24"/>
              </w:rPr>
            </w:pPr>
            <w:r>
              <w:rPr>
                <w:rFonts w:hint="eastAsia"/>
                <w:b/>
                <w:sz w:val="24"/>
              </w:rPr>
              <w:t>数量</w:t>
            </w:r>
          </w:p>
        </w:tc>
        <w:tc>
          <w:tcPr>
            <w:tcW w:w="1612" w:type="dxa"/>
            <w:vAlign w:val="center"/>
          </w:tcPr>
          <w:p>
            <w:pPr>
              <w:kinsoku w:val="0"/>
              <w:jc w:val="center"/>
              <w:rPr>
                <w:b/>
                <w:sz w:val="24"/>
              </w:rPr>
            </w:pPr>
            <w:r>
              <w:rPr>
                <w:rFonts w:hint="eastAsia"/>
                <w:b/>
                <w:sz w:val="24"/>
              </w:rPr>
              <w:t>单价（元）</w:t>
            </w:r>
          </w:p>
        </w:tc>
        <w:tc>
          <w:tcPr>
            <w:tcW w:w="1610" w:type="dxa"/>
            <w:vAlign w:val="center"/>
          </w:tcPr>
          <w:p>
            <w:pPr>
              <w:kinsoku w:val="0"/>
              <w:jc w:val="center"/>
              <w:rPr>
                <w:b/>
                <w:sz w:val="24"/>
              </w:rPr>
            </w:pPr>
            <w:r>
              <w:rPr>
                <w:rFonts w:hint="eastAsia"/>
                <w:b/>
                <w:sz w:val="24"/>
              </w:rPr>
              <w:t>小计（元）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333" w:type="dxa"/>
            <w:vAlign w:val="center"/>
          </w:tcPr>
          <w:p>
            <w:pPr>
              <w:kinsoku w:val="0"/>
              <w:jc w:val="center"/>
              <w:rPr>
                <w:b/>
                <w:sz w:val="24"/>
              </w:rPr>
            </w:pPr>
            <w:r>
              <w:rPr>
                <w:rFonts w:hint="eastAsia"/>
                <w:b/>
                <w:sz w:val="24"/>
              </w:rPr>
              <w:t>1</w:t>
            </w:r>
          </w:p>
        </w:tc>
        <w:tc>
          <w:tcPr>
            <w:tcW w:w="1179" w:type="dxa"/>
            <w:vAlign w:val="center"/>
          </w:tcPr>
          <w:p>
            <w:pPr>
              <w:kinsoku w:val="0"/>
              <w:adjustRightInd w:val="0"/>
              <w:snapToGrid w:val="0"/>
              <w:spacing w:line="360" w:lineRule="auto"/>
              <w:ind w:right="105" w:rightChars="50"/>
              <w:jc w:val="center"/>
              <w:rPr>
                <w:sz w:val="24"/>
              </w:rPr>
            </w:pPr>
            <w:r>
              <w:rPr>
                <w:rFonts w:hint="eastAsia"/>
                <w:sz w:val="24"/>
              </w:rPr>
              <w:t>全息流式细胞分选仪</w:t>
            </w:r>
          </w:p>
        </w:tc>
        <w:tc>
          <w:tcPr>
            <w:tcW w:w="1810" w:type="dxa"/>
            <w:vAlign w:val="center"/>
          </w:tcPr>
          <w:p>
            <w:pPr>
              <w:kinsoku w:val="0"/>
              <w:adjustRightInd w:val="0"/>
              <w:snapToGrid w:val="0"/>
              <w:spacing w:line="360" w:lineRule="auto"/>
              <w:ind w:right="105" w:rightChars="50"/>
              <w:jc w:val="center"/>
              <w:rPr>
                <w:sz w:val="24"/>
              </w:rPr>
            </w:pPr>
            <w:r>
              <w:rPr>
                <w:rFonts w:hint="eastAsia"/>
                <w:sz w:val="24"/>
              </w:rPr>
              <w:t>BD、FACSDiscover S8</w:t>
            </w:r>
          </w:p>
        </w:tc>
        <w:tc>
          <w:tcPr>
            <w:tcW w:w="2077" w:type="dxa"/>
            <w:vAlign w:val="center"/>
          </w:tcPr>
          <w:p>
            <w:pPr>
              <w:kinsoku w:val="0"/>
              <w:adjustRightInd w:val="0"/>
              <w:snapToGrid w:val="0"/>
              <w:spacing w:line="360" w:lineRule="auto"/>
              <w:ind w:right="105" w:rightChars="50"/>
              <w:jc w:val="center"/>
              <w:rPr>
                <w:sz w:val="24"/>
              </w:rPr>
            </w:pPr>
            <w:r>
              <w:rPr>
                <w:rFonts w:hint="eastAsia"/>
                <w:sz w:val="24"/>
              </w:rPr>
              <w:t>Becton, Dickinson and Company</w:t>
            </w:r>
          </w:p>
        </w:tc>
        <w:tc>
          <w:tcPr>
            <w:tcW w:w="379" w:type="dxa"/>
            <w:vAlign w:val="center"/>
          </w:tcPr>
          <w:p>
            <w:pPr>
              <w:kinsoku w:val="0"/>
              <w:adjustRightInd w:val="0"/>
              <w:snapToGrid w:val="0"/>
              <w:spacing w:line="360" w:lineRule="auto"/>
              <w:ind w:right="105" w:rightChars="50"/>
              <w:jc w:val="center"/>
              <w:rPr>
                <w:sz w:val="24"/>
              </w:rPr>
            </w:pPr>
            <w:r>
              <w:rPr>
                <w:rFonts w:hint="eastAsia"/>
                <w:sz w:val="24"/>
              </w:rPr>
              <w:t>台</w:t>
            </w:r>
          </w:p>
        </w:tc>
        <w:tc>
          <w:tcPr>
            <w:tcW w:w="411" w:type="dxa"/>
            <w:vAlign w:val="center"/>
          </w:tcPr>
          <w:p>
            <w:pPr>
              <w:kinsoku w:val="0"/>
              <w:jc w:val="center"/>
              <w:rPr>
                <w:sz w:val="24"/>
              </w:rPr>
            </w:pPr>
            <w:r>
              <w:rPr>
                <w:rFonts w:hint="eastAsia"/>
                <w:sz w:val="24"/>
              </w:rPr>
              <w:t>1</w:t>
            </w:r>
          </w:p>
        </w:tc>
        <w:tc>
          <w:tcPr>
            <w:tcW w:w="1612" w:type="dxa"/>
            <w:vAlign w:val="center"/>
          </w:tcPr>
          <w:p>
            <w:pPr>
              <w:kinsoku w:val="0"/>
              <w:adjustRightInd w:val="0"/>
              <w:snapToGrid w:val="0"/>
              <w:spacing w:line="360" w:lineRule="auto"/>
              <w:ind w:right="105" w:rightChars="50"/>
              <w:jc w:val="center"/>
              <w:rPr>
                <w:sz w:val="24"/>
              </w:rPr>
            </w:pPr>
            <w:r>
              <w:rPr>
                <w:rFonts w:hint="eastAsia"/>
                <w:sz w:val="24"/>
              </w:rPr>
              <w:t>9,385,000.00</w:t>
            </w:r>
          </w:p>
        </w:tc>
        <w:tc>
          <w:tcPr>
            <w:tcW w:w="1610" w:type="dxa"/>
            <w:vAlign w:val="center"/>
          </w:tcPr>
          <w:p>
            <w:pPr>
              <w:kinsoku w:val="0"/>
              <w:adjustRightInd w:val="0"/>
              <w:snapToGrid w:val="0"/>
              <w:spacing w:line="360" w:lineRule="auto"/>
              <w:ind w:right="105" w:rightChars="50"/>
              <w:jc w:val="center"/>
              <w:rPr>
                <w:sz w:val="24"/>
              </w:rPr>
            </w:pPr>
            <w:r>
              <w:rPr>
                <w:rFonts w:hint="eastAsia"/>
                <w:sz w:val="24"/>
              </w:rPr>
              <w:t>9,385,000.00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9411" w:type="dxa"/>
            <w:gridSpan w:val="8"/>
            <w:vAlign w:val="center"/>
          </w:tcPr>
          <w:p>
            <w:pPr>
              <w:rPr>
                <w:b/>
                <w:sz w:val="24"/>
              </w:rPr>
            </w:pPr>
            <w:r>
              <w:rPr>
                <w:rFonts w:hint="eastAsia"/>
                <w:b/>
                <w:sz w:val="24"/>
              </w:rPr>
              <w:t>总价（大写）：</w:t>
            </w:r>
            <w:r>
              <w:rPr>
                <w:rFonts w:hint="eastAsia"/>
                <w:b/>
                <w:bCs/>
                <w:sz w:val="24"/>
              </w:rPr>
              <w:t>玖佰叁拾捌万伍仟元整</w:t>
            </w:r>
            <w:r>
              <w:rPr>
                <w:rFonts w:hint="eastAsia"/>
                <w:b/>
                <w:sz w:val="24"/>
              </w:rPr>
              <w:t>（小写）：¥9,385,000.00</w:t>
            </w:r>
          </w:p>
        </w:tc>
      </w:tr>
    </w:tbl>
    <w:p>
      <w:pPr>
        <w:spacing w:line="360" w:lineRule="auto"/>
        <w:ind w:firstLine="480" w:firstLineChars="200"/>
        <w:rPr>
          <w:sz w:val="24"/>
        </w:rPr>
      </w:pPr>
      <w:r>
        <w:rPr>
          <w:rFonts w:hint="eastAsia"/>
          <w:sz w:val="24"/>
        </w:rPr>
        <w:t>3、详细的技术规格、质保方案及售后服务标准见附件。</w:t>
      </w:r>
    </w:p>
    <w:p>
      <w:pPr>
        <w:spacing w:line="360" w:lineRule="auto"/>
        <w:ind w:firstLine="482" w:firstLineChars="200"/>
        <w:rPr>
          <w:b/>
          <w:sz w:val="24"/>
        </w:rPr>
      </w:pPr>
      <w:r>
        <w:rPr>
          <w:rFonts w:hint="eastAsia"/>
          <w:b/>
          <w:sz w:val="24"/>
        </w:rPr>
        <w:t>三、安装调试</w:t>
      </w:r>
    </w:p>
    <w:p>
      <w:pPr>
        <w:spacing w:line="360" w:lineRule="auto"/>
        <w:ind w:firstLine="480" w:firstLineChars="200"/>
        <w:rPr>
          <w:sz w:val="24"/>
        </w:rPr>
      </w:pPr>
      <w:r>
        <w:rPr>
          <w:rFonts w:hint="eastAsia"/>
          <w:sz w:val="24"/>
        </w:rPr>
        <w:t>乙方负责对货物（设备）免费进行安装调试，并使其投入正常运行，并经双方人员签字验收。</w:t>
      </w:r>
    </w:p>
    <w:p>
      <w:pPr>
        <w:spacing w:line="360" w:lineRule="auto"/>
        <w:ind w:firstLine="482" w:firstLineChars="200"/>
        <w:rPr>
          <w:b/>
          <w:sz w:val="24"/>
        </w:rPr>
      </w:pPr>
      <w:r>
        <w:rPr>
          <w:rFonts w:hint="eastAsia"/>
          <w:b/>
          <w:sz w:val="24"/>
        </w:rPr>
        <w:t>四、人员技术培训</w:t>
      </w:r>
    </w:p>
    <w:p>
      <w:pPr>
        <w:spacing w:line="360" w:lineRule="auto"/>
        <w:ind w:firstLine="480" w:firstLineChars="200"/>
        <w:rPr>
          <w:sz w:val="24"/>
        </w:rPr>
      </w:pPr>
      <w:r>
        <w:rPr>
          <w:rFonts w:hint="eastAsia"/>
          <w:sz w:val="24"/>
        </w:rPr>
        <w:t>乙方应当安排技术人员免费为甲方人员进行技术培训和现场指导，使购买的货物（设备）符合国家规定运行标准和使用要求。</w:t>
      </w:r>
    </w:p>
    <w:p>
      <w:pPr>
        <w:spacing w:line="360" w:lineRule="auto"/>
        <w:ind w:firstLine="482" w:firstLineChars="200"/>
        <w:rPr>
          <w:b/>
          <w:sz w:val="24"/>
        </w:rPr>
      </w:pPr>
      <w:r>
        <w:rPr>
          <w:rFonts w:hint="eastAsia"/>
          <w:b/>
          <w:sz w:val="24"/>
        </w:rPr>
        <w:t>五、交付的时间、地点、运输方式、运输费用及风险承担</w:t>
      </w:r>
    </w:p>
    <w:p>
      <w:pPr>
        <w:spacing w:line="360" w:lineRule="auto"/>
        <w:ind w:firstLine="480" w:firstLineChars="200"/>
        <w:rPr>
          <w:sz w:val="24"/>
        </w:rPr>
      </w:pPr>
      <w:r>
        <w:rPr>
          <w:rFonts w:hint="eastAsia"/>
          <w:sz w:val="24"/>
        </w:rPr>
        <w:t>1、交货时间、地点：</w:t>
      </w:r>
      <w:r>
        <w:rPr>
          <w:rFonts w:hint="eastAsia" w:asciiTheme="minorEastAsia" w:hAnsiTheme="minorEastAsia" w:eastAsiaTheme="minorEastAsia" w:cstheme="minorEastAsia"/>
          <w:sz w:val="24"/>
        </w:rPr>
        <w:t>于合同生效之日起</w:t>
      </w:r>
      <w:r>
        <w:rPr>
          <w:rFonts w:hint="eastAsia" w:eastAsiaTheme="minorEastAsia"/>
          <w:sz w:val="24"/>
          <w:u w:val="single"/>
        </w:rPr>
        <w:t>90日历日内</w:t>
      </w:r>
      <w:r>
        <w:rPr>
          <w:rFonts w:hint="eastAsia" w:asciiTheme="minorEastAsia" w:hAnsiTheme="minorEastAsia" w:eastAsiaTheme="minorEastAsia" w:cstheme="minorEastAsia"/>
          <w:sz w:val="24"/>
        </w:rPr>
        <w:t>，</w:t>
      </w:r>
      <w:r>
        <w:rPr>
          <w:rFonts w:hint="eastAsia"/>
          <w:sz w:val="24"/>
        </w:rPr>
        <w:t>乙方按甲方指定地点将货物免费送达。甲方或最终用户在乙方收货确认单签字盖章，或者甲方或最终用户在乙方的物流配送单据上予以签字或盖章，作为双方结算的依据。</w:t>
      </w:r>
    </w:p>
    <w:p>
      <w:pPr>
        <w:spacing w:line="360" w:lineRule="auto"/>
        <w:ind w:firstLine="480" w:firstLineChars="200"/>
        <w:rPr>
          <w:sz w:val="24"/>
        </w:rPr>
      </w:pPr>
      <w:r>
        <w:rPr>
          <w:rFonts w:hint="eastAsia"/>
          <w:sz w:val="24"/>
        </w:rPr>
        <w:t>2、产品运输过程中由乙方按国家有关设备供应的规定标准进行包装、供应，产生的相关费用由乙方承担。</w:t>
      </w:r>
    </w:p>
    <w:p>
      <w:pPr>
        <w:spacing w:line="360" w:lineRule="auto"/>
        <w:ind w:firstLine="480" w:firstLineChars="200"/>
        <w:rPr>
          <w:sz w:val="24"/>
        </w:rPr>
      </w:pPr>
      <w:r>
        <w:rPr>
          <w:rFonts w:hint="eastAsia"/>
          <w:sz w:val="24"/>
        </w:rPr>
        <w:t>3、乙方应在交货时向甲方提供货物（设备）生产制造标准、使用说明书、检验合格证明及相关的随机备品备件、配件、工具、软件等资料。</w:t>
      </w:r>
    </w:p>
    <w:p>
      <w:pPr>
        <w:spacing w:line="360" w:lineRule="auto"/>
        <w:ind w:firstLine="480" w:firstLineChars="200"/>
        <w:rPr>
          <w:sz w:val="24"/>
        </w:rPr>
      </w:pPr>
      <w:r>
        <w:rPr>
          <w:rFonts w:hint="eastAsia"/>
          <w:sz w:val="24"/>
        </w:rPr>
        <w:t>4、合同货物（设备）验收前的货物毁损、灭失的风险由乙方承担，验收合格后的货物灭失的风险由甲方承担。如合同商品参加保险，保险赔偿款由风险承担者享有。</w:t>
      </w:r>
    </w:p>
    <w:p>
      <w:pPr>
        <w:spacing w:line="360" w:lineRule="auto"/>
        <w:ind w:firstLine="482" w:firstLineChars="200"/>
        <w:rPr>
          <w:b/>
          <w:sz w:val="24"/>
        </w:rPr>
      </w:pPr>
      <w:r>
        <w:rPr>
          <w:rFonts w:hint="eastAsia"/>
          <w:b/>
          <w:sz w:val="24"/>
        </w:rPr>
        <w:t>六、货物（设备）验收标准、验收方式</w:t>
      </w:r>
    </w:p>
    <w:p>
      <w:pPr>
        <w:spacing w:line="360" w:lineRule="auto"/>
        <w:ind w:firstLine="480" w:firstLineChars="200"/>
        <w:rPr>
          <w:sz w:val="24"/>
        </w:rPr>
      </w:pPr>
      <w:r>
        <w:rPr>
          <w:rFonts w:hint="eastAsia"/>
          <w:sz w:val="24"/>
        </w:rPr>
        <w:t>1、按国家现行验收标准、规范等有关规定执行，甲方在收到货物（设备）后可以在合理期限内提出异议。</w:t>
      </w:r>
    </w:p>
    <w:p>
      <w:pPr>
        <w:spacing w:line="360" w:lineRule="auto"/>
        <w:ind w:firstLine="480" w:firstLineChars="200"/>
        <w:rPr>
          <w:sz w:val="24"/>
        </w:rPr>
      </w:pPr>
      <w:r>
        <w:rPr>
          <w:rFonts w:hint="eastAsia"/>
          <w:sz w:val="24"/>
        </w:rPr>
        <w:t>2、货物（设备）使用单位应在货物（设备）交付后，根据初验结果以及安装、调试、培训等情况正常运行一段时间后向甲方提出货物（设备）验收申请。</w:t>
      </w:r>
    </w:p>
    <w:p>
      <w:pPr>
        <w:spacing w:line="360" w:lineRule="auto"/>
        <w:ind w:firstLine="480" w:firstLineChars="200"/>
        <w:rPr>
          <w:sz w:val="24"/>
        </w:rPr>
      </w:pPr>
      <w:r>
        <w:rPr>
          <w:rFonts w:hint="eastAsia"/>
          <w:sz w:val="24"/>
        </w:rPr>
        <w:t>3、根据验收申请，甲方组织相关人员进行正式验收，也可以根据实际需要增加出厂检验、安装调试检验等多种验收环节，特殊情况下可以组织第三方共同验收。</w:t>
      </w:r>
    </w:p>
    <w:p>
      <w:pPr>
        <w:spacing w:line="360" w:lineRule="auto"/>
        <w:ind w:firstLine="482" w:firstLineChars="200"/>
        <w:rPr>
          <w:b/>
          <w:sz w:val="24"/>
        </w:rPr>
      </w:pPr>
      <w:r>
        <w:rPr>
          <w:rFonts w:hint="eastAsia"/>
          <w:b/>
          <w:sz w:val="24"/>
        </w:rPr>
        <w:t>七、货物（设备）付款时间、支付方式和支付条件</w:t>
      </w:r>
    </w:p>
    <w:p>
      <w:pPr>
        <w:spacing w:line="360" w:lineRule="auto"/>
        <w:ind w:firstLine="480" w:firstLineChars="200"/>
        <w:rPr>
          <w:sz w:val="24"/>
        </w:rPr>
      </w:pPr>
      <w:r>
        <w:rPr>
          <w:rFonts w:hint="eastAsia"/>
          <w:sz w:val="24"/>
        </w:rPr>
        <w:t>1、合同签订后甲方收到乙方合同总金额40%的银行保函形式的预付款担保函（有效期不少于6个月）和相等金额收款收据之日起20个工作日内，甲方向乙方支付合同</w:t>
      </w:r>
      <w:r>
        <w:rPr>
          <w:rFonts w:hint="eastAsia" w:asciiTheme="minorEastAsia" w:hAnsiTheme="minorEastAsia" w:eastAsiaTheme="minorEastAsia" w:cstheme="minorEastAsia"/>
          <w:color w:val="000000" w:themeColor="text1"/>
          <w:sz w:val="24"/>
          <w14:textFill>
            <w14:solidFill>
              <w14:schemeClr w14:val="tx1"/>
            </w14:solidFill>
          </w14:textFill>
        </w:rPr>
        <w:t>总金额的40%(大写:</w:t>
      </w:r>
      <w:r>
        <w:rPr>
          <w:rFonts w:hint="eastAsia" w:ascii="Calibri" w:hAnsi="Calibri" w:eastAsiaTheme="minorEastAsia"/>
          <w:color w:val="000000" w:themeColor="text1"/>
          <w:sz w:val="24"/>
          <w:u w:val="single"/>
          <w:lang w:bidi="ar"/>
          <w14:textFill>
            <w14:solidFill>
              <w14:schemeClr w14:val="tx1"/>
            </w14:solidFill>
          </w14:textFill>
        </w:rPr>
        <w:t>人民币叁佰柒拾伍万肆仟</w:t>
      </w:r>
      <w:r>
        <w:rPr>
          <w:rFonts w:hint="eastAsia" w:asciiTheme="minorEastAsia" w:hAnsiTheme="minorEastAsia" w:eastAsiaTheme="minorEastAsia" w:cstheme="minorEastAsia"/>
          <w:color w:val="000000" w:themeColor="text1"/>
          <w:sz w:val="24"/>
          <w14:textFill>
            <w14:solidFill>
              <w14:schemeClr w14:val="tx1"/>
            </w14:solidFill>
          </w14:textFill>
        </w:rPr>
        <w:t>元整、小写:</w:t>
      </w:r>
      <w:r>
        <w:rPr>
          <w:rFonts w:ascii="Calibri" w:hAnsi="Calibri"/>
          <w:color w:val="000000" w:themeColor="text1"/>
          <w:sz w:val="24"/>
          <w:u w:val="single"/>
          <w:lang w:bidi="ar"/>
          <w14:textFill>
            <w14:solidFill>
              <w14:schemeClr w14:val="tx1"/>
            </w14:solidFill>
          </w14:textFill>
        </w:rPr>
        <w:t xml:space="preserve"> </w:t>
      </w:r>
      <w:r>
        <w:rPr>
          <w:rFonts w:hint="eastAsia" w:ascii="Calibri" w:hAnsi="Calibri"/>
          <w:color w:val="000000" w:themeColor="text1"/>
          <w:sz w:val="24"/>
          <w:u w:val="single"/>
          <w:lang w:bidi="ar"/>
          <w14:textFill>
            <w14:solidFill>
              <w14:schemeClr w14:val="tx1"/>
            </w14:solidFill>
          </w14:textFill>
        </w:rPr>
        <w:t>￥3,754,000.00</w:t>
      </w:r>
      <w:r>
        <w:rPr>
          <w:rFonts w:hint="eastAsia" w:asciiTheme="minorEastAsia" w:hAnsiTheme="minorEastAsia" w:eastAsiaTheme="minorEastAsia" w:cstheme="minorEastAsia"/>
          <w:color w:val="000000" w:themeColor="text1"/>
          <w:sz w:val="24"/>
          <w14:textFill>
            <w14:solidFill>
              <w14:schemeClr w14:val="tx1"/>
            </w14:solidFill>
          </w14:textFill>
        </w:rPr>
        <w:t>元)</w:t>
      </w:r>
      <w:r>
        <w:rPr>
          <w:rFonts w:hint="eastAsia"/>
          <w:sz w:val="24"/>
        </w:rPr>
        <w:t>作为合同预付款；</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sz w:val="24"/>
        </w:rPr>
        <w:t>2、货物（设备）到达合同约定的交货地点并经甲、乙双方进行验收合格后，乙方向甲方提供本合同金额5%的银行保函（有效期同质保期，首次有效期不少于24个月），甲方收到银行保函并查验无误后，</w:t>
      </w:r>
      <w:r>
        <w:rPr>
          <w:rFonts w:hint="eastAsia" w:asciiTheme="minorEastAsia" w:hAnsiTheme="minorEastAsia" w:eastAsiaTheme="minorEastAsia" w:cstheme="minorEastAsia"/>
          <w:color w:val="000000" w:themeColor="text1"/>
          <w:sz w:val="24"/>
          <w14:textFill>
            <w14:solidFill>
              <w14:schemeClr w14:val="tx1"/>
            </w14:solidFill>
          </w14:textFill>
        </w:rPr>
        <w:t>向乙方支付剩余货款(总合同金额的60%，大写:</w:t>
      </w:r>
      <w:r>
        <w:rPr>
          <w:rFonts w:hint="eastAsia" w:asciiTheme="minorEastAsia" w:hAnsiTheme="minorEastAsia" w:eastAsiaTheme="minorEastAsia" w:cstheme="minorEastAsia"/>
          <w:color w:val="000000" w:themeColor="text1"/>
          <w:sz w:val="24"/>
          <w:u w:val="single"/>
          <w14:textFill>
            <w14:solidFill>
              <w14:schemeClr w14:val="tx1"/>
            </w14:solidFill>
          </w14:textFill>
        </w:rPr>
        <w:t>人民币伍佰陆拾叁万壹仟</w:t>
      </w:r>
      <w:r>
        <w:rPr>
          <w:rFonts w:hint="eastAsia" w:asciiTheme="minorEastAsia" w:hAnsiTheme="minorEastAsia" w:eastAsiaTheme="minorEastAsia" w:cstheme="minorEastAsia"/>
          <w:color w:val="000000" w:themeColor="text1"/>
          <w:sz w:val="24"/>
          <w14:textFill>
            <w14:solidFill>
              <w14:schemeClr w14:val="tx1"/>
            </w14:solidFill>
          </w14:textFill>
        </w:rPr>
        <w:t>元整、小写:</w:t>
      </w:r>
      <w:r>
        <w:rPr>
          <w:rFonts w:hint="eastAsia" w:ascii="Calibri" w:hAnsi="Calibri" w:eastAsiaTheme="minorEastAsia"/>
          <w:color w:val="000000" w:themeColor="text1"/>
          <w:sz w:val="24"/>
          <w:u w:val="single"/>
          <w:lang w:bidi="ar"/>
          <w14:textFill>
            <w14:solidFill>
              <w14:schemeClr w14:val="tx1"/>
            </w14:solidFill>
          </w14:textFill>
        </w:rPr>
        <w:t>￥5,631,000.00</w:t>
      </w:r>
      <w:r>
        <w:rPr>
          <w:rFonts w:hint="eastAsia" w:asciiTheme="minorEastAsia" w:hAnsiTheme="minorEastAsia" w:eastAsiaTheme="minorEastAsia" w:cstheme="minorEastAsia"/>
          <w:color w:val="000000" w:themeColor="text1"/>
          <w:sz w:val="24"/>
          <w14:textFill>
            <w14:solidFill>
              <w14:schemeClr w14:val="tx1"/>
            </w14:solidFill>
          </w14:textFill>
        </w:rPr>
        <w:t>元)。</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以上涉及金额部分均为人民币计价，合同期内由于汇率变动产生的经营风险由乙方承担,乙方放弃以情势变更为理由要求变更甲方的付款金额。如遇不可抗力或不归责于甲方原因造成的付款延迟，甲方无需承担延迟付款的违约责任。</w:t>
      </w:r>
    </w:p>
    <w:p>
      <w:pPr>
        <w:spacing w:line="360" w:lineRule="auto"/>
        <w:ind w:firstLine="588" w:firstLineChars="245"/>
        <w:rPr>
          <w:sz w:val="24"/>
        </w:rPr>
      </w:pPr>
      <w:r>
        <w:rPr>
          <w:rFonts w:hint="eastAsia"/>
          <w:sz w:val="24"/>
        </w:rPr>
        <w:t>3、支付方式：</w:t>
      </w:r>
    </w:p>
    <w:p>
      <w:pPr>
        <w:spacing w:line="360" w:lineRule="auto"/>
        <w:ind w:firstLine="588" w:firstLineChars="245"/>
        <w:rPr>
          <w:sz w:val="24"/>
        </w:rPr>
      </w:pPr>
      <w:r>
        <w:rPr>
          <w:rFonts w:hint="eastAsia"/>
          <w:sz w:val="24"/>
        </w:rPr>
        <w:t>本合同项下所有政府采购结算款全部支付至乙方（中标方）在</w:t>
      </w:r>
      <w:r>
        <w:rPr>
          <w:rFonts w:hint="eastAsia"/>
          <w:sz w:val="24"/>
          <w:u w:val="single"/>
        </w:rPr>
        <w:t>郑州银行股份有限公司文化宫支行</w:t>
      </w:r>
      <w:r>
        <w:rPr>
          <w:rFonts w:hint="eastAsia"/>
          <w:sz w:val="24"/>
        </w:rPr>
        <w:t>开立的监管账户，该回款账户未经</w:t>
      </w:r>
      <w:r>
        <w:rPr>
          <w:rFonts w:hint="eastAsia"/>
          <w:sz w:val="24"/>
          <w:u w:val="single"/>
        </w:rPr>
        <w:t>中康健（郑州）医疗设备有限公司</w:t>
      </w:r>
      <w:r>
        <w:rPr>
          <w:rFonts w:hint="eastAsia"/>
          <w:sz w:val="24"/>
        </w:rPr>
        <w:t>同意不得更改，具体账户信息如下：</w:t>
      </w:r>
    </w:p>
    <w:p>
      <w:pPr>
        <w:spacing w:line="360" w:lineRule="auto"/>
        <w:ind w:firstLine="590" w:firstLineChars="246"/>
        <w:rPr>
          <w:sz w:val="24"/>
        </w:rPr>
      </w:pPr>
      <w:r>
        <w:rPr>
          <w:rFonts w:hint="eastAsia"/>
          <w:sz w:val="24"/>
        </w:rPr>
        <w:t xml:space="preserve">统一社会信用代码：91410105MA9FUH6T2G    </w:t>
      </w:r>
    </w:p>
    <w:p>
      <w:pPr>
        <w:spacing w:line="360" w:lineRule="auto"/>
        <w:ind w:firstLine="590" w:firstLineChars="246"/>
        <w:rPr>
          <w:sz w:val="24"/>
        </w:rPr>
      </w:pPr>
      <w:r>
        <w:rPr>
          <w:rFonts w:hint="eastAsia"/>
          <w:sz w:val="24"/>
        </w:rPr>
        <w:t xml:space="preserve">账户名称：中康健（郑州）医疗设备有限公司     </w:t>
      </w:r>
    </w:p>
    <w:p>
      <w:pPr>
        <w:spacing w:line="360" w:lineRule="auto"/>
        <w:ind w:firstLine="590" w:firstLineChars="246"/>
        <w:rPr>
          <w:sz w:val="24"/>
        </w:rPr>
      </w:pPr>
      <w:r>
        <w:rPr>
          <w:rFonts w:hint="eastAsia"/>
          <w:sz w:val="24"/>
        </w:rPr>
        <w:t>账号：9991 5600 0220 0043 3400 0002</w:t>
      </w:r>
    </w:p>
    <w:p>
      <w:pPr>
        <w:spacing w:line="360" w:lineRule="auto"/>
        <w:ind w:firstLine="590" w:firstLineChars="246"/>
        <w:rPr>
          <w:sz w:val="24"/>
        </w:rPr>
      </w:pPr>
      <w:r>
        <w:rPr>
          <w:rFonts w:hint="eastAsia"/>
          <w:sz w:val="24"/>
        </w:rPr>
        <w:t>开户行：郑州银行股份有限公司文化宫支行</w:t>
      </w:r>
    </w:p>
    <w:p>
      <w:pPr>
        <w:numPr>
          <w:ilvl w:val="0"/>
          <w:numId w:val="1"/>
        </w:numPr>
        <w:spacing w:line="360" w:lineRule="auto"/>
        <w:ind w:firstLine="480" w:firstLineChars="200"/>
        <w:rPr>
          <w:sz w:val="24"/>
        </w:rPr>
      </w:pPr>
      <w:r>
        <w:rPr>
          <w:rFonts w:hint="eastAsia"/>
          <w:sz w:val="24"/>
        </w:rPr>
        <w:t>合同支付预付款的，乙方应先向甲方提供预付款相等金额收款收据；待货物(设备)到达合同约定地点并经甲乙双方验收合格后乙方按合同约定金额全额开具符合国家规定的发票，甲方收到发票并通过国家税务部门官方网站检验发票真伪后按付款流程支付合同价款。</w:t>
      </w:r>
    </w:p>
    <w:p>
      <w:pPr>
        <w:spacing w:line="360" w:lineRule="auto"/>
        <w:ind w:firstLine="480" w:firstLineChars="200"/>
        <w:rPr>
          <w:sz w:val="24"/>
        </w:rPr>
      </w:pPr>
      <w:r>
        <w:rPr>
          <w:rFonts w:hint="eastAsia"/>
          <w:sz w:val="24"/>
        </w:rPr>
        <w:t>5、乙方必须提供真实、合法的发票。若乙方提供虚假发票，自发现之日起三日内乙方应无条件提供正规发票并承担甲方因此所遭受的所有损失。发票上记载的款项甲方有权不再支付，从合同款中扣减。</w:t>
      </w:r>
    </w:p>
    <w:p>
      <w:pPr>
        <w:spacing w:line="360" w:lineRule="auto"/>
        <w:ind w:firstLine="480" w:firstLineChars="200"/>
        <w:rPr>
          <w:bCs/>
          <w:sz w:val="24"/>
        </w:rPr>
      </w:pPr>
      <w:r>
        <w:rPr>
          <w:rFonts w:hint="eastAsia"/>
          <w:sz w:val="24"/>
        </w:rPr>
        <w:t>6、甲方在合同履行过程中，根据采购需求，需要追加与合同标的相同货物或服务的，可以签订补充协议，追加部分的价款不应超出合同价款的10%。</w:t>
      </w:r>
    </w:p>
    <w:p>
      <w:pPr>
        <w:spacing w:line="360" w:lineRule="auto"/>
        <w:ind w:firstLine="482" w:firstLineChars="200"/>
        <w:rPr>
          <w:b/>
          <w:sz w:val="24"/>
        </w:rPr>
      </w:pPr>
      <w:r>
        <w:rPr>
          <w:rFonts w:hint="eastAsia"/>
          <w:b/>
          <w:sz w:val="24"/>
        </w:rPr>
        <w:t>八、违约责任</w:t>
      </w:r>
    </w:p>
    <w:p>
      <w:pPr>
        <w:spacing w:line="360" w:lineRule="auto"/>
        <w:ind w:firstLine="480" w:firstLineChars="200"/>
        <w:rPr>
          <w:sz w:val="24"/>
        </w:rPr>
      </w:pPr>
      <w:r>
        <w:rPr>
          <w:rFonts w:hint="eastAsia"/>
          <w:sz w:val="24"/>
        </w:rPr>
        <w:t>1、乙方未按期限、地点履行卖方义务，每延迟一日，乙方应当按本合同总金额的0.5％向甲方支付违约金；乙方逾期交货时间超过7日的或违约金累积达到合同总金额的10%时，甲方有权不经通知解除与乙方的合同，要求乙方支付合同金额30%的违约金。同时，乙方应赔偿由于逾期供货给甲方造成的全部损失；如违约金不足以赔偿甲方损失的，乙方还应当赔偿全部损失。</w:t>
      </w:r>
    </w:p>
    <w:p>
      <w:pPr>
        <w:spacing w:line="360" w:lineRule="auto"/>
        <w:ind w:firstLine="480" w:firstLineChars="200"/>
        <w:rPr>
          <w:bCs/>
          <w:sz w:val="24"/>
        </w:rPr>
      </w:pPr>
      <w:r>
        <w:rPr>
          <w:rFonts w:hint="eastAsia"/>
          <w:sz w:val="24"/>
        </w:rPr>
        <w:t>2、乙方所提供的设备品种、型号、规格、质量不符合国家规定及本合同规定标准的，甲方有权拒收设备，并有权单方解除合同，乙方应向甲方支付不超过设备款总值30%的违约金。</w:t>
      </w:r>
      <w:r>
        <w:rPr>
          <w:rFonts w:hint="eastAsia"/>
          <w:bCs/>
          <w:sz w:val="24"/>
        </w:rPr>
        <w:t>甲方不解除合同的，除乙方按前述约定支付违约金外，乙方应在本合同约定的期限内换货、补货，超出本合同第五条约定期限的，乙方应按第八条第一款的约定承担违约责任，换货、补货的费用由乙方承担。如果根据合同标的和履行的情况不具备更换条件的，</w:t>
      </w:r>
      <w:r>
        <w:rPr>
          <w:rFonts w:hint="eastAsia"/>
          <w:sz w:val="24"/>
        </w:rPr>
        <w:t>乙方应向甲方支付不超过设备（货物）合同款总值30%的违约金，并按二种商品之间差价的二倍金额赔偿甲方的损失。</w:t>
      </w:r>
    </w:p>
    <w:p>
      <w:pPr>
        <w:spacing w:line="360" w:lineRule="auto"/>
        <w:ind w:firstLine="480" w:firstLineChars="200"/>
        <w:rPr>
          <w:sz w:val="24"/>
        </w:rPr>
      </w:pPr>
      <w:r>
        <w:rPr>
          <w:rFonts w:hint="eastAsia"/>
          <w:sz w:val="24"/>
        </w:rPr>
        <w:t>3、乙方提供的货物（设备）是由于在装卸、运输或包装造成的产品破损，乙方应负责补足合格产品数量并承担相应费用。</w:t>
      </w:r>
    </w:p>
    <w:p>
      <w:pPr>
        <w:spacing w:line="360" w:lineRule="auto"/>
        <w:ind w:firstLine="480" w:firstLineChars="200"/>
        <w:rPr>
          <w:sz w:val="24"/>
        </w:rPr>
      </w:pPr>
      <w:r>
        <w:rPr>
          <w:rFonts w:hint="eastAsia"/>
          <w:sz w:val="24"/>
        </w:rPr>
        <w:t>4、乙方应对提供的货物（设备）在使用过程中给甲方或任何第三方造成的人身伤害或财产损失应当承担全部责任</w:t>
      </w:r>
      <w:bookmarkStart w:id="1" w:name="_Hlt503692969"/>
      <w:bookmarkEnd w:id="1"/>
      <w:bookmarkStart w:id="2" w:name="_Hlt503692967"/>
      <w:bookmarkEnd w:id="2"/>
      <w:r>
        <w:rPr>
          <w:rFonts w:hint="eastAsia"/>
          <w:sz w:val="24"/>
        </w:rPr>
        <w:t>。</w:t>
      </w:r>
    </w:p>
    <w:p>
      <w:pPr>
        <w:spacing w:line="360" w:lineRule="auto"/>
        <w:ind w:firstLine="480" w:firstLineChars="200"/>
        <w:rPr>
          <w:sz w:val="24"/>
        </w:rPr>
      </w:pPr>
      <w:r>
        <w:rPr>
          <w:rFonts w:hint="eastAsia"/>
          <w:sz w:val="24"/>
        </w:rPr>
        <w:t>5、本货物（设备）的质保期</w:t>
      </w:r>
      <w:r>
        <w:rPr>
          <w:rFonts w:hint="eastAsia"/>
          <w:sz w:val="24"/>
          <w:u w:val="single"/>
        </w:rPr>
        <w:t xml:space="preserve"> 叁 </w:t>
      </w:r>
      <w:r>
        <w:rPr>
          <w:rFonts w:hint="eastAsia"/>
          <w:sz w:val="24"/>
        </w:rPr>
        <w:t>年，如乙方违反《售后服务计划》约定未及时履行保修义务的，每发生一次，乙方应向甲方支付违约金10000元。甲方因乙方违约而委托第三方进行维修所产生的相应维修费用，乙方无条件同意并承担由此产生的所有费用和责任。</w:t>
      </w:r>
    </w:p>
    <w:p>
      <w:pPr>
        <w:pStyle w:val="11"/>
        <w:spacing w:line="360" w:lineRule="auto"/>
        <w:ind w:firstLine="470" w:firstLineChars="196"/>
        <w:rPr>
          <w:rFonts w:cs="Times New Roman"/>
          <w:bCs/>
        </w:rPr>
      </w:pPr>
      <w:r>
        <w:rPr>
          <w:rFonts w:hint="eastAsia" w:cs="Times New Roman"/>
        </w:rPr>
        <w:t>6.货物（设备）经验收合格、乙方不存在违约责任的情形下，甲方未按照本合同约定付款方式支付货款，每逾期一日，未付货款甲方按照本合同订立时中国人民银行授权全国银行间同业拆借中心公布1年期贷款市场报价利率（LPR）向乙方支付逾期利息。</w:t>
      </w:r>
    </w:p>
    <w:p>
      <w:pPr>
        <w:adjustRightInd w:val="0"/>
        <w:snapToGrid w:val="0"/>
        <w:spacing w:line="360" w:lineRule="auto"/>
        <w:ind w:firstLine="482" w:firstLineChars="200"/>
        <w:jc w:val="left"/>
        <w:rPr>
          <w:b/>
          <w:sz w:val="24"/>
        </w:rPr>
      </w:pPr>
      <w:r>
        <w:rPr>
          <w:rFonts w:hint="eastAsia"/>
          <w:b/>
          <w:sz w:val="24"/>
        </w:rPr>
        <w:t>九、特别约定</w:t>
      </w:r>
    </w:p>
    <w:p>
      <w:pPr>
        <w:adjustRightInd w:val="0"/>
        <w:snapToGrid w:val="0"/>
        <w:spacing w:line="360" w:lineRule="auto"/>
        <w:ind w:firstLine="480" w:firstLineChars="200"/>
        <w:jc w:val="left"/>
        <w:rPr>
          <w:sz w:val="24"/>
        </w:rPr>
      </w:pPr>
      <w:r>
        <w:rPr>
          <w:rFonts w:hint="eastAsia"/>
          <w:sz w:val="24"/>
        </w:rPr>
        <w:t>1、甲、乙双方应严格遵守投标要求和投标人须知，如有违反，按投标要求和投标人须知规定予以处理。因设备的质量问题发生争议，可由法定的技术鉴定单位进行质量鉴定，经鉴定产品设备存在质量问题的，因此发生的鉴定费用及其他合理费用由乙方全部承担。</w:t>
      </w:r>
    </w:p>
    <w:p>
      <w:pPr>
        <w:pStyle w:val="6"/>
        <w:adjustRightInd w:val="0"/>
        <w:snapToGrid w:val="0"/>
        <w:spacing w:line="360" w:lineRule="auto"/>
        <w:ind w:firstLine="480" w:firstLineChars="200"/>
        <w:rPr>
          <w:kern w:val="2"/>
        </w:rPr>
      </w:pPr>
      <w:r>
        <w:rPr>
          <w:rFonts w:hint="eastAsia"/>
          <w:kern w:val="2"/>
        </w:rPr>
        <w:t>2、本合同采购文件及其修改、投标文件及其修改、澄清、合同附件均为本合同的组成部分，具有同等法律效力；与本合同约定不一致之处，以本合同为准。</w:t>
      </w:r>
    </w:p>
    <w:p>
      <w:pPr>
        <w:spacing w:line="360" w:lineRule="auto"/>
        <w:ind w:firstLine="480" w:firstLineChars="200"/>
        <w:rPr>
          <w:sz w:val="24"/>
        </w:rPr>
      </w:pPr>
      <w:r>
        <w:rPr>
          <w:rFonts w:hint="eastAsia"/>
          <w:sz w:val="24"/>
        </w:rPr>
        <w:t>3、本合同的任何修改、补充应以书面形式进行，并经双方的授权代表签字并加盖公章后方为有效。</w:t>
      </w:r>
    </w:p>
    <w:p>
      <w:pPr>
        <w:spacing w:line="360" w:lineRule="auto"/>
        <w:ind w:firstLine="482" w:firstLineChars="200"/>
        <w:rPr>
          <w:b/>
          <w:sz w:val="24"/>
        </w:rPr>
      </w:pPr>
      <w:r>
        <w:rPr>
          <w:rFonts w:hint="eastAsia"/>
          <w:b/>
          <w:sz w:val="24"/>
        </w:rPr>
        <w:t>十、争议解决方式和管辖</w:t>
      </w:r>
      <w:bookmarkStart w:id="3" w:name="_GoBack"/>
      <w:bookmarkEnd w:id="3"/>
    </w:p>
    <w:p>
      <w:pPr>
        <w:spacing w:line="360" w:lineRule="auto"/>
        <w:ind w:firstLine="480" w:firstLineChars="200"/>
        <w:rPr>
          <w:sz w:val="24"/>
        </w:rPr>
      </w:pPr>
      <w:r>
        <w:rPr>
          <w:rFonts w:hint="eastAsia"/>
          <w:sz w:val="24"/>
        </w:rPr>
        <w:t>因货物（设备）的质量问题发生争议以及履行本合同发生争议的，以本合同条款为标准协商解决，若协商无果，任何一方均可向合同签订地的人民法院提起诉讼。</w:t>
      </w:r>
    </w:p>
    <w:p>
      <w:pPr>
        <w:spacing w:line="360" w:lineRule="auto"/>
        <w:ind w:firstLine="482" w:firstLineChars="200"/>
        <w:rPr>
          <w:b/>
          <w:sz w:val="24"/>
        </w:rPr>
      </w:pPr>
      <w:r>
        <w:rPr>
          <w:rFonts w:hint="eastAsia"/>
          <w:b/>
          <w:sz w:val="24"/>
        </w:rPr>
        <w:t>十一、生效及其它</w:t>
      </w:r>
    </w:p>
    <w:p>
      <w:pPr>
        <w:spacing w:line="360" w:lineRule="auto"/>
        <w:ind w:firstLine="480" w:firstLineChars="200"/>
        <w:rPr>
          <w:sz w:val="24"/>
        </w:rPr>
      </w:pPr>
      <w:r>
        <w:rPr>
          <w:rFonts w:hint="eastAsia"/>
          <w:sz w:val="24"/>
        </w:rPr>
        <w:t>1、本合同自甲、乙双方签字、盖章之日起生效。</w:t>
      </w:r>
    </w:p>
    <w:p>
      <w:pPr>
        <w:spacing w:line="360" w:lineRule="auto"/>
        <w:ind w:firstLine="480" w:firstLineChars="200"/>
        <w:rPr>
          <w:sz w:val="24"/>
        </w:rPr>
      </w:pPr>
      <w:r>
        <w:rPr>
          <w:rFonts w:hint="eastAsia"/>
          <w:sz w:val="24"/>
        </w:rPr>
        <w:t>2、如有未尽事宜，甲、乙双方可另行协商签订补充协议，补充协议及招、投标文件、质疑答复、附件和本合同具有同等法律效力。</w:t>
      </w:r>
    </w:p>
    <w:p>
      <w:pPr>
        <w:spacing w:line="360" w:lineRule="auto"/>
        <w:ind w:firstLine="480" w:firstLineChars="200"/>
        <w:rPr>
          <w:sz w:val="24"/>
        </w:rPr>
      </w:pPr>
      <w:r>
        <w:rPr>
          <w:rFonts w:hint="eastAsia"/>
          <w:sz w:val="24"/>
        </w:rPr>
        <w:t>3、本合同一式七份，甲方</w:t>
      </w:r>
      <w:r>
        <w:rPr>
          <w:rFonts w:hint="eastAsia"/>
          <w:sz w:val="24"/>
          <w:u w:val="single"/>
        </w:rPr>
        <w:t>四</w:t>
      </w:r>
      <w:r>
        <w:rPr>
          <w:rFonts w:hint="eastAsia"/>
          <w:sz w:val="24"/>
        </w:rPr>
        <w:t>份、乙方</w:t>
      </w:r>
      <w:r>
        <w:rPr>
          <w:rFonts w:hint="eastAsia"/>
          <w:sz w:val="24"/>
          <w:u w:val="single"/>
        </w:rPr>
        <w:t>二</w:t>
      </w:r>
      <w:r>
        <w:rPr>
          <w:rFonts w:hint="eastAsia"/>
          <w:sz w:val="24"/>
        </w:rPr>
        <w:t>份、招标公司</w:t>
      </w:r>
      <w:r>
        <w:rPr>
          <w:rFonts w:hint="eastAsia"/>
          <w:sz w:val="24"/>
          <w:u w:val="single"/>
        </w:rPr>
        <w:t>一</w:t>
      </w:r>
      <w:r>
        <w:rPr>
          <w:rFonts w:hint="eastAsia"/>
          <w:sz w:val="24"/>
        </w:rPr>
        <w:t>份，具有同等法律效力。</w:t>
      </w:r>
    </w:p>
    <w:p>
      <w:pPr>
        <w:spacing w:line="360" w:lineRule="auto"/>
        <w:rPr>
          <w:sz w:val="24"/>
        </w:rPr>
      </w:pPr>
      <w:r>
        <w:rPr>
          <w:rFonts w:hint="eastAsia"/>
          <w:sz w:val="24"/>
        </w:rPr>
        <w:t>（以下无正文，为合同签署页）</w:t>
      </w:r>
    </w:p>
    <w:p>
      <w:pPr>
        <w:spacing w:line="360" w:lineRule="auto"/>
        <w:rPr>
          <w:b/>
          <w:sz w:val="24"/>
        </w:rPr>
      </w:pPr>
    </w:p>
    <w:p>
      <w:pPr>
        <w:rPr>
          <w:rFonts w:hint="eastAsia" w:eastAsia="宋体"/>
          <w:sz w:val="24"/>
          <w:lang w:eastAsia="zh-CN"/>
        </w:rPr>
      </w:pPr>
      <w:r>
        <w:rPr>
          <w:rFonts w:hint="eastAsia"/>
          <w:b/>
          <w:sz w:val="24"/>
        </w:rPr>
        <w:drawing>
          <wp:inline distT="0" distB="0" distL="114300" distR="114300">
            <wp:extent cx="5681345" cy="6941185"/>
            <wp:effectExtent l="0" t="0" r="14605" b="12065"/>
            <wp:docPr id="2" name="图片 2" descr="3226eae894e62bab2f1e11813a21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26eae894e62bab2f1e11813a21fab"/>
                    <pic:cNvPicPr>
                      <a:picLocks noChangeAspect="1"/>
                    </pic:cNvPicPr>
                  </pic:nvPicPr>
                  <pic:blipFill>
                    <a:blip r:embed="rId7"/>
                    <a:srcRect b="21535"/>
                    <a:stretch>
                      <a:fillRect/>
                    </a:stretch>
                  </pic:blipFill>
                  <pic:spPr>
                    <a:xfrm>
                      <a:off x="0" y="0"/>
                      <a:ext cx="5681345" cy="6941185"/>
                    </a:xfrm>
                    <a:prstGeom prst="rect">
                      <a:avLst/>
                    </a:prstGeom>
                  </pic:spPr>
                </pic:pic>
              </a:graphicData>
            </a:graphic>
          </wp:inline>
        </w:drawing>
      </w:r>
    </w:p>
    <w:p>
      <w:pPr>
        <w:rPr>
          <w:sz w:val="24"/>
        </w:rPr>
        <w:sectPr>
          <w:pgSz w:w="11906" w:h="16838"/>
          <w:pgMar w:top="1440" w:right="1440" w:bottom="1440" w:left="1440" w:header="851" w:footer="992" w:gutter="0"/>
          <w:cols w:space="425" w:num="1"/>
          <w:docGrid w:type="lines" w:linePitch="312" w:charSpace="0"/>
        </w:sectPr>
      </w:pPr>
    </w:p>
    <w:p>
      <w:pPr>
        <w:spacing w:line="320" w:lineRule="exact"/>
        <w:jc w:val="left"/>
        <w:rPr>
          <w:b/>
          <w:szCs w:val="21"/>
        </w:rPr>
      </w:pPr>
      <w:r>
        <w:rPr>
          <w:rFonts w:hint="eastAsia"/>
          <w:b/>
          <w:szCs w:val="21"/>
        </w:rPr>
        <w:t>附件（1）：详细技术参数、规格及配置清单</w:t>
      </w:r>
    </w:p>
    <w:p>
      <w:pPr>
        <w:spacing w:line="320" w:lineRule="exact"/>
        <w:jc w:val="left"/>
        <w:rPr>
          <w:b/>
          <w:szCs w:val="21"/>
        </w:rPr>
      </w:pPr>
    </w:p>
    <w:tbl>
      <w:tblPr>
        <w:tblStyle w:val="7"/>
        <w:tblW w:w="14385" w:type="dxa"/>
        <w:jc w:val="center"/>
        <w:tblLayout w:type="fixed"/>
        <w:tblCellMar>
          <w:top w:w="0" w:type="dxa"/>
          <w:left w:w="108" w:type="dxa"/>
          <w:bottom w:w="0" w:type="dxa"/>
          <w:right w:w="108" w:type="dxa"/>
        </w:tblCellMar>
      </w:tblPr>
      <w:tblGrid>
        <w:gridCol w:w="911"/>
        <w:gridCol w:w="1667"/>
        <w:gridCol w:w="9479"/>
        <w:gridCol w:w="1023"/>
        <w:gridCol w:w="1305"/>
      </w:tblGrid>
      <w:tr>
        <w:tblPrEx>
          <w:tblCellMar>
            <w:top w:w="0" w:type="dxa"/>
            <w:left w:w="108" w:type="dxa"/>
            <w:bottom w:w="0" w:type="dxa"/>
            <w:right w:w="108" w:type="dxa"/>
          </w:tblCellMar>
        </w:tblPrEx>
        <w:trPr>
          <w:trHeight w:val="889"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60" w:lineRule="atLeast"/>
              <w:jc w:val="center"/>
              <w:rPr>
                <w:b/>
                <w:bCs/>
                <w:spacing w:val="10"/>
                <w:kern w:val="0"/>
                <w:szCs w:val="21"/>
              </w:rPr>
            </w:pPr>
            <w:r>
              <w:rPr>
                <w:rFonts w:hint="eastAsia"/>
                <w:b/>
                <w:bCs/>
                <w:spacing w:val="10"/>
                <w:kern w:val="0"/>
                <w:szCs w:val="21"/>
              </w:rPr>
              <w:t>名称</w:t>
            </w:r>
          </w:p>
        </w:tc>
        <w:tc>
          <w:tcPr>
            <w:tcW w:w="1667"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b/>
                <w:bCs/>
                <w:spacing w:val="10"/>
                <w:kern w:val="0"/>
                <w:szCs w:val="21"/>
              </w:rPr>
            </w:pPr>
            <w:r>
              <w:rPr>
                <w:rFonts w:hint="eastAsia"/>
                <w:b/>
                <w:bCs/>
                <w:spacing w:val="10"/>
                <w:kern w:val="0"/>
                <w:szCs w:val="21"/>
              </w:rPr>
              <w:t>型号</w:t>
            </w:r>
          </w:p>
        </w:tc>
        <w:tc>
          <w:tcPr>
            <w:tcW w:w="9479"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b/>
                <w:bCs/>
                <w:spacing w:val="10"/>
                <w:kern w:val="0"/>
                <w:szCs w:val="21"/>
              </w:rPr>
            </w:pPr>
            <w:r>
              <w:rPr>
                <w:rFonts w:hint="eastAsia"/>
                <w:b/>
                <w:bCs/>
                <w:spacing w:val="10"/>
                <w:kern w:val="0"/>
                <w:szCs w:val="21"/>
              </w:rPr>
              <w:t>规格、参数</w:t>
            </w:r>
          </w:p>
        </w:tc>
        <w:tc>
          <w:tcPr>
            <w:tcW w:w="1023"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b/>
                <w:bCs/>
                <w:spacing w:val="10"/>
                <w:kern w:val="0"/>
                <w:szCs w:val="21"/>
              </w:rPr>
            </w:pPr>
            <w:r>
              <w:rPr>
                <w:rFonts w:hint="eastAsia"/>
                <w:b/>
                <w:bCs/>
                <w:spacing w:val="10"/>
                <w:kern w:val="0"/>
                <w:szCs w:val="21"/>
              </w:rPr>
              <w:t>原产地</w:t>
            </w:r>
          </w:p>
        </w:tc>
        <w:tc>
          <w:tcPr>
            <w:tcW w:w="1305" w:type="dxa"/>
            <w:tcBorders>
              <w:top w:val="single" w:color="000000" w:sz="4" w:space="0"/>
              <w:left w:val="nil"/>
              <w:bottom w:val="single" w:color="000000" w:sz="4" w:space="0"/>
              <w:right w:val="single" w:color="000000" w:sz="4" w:space="0"/>
            </w:tcBorders>
            <w:vAlign w:val="center"/>
          </w:tcPr>
          <w:p>
            <w:pPr>
              <w:widowControl/>
              <w:snapToGrid w:val="0"/>
              <w:spacing w:line="460" w:lineRule="atLeast"/>
              <w:jc w:val="center"/>
              <w:rPr>
                <w:b/>
                <w:bCs/>
                <w:spacing w:val="10"/>
                <w:kern w:val="0"/>
                <w:szCs w:val="21"/>
              </w:rPr>
            </w:pPr>
            <w:r>
              <w:rPr>
                <w:rFonts w:hint="eastAsia"/>
                <w:b/>
                <w:bCs/>
                <w:spacing w:val="10"/>
                <w:kern w:val="0"/>
                <w:szCs w:val="21"/>
              </w:rPr>
              <w:t>生产厂家</w:t>
            </w:r>
          </w:p>
        </w:tc>
      </w:tr>
      <w:tr>
        <w:tblPrEx>
          <w:tblCellMar>
            <w:top w:w="0" w:type="dxa"/>
            <w:left w:w="108" w:type="dxa"/>
            <w:bottom w:w="0" w:type="dxa"/>
            <w:right w:w="108" w:type="dxa"/>
          </w:tblCellMar>
        </w:tblPrEx>
        <w:trPr>
          <w:trHeight w:val="888" w:hRule="atLeast"/>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bCs/>
                <w:color w:val="000000"/>
                <w:sz w:val="24"/>
              </w:rPr>
              <w:t>全息流式细胞分选仪</w:t>
            </w:r>
          </w:p>
        </w:tc>
        <w:tc>
          <w:tcPr>
            <w:tcW w:w="1667" w:type="dxa"/>
            <w:tcBorders>
              <w:top w:val="single" w:color="000000" w:sz="4" w:space="0"/>
              <w:left w:val="nil"/>
              <w:bottom w:val="single" w:color="000000" w:sz="4" w:space="0"/>
              <w:right w:val="single" w:color="000000" w:sz="4" w:space="0"/>
            </w:tcBorders>
            <w:vAlign w:val="center"/>
          </w:tcPr>
          <w:p>
            <w:pPr>
              <w:widowControl/>
              <w:jc w:val="center"/>
              <w:rPr>
                <w:sz w:val="24"/>
              </w:rPr>
            </w:pPr>
            <w:r>
              <w:rPr>
                <w:rFonts w:hint="eastAsia"/>
                <w:bCs/>
                <w:color w:val="000000"/>
                <w:sz w:val="24"/>
              </w:rPr>
              <w:t>FACSDiscover S8</w:t>
            </w:r>
          </w:p>
        </w:tc>
        <w:tc>
          <w:tcPr>
            <w:tcW w:w="9479" w:type="dxa"/>
            <w:tcBorders>
              <w:top w:val="single" w:color="000000" w:sz="4" w:space="0"/>
              <w:left w:val="nil"/>
              <w:bottom w:val="single" w:color="000000" w:sz="4" w:space="0"/>
              <w:right w:val="single" w:color="000000" w:sz="4" w:space="0"/>
            </w:tcBorders>
            <w:vAlign w:val="center"/>
          </w:tcPr>
          <w:p>
            <w:pPr>
              <w:adjustRightInd w:val="0"/>
              <w:rPr>
                <w:bCs/>
                <w:color w:val="000000"/>
                <w:sz w:val="24"/>
              </w:rPr>
            </w:pPr>
            <w:r>
              <w:rPr>
                <w:rFonts w:hint="eastAsia"/>
                <w:bCs/>
                <w:color w:val="000000"/>
                <w:sz w:val="24"/>
              </w:rPr>
              <w:t>1.设备功能</w:t>
            </w:r>
          </w:p>
          <w:p>
            <w:pPr>
              <w:adjustRightInd w:val="0"/>
              <w:rPr>
                <w:bCs/>
                <w:color w:val="000000"/>
                <w:sz w:val="24"/>
              </w:rPr>
            </w:pPr>
            <w:r>
              <w:rPr>
                <w:rFonts w:hint="eastAsia"/>
                <w:bCs/>
                <w:color w:val="000000"/>
                <w:sz w:val="24"/>
              </w:rPr>
              <w:t>细胞表型分析分选鉴定，细胞凋亡及凋亡信号转导，染色体分选，荧光激活蛋白筛选，干细胞分离纯化，干细胞谱系鉴定，基因转染研究，单细胞分选，细胞功能研究，细胞特异性标记物分析分选，稀有细胞分离纯化培养等。该设备包含光路系统，分析模块，分选模块，检测系统，液流系统。</w:t>
            </w:r>
          </w:p>
          <w:p>
            <w:pPr>
              <w:adjustRightInd w:val="0"/>
              <w:rPr>
                <w:bCs/>
                <w:color w:val="000000"/>
                <w:sz w:val="24"/>
              </w:rPr>
            </w:pPr>
            <w:r>
              <w:rPr>
                <w:rFonts w:hint="eastAsia"/>
                <w:bCs/>
                <w:color w:val="000000"/>
                <w:sz w:val="24"/>
              </w:rPr>
              <w:t>2、基本配置：</w:t>
            </w:r>
          </w:p>
          <w:p>
            <w:pPr>
              <w:adjustRightInd w:val="0"/>
              <w:rPr>
                <w:bCs/>
                <w:color w:val="000000"/>
                <w:sz w:val="24"/>
              </w:rPr>
            </w:pPr>
            <w:r>
              <w:rPr>
                <w:rFonts w:hint="eastAsia"/>
                <w:bCs/>
                <w:color w:val="000000"/>
                <w:sz w:val="24"/>
              </w:rPr>
              <w:t>2.1流式细胞仪主机1台</w:t>
            </w:r>
          </w:p>
          <w:p>
            <w:pPr>
              <w:adjustRightInd w:val="0"/>
              <w:rPr>
                <w:bCs/>
                <w:color w:val="000000"/>
                <w:sz w:val="24"/>
              </w:rPr>
            </w:pPr>
            <w:r>
              <w:rPr>
                <w:rFonts w:hint="eastAsia"/>
                <w:bCs/>
                <w:color w:val="000000"/>
                <w:sz w:val="24"/>
              </w:rPr>
              <w:t>2.2数据处理工作站1套</w:t>
            </w:r>
          </w:p>
          <w:p>
            <w:pPr>
              <w:adjustRightInd w:val="0"/>
              <w:rPr>
                <w:bCs/>
                <w:color w:val="000000"/>
                <w:sz w:val="24"/>
              </w:rPr>
            </w:pPr>
            <w:r>
              <w:rPr>
                <w:rFonts w:hint="eastAsia"/>
                <w:bCs/>
                <w:color w:val="000000"/>
                <w:sz w:val="24"/>
              </w:rPr>
              <w:t>2.3温控模块1台</w:t>
            </w:r>
          </w:p>
          <w:p>
            <w:pPr>
              <w:adjustRightInd w:val="0"/>
              <w:rPr>
                <w:bCs/>
                <w:color w:val="000000"/>
                <w:sz w:val="24"/>
              </w:rPr>
            </w:pPr>
            <w:r>
              <w:rPr>
                <w:rFonts w:hint="eastAsia"/>
                <w:bCs/>
                <w:color w:val="000000"/>
                <w:sz w:val="24"/>
              </w:rPr>
              <w:t>2.4配套生物安全柜 1台</w:t>
            </w:r>
          </w:p>
          <w:p>
            <w:pPr>
              <w:adjustRightInd w:val="0"/>
              <w:rPr>
                <w:bCs/>
                <w:color w:val="000000"/>
                <w:sz w:val="24"/>
              </w:rPr>
            </w:pPr>
            <w:r>
              <w:rPr>
                <w:rFonts w:hint="eastAsia"/>
                <w:bCs/>
                <w:color w:val="000000"/>
                <w:sz w:val="24"/>
              </w:rPr>
              <w:t>2.5质控微球15盒</w:t>
            </w:r>
          </w:p>
          <w:p>
            <w:pPr>
              <w:adjustRightInd w:val="0"/>
              <w:rPr>
                <w:bCs/>
                <w:color w:val="000000"/>
                <w:sz w:val="24"/>
              </w:rPr>
            </w:pPr>
            <w:r>
              <w:rPr>
                <w:rFonts w:hint="eastAsia"/>
                <w:bCs/>
                <w:color w:val="000000"/>
                <w:sz w:val="24"/>
              </w:rPr>
              <w:t>2.6液滴延迟时间设置微球15盒</w:t>
            </w:r>
          </w:p>
          <w:p>
            <w:pPr>
              <w:adjustRightInd w:val="0"/>
              <w:rPr>
                <w:bCs/>
                <w:color w:val="000000"/>
                <w:sz w:val="24"/>
              </w:rPr>
            </w:pPr>
            <w:r>
              <w:rPr>
                <w:rFonts w:hint="eastAsia"/>
                <w:bCs/>
                <w:color w:val="000000"/>
                <w:sz w:val="24"/>
              </w:rPr>
              <w:t>2.7不同规格喷嘴（85μm、100μm、130μm） 共6个</w:t>
            </w:r>
          </w:p>
          <w:p>
            <w:pPr>
              <w:adjustRightInd w:val="0"/>
              <w:rPr>
                <w:bCs/>
                <w:color w:val="000000"/>
                <w:sz w:val="24"/>
              </w:rPr>
            </w:pPr>
            <w:r>
              <w:rPr>
                <w:rFonts w:hint="eastAsia"/>
                <w:bCs/>
                <w:color w:val="000000"/>
                <w:sz w:val="24"/>
              </w:rPr>
              <w:t>2.8鞘液50桶、清洗液20桶</w:t>
            </w:r>
          </w:p>
          <w:p>
            <w:pPr>
              <w:adjustRightInd w:val="0"/>
              <w:rPr>
                <w:bCs/>
                <w:color w:val="000000"/>
                <w:sz w:val="24"/>
              </w:rPr>
            </w:pPr>
            <w:r>
              <w:rPr>
                <w:rFonts w:hint="eastAsia"/>
                <w:bCs/>
                <w:color w:val="000000"/>
                <w:sz w:val="24"/>
              </w:rPr>
              <w:t>2.9 流式管（1000支/箱）5箱</w:t>
            </w:r>
          </w:p>
          <w:p>
            <w:pPr>
              <w:adjustRightInd w:val="0"/>
              <w:rPr>
                <w:bCs/>
                <w:color w:val="000000"/>
                <w:sz w:val="24"/>
              </w:rPr>
            </w:pPr>
            <w:r>
              <w:rPr>
                <w:rFonts w:hint="eastAsia"/>
                <w:bCs/>
                <w:color w:val="000000"/>
                <w:sz w:val="24"/>
              </w:rPr>
              <w:t>2.10 移液枪一套 （可消毒，至少包括2-2.5 μL 1支、10-20 μL 1支、100-200 μL 1支和1 mL 1支）。</w:t>
            </w:r>
          </w:p>
          <w:p>
            <w:pPr>
              <w:adjustRightInd w:val="0"/>
              <w:rPr>
                <w:bCs/>
                <w:color w:val="000000"/>
                <w:sz w:val="24"/>
              </w:rPr>
            </w:pPr>
            <w:r>
              <w:rPr>
                <w:rFonts w:hint="eastAsia"/>
                <w:bCs/>
                <w:color w:val="000000"/>
                <w:sz w:val="24"/>
              </w:rPr>
              <w:t>2.11易耗品：鞘液桶密封圈10个，鞘液进口过滤器10个，上样针滤头10个，</w:t>
            </w:r>
          </w:p>
          <w:p>
            <w:pPr>
              <w:adjustRightInd w:val="0"/>
              <w:rPr>
                <w:bCs/>
                <w:color w:val="000000"/>
                <w:sz w:val="24"/>
              </w:rPr>
            </w:pPr>
            <w:r>
              <w:rPr>
                <w:rFonts w:hint="eastAsia"/>
                <w:bCs/>
                <w:color w:val="000000"/>
                <w:sz w:val="24"/>
              </w:rPr>
              <w:t>2.12鞘液桶1个，废液桶1个</w:t>
            </w:r>
          </w:p>
          <w:p>
            <w:pPr>
              <w:adjustRightInd w:val="0"/>
              <w:rPr>
                <w:bCs/>
                <w:color w:val="000000"/>
                <w:sz w:val="24"/>
              </w:rPr>
            </w:pPr>
            <w:r>
              <w:rPr>
                <w:rFonts w:hint="eastAsia"/>
                <w:bCs/>
                <w:color w:val="000000"/>
                <w:sz w:val="24"/>
              </w:rPr>
              <w:t>2.13激光打印机（彩打、双面打印、18页≥分钟）1台</w:t>
            </w:r>
          </w:p>
          <w:p>
            <w:pPr>
              <w:adjustRightInd w:val="0"/>
              <w:rPr>
                <w:bCs/>
                <w:color w:val="000000"/>
                <w:sz w:val="24"/>
              </w:rPr>
            </w:pPr>
            <w:r>
              <w:rPr>
                <w:rFonts w:hint="eastAsia"/>
                <w:bCs/>
                <w:color w:val="000000"/>
                <w:sz w:val="24"/>
              </w:rPr>
              <w:t>2.14净化稳压电源（抗干扰净化交流稳压电源CJW-3KVA）1台</w:t>
            </w:r>
          </w:p>
          <w:p>
            <w:pPr>
              <w:adjustRightInd w:val="0"/>
              <w:rPr>
                <w:bCs/>
                <w:color w:val="000000"/>
                <w:sz w:val="24"/>
              </w:rPr>
            </w:pPr>
            <w:r>
              <w:rPr>
                <w:rFonts w:hint="eastAsia"/>
                <w:bCs/>
                <w:color w:val="000000"/>
                <w:sz w:val="24"/>
              </w:rPr>
              <w:t>2.15 UPS不间断电源，不低于10KVA,可支持整套仪器工作≥1.5小时</w:t>
            </w:r>
          </w:p>
          <w:p>
            <w:pPr>
              <w:adjustRightInd w:val="0"/>
              <w:rPr>
                <w:bCs/>
                <w:color w:val="000000"/>
                <w:sz w:val="24"/>
              </w:rPr>
            </w:pPr>
            <w:r>
              <w:rPr>
                <w:rFonts w:hint="eastAsia"/>
                <w:bCs/>
                <w:color w:val="000000"/>
                <w:sz w:val="24"/>
              </w:rPr>
              <w:t>3. 技术参数</w:t>
            </w:r>
          </w:p>
          <w:p>
            <w:pPr>
              <w:adjustRightInd w:val="0"/>
              <w:rPr>
                <w:bCs/>
                <w:color w:val="000000"/>
                <w:sz w:val="24"/>
              </w:rPr>
            </w:pPr>
            <w:r>
              <w:rPr>
                <w:rFonts w:hint="eastAsia"/>
                <w:bCs/>
                <w:color w:val="000000"/>
                <w:sz w:val="24"/>
              </w:rPr>
              <w:t>3.1配置5根固体激光器</w:t>
            </w:r>
          </w:p>
          <w:p>
            <w:pPr>
              <w:adjustRightInd w:val="0"/>
              <w:rPr>
                <w:bCs/>
                <w:color w:val="000000"/>
                <w:sz w:val="24"/>
              </w:rPr>
            </w:pPr>
            <w:r>
              <w:rPr>
                <w:rFonts w:hint="eastAsia"/>
                <w:bCs/>
                <w:color w:val="000000"/>
                <w:sz w:val="24"/>
              </w:rPr>
              <w:t>3.1.1激光器包括349 nm，405 nm，488 nm，561 nm，637 nm，至少具备5个独立光斑，要求各激光器彼此独立，无共线重叠干扰。</w:t>
            </w:r>
          </w:p>
          <w:p>
            <w:pPr>
              <w:adjustRightInd w:val="0"/>
              <w:rPr>
                <w:bCs/>
                <w:color w:val="000000"/>
                <w:sz w:val="24"/>
              </w:rPr>
            </w:pPr>
            <w:r>
              <w:rPr>
                <w:rFonts w:hint="eastAsia"/>
                <w:bCs/>
                <w:color w:val="000000"/>
                <w:sz w:val="24"/>
              </w:rPr>
              <w:t>3.1.2激光功率：488nm功率≥100mW、637nm功率≥100mW、405nm功率≥50mW、349功率≥60mW和561nm功率≥50mW</w:t>
            </w:r>
          </w:p>
          <w:p>
            <w:pPr>
              <w:adjustRightInd w:val="0"/>
              <w:rPr>
                <w:bCs/>
                <w:color w:val="000000"/>
                <w:sz w:val="24"/>
              </w:rPr>
            </w:pPr>
            <w:r>
              <w:rPr>
                <w:rFonts w:hint="eastAsia"/>
                <w:bCs/>
                <w:color w:val="000000"/>
                <w:sz w:val="24"/>
              </w:rPr>
              <w:t>3.1.3激光器提供圆形聚焦点光斑M2≤1.2</w:t>
            </w:r>
          </w:p>
          <w:p>
            <w:pPr>
              <w:adjustRightInd w:val="0"/>
              <w:rPr>
                <w:bCs/>
                <w:color w:val="000000"/>
                <w:sz w:val="24"/>
              </w:rPr>
            </w:pPr>
            <w:r>
              <w:rPr>
                <w:rFonts w:hint="eastAsia"/>
                <w:bCs/>
                <w:color w:val="000000"/>
                <w:sz w:val="24"/>
              </w:rPr>
              <w:t>3.2 可实现全光谱分选功能</w:t>
            </w:r>
          </w:p>
          <w:p>
            <w:pPr>
              <w:adjustRightInd w:val="0"/>
              <w:rPr>
                <w:bCs/>
                <w:color w:val="000000"/>
                <w:sz w:val="24"/>
              </w:rPr>
            </w:pPr>
            <w:r>
              <w:rPr>
                <w:rFonts w:hint="eastAsia"/>
                <w:bCs/>
                <w:color w:val="000000"/>
                <w:sz w:val="24"/>
              </w:rPr>
              <w:t>3.2.1配置86个检测器，包含78色荧光检测通道检测器，以及用于检测FSC、SSC、ALL、荧光参数以及图像特征参数等检测器。</w:t>
            </w:r>
          </w:p>
          <w:p>
            <w:pPr>
              <w:adjustRightInd w:val="0"/>
              <w:rPr>
                <w:bCs/>
                <w:color w:val="000000"/>
                <w:sz w:val="24"/>
              </w:rPr>
            </w:pPr>
            <w:r>
              <w:rPr>
                <w:rFonts w:hint="eastAsia"/>
                <w:bCs/>
                <w:color w:val="000000"/>
                <w:sz w:val="24"/>
              </w:rPr>
              <w:t>3.2.2光谱阵列覆盖全光谱：紫外激光349nm，检测器至少覆盖365-860nm；紫色激光405nm，检测器至少覆盖410-860nm；蓝色激光488nm，检测器至少覆盖495-860nm；黄绿色激光561nm，检测器至少覆盖570-860nm；红色激光637nm，检测器至少覆盖645-860nm；</w:t>
            </w:r>
          </w:p>
          <w:p>
            <w:pPr>
              <w:adjustRightInd w:val="0"/>
              <w:rPr>
                <w:bCs/>
                <w:color w:val="000000"/>
                <w:sz w:val="24"/>
              </w:rPr>
            </w:pPr>
            <w:r>
              <w:rPr>
                <w:rFonts w:hint="eastAsia"/>
                <w:bCs/>
                <w:color w:val="000000"/>
                <w:sz w:val="24"/>
              </w:rPr>
              <w:t>3.3 激发方式为石英杯流动室激发，非空气激发。</w:t>
            </w:r>
          </w:p>
          <w:p>
            <w:pPr>
              <w:adjustRightInd w:val="0"/>
              <w:rPr>
                <w:bCs/>
                <w:color w:val="000000"/>
                <w:sz w:val="24"/>
              </w:rPr>
            </w:pPr>
            <w:r>
              <w:rPr>
                <w:rFonts w:hint="eastAsia"/>
                <w:bCs/>
                <w:color w:val="000000"/>
                <w:sz w:val="24"/>
              </w:rPr>
              <w:t>3.4 采用固定免调试光路和液路系统，开机后即可处理样品。光纤化光路收集荧光系统，确保仪器较高的荧光灵敏度。</w:t>
            </w:r>
          </w:p>
          <w:p>
            <w:pPr>
              <w:adjustRightInd w:val="0"/>
              <w:rPr>
                <w:bCs/>
                <w:color w:val="000000"/>
                <w:sz w:val="24"/>
              </w:rPr>
            </w:pPr>
            <w:r>
              <w:rPr>
                <w:rFonts w:hint="eastAsia"/>
                <w:bCs/>
                <w:color w:val="000000"/>
                <w:sz w:val="24"/>
              </w:rPr>
              <w:t>3.5 发射光无延迟信号处理及电子系统、即时被转换成数字信号，实现图像分析。</w:t>
            </w:r>
          </w:p>
          <w:p>
            <w:pPr>
              <w:adjustRightInd w:val="0"/>
              <w:rPr>
                <w:bCs/>
                <w:color w:val="000000"/>
                <w:sz w:val="24"/>
              </w:rPr>
            </w:pPr>
            <w:r>
              <w:rPr>
                <w:rFonts w:hint="eastAsia"/>
                <w:bCs/>
                <w:color w:val="000000"/>
                <w:sz w:val="24"/>
              </w:rPr>
              <w:t>3.6 可对任意细胞成像，单个细胞成像参数≥6个，至少包括明场和荧光图像；且可结合流式散点图进行双重验证单个细胞状态，用于精准圈门。</w:t>
            </w:r>
          </w:p>
          <w:p>
            <w:pPr>
              <w:adjustRightInd w:val="0"/>
              <w:rPr>
                <w:bCs/>
                <w:color w:val="000000"/>
                <w:sz w:val="24"/>
              </w:rPr>
            </w:pPr>
            <w:r>
              <w:rPr>
                <w:rFonts w:hint="eastAsia"/>
                <w:bCs/>
                <w:color w:val="000000"/>
                <w:sz w:val="24"/>
              </w:rPr>
              <w:t>3.7 具有9个空间图像特征参数，至少包括包括FCS、SSC、偏心率、最大强度、大小、径向力矩、相关度、质心、光损失等。能通过可定量的图像参数进行圈门。</w:t>
            </w:r>
          </w:p>
          <w:p>
            <w:pPr>
              <w:adjustRightInd w:val="0"/>
              <w:rPr>
                <w:bCs/>
                <w:color w:val="000000"/>
                <w:sz w:val="24"/>
              </w:rPr>
            </w:pPr>
            <w:r>
              <w:rPr>
                <w:rFonts w:hint="eastAsia"/>
                <w:bCs/>
                <w:color w:val="000000"/>
                <w:sz w:val="24"/>
              </w:rPr>
              <w:t>3.8 分选速度≥15000 events/s，能够实现高速实时成像分析和细胞分选。</w:t>
            </w:r>
          </w:p>
          <w:p>
            <w:pPr>
              <w:adjustRightInd w:val="0"/>
              <w:rPr>
                <w:bCs/>
                <w:color w:val="000000"/>
                <w:sz w:val="24"/>
              </w:rPr>
            </w:pPr>
            <w:r>
              <w:rPr>
                <w:rFonts w:hint="eastAsia"/>
                <w:bCs/>
                <w:color w:val="000000"/>
                <w:sz w:val="24"/>
              </w:rPr>
              <w:t>3.9 能够通过图像参数进行细胞间相互作用分析，信号通路、细胞全周期检测、细胞亚结构分析等研究。</w:t>
            </w:r>
          </w:p>
          <w:p>
            <w:pPr>
              <w:adjustRightInd w:val="0"/>
              <w:rPr>
                <w:bCs/>
                <w:color w:val="000000"/>
                <w:sz w:val="24"/>
              </w:rPr>
            </w:pPr>
            <w:r>
              <w:rPr>
                <w:rFonts w:hint="eastAsia"/>
                <w:bCs/>
                <w:color w:val="000000"/>
                <w:sz w:val="24"/>
              </w:rPr>
              <w:t>3.10 能够实现Lable-free无标记分选，减少样本制备流程，分选珍贵、脆弱以及瞬态表达的细胞。</w:t>
            </w:r>
          </w:p>
          <w:p>
            <w:pPr>
              <w:adjustRightInd w:val="0"/>
              <w:rPr>
                <w:bCs/>
                <w:color w:val="000000"/>
                <w:sz w:val="24"/>
              </w:rPr>
            </w:pPr>
            <w:r>
              <w:rPr>
                <w:rFonts w:hint="eastAsia"/>
                <w:bCs/>
                <w:color w:val="000000"/>
                <w:sz w:val="24"/>
              </w:rPr>
              <w:t>3.11分选细胞收集：具有两路分选、四路分选、索引分选及对应的收集功能，具备定量克隆分选系统，可将定量细胞定位分选在微孔板或载玻片等客户自定义收集装置上。</w:t>
            </w:r>
          </w:p>
          <w:p>
            <w:pPr>
              <w:adjustRightInd w:val="0"/>
              <w:rPr>
                <w:bCs/>
                <w:color w:val="000000"/>
                <w:sz w:val="24"/>
              </w:rPr>
            </w:pPr>
            <w:r>
              <w:rPr>
                <w:rFonts w:hint="eastAsia"/>
                <w:bCs/>
                <w:color w:val="000000"/>
                <w:sz w:val="24"/>
              </w:rPr>
              <w:t>3.11.1分选收集：可用于1.5ml微管、2ml微管、5ml微管；6、24、48、96和384等多孔板、显微镜载玻片。</w:t>
            </w:r>
          </w:p>
          <w:p>
            <w:pPr>
              <w:adjustRightInd w:val="0"/>
              <w:rPr>
                <w:bCs/>
                <w:color w:val="000000"/>
                <w:sz w:val="24"/>
              </w:rPr>
            </w:pPr>
            <w:r>
              <w:rPr>
                <w:rFonts w:hint="eastAsia"/>
                <w:bCs/>
                <w:color w:val="000000"/>
                <w:sz w:val="24"/>
              </w:rPr>
              <w:t>3.12 具备自动液滴断点监控和堵塞监测系统。液滴分析精度1/16，保证分选得率和纯度实现最大化平衡和兼顾。</w:t>
            </w:r>
          </w:p>
          <w:p>
            <w:pPr>
              <w:adjustRightInd w:val="0"/>
              <w:rPr>
                <w:bCs/>
                <w:color w:val="000000"/>
                <w:sz w:val="24"/>
              </w:rPr>
            </w:pPr>
            <w:r>
              <w:rPr>
                <w:rFonts w:hint="eastAsia"/>
                <w:bCs/>
                <w:color w:val="000000"/>
                <w:sz w:val="24"/>
              </w:rPr>
              <w:t>3.13 液滴时间延迟：实时监测液滴时间延迟，无需观察显微镜进行繁琐的人工设定。</w:t>
            </w:r>
          </w:p>
          <w:p>
            <w:pPr>
              <w:adjustRightInd w:val="0"/>
              <w:rPr>
                <w:bCs/>
                <w:color w:val="000000"/>
                <w:sz w:val="24"/>
              </w:rPr>
            </w:pPr>
            <w:r>
              <w:rPr>
                <w:rFonts w:hint="eastAsia"/>
                <w:bCs/>
                <w:color w:val="000000"/>
                <w:sz w:val="24"/>
              </w:rPr>
              <w:t>3.14 流动检测池：光胶耦合物镜石英杯。</w:t>
            </w:r>
          </w:p>
          <w:p>
            <w:pPr>
              <w:adjustRightInd w:val="0"/>
              <w:rPr>
                <w:bCs/>
                <w:color w:val="000000"/>
                <w:sz w:val="24"/>
              </w:rPr>
            </w:pPr>
            <w:r>
              <w:rPr>
                <w:rFonts w:hint="eastAsia"/>
                <w:bCs/>
                <w:color w:val="000000"/>
                <w:sz w:val="24"/>
              </w:rPr>
              <w:t>3.15 采用不间断正压压力泵上样方式设计采集样本。</w:t>
            </w:r>
          </w:p>
          <w:p>
            <w:pPr>
              <w:adjustRightInd w:val="0"/>
              <w:rPr>
                <w:bCs/>
                <w:color w:val="000000"/>
                <w:sz w:val="24"/>
              </w:rPr>
            </w:pPr>
            <w:r>
              <w:rPr>
                <w:rFonts w:hint="eastAsia"/>
                <w:bCs/>
                <w:color w:val="000000"/>
                <w:sz w:val="24"/>
              </w:rPr>
              <w:t>3.16喷嘴类型：包括85 μm、100 μm、130 μm，可插拔并可超声清洗长期使用。</w:t>
            </w:r>
          </w:p>
          <w:p>
            <w:pPr>
              <w:adjustRightInd w:val="0"/>
              <w:rPr>
                <w:bCs/>
                <w:color w:val="000000"/>
                <w:sz w:val="24"/>
              </w:rPr>
            </w:pPr>
            <w:r>
              <w:rPr>
                <w:rFonts w:hint="eastAsia"/>
                <w:bCs/>
                <w:color w:val="000000"/>
                <w:sz w:val="24"/>
              </w:rPr>
              <w:t>3.17 标配10L的鞘液桶和废液桶，能持续进行实验而无需更换鞘液。能自动完成开关机仪器的清洗工作，可对液流自动监测并有堵塞报警功能。</w:t>
            </w:r>
          </w:p>
          <w:p>
            <w:pPr>
              <w:adjustRightInd w:val="0"/>
              <w:rPr>
                <w:bCs/>
                <w:color w:val="000000"/>
                <w:sz w:val="24"/>
              </w:rPr>
            </w:pPr>
            <w:r>
              <w:rPr>
                <w:rFonts w:hint="eastAsia"/>
                <w:bCs/>
                <w:color w:val="000000"/>
                <w:sz w:val="24"/>
              </w:rPr>
              <w:t>3.18 具备完善的智能全程质控系统, 能够自动计算和调整关键的设置参数值，如PMT电压、激光延迟和面积因子，Qr，Br等，保证获得数据的一致性和精确性。</w:t>
            </w:r>
          </w:p>
          <w:p>
            <w:pPr>
              <w:adjustRightInd w:val="0"/>
              <w:rPr>
                <w:bCs/>
                <w:color w:val="000000"/>
                <w:sz w:val="24"/>
              </w:rPr>
            </w:pPr>
            <w:r>
              <w:rPr>
                <w:rFonts w:hint="eastAsia"/>
                <w:bCs/>
                <w:color w:val="000000"/>
                <w:sz w:val="24"/>
              </w:rPr>
              <w:t>3.19提供具备降维分析能力的软件，降维分析种类不少于以下四种，tSNE，UMAP，TRIMAP，EMBEDSOM；</w:t>
            </w:r>
          </w:p>
          <w:p>
            <w:pPr>
              <w:adjustRightInd w:val="0"/>
              <w:rPr>
                <w:bCs/>
                <w:color w:val="000000"/>
                <w:sz w:val="24"/>
              </w:rPr>
            </w:pPr>
            <w:r>
              <w:rPr>
                <w:rFonts w:hint="eastAsia"/>
                <w:bCs/>
                <w:color w:val="000000"/>
                <w:sz w:val="24"/>
              </w:rPr>
              <w:t xml:space="preserve">3.20 软件系统支持数据获取和分析，可以同时进行多任务； </w:t>
            </w:r>
          </w:p>
          <w:p>
            <w:pPr>
              <w:adjustRightInd w:val="0"/>
              <w:rPr>
                <w:bCs/>
                <w:color w:val="000000"/>
                <w:sz w:val="24"/>
              </w:rPr>
            </w:pPr>
            <w:r>
              <w:rPr>
                <w:rFonts w:hint="eastAsia"/>
                <w:bCs/>
                <w:color w:val="000000"/>
                <w:sz w:val="24"/>
              </w:rPr>
              <w:t>3.21高维分选：可一键导入分析软件的传统和高维降维分析模板用于分选，实现AI分析算法与分选无缝衔接。</w:t>
            </w:r>
          </w:p>
          <w:p>
            <w:pPr>
              <w:adjustRightInd w:val="0"/>
              <w:rPr>
                <w:bCs/>
                <w:color w:val="000000"/>
                <w:sz w:val="24"/>
              </w:rPr>
            </w:pPr>
            <w:r>
              <w:rPr>
                <w:rFonts w:hint="eastAsia"/>
                <w:bCs/>
                <w:color w:val="000000"/>
                <w:sz w:val="24"/>
              </w:rPr>
              <w:t>3.22随主机配备生物安全柜。</w:t>
            </w:r>
          </w:p>
          <w:p>
            <w:pPr>
              <w:adjustRightInd w:val="0"/>
              <w:rPr>
                <w:bCs/>
                <w:color w:val="000000"/>
                <w:sz w:val="24"/>
              </w:rPr>
            </w:pPr>
            <w:r>
              <w:rPr>
                <w:rFonts w:hint="eastAsia"/>
                <w:bCs/>
                <w:color w:val="000000"/>
                <w:sz w:val="24"/>
              </w:rPr>
              <w:t>3.22.1生物安全柜II类A2型，尺寸130×90×200cm，保障样本，环境和人的安全。</w:t>
            </w:r>
          </w:p>
          <w:p>
            <w:pPr>
              <w:adjustRightInd w:val="0"/>
              <w:rPr>
                <w:bCs/>
                <w:color w:val="000000"/>
                <w:sz w:val="24"/>
              </w:rPr>
            </w:pPr>
            <w:r>
              <w:rPr>
                <w:rFonts w:hint="eastAsia"/>
                <w:bCs/>
                <w:color w:val="000000"/>
                <w:sz w:val="24"/>
              </w:rPr>
              <w:t>3.22.2 垂直层流负压机型，风道设计可保证层流风压保持均匀，降低气流噪音；</w:t>
            </w:r>
          </w:p>
          <w:p>
            <w:pPr>
              <w:adjustRightInd w:val="0"/>
              <w:rPr>
                <w:bCs/>
                <w:color w:val="000000"/>
                <w:sz w:val="24"/>
              </w:rPr>
            </w:pPr>
            <w:r>
              <w:rPr>
                <w:rFonts w:hint="eastAsia"/>
                <w:bCs/>
                <w:color w:val="000000"/>
                <w:sz w:val="24"/>
              </w:rPr>
              <w:t>3.22.3配备电压定速调变器，保持风速稳定，具有透明防 UV 安全玻璃活动拉门。</w:t>
            </w:r>
          </w:p>
          <w:p>
            <w:pPr>
              <w:widowControl/>
              <w:snapToGrid w:val="0"/>
              <w:spacing w:line="360" w:lineRule="auto"/>
              <w:jc w:val="left"/>
              <w:rPr>
                <w:bCs/>
                <w:color w:val="000000"/>
                <w:sz w:val="24"/>
              </w:rPr>
            </w:pPr>
            <w:r>
              <w:rPr>
                <w:rFonts w:hint="eastAsia"/>
                <w:bCs/>
                <w:color w:val="000000"/>
                <w:sz w:val="24"/>
              </w:rPr>
              <w:t>3.23工作站：配备数据处理用工作站，配置不低于intel i7 处理器；运行内存32G，数据存储空间4 T+500G，显示装置2台,尺寸34's，配备无线网卡</w:t>
            </w:r>
          </w:p>
          <w:p>
            <w:pPr>
              <w:adjustRightInd w:val="0"/>
              <w:rPr>
                <w:bCs/>
                <w:color w:val="000000"/>
                <w:sz w:val="24"/>
              </w:rPr>
            </w:pPr>
          </w:p>
        </w:tc>
        <w:tc>
          <w:tcPr>
            <w:tcW w:w="1023" w:type="dxa"/>
            <w:tcBorders>
              <w:top w:val="single" w:color="000000" w:sz="4" w:space="0"/>
              <w:left w:val="nil"/>
              <w:bottom w:val="single" w:color="000000" w:sz="4" w:space="0"/>
              <w:right w:val="single" w:color="000000" w:sz="4" w:space="0"/>
            </w:tcBorders>
            <w:vAlign w:val="center"/>
          </w:tcPr>
          <w:p>
            <w:pPr>
              <w:widowControl/>
              <w:jc w:val="center"/>
              <w:rPr>
                <w:kern w:val="0"/>
                <w:szCs w:val="21"/>
              </w:rPr>
            </w:pPr>
            <w:r>
              <w:rPr>
                <w:rFonts w:hint="eastAsia"/>
                <w:kern w:val="0"/>
                <w:szCs w:val="21"/>
              </w:rPr>
              <w:t>美国</w:t>
            </w:r>
          </w:p>
        </w:tc>
        <w:tc>
          <w:tcPr>
            <w:tcW w:w="1305" w:type="dxa"/>
            <w:tcBorders>
              <w:top w:val="single" w:color="000000" w:sz="4" w:space="0"/>
              <w:left w:val="nil"/>
              <w:bottom w:val="single" w:color="000000" w:sz="4" w:space="0"/>
              <w:right w:val="single" w:color="000000" w:sz="4" w:space="0"/>
            </w:tcBorders>
            <w:vAlign w:val="center"/>
          </w:tcPr>
          <w:p>
            <w:pPr>
              <w:widowControl/>
              <w:jc w:val="center"/>
              <w:rPr>
                <w:sz w:val="24"/>
              </w:rPr>
            </w:pPr>
            <w:r>
              <w:rPr>
                <w:rFonts w:hint="eastAsia"/>
                <w:sz w:val="24"/>
              </w:rPr>
              <w:t>Becton,Dickinson and Company</w:t>
            </w:r>
          </w:p>
        </w:tc>
      </w:tr>
    </w:tbl>
    <w:p>
      <w:pPr>
        <w:pStyle w:val="2"/>
        <w:rPr>
          <w:rFonts w:ascii="Times New Roman" w:hAnsi="Times New Roman" w:eastAsia="宋体"/>
        </w:rPr>
        <w:sectPr>
          <w:pgSz w:w="16838" w:h="11906" w:orient="landscape"/>
          <w:pgMar w:top="1440" w:right="1440" w:bottom="1440" w:left="1440" w:header="851" w:footer="992" w:gutter="0"/>
          <w:cols w:space="425" w:num="1"/>
          <w:docGrid w:type="lines" w:linePitch="312" w:charSpace="0"/>
        </w:sectPr>
      </w:pPr>
    </w:p>
    <w:p>
      <w:pPr>
        <w:widowControl/>
        <w:shd w:val="clear" w:color="auto" w:fill="FFFFFF"/>
        <w:spacing w:line="315" w:lineRule="atLeast"/>
        <w:jc w:val="left"/>
        <w:rPr>
          <w:kern w:val="0"/>
          <w:szCs w:val="21"/>
        </w:rPr>
      </w:pPr>
      <w:r>
        <w:rPr>
          <w:rFonts w:hint="eastAsia"/>
          <w:b/>
          <w:bCs/>
          <w:kern w:val="0"/>
          <w:sz w:val="28"/>
          <w:szCs w:val="28"/>
        </w:rPr>
        <w:t>附件（</w:t>
      </w:r>
      <w:r>
        <w:rPr>
          <w:b/>
          <w:bCs/>
          <w:kern w:val="0"/>
          <w:sz w:val="28"/>
          <w:szCs w:val="28"/>
        </w:rPr>
        <w:t> </w:t>
      </w:r>
      <w:r>
        <w:rPr>
          <w:rFonts w:hint="eastAsia"/>
          <w:b/>
          <w:bCs/>
          <w:kern w:val="0"/>
          <w:sz w:val="28"/>
          <w:szCs w:val="28"/>
        </w:rPr>
        <w:t>2</w:t>
      </w:r>
      <w:r>
        <w:rPr>
          <w:b/>
          <w:bCs/>
          <w:kern w:val="0"/>
          <w:sz w:val="28"/>
          <w:szCs w:val="28"/>
        </w:rPr>
        <w:t> </w:t>
      </w:r>
      <w:r>
        <w:rPr>
          <w:rFonts w:hint="eastAsia"/>
          <w:b/>
          <w:bCs/>
          <w:kern w:val="0"/>
          <w:sz w:val="28"/>
          <w:szCs w:val="28"/>
        </w:rPr>
        <w:t>）：售后服务计划</w:t>
      </w:r>
      <w:r>
        <w:rPr>
          <w:b/>
          <w:bCs/>
          <w:kern w:val="0"/>
          <w:sz w:val="28"/>
          <w:szCs w:val="28"/>
        </w:rPr>
        <w:t> </w:t>
      </w:r>
    </w:p>
    <w:p>
      <w:pPr>
        <w:widowControl/>
        <w:shd w:val="clear" w:color="auto" w:fill="FFFFFF"/>
        <w:spacing w:line="315" w:lineRule="atLeast"/>
        <w:jc w:val="left"/>
        <w:rPr>
          <w:kern w:val="0"/>
          <w:szCs w:val="21"/>
        </w:rPr>
      </w:pPr>
      <w:r>
        <w:rPr>
          <w:rFonts w:hint="eastAsia"/>
          <w:kern w:val="0"/>
          <w:sz w:val="28"/>
          <w:szCs w:val="28"/>
        </w:rPr>
        <w:t>1.</w:t>
      </w:r>
      <w:r>
        <w:rPr>
          <w:kern w:val="0"/>
          <w:sz w:val="28"/>
          <w:szCs w:val="28"/>
        </w:rPr>
        <w:t> </w:t>
      </w:r>
      <w:r>
        <w:rPr>
          <w:rFonts w:hint="eastAsia"/>
          <w:kern w:val="0"/>
          <w:sz w:val="28"/>
          <w:szCs w:val="28"/>
        </w:rPr>
        <w:t>质量保证：我方保证所提供货物是全新的、未使用过的全新产品，且所有的配件均符合国家质量检测标准。</w:t>
      </w:r>
    </w:p>
    <w:p>
      <w:pPr>
        <w:widowControl/>
        <w:shd w:val="clear" w:color="auto" w:fill="FFFFFF"/>
        <w:spacing w:line="315" w:lineRule="atLeast"/>
        <w:jc w:val="left"/>
        <w:rPr>
          <w:kern w:val="0"/>
          <w:sz w:val="28"/>
          <w:szCs w:val="28"/>
        </w:rPr>
      </w:pPr>
      <w:r>
        <w:rPr>
          <w:rFonts w:hint="eastAsia"/>
          <w:kern w:val="0"/>
          <w:sz w:val="28"/>
          <w:szCs w:val="28"/>
        </w:rPr>
        <w:t>2.</w:t>
      </w:r>
      <w:r>
        <w:rPr>
          <w:kern w:val="0"/>
          <w:sz w:val="28"/>
          <w:szCs w:val="28"/>
        </w:rPr>
        <w:t> </w:t>
      </w:r>
      <w:r>
        <w:rPr>
          <w:rFonts w:hint="eastAsia"/>
          <w:kern w:val="0"/>
          <w:sz w:val="28"/>
          <w:szCs w:val="28"/>
        </w:rPr>
        <w:t>安装调试：在仪器到达用户指定地点</w:t>
      </w:r>
      <w:r>
        <w:rPr>
          <w:kern w:val="0"/>
          <w:sz w:val="28"/>
          <w:szCs w:val="28"/>
        </w:rPr>
        <w:t> 7 </w:t>
      </w:r>
      <w:r>
        <w:rPr>
          <w:rFonts w:hint="eastAsia"/>
          <w:kern w:val="0"/>
          <w:sz w:val="28"/>
          <w:szCs w:val="28"/>
        </w:rPr>
        <w:t>日前，我方将以电话或传真的形式通知用户，并派专业人员到安装现场进行详细的考察。仪器到达用户指定地点后，我方派专业技术人员和厂家的工程师共同对所有设备进行免费的安装、调试，直至设备正常运行。</w:t>
      </w:r>
    </w:p>
    <w:p>
      <w:pPr>
        <w:adjustRightInd w:val="0"/>
        <w:rPr>
          <w:bCs/>
          <w:color w:val="000000"/>
          <w:sz w:val="24"/>
        </w:rPr>
      </w:pPr>
      <w:r>
        <w:rPr>
          <w:rFonts w:hint="eastAsia"/>
          <w:bCs/>
          <w:color w:val="000000"/>
          <w:sz w:val="24"/>
        </w:rPr>
        <w:t>2..1仪器安装完成后，按甲方要求时间对使用人员免费进行技术培训，包括仪器基本原理和结构介绍、仪器操作方法、仪器基本保养维护程序等内容。</w:t>
      </w:r>
    </w:p>
    <w:p>
      <w:pPr>
        <w:adjustRightInd w:val="0"/>
        <w:rPr>
          <w:bCs/>
          <w:color w:val="000000"/>
          <w:sz w:val="24"/>
        </w:rPr>
      </w:pPr>
      <w:r>
        <w:rPr>
          <w:rFonts w:hint="eastAsia"/>
          <w:bCs/>
          <w:color w:val="000000"/>
          <w:sz w:val="24"/>
        </w:rPr>
        <w:t>2.1.1培训形式至少包括：1）流式细胞技术应用讲座；2）流式细胞仪硬件软件操作演示；3）实验样本现场练习；4）客户要求的特别项目培训</w:t>
      </w:r>
    </w:p>
    <w:p>
      <w:pPr>
        <w:adjustRightInd w:val="0"/>
        <w:rPr>
          <w:bCs/>
          <w:color w:val="000000"/>
          <w:sz w:val="24"/>
        </w:rPr>
      </w:pPr>
      <w:r>
        <w:rPr>
          <w:rFonts w:hint="eastAsia"/>
          <w:bCs/>
          <w:color w:val="000000"/>
          <w:sz w:val="24"/>
        </w:rPr>
        <w:t>2.1.2培训时间：仪器安装调试完毕，应甲方要求后一周内开始，培训时间5天</w:t>
      </w:r>
    </w:p>
    <w:p>
      <w:pPr>
        <w:adjustRightInd w:val="0"/>
        <w:rPr>
          <w:bCs/>
          <w:color w:val="000000"/>
          <w:sz w:val="24"/>
        </w:rPr>
      </w:pPr>
      <w:r>
        <w:rPr>
          <w:rFonts w:hint="eastAsia"/>
          <w:bCs/>
          <w:color w:val="000000"/>
          <w:sz w:val="24"/>
        </w:rPr>
        <w:t>2.1.3培训地点：用户指定地点或者厂家培训中心。培训差旅费由厂家负责，培训名额2名。</w:t>
      </w:r>
    </w:p>
    <w:p>
      <w:pPr>
        <w:adjustRightInd w:val="0"/>
        <w:rPr>
          <w:bCs/>
          <w:color w:val="000000"/>
          <w:sz w:val="24"/>
        </w:rPr>
      </w:pPr>
      <w:r>
        <w:rPr>
          <w:rFonts w:hint="eastAsia"/>
          <w:bCs/>
          <w:color w:val="000000"/>
          <w:sz w:val="24"/>
        </w:rPr>
        <w:t>2.1.4每年工程师巡视2次以上，维护培训机器使用，每次2天以上的培训，可录像。</w:t>
      </w:r>
    </w:p>
    <w:p>
      <w:pPr>
        <w:adjustRightInd w:val="0"/>
        <w:rPr>
          <w:bCs/>
          <w:color w:val="000000"/>
          <w:sz w:val="24"/>
        </w:rPr>
      </w:pPr>
      <w:r>
        <w:rPr>
          <w:rFonts w:hint="eastAsia"/>
          <w:bCs/>
          <w:color w:val="000000"/>
          <w:sz w:val="24"/>
        </w:rPr>
        <w:t>2.2质保3年，原厂质保，安装调试验收后起。</w:t>
      </w:r>
    </w:p>
    <w:p>
      <w:pPr>
        <w:adjustRightInd w:val="0"/>
        <w:rPr>
          <w:bCs/>
          <w:color w:val="000000"/>
          <w:sz w:val="24"/>
        </w:rPr>
      </w:pPr>
      <w:r>
        <w:rPr>
          <w:rFonts w:hint="eastAsia"/>
          <w:bCs/>
          <w:color w:val="000000"/>
          <w:sz w:val="24"/>
        </w:rPr>
        <w:t>2.3原装正版软件，最高版本，多设备登录，后续使用终身免费升级。</w:t>
      </w:r>
    </w:p>
    <w:p>
      <w:pPr>
        <w:widowControl w:val="0"/>
        <w:shd w:val="clear" w:color="auto" w:fill="auto"/>
        <w:adjustRightInd w:val="0"/>
        <w:spacing w:line="240" w:lineRule="auto"/>
        <w:jc w:val="both"/>
        <w:rPr>
          <w:bCs/>
          <w:color w:val="000000"/>
          <w:kern w:val="2"/>
          <w:sz w:val="24"/>
          <w:szCs w:val="24"/>
        </w:rPr>
      </w:pPr>
      <w:r>
        <w:rPr>
          <w:rFonts w:hint="eastAsia"/>
          <w:bCs/>
          <w:color w:val="000000"/>
          <w:sz w:val="24"/>
        </w:rPr>
        <w:t>2.4在设备运行期间有故障发生时，售后服务方必须保证在4小时内响应；如需工程师上门服务，48小时内到场。</w:t>
      </w:r>
    </w:p>
    <w:p>
      <w:pPr>
        <w:widowControl/>
        <w:shd w:val="clear" w:color="auto" w:fill="FFFFFF"/>
        <w:spacing w:line="315" w:lineRule="atLeast"/>
        <w:jc w:val="left"/>
        <w:rPr>
          <w:kern w:val="0"/>
          <w:szCs w:val="21"/>
        </w:rPr>
      </w:pPr>
      <w:r>
        <w:rPr>
          <w:rFonts w:hint="eastAsia"/>
          <w:kern w:val="0"/>
          <w:sz w:val="28"/>
          <w:szCs w:val="28"/>
        </w:rPr>
        <w:t>3.</w:t>
      </w:r>
      <w:r>
        <w:rPr>
          <w:kern w:val="0"/>
          <w:sz w:val="28"/>
          <w:szCs w:val="28"/>
        </w:rPr>
        <w:t> </w:t>
      </w:r>
      <w:r>
        <w:rPr>
          <w:rFonts w:hint="eastAsia"/>
          <w:kern w:val="0"/>
          <w:sz w:val="28"/>
          <w:szCs w:val="28"/>
        </w:rPr>
        <w:t>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w:t>
      </w:r>
      <w:r>
        <w:rPr>
          <w:kern w:val="0"/>
          <w:sz w:val="28"/>
          <w:szCs w:val="28"/>
        </w:rPr>
        <w:t> 3 </w:t>
      </w:r>
      <w:r>
        <w:rPr>
          <w:rFonts w:hint="eastAsia"/>
          <w:kern w:val="0"/>
          <w:sz w:val="28"/>
          <w:szCs w:val="28"/>
        </w:rPr>
        <w:t>个工作日内进行及时更换，所产生的费用由我方承担。</w:t>
      </w:r>
    </w:p>
    <w:p>
      <w:pPr>
        <w:widowControl/>
        <w:shd w:val="clear" w:color="auto" w:fill="FFFFFF"/>
        <w:spacing w:line="315" w:lineRule="atLeast"/>
        <w:jc w:val="left"/>
        <w:rPr>
          <w:kern w:val="0"/>
          <w:szCs w:val="21"/>
        </w:rPr>
      </w:pPr>
      <w:r>
        <w:rPr>
          <w:rFonts w:hint="eastAsia"/>
          <w:kern w:val="0"/>
          <w:sz w:val="28"/>
          <w:szCs w:val="28"/>
        </w:rPr>
        <w:t>4.</w:t>
      </w:r>
      <w:r>
        <w:rPr>
          <w:kern w:val="0"/>
          <w:sz w:val="28"/>
          <w:szCs w:val="28"/>
        </w:rPr>
        <w:t> </w:t>
      </w:r>
      <w:r>
        <w:rPr>
          <w:rFonts w:hint="eastAsia"/>
          <w:kern w:val="0"/>
          <w:sz w:val="28"/>
          <w:szCs w:val="28"/>
        </w:rPr>
        <w:t>质保期：从最终验收完成之日起，进口设备质保期为叁年。保修期内，非人为原因造成的设备故障，我方将免费矫正或更换有缺陷的设备或部件，直至恢复设备正常性能，此间发生的一切费用由我方自行承担。如不能及时解决实际工作中出现的问题，我方提供备用设备修复。质保期满后终身维修，更换易损件只需按成本收费不收维修费。</w:t>
      </w:r>
    </w:p>
    <w:p>
      <w:pPr>
        <w:widowControl/>
        <w:shd w:val="clear" w:color="auto" w:fill="FFFFFF"/>
        <w:spacing w:line="315" w:lineRule="atLeast"/>
        <w:jc w:val="left"/>
        <w:rPr>
          <w:kern w:val="0"/>
          <w:szCs w:val="21"/>
        </w:rPr>
      </w:pPr>
      <w:r>
        <w:rPr>
          <w:rFonts w:hint="eastAsia"/>
          <w:kern w:val="0"/>
          <w:sz w:val="28"/>
          <w:szCs w:val="28"/>
        </w:rPr>
        <w:t>5.</w:t>
      </w:r>
      <w:r>
        <w:rPr>
          <w:kern w:val="0"/>
          <w:sz w:val="28"/>
          <w:szCs w:val="28"/>
        </w:rPr>
        <w:t> </w:t>
      </w:r>
      <w:r>
        <w:rPr>
          <w:rFonts w:hint="eastAsia"/>
          <w:kern w:val="0"/>
          <w:sz w:val="28"/>
          <w:szCs w:val="28"/>
        </w:rPr>
        <w:t>响应时间：我方接到用户报修通知后，</w:t>
      </w:r>
      <w:r>
        <w:rPr>
          <w:kern w:val="0"/>
          <w:sz w:val="28"/>
          <w:szCs w:val="28"/>
        </w:rPr>
        <w:t> 4 </w:t>
      </w:r>
      <w:r>
        <w:rPr>
          <w:rFonts w:hint="eastAsia"/>
          <w:kern w:val="0"/>
          <w:sz w:val="28"/>
          <w:szCs w:val="28"/>
        </w:rPr>
        <w:t>小时响应</w:t>
      </w:r>
      <w:r>
        <w:rPr>
          <w:kern w:val="0"/>
          <w:sz w:val="28"/>
          <w:szCs w:val="28"/>
        </w:rPr>
        <w:t> ,8 </w:t>
      </w:r>
      <w:r>
        <w:rPr>
          <w:rFonts w:hint="eastAsia"/>
          <w:kern w:val="0"/>
          <w:sz w:val="28"/>
          <w:szCs w:val="28"/>
        </w:rPr>
        <w:t>小时内电话做出维修方案，如</w:t>
      </w:r>
      <w:r>
        <w:rPr>
          <w:kern w:val="0"/>
          <w:sz w:val="28"/>
          <w:szCs w:val="28"/>
        </w:rPr>
        <w:t> 8 </w:t>
      </w:r>
      <w:r>
        <w:rPr>
          <w:rFonts w:hint="eastAsia"/>
          <w:kern w:val="0"/>
          <w:sz w:val="28"/>
          <w:szCs w:val="28"/>
        </w:rPr>
        <w:t>个小时内无法通过电话解决问题，我方派维修人员在接到报修报告后</w:t>
      </w:r>
      <w:r>
        <w:rPr>
          <w:kern w:val="0"/>
          <w:sz w:val="28"/>
          <w:szCs w:val="28"/>
        </w:rPr>
        <w:t> 24 </w:t>
      </w:r>
      <w:r>
        <w:rPr>
          <w:rFonts w:hint="eastAsia"/>
          <w:kern w:val="0"/>
          <w:sz w:val="28"/>
          <w:szCs w:val="28"/>
        </w:rPr>
        <w:t>个小时到达用户现场予以维修，直到解除故障为止。</w:t>
      </w:r>
    </w:p>
    <w:p>
      <w:pPr>
        <w:widowControl/>
        <w:shd w:val="clear" w:color="auto" w:fill="FFFFFF"/>
        <w:spacing w:line="315" w:lineRule="atLeast"/>
        <w:jc w:val="left"/>
        <w:rPr>
          <w:kern w:val="0"/>
          <w:szCs w:val="21"/>
        </w:rPr>
      </w:pPr>
      <w:r>
        <w:rPr>
          <w:rFonts w:hint="eastAsia"/>
          <w:kern w:val="0"/>
          <w:sz w:val="28"/>
          <w:szCs w:val="28"/>
        </w:rPr>
        <w:t>6.</w:t>
      </w:r>
      <w:r>
        <w:rPr>
          <w:kern w:val="0"/>
          <w:sz w:val="28"/>
          <w:szCs w:val="28"/>
        </w:rPr>
        <w:t> </w:t>
      </w:r>
      <w:r>
        <w:rPr>
          <w:rFonts w:hint="eastAsia"/>
          <w:kern w:val="0"/>
          <w:sz w:val="28"/>
          <w:szCs w:val="28"/>
        </w:rPr>
        <w:t>优惠服务：我方将为用户提供电话咨询和软件升级，及时提供仪器最新技术资料与技术支持，每年内不少于</w:t>
      </w:r>
      <w:r>
        <w:rPr>
          <w:kern w:val="0"/>
          <w:sz w:val="28"/>
          <w:szCs w:val="28"/>
        </w:rPr>
        <w:t> 2 </w:t>
      </w:r>
      <w:r>
        <w:rPr>
          <w:rFonts w:hint="eastAsia"/>
          <w:kern w:val="0"/>
          <w:sz w:val="28"/>
          <w:szCs w:val="28"/>
        </w:rPr>
        <w:t>次上门巡检服务。</w:t>
      </w:r>
    </w:p>
    <w:p>
      <w:pPr>
        <w:widowControl/>
        <w:shd w:val="clear" w:color="auto" w:fill="FFFFFF"/>
        <w:spacing w:line="315" w:lineRule="atLeast"/>
        <w:jc w:val="left"/>
        <w:rPr>
          <w:kern w:val="0"/>
          <w:szCs w:val="21"/>
        </w:rPr>
      </w:pPr>
      <w:r>
        <w:rPr>
          <w:rFonts w:hint="eastAsia"/>
          <w:kern w:val="0"/>
          <w:sz w:val="28"/>
          <w:szCs w:val="28"/>
        </w:rPr>
        <w:t>7.</w:t>
      </w:r>
      <w:r>
        <w:rPr>
          <w:kern w:val="0"/>
          <w:sz w:val="28"/>
          <w:szCs w:val="28"/>
        </w:rPr>
        <w:t> </w:t>
      </w:r>
      <w:r>
        <w:rPr>
          <w:rFonts w:hint="eastAsia"/>
          <w:kern w:val="0"/>
          <w:sz w:val="28"/>
          <w:szCs w:val="28"/>
        </w:rPr>
        <w:t>伴随服务：我公司设备均提供一套完整的中文技术资料：包括操作手册、使用说明、维修保养操作手册、操作指南、原理、安装手册、产品合格证等。</w:t>
      </w:r>
    </w:p>
    <w:p>
      <w:pPr>
        <w:widowControl/>
        <w:shd w:val="clear" w:color="auto" w:fill="FFFFFF"/>
        <w:spacing w:line="315" w:lineRule="atLeast"/>
        <w:jc w:val="left"/>
        <w:rPr>
          <w:kern w:val="0"/>
          <w:szCs w:val="21"/>
        </w:rPr>
      </w:pPr>
      <w:r>
        <w:rPr>
          <w:rFonts w:hint="eastAsia"/>
          <w:kern w:val="0"/>
          <w:sz w:val="28"/>
          <w:szCs w:val="28"/>
        </w:rPr>
        <w:t>8.</w:t>
      </w:r>
      <w:r>
        <w:rPr>
          <w:kern w:val="0"/>
          <w:sz w:val="28"/>
          <w:szCs w:val="28"/>
        </w:rPr>
        <w:t> </w:t>
      </w:r>
      <w:r>
        <w:rPr>
          <w:rFonts w:hint="eastAsia"/>
          <w:kern w:val="0"/>
          <w:sz w:val="28"/>
          <w:szCs w:val="28"/>
        </w:rPr>
        <w:t>其他服务事项、技术规格要求以厂商售后服务为准。</w:t>
      </w:r>
    </w:p>
    <w:p>
      <w:pPr>
        <w:widowControl/>
        <w:shd w:val="clear" w:color="auto" w:fill="FFFFFF"/>
        <w:spacing w:line="315" w:lineRule="atLeast"/>
        <w:jc w:val="left"/>
        <w:rPr>
          <w:kern w:val="0"/>
          <w:szCs w:val="21"/>
        </w:rPr>
      </w:pPr>
      <w:r>
        <w:rPr>
          <w:rFonts w:hint="eastAsia"/>
          <w:kern w:val="0"/>
          <w:sz w:val="28"/>
          <w:szCs w:val="28"/>
        </w:rPr>
        <w:t>河南维修点</w:t>
      </w:r>
    </w:p>
    <w:p>
      <w:pPr>
        <w:widowControl/>
        <w:shd w:val="clear" w:color="auto" w:fill="FFFFFF"/>
        <w:spacing w:line="315" w:lineRule="atLeast"/>
        <w:jc w:val="left"/>
        <w:rPr>
          <w:kern w:val="0"/>
          <w:szCs w:val="21"/>
        </w:rPr>
      </w:pPr>
      <w:r>
        <w:rPr>
          <w:rFonts w:hint="eastAsia"/>
          <w:kern w:val="0"/>
          <w:sz w:val="28"/>
          <w:szCs w:val="28"/>
        </w:rPr>
        <w:t>【郑州办事处】</w:t>
      </w:r>
      <w:r>
        <w:rPr>
          <w:kern w:val="0"/>
          <w:sz w:val="28"/>
          <w:szCs w:val="28"/>
        </w:rPr>
        <w:t> </w:t>
      </w:r>
      <w:r>
        <w:rPr>
          <w:rFonts w:hint="eastAsia"/>
          <w:kern w:val="0"/>
          <w:sz w:val="28"/>
          <w:szCs w:val="28"/>
        </w:rPr>
        <w:t>:中康健（郑州）医疗设备有限公司</w:t>
      </w:r>
    </w:p>
    <w:p>
      <w:pPr>
        <w:widowControl/>
        <w:shd w:val="clear" w:color="auto" w:fill="FFFFFF"/>
        <w:spacing w:line="315" w:lineRule="atLeast"/>
        <w:jc w:val="left"/>
        <w:rPr>
          <w:kern w:val="0"/>
          <w:szCs w:val="21"/>
        </w:rPr>
      </w:pPr>
      <w:r>
        <w:rPr>
          <w:rFonts w:hint="eastAsia"/>
          <w:kern w:val="0"/>
          <w:sz w:val="28"/>
          <w:szCs w:val="28"/>
        </w:rPr>
        <w:t xml:space="preserve">地址：河南省郑州市金水区东明路187号金成大厦B座5层501、502、503、504、505 </w:t>
      </w:r>
      <w:r>
        <w:rPr>
          <w:kern w:val="0"/>
          <w:sz w:val="28"/>
          <w:szCs w:val="28"/>
        </w:rPr>
        <w:t> </w:t>
      </w:r>
      <w:r>
        <w:rPr>
          <w:rFonts w:hint="eastAsia"/>
          <w:kern w:val="0"/>
          <w:sz w:val="28"/>
          <w:szCs w:val="28"/>
        </w:rPr>
        <w:t> </w:t>
      </w:r>
      <w:r>
        <w:rPr>
          <w:kern w:val="0"/>
          <w:szCs w:val="21"/>
        </w:rPr>
        <w:t xml:space="preserve"> </w:t>
      </w:r>
    </w:p>
    <w:p>
      <w:pPr>
        <w:widowControl/>
        <w:shd w:val="clear" w:color="auto" w:fill="FFFFFF"/>
        <w:spacing w:line="315" w:lineRule="atLeast"/>
        <w:jc w:val="left"/>
        <w:rPr>
          <w:kern w:val="0"/>
          <w:szCs w:val="21"/>
        </w:rPr>
      </w:pPr>
      <w:r>
        <w:rPr>
          <w:rFonts w:hint="eastAsia"/>
          <w:kern w:val="0"/>
          <w:sz w:val="28"/>
          <w:szCs w:val="28"/>
        </w:rPr>
        <w:t xml:space="preserve">电话：0371-55521230 </w:t>
      </w:r>
      <w:r>
        <w:rPr>
          <w:kern w:val="0"/>
          <w:sz w:val="28"/>
          <w:szCs w:val="28"/>
        </w:rPr>
        <w:t> </w:t>
      </w:r>
    </w:p>
    <w:p>
      <w:pPr>
        <w:widowControl/>
        <w:shd w:val="clear" w:color="auto" w:fill="FFFFFF"/>
        <w:spacing w:line="315" w:lineRule="atLeast"/>
        <w:jc w:val="left"/>
        <w:rPr>
          <w:kern w:val="0"/>
          <w:szCs w:val="21"/>
        </w:rPr>
      </w:pPr>
      <w:r>
        <w:rPr>
          <w:rFonts w:hint="eastAsia"/>
          <w:kern w:val="0"/>
          <w:sz w:val="28"/>
          <w:szCs w:val="28"/>
        </w:rPr>
        <w:t>传真：0371-55521230</w:t>
      </w:r>
    </w:p>
    <w:p>
      <w:pPr>
        <w:widowControl/>
        <w:shd w:val="clear" w:color="auto" w:fill="FFFFFF"/>
        <w:spacing w:line="315" w:lineRule="atLeast"/>
        <w:jc w:val="left"/>
        <w:rPr>
          <w:kern w:val="0"/>
          <w:szCs w:val="21"/>
        </w:rPr>
      </w:pPr>
      <w:r>
        <w:rPr>
          <w:rFonts w:hint="eastAsia"/>
          <w:kern w:val="0"/>
          <w:sz w:val="28"/>
          <w:szCs w:val="28"/>
        </w:rPr>
        <w:t>售后服务联系人：刘畅</w:t>
      </w:r>
      <w:r>
        <w:rPr>
          <w:kern w:val="0"/>
          <w:sz w:val="28"/>
          <w:szCs w:val="28"/>
        </w:rPr>
        <w:t> </w:t>
      </w:r>
    </w:p>
    <w:p>
      <w:pPr>
        <w:sectPr>
          <w:pgSz w:w="11906" w:h="16838"/>
          <w:pgMar w:top="1440" w:right="1440" w:bottom="1440" w:left="1440" w:header="851" w:footer="992" w:gutter="0"/>
          <w:cols w:space="425" w:num="1"/>
          <w:docGrid w:type="lines" w:linePitch="312" w:charSpace="0"/>
        </w:sectPr>
      </w:pPr>
    </w:p>
    <w:p>
      <w:pPr>
        <w:jc w:val="left"/>
        <w:rPr>
          <w:rFonts w:hint="eastAsia" w:eastAsia="宋体"/>
          <w:lang w:eastAsia="zh-CN"/>
        </w:rPr>
      </w:pPr>
      <w:r>
        <w:rPr>
          <w:rFonts w:hint="eastAsia"/>
          <w:b/>
          <w:bCs/>
          <w:sz w:val="28"/>
          <w:szCs w:val="28"/>
        </w:rPr>
        <w:t>中标通知书</w:t>
      </w:r>
      <w:r>
        <w:rPr>
          <w:rFonts w:hint="eastAsia" w:eastAsia="宋体"/>
          <w:lang w:eastAsia="zh-CN"/>
        </w:rPr>
        <w:drawing>
          <wp:inline distT="0" distB="0" distL="114300" distR="114300">
            <wp:extent cx="5728970" cy="8095615"/>
            <wp:effectExtent l="0" t="0" r="5080" b="635"/>
            <wp:docPr id="1" name="图片 1" descr="2包--中康健（郑州）医疗设备有限公司(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包--中康健（郑州）医疗设备有限公司(1)_00"/>
                    <pic:cNvPicPr>
                      <a:picLocks noChangeAspect="1"/>
                    </pic:cNvPicPr>
                  </pic:nvPicPr>
                  <pic:blipFill>
                    <a:blip r:embed="rId8"/>
                    <a:stretch>
                      <a:fillRect/>
                    </a:stretch>
                  </pic:blipFill>
                  <pic:spPr>
                    <a:xfrm>
                      <a:off x="0" y="0"/>
                      <a:ext cx="5728970" cy="8095615"/>
                    </a:xfrm>
                    <a:prstGeom prst="rect">
                      <a:avLst/>
                    </a:prstGeom>
                  </pic:spPr>
                </pic:pic>
              </a:graphicData>
            </a:graphic>
          </wp:inline>
        </w:drawing>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AD263"/>
    <w:multiLevelType w:val="singleLevel"/>
    <w:tmpl w:val="13EAD26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jgwOWQxYzkzZTYzOGI0YjI0ODg0MjIxNWIwYjYifQ=="/>
    <w:docVar w:name="KSO_WPS_MARK_KEY" w:val="2d74f9ea-11b0-4908-aef7-4ba7c779c75c"/>
  </w:docVars>
  <w:rsids>
    <w:rsidRoot w:val="4B730413"/>
    <w:rsid w:val="001644E6"/>
    <w:rsid w:val="002E4990"/>
    <w:rsid w:val="003722E9"/>
    <w:rsid w:val="0041166B"/>
    <w:rsid w:val="004753F1"/>
    <w:rsid w:val="004E54F3"/>
    <w:rsid w:val="00527B39"/>
    <w:rsid w:val="005410EC"/>
    <w:rsid w:val="006F28F7"/>
    <w:rsid w:val="008A5B2A"/>
    <w:rsid w:val="00990265"/>
    <w:rsid w:val="00A557C5"/>
    <w:rsid w:val="00AF0A8E"/>
    <w:rsid w:val="00EB1FF6"/>
    <w:rsid w:val="00EB62CF"/>
    <w:rsid w:val="00F66086"/>
    <w:rsid w:val="1B7210A7"/>
    <w:rsid w:val="1F530E8B"/>
    <w:rsid w:val="219F4A65"/>
    <w:rsid w:val="329374FE"/>
    <w:rsid w:val="36523C34"/>
    <w:rsid w:val="3B177F39"/>
    <w:rsid w:val="48B70949"/>
    <w:rsid w:val="49401486"/>
    <w:rsid w:val="4B730413"/>
    <w:rsid w:val="4DFE65E0"/>
    <w:rsid w:val="5E6E46F3"/>
    <w:rsid w:val="5F967BF3"/>
    <w:rsid w:val="65DC313D"/>
    <w:rsid w:val="681D1056"/>
    <w:rsid w:val="6EC519E7"/>
    <w:rsid w:val="745B5277"/>
    <w:rsid w:val="758807CB"/>
    <w:rsid w:val="76CA3165"/>
    <w:rsid w:val="771B62E4"/>
    <w:rsid w:val="7936389E"/>
    <w:rsid w:val="7AF0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envelope address"/>
    <w:basedOn w:val="1"/>
    <w:qFormat/>
    <w:uiPriority w:val="0"/>
    <w:pPr>
      <w:snapToGrid w:val="0"/>
      <w:ind w:left="2880"/>
    </w:pPr>
    <w:rPr>
      <w:rFonts w:ascii="Arial" w:hAnsi="Arial"/>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qFormat/>
    <w:uiPriority w:val="0"/>
  </w:style>
  <w:style w:type="paragraph" w:customStyle="1" w:styleId="10">
    <w:name w:val="表格文字"/>
    <w:basedOn w:val="1"/>
    <w:next w:val="3"/>
    <w:qFormat/>
    <w:uiPriority w:val="0"/>
    <w:pPr>
      <w:spacing w:line="420" w:lineRule="atLeast"/>
    </w:pPr>
    <w:rPr>
      <w:rFonts w:ascii="Calibri"/>
    </w:rPr>
  </w:style>
  <w:style w:type="paragraph" w:customStyle="1" w:styleId="11">
    <w:name w:val="样式 首行缩进:  2 字符"/>
    <w:basedOn w:val="1"/>
    <w:qFormat/>
    <w:uiPriority w:val="0"/>
    <w:pPr>
      <w:spacing w:line="400" w:lineRule="exact"/>
      <w:ind w:firstLine="200" w:firstLineChars="200"/>
    </w:pPr>
    <w:rPr>
      <w:rFonts w:cs="宋体"/>
      <w:sz w:val="24"/>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6255</Words>
  <Characters>6996</Characters>
  <Lines>55</Lines>
  <Paragraphs>15</Paragraphs>
  <TotalTime>7</TotalTime>
  <ScaleCrop>false</ScaleCrop>
  <LinksUpToDate>false</LinksUpToDate>
  <CharactersWithSpaces>7240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2024-05-28T06:36:00Z</dcterms:created>
  <dc:creator>ladadida</dc:creator>
  <cp:lastModifiedBy>Qq150</cp:lastModifiedBy>
  <cp:lastPrinted>2024-06-12T03:32:00Z</cp:lastPrinted>
  <dcterms:modified xsi:type="dcterms:W3CDTF">2025-02-24T07:39:35Z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CD62F33546404C6ABEEB972079A00C8D</vt:lpwstr>
  </property>
  <property fmtid="{D5CDD505-2E9C-101B-9397-08002B2CF9AE}" pid="4" name="KSOTemplateDocerSaveRecord">
    <vt:lpwstr>eyJoZGlkIjoiNGM3MmEzODMzOTgwYTY2NTdjYzk3ZWQzZWY5MmEyYWQiLCJ1c2VySWQiOiIyMzk5OTAwMzQifQ==</vt:lpwstr>
  </property>
</Properties>
</file>