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3CAAD">
      <w:pPr>
        <w:pageBreakBefore/>
        <w:spacing w:after="0" w:line="360" w:lineRule="auto"/>
        <w:jc w:val="center"/>
        <w:outlineLvl w:val="0"/>
        <w:rPr>
          <w:rFonts w:ascii="宋体" w:hAnsi="宋体" w:eastAsia="宋体" w:cs="宋体"/>
          <w:b/>
          <w:bCs/>
          <w:color w:val="auto"/>
          <w:kern w:val="0"/>
          <w:sz w:val="36"/>
          <w:szCs w:val="44"/>
        </w:rPr>
      </w:pPr>
      <w:bookmarkStart w:id="0" w:name="_Toc24282"/>
      <w:bookmarkStart w:id="1" w:name="_Toc1041"/>
      <w:r>
        <w:rPr>
          <w:rFonts w:hint="eastAsia" w:ascii="宋体" w:hAnsi="宋体" w:eastAsia="宋体" w:cs="宋体"/>
          <w:b/>
          <w:bCs/>
          <w:color w:val="auto"/>
          <w:kern w:val="0"/>
          <w:sz w:val="36"/>
          <w:szCs w:val="44"/>
          <w:lang w:eastAsia="zh-CN"/>
        </w:rPr>
        <w:t>林州市公安局公安交通警察大队2025年度涉案车辆存放停车场采购项目</w:t>
      </w:r>
      <w:r>
        <w:rPr>
          <w:rFonts w:hint="eastAsia" w:ascii="宋体" w:hAnsi="宋体" w:eastAsia="宋体" w:cs="宋体"/>
          <w:b/>
          <w:bCs/>
          <w:color w:val="auto"/>
          <w:kern w:val="0"/>
          <w:sz w:val="36"/>
          <w:szCs w:val="44"/>
        </w:rPr>
        <w:t>竞争性磋商公告</w:t>
      </w:r>
      <w:bookmarkEnd w:id="0"/>
      <w:bookmarkEnd w:id="1"/>
    </w:p>
    <w:p w14:paraId="2B9017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14:paraId="67687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林州市公安局公安交通警察大队2025年度涉案车辆存放停车场采购项目</w:t>
      </w:r>
      <w:r>
        <w:rPr>
          <w:rFonts w:hint="eastAsia" w:ascii="宋体" w:hAnsi="宋体" w:eastAsia="宋体" w:cs="宋体"/>
          <w:color w:val="auto"/>
          <w:sz w:val="21"/>
          <w:szCs w:val="21"/>
        </w:rPr>
        <w:t>的潜在供应商应在安阳市公共资源交易中心网站/林州市公共资源交易中心</w:t>
      </w:r>
      <w:r>
        <w:rPr>
          <w:rFonts w:hint="eastAsia" w:ascii="宋体" w:hAnsi="宋体" w:eastAsia="宋体" w:cs="宋体"/>
          <w:color w:val="auto"/>
          <w:sz w:val="21"/>
          <w:szCs w:val="21"/>
          <w:lang w:eastAsia="zh-CN"/>
        </w:rPr>
        <w:t>（https://ggzy.anyang.gov.cn/lzggzy/）</w:t>
      </w:r>
      <w:r>
        <w:rPr>
          <w:rFonts w:hint="eastAsia" w:ascii="宋体" w:hAnsi="宋体" w:eastAsia="宋体" w:cs="宋体"/>
          <w:color w:val="auto"/>
          <w:sz w:val="21"/>
          <w:szCs w:val="21"/>
        </w:rPr>
        <w:t>网站获取电子版竞争性磋商文件，并于202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9月11日09</w:t>
      </w:r>
      <w:r>
        <w:rPr>
          <w:rFonts w:hint="eastAsia" w:ascii="宋体" w:hAnsi="宋体" w:eastAsia="宋体" w:cs="宋体"/>
          <w:color w:val="auto"/>
          <w:sz w:val="21"/>
          <w:szCs w:val="21"/>
        </w:rPr>
        <w:t>点00分（北京时间）前提交响应文件。</w:t>
      </w:r>
    </w:p>
    <w:p w14:paraId="7BFAE7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bookmarkStart w:id="2" w:name="_Toc35393798"/>
      <w:bookmarkStart w:id="3" w:name="_Toc28359012"/>
      <w:bookmarkStart w:id="4" w:name="_Toc35393629"/>
      <w:bookmarkStart w:id="5" w:name="_Toc28359089"/>
      <w:r>
        <w:rPr>
          <w:rFonts w:hint="eastAsia" w:ascii="宋体" w:hAnsi="宋体" w:eastAsia="宋体" w:cs="宋体"/>
          <w:color w:val="auto"/>
          <w:sz w:val="21"/>
          <w:szCs w:val="21"/>
        </w:rPr>
        <w:t>一、项目基本情况</w:t>
      </w:r>
      <w:bookmarkEnd w:id="2"/>
      <w:bookmarkEnd w:id="3"/>
      <w:bookmarkEnd w:id="4"/>
      <w:bookmarkEnd w:id="5"/>
    </w:p>
    <w:p w14:paraId="7A21CE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项目编号：</w:t>
      </w:r>
      <w:r>
        <w:rPr>
          <w:rFonts w:hint="eastAsia" w:ascii="宋体" w:hAnsi="宋体" w:eastAsia="宋体" w:cs="宋体"/>
          <w:color w:val="auto"/>
          <w:sz w:val="21"/>
          <w:szCs w:val="21"/>
          <w:lang w:eastAsia="zh-CN"/>
        </w:rPr>
        <w:t>林财磋商采购-2025-CS75</w:t>
      </w:r>
    </w:p>
    <w:p w14:paraId="59DC6A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项目名称：</w:t>
      </w:r>
      <w:r>
        <w:rPr>
          <w:rFonts w:hint="eastAsia" w:ascii="宋体" w:hAnsi="宋体" w:eastAsia="宋体" w:cs="宋体"/>
          <w:color w:val="auto"/>
          <w:sz w:val="21"/>
          <w:szCs w:val="21"/>
          <w:lang w:eastAsia="zh-CN"/>
        </w:rPr>
        <w:t>林州市公安局公安交通警察大队2025年度涉案车辆存放停车场采购项目</w:t>
      </w:r>
    </w:p>
    <w:p w14:paraId="58C06D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采购方式：□竞争性谈判 ☑竞争性磋商 □询价</w:t>
      </w:r>
    </w:p>
    <w:p w14:paraId="3DA983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预算金额：</w:t>
      </w:r>
      <w:r>
        <w:rPr>
          <w:rFonts w:hint="eastAsia" w:ascii="宋体" w:hAnsi="宋体" w:eastAsia="宋体" w:cs="宋体"/>
          <w:color w:val="auto"/>
          <w:sz w:val="21"/>
          <w:szCs w:val="21"/>
          <w:lang w:val="en-US" w:eastAsia="zh-CN"/>
        </w:rPr>
        <w:t>501600.00</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/年</w:t>
      </w:r>
    </w:p>
    <w:p w14:paraId="6623D54E">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最高限价： </w:t>
      </w:r>
      <w:r>
        <w:rPr>
          <w:rFonts w:hint="eastAsia" w:ascii="宋体" w:hAnsi="宋体" w:eastAsia="宋体" w:cs="宋体"/>
          <w:color w:val="auto"/>
          <w:sz w:val="21"/>
          <w:szCs w:val="21"/>
          <w:lang w:val="en-US" w:eastAsia="zh-CN"/>
        </w:rPr>
        <w:t>501600.00</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/年</w:t>
      </w:r>
    </w:p>
    <w:tbl>
      <w:tblPr>
        <w:tblStyle w:val="9"/>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77"/>
        <w:gridCol w:w="1810"/>
        <w:gridCol w:w="1125"/>
        <w:gridCol w:w="1218"/>
        <w:gridCol w:w="1160"/>
        <w:gridCol w:w="1219"/>
      </w:tblGrid>
      <w:tr w14:paraId="5445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748" w:type="dxa"/>
            <w:noWrap w:val="0"/>
            <w:vAlign w:val="center"/>
          </w:tcPr>
          <w:p w14:paraId="7A9411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w:t>
            </w:r>
            <w:r>
              <w:rPr>
                <w:rFonts w:hint="eastAsia" w:ascii="宋体" w:hAnsi="宋体" w:eastAsia="宋体" w:cs="宋体"/>
                <w:color w:val="auto"/>
                <w:sz w:val="21"/>
                <w:szCs w:val="21"/>
                <w:lang w:val="en-US" w:eastAsia="zh-CN"/>
              </w:rPr>
              <w:t>号</w:t>
            </w:r>
          </w:p>
        </w:tc>
        <w:tc>
          <w:tcPr>
            <w:tcW w:w="1477" w:type="dxa"/>
            <w:noWrap w:val="0"/>
            <w:vAlign w:val="center"/>
          </w:tcPr>
          <w:p w14:paraId="264899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包号</w:t>
            </w:r>
          </w:p>
        </w:tc>
        <w:tc>
          <w:tcPr>
            <w:tcW w:w="1810" w:type="dxa"/>
            <w:noWrap w:val="0"/>
            <w:vAlign w:val="center"/>
          </w:tcPr>
          <w:p w14:paraId="5F9F1D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包名称</w:t>
            </w:r>
          </w:p>
        </w:tc>
        <w:tc>
          <w:tcPr>
            <w:tcW w:w="1125" w:type="dxa"/>
            <w:noWrap w:val="0"/>
            <w:vAlign w:val="center"/>
          </w:tcPr>
          <w:p w14:paraId="6546A5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包预算（元）</w:t>
            </w:r>
          </w:p>
        </w:tc>
        <w:tc>
          <w:tcPr>
            <w:tcW w:w="1218" w:type="dxa"/>
            <w:noWrap w:val="0"/>
            <w:vAlign w:val="center"/>
          </w:tcPr>
          <w:p w14:paraId="227BA4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包最高限价（元）</w:t>
            </w:r>
          </w:p>
        </w:tc>
        <w:tc>
          <w:tcPr>
            <w:tcW w:w="1160" w:type="dxa"/>
            <w:noWrap w:val="0"/>
            <w:vAlign w:val="center"/>
          </w:tcPr>
          <w:p w14:paraId="4DE0CA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是否专门面向中小企业</w:t>
            </w:r>
          </w:p>
        </w:tc>
        <w:tc>
          <w:tcPr>
            <w:tcW w:w="1219" w:type="dxa"/>
            <w:noWrap w:val="0"/>
            <w:vAlign w:val="center"/>
          </w:tcPr>
          <w:p w14:paraId="626336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采购预留金额（元）</w:t>
            </w:r>
          </w:p>
        </w:tc>
      </w:tr>
      <w:tr w14:paraId="2706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748" w:type="dxa"/>
            <w:noWrap w:val="0"/>
            <w:vAlign w:val="center"/>
          </w:tcPr>
          <w:p w14:paraId="5E5C88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477" w:type="dxa"/>
            <w:noWrap w:val="0"/>
            <w:vAlign w:val="center"/>
          </w:tcPr>
          <w:p w14:paraId="1C7F04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林财磋商采购- 2025-CS75</w:t>
            </w:r>
            <w:r>
              <w:rPr>
                <w:rFonts w:hint="eastAsia" w:ascii="宋体" w:hAnsi="宋体" w:eastAsia="宋体" w:cs="宋体"/>
                <w:color w:val="auto"/>
                <w:sz w:val="21"/>
                <w:szCs w:val="21"/>
                <w:lang w:val="en-US" w:eastAsia="zh-CN"/>
              </w:rPr>
              <w:t>-1</w:t>
            </w:r>
          </w:p>
          <w:p w14:paraId="537AD2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810" w:type="dxa"/>
            <w:noWrap w:val="0"/>
            <w:vAlign w:val="center"/>
          </w:tcPr>
          <w:p w14:paraId="22F166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林州市公安局公安交通警察大队2025年度涉案车辆存放停车场采购项目</w:t>
            </w:r>
          </w:p>
        </w:tc>
        <w:tc>
          <w:tcPr>
            <w:tcW w:w="1125" w:type="dxa"/>
            <w:noWrap w:val="0"/>
            <w:vAlign w:val="center"/>
          </w:tcPr>
          <w:p w14:paraId="22B550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501600.00</w:t>
            </w:r>
          </w:p>
        </w:tc>
        <w:tc>
          <w:tcPr>
            <w:tcW w:w="1218" w:type="dxa"/>
            <w:noWrap w:val="0"/>
            <w:vAlign w:val="center"/>
          </w:tcPr>
          <w:p w14:paraId="2B6D38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501600.00</w:t>
            </w:r>
          </w:p>
        </w:tc>
        <w:tc>
          <w:tcPr>
            <w:tcW w:w="1160" w:type="dxa"/>
            <w:noWrap w:val="0"/>
            <w:vAlign w:val="center"/>
          </w:tcPr>
          <w:p w14:paraId="3A44CF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1219" w:type="dxa"/>
            <w:noWrap w:val="0"/>
            <w:vAlign w:val="center"/>
          </w:tcPr>
          <w:p w14:paraId="6E5C7E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501600.00</w:t>
            </w:r>
          </w:p>
        </w:tc>
      </w:tr>
    </w:tbl>
    <w:p w14:paraId="5614D8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采购需求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（包括但不限于标的的名称、数量、简要技术需求或服务要求等）</w:t>
      </w:r>
    </w:p>
    <w:p w14:paraId="28E8D945">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采购需求范围内的所有内容</w:t>
      </w:r>
    </w:p>
    <w:p w14:paraId="40C367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合同履行期限：</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年。</w:t>
      </w:r>
    </w:p>
    <w:p w14:paraId="2F06A3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、本项目是否接受联合体：否</w:t>
      </w:r>
    </w:p>
    <w:p w14:paraId="12C968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8、是否接受进口产品：否</w:t>
      </w:r>
    </w:p>
    <w:p w14:paraId="08A60C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9、是否专门面向中小企业：是</w:t>
      </w:r>
    </w:p>
    <w:p w14:paraId="5F2833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bookmarkStart w:id="6" w:name="_Toc35393799"/>
      <w:bookmarkStart w:id="7" w:name="_Toc35393630"/>
      <w:bookmarkStart w:id="8" w:name="_Toc28359013"/>
      <w:bookmarkStart w:id="9" w:name="_Toc28359090"/>
      <w:r>
        <w:rPr>
          <w:rFonts w:hint="eastAsia" w:ascii="宋体" w:hAnsi="宋体" w:eastAsia="宋体" w:cs="宋体"/>
          <w:color w:val="auto"/>
          <w:sz w:val="21"/>
          <w:szCs w:val="21"/>
        </w:rPr>
        <w:t>二、申请人的资格要求：</w:t>
      </w:r>
      <w:bookmarkEnd w:id="6"/>
      <w:bookmarkEnd w:id="7"/>
      <w:bookmarkEnd w:id="8"/>
      <w:bookmarkEnd w:id="9"/>
    </w:p>
    <w:p w14:paraId="39316D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bookmarkStart w:id="10" w:name="_Toc35393631"/>
      <w:bookmarkStart w:id="11" w:name="_Toc28359091"/>
      <w:bookmarkStart w:id="12" w:name="_Toc28359014"/>
      <w:bookmarkStart w:id="13" w:name="_Toc35393800"/>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满足《中华人民共和国政府采购法》第二十二条规定；</w:t>
      </w:r>
    </w:p>
    <w:p w14:paraId="0F2EE7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落实政府采购政策需满足的资格要求：本项目专门面向中小企业采购，供应商须提供《中小企业声明函》。</w:t>
      </w:r>
    </w:p>
    <w:p w14:paraId="41D83F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本项目的特定资格要求：</w:t>
      </w:r>
    </w:p>
    <w:p w14:paraId="3BC9DC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3.1符合《中华人民共和国政府采购法》第二十二条规定，并提供下列材料：</w:t>
      </w:r>
    </w:p>
    <w:p w14:paraId="09261B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（1）法人或者其他组织的营业执照等证明文件；</w:t>
      </w:r>
    </w:p>
    <w:p w14:paraId="3B8B00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（2）具有良好的商业信誉和健全的财务会计制度（提供</w:t>
      </w:r>
      <w:r>
        <w:rPr>
          <w:rFonts w:hint="eastAsia" w:ascii="宋体" w:hAnsi="宋体" w:eastAsia="宋体" w:cs="宋体"/>
          <w:color w:val="auto"/>
          <w:sz w:val="21"/>
          <w:szCs w:val="21"/>
          <w:lang w:eastAsia="zh-CN"/>
        </w:rPr>
        <w:t>近三年</w:t>
      </w:r>
      <w:r>
        <w:rPr>
          <w:rFonts w:hint="eastAsia" w:ascii="宋体" w:hAnsi="宋体" w:eastAsia="宋体" w:cs="宋体"/>
          <w:color w:val="auto"/>
          <w:sz w:val="21"/>
          <w:szCs w:val="21"/>
        </w:rPr>
        <w:t>任意一年的财务审计报告，公司成立时间不足一年的，可提供开户银行资信证明）；</w:t>
      </w:r>
    </w:p>
    <w:p w14:paraId="2259CF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（3）具备履行合同所必需的设备和专业技术能力的证明材料（提供承诺书）；</w:t>
      </w:r>
    </w:p>
    <w:p w14:paraId="50E590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（4）有依法缴纳税收和社会保障资金的良好记录（提供</w:t>
      </w:r>
      <w:r>
        <w:rPr>
          <w:rFonts w:hint="eastAsia" w:ascii="宋体" w:hAnsi="宋体" w:eastAsia="宋体" w:cs="宋体"/>
          <w:color w:val="auto"/>
          <w:sz w:val="21"/>
          <w:szCs w:val="21"/>
          <w:lang w:eastAsia="zh-CN"/>
        </w:rPr>
        <w:t>近一年</w:t>
      </w:r>
      <w:r>
        <w:rPr>
          <w:rFonts w:hint="eastAsia" w:ascii="宋体" w:hAnsi="宋体" w:eastAsia="宋体" w:cs="宋体"/>
          <w:color w:val="auto"/>
          <w:sz w:val="21"/>
          <w:szCs w:val="21"/>
        </w:rPr>
        <w:t>以来任意1个月的纳税证明及社保证明），依法免税的，应提供相应证明文件；</w:t>
      </w:r>
    </w:p>
    <w:p w14:paraId="686F73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（5）参加政府采购活动前3年内，在经营活动中没有重大违法记录的书面声明（提供声明函）；</w:t>
      </w:r>
    </w:p>
    <w:p w14:paraId="381212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（6）具备法律、行政法规规定的其他条件的证明材料（提供承诺书）。</w:t>
      </w:r>
    </w:p>
    <w:p w14:paraId="2FAAFF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3.2无不良信用记录。根据《关于在政府采购活动中查询及使用信用记录有关问题的通知》(财库﹝2016﹞125号)和豫财购﹝2016﹞15号的规定，对列入失信被执行人、</w:t>
      </w:r>
      <w:r>
        <w:rPr>
          <w:rFonts w:hint="eastAsia" w:ascii="宋体" w:hAnsi="宋体" w:eastAsia="宋体" w:cs="宋体"/>
          <w:color w:val="auto"/>
          <w:sz w:val="21"/>
          <w:szCs w:val="21"/>
          <w:lang w:eastAsia="zh-CN"/>
        </w:rPr>
        <w:t>重大税收违法失信主体</w:t>
      </w:r>
      <w:r>
        <w:rPr>
          <w:rFonts w:hint="eastAsia" w:ascii="宋体" w:hAnsi="宋体" w:eastAsia="宋体" w:cs="宋体"/>
          <w:color w:val="auto"/>
          <w:sz w:val="21"/>
          <w:szCs w:val="21"/>
        </w:rPr>
        <w:t>、政府采购严重违法失信行为记录名单的供应商，拒绝参与本项目采购活动。（查询渠道：“中国执行信息公开网”（http://zxgk.court.gov.cn/shixin/）网站、“信用中国”网站（www.creditchina.gov.cn）、“中国政府采购网”（www.ccgp.gov.cn）），供应商应在磋商公告发布后对本单位信用信息进行查询并将查询页附在响应文件中；</w:t>
      </w:r>
    </w:p>
    <w:p w14:paraId="09755E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3.3本项目不接受联合体投标。</w:t>
      </w:r>
    </w:p>
    <w:p w14:paraId="44544A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三、获取磋商文件</w:t>
      </w:r>
      <w:bookmarkEnd w:id="10"/>
      <w:bookmarkEnd w:id="11"/>
      <w:bookmarkEnd w:id="12"/>
      <w:bookmarkEnd w:id="13"/>
    </w:p>
    <w:p w14:paraId="210694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bookmarkStart w:id="14" w:name="_Toc28359015"/>
      <w:bookmarkStart w:id="15" w:name="_Toc35393801"/>
      <w:bookmarkStart w:id="16" w:name="_Toc28359092"/>
      <w:bookmarkStart w:id="17" w:name="_Toc35393632"/>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时间：202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日至202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日，每天上午00:00至12:00，下午12:00至23:59（北京时间，法定节假日除外）。</w:t>
      </w:r>
    </w:p>
    <w:p w14:paraId="327043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地点：登录林州市公共资源交易中心网站</w:t>
      </w:r>
      <w:r>
        <w:rPr>
          <w:rFonts w:hint="eastAsia" w:ascii="宋体" w:hAnsi="宋体" w:eastAsia="宋体" w:cs="宋体"/>
          <w:color w:val="auto"/>
          <w:sz w:val="21"/>
          <w:szCs w:val="21"/>
          <w:lang w:eastAsia="zh-CN"/>
        </w:rPr>
        <w:t>（https://ggzy.anyang.gov.cn/lzggzy/）</w:t>
      </w:r>
      <w:r>
        <w:rPr>
          <w:rFonts w:hint="eastAsia" w:ascii="宋体" w:hAnsi="宋体" w:eastAsia="宋体" w:cs="宋体"/>
          <w:color w:val="auto"/>
          <w:sz w:val="21"/>
          <w:szCs w:val="21"/>
        </w:rPr>
        <w:t>，凭企业数字证书获取采购文件（竞争性磋商文件）。</w:t>
      </w:r>
    </w:p>
    <w:p w14:paraId="26AF3D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方式：网上获取。供应商需提前办理CA数字证书及电子签章，并登录安阳市公共资源交易中心网站</w:t>
      </w:r>
      <w:r>
        <w:rPr>
          <w:rFonts w:hint="eastAsia" w:ascii="宋体" w:hAnsi="宋体" w:eastAsia="宋体" w:cs="宋体"/>
          <w:color w:val="auto"/>
          <w:sz w:val="21"/>
          <w:szCs w:val="21"/>
          <w:lang w:eastAsia="zh-CN"/>
        </w:rPr>
        <w:t>（https://ggzy.anyang.gov.cn/ayggzy/）</w:t>
      </w:r>
      <w:r>
        <w:rPr>
          <w:rFonts w:hint="eastAsia" w:ascii="宋体" w:hAnsi="宋体" w:eastAsia="宋体" w:cs="宋体"/>
          <w:color w:val="auto"/>
          <w:sz w:val="21"/>
          <w:szCs w:val="21"/>
        </w:rPr>
        <w:t>完成CA 注册（推荐使用IE浏览器）；具体办理流程请登录安阳市公共资源交易中心网站（</w:t>
      </w:r>
      <w:r>
        <w:rPr>
          <w:rFonts w:hint="eastAsia" w:ascii="宋体" w:hAnsi="宋体" w:eastAsia="宋体" w:cs="宋体"/>
          <w:color w:val="auto"/>
          <w:sz w:val="21"/>
          <w:szCs w:val="21"/>
          <w:lang w:eastAsia="zh-CN"/>
        </w:rPr>
        <w:t>https://ggzy.anyang.gov.cn/ayggzy/</w:t>
      </w:r>
      <w:r>
        <w:rPr>
          <w:rFonts w:hint="eastAsia" w:ascii="宋体" w:hAnsi="宋体" w:eastAsia="宋体" w:cs="宋体"/>
          <w:color w:val="auto"/>
          <w:sz w:val="21"/>
          <w:szCs w:val="21"/>
        </w:rPr>
        <w:t>）-服务指南-操作手册-《安阳市公共资源交易系统投标人（供应商）操作手册》。</w:t>
      </w:r>
    </w:p>
    <w:p w14:paraId="4F715C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售价：0元</w:t>
      </w:r>
    </w:p>
    <w:p w14:paraId="58F73E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四、响应文件提交</w:t>
      </w:r>
      <w:bookmarkEnd w:id="14"/>
      <w:bookmarkEnd w:id="15"/>
      <w:bookmarkEnd w:id="16"/>
      <w:bookmarkEnd w:id="17"/>
    </w:p>
    <w:p w14:paraId="1060C7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截止时间：202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9月11日09</w:t>
      </w:r>
      <w:r>
        <w:rPr>
          <w:rFonts w:hint="eastAsia" w:ascii="宋体" w:hAnsi="宋体" w:eastAsia="宋体" w:cs="宋体"/>
          <w:color w:val="auto"/>
          <w:sz w:val="21"/>
          <w:szCs w:val="21"/>
        </w:rPr>
        <w:t>点00分（北京时间）</w:t>
      </w:r>
    </w:p>
    <w:p w14:paraId="594A54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bookmarkStart w:id="18" w:name="_Toc35393633"/>
      <w:bookmarkStart w:id="19" w:name="_Toc28359016"/>
      <w:bookmarkStart w:id="20" w:name="_Toc35393802"/>
      <w:bookmarkStart w:id="21" w:name="_Toc28359093"/>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地点：供应商应在响应文件提交截止时间前上传加密的电子投标（响应）文件到安阳市公共资源交易系统</w:t>
      </w:r>
      <w:r>
        <w:rPr>
          <w:rFonts w:hint="eastAsia" w:ascii="宋体" w:hAnsi="宋体" w:eastAsia="宋体" w:cs="宋体"/>
          <w:color w:val="auto"/>
          <w:sz w:val="21"/>
          <w:szCs w:val="21"/>
          <w:lang w:eastAsia="zh-CN"/>
        </w:rPr>
        <w:t>（https://ggzy.anyang.gov.cn/ayggzy/）</w:t>
      </w:r>
      <w:r>
        <w:rPr>
          <w:rFonts w:hint="eastAsia" w:ascii="宋体" w:hAnsi="宋体" w:eastAsia="宋体" w:cs="宋体"/>
          <w:color w:val="auto"/>
          <w:sz w:val="21"/>
          <w:szCs w:val="21"/>
        </w:rPr>
        <w:t>。上传时供应商须使用制作该投标（响应）文件的同一CA锁进行上传操作。请供应商在上传时认真检查上传投标（响应）文件是否完整、正确。供应商应充分考虑上传文件时的不可预见因素，未在响应文件提交截止时间前完成上传的，视为逾期送达，安阳市电子招投标交易平台将拒绝接收。逾期送达的或者未送达指定地点的投标（响应）文件，采购人不予受理。</w:t>
      </w:r>
    </w:p>
    <w:p w14:paraId="2F7E29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五、开启</w:t>
      </w:r>
      <w:bookmarkEnd w:id="18"/>
      <w:bookmarkEnd w:id="19"/>
      <w:bookmarkEnd w:id="20"/>
      <w:bookmarkEnd w:id="21"/>
    </w:p>
    <w:p w14:paraId="41DA94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bookmarkStart w:id="22" w:name="_Toc28359094"/>
      <w:bookmarkStart w:id="23" w:name="_Toc35393634"/>
      <w:bookmarkStart w:id="24" w:name="_Toc35393803"/>
      <w:bookmarkStart w:id="25" w:name="_Toc28359017"/>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时间：202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9月11日09</w:t>
      </w:r>
      <w:r>
        <w:rPr>
          <w:rFonts w:hint="eastAsia" w:ascii="宋体" w:hAnsi="宋体" w:eastAsia="宋体" w:cs="宋体"/>
          <w:color w:val="auto"/>
          <w:sz w:val="21"/>
          <w:szCs w:val="21"/>
        </w:rPr>
        <w:t>点00分（北京时间）</w:t>
      </w:r>
    </w:p>
    <w:p w14:paraId="56C3FB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地点：本项目采用远程不见面交易的模式，开标当日，供应商无需到开标现场参加开标会议，供应商应当在响应文件提交截止时间前，推荐使用IE浏览器登录到安阳市公共资源交易不见面开标大厅（https://ggzy.anyang.gov.cn/BidOpening/bidhall/default/login.html），点击右上方【登录】按钮进入，在线准时参加开标活动并进行投标（响应）文件解密等。因供应商原因未能解密、解密失败或解密超时的将被拒绝。</w:t>
      </w:r>
    </w:p>
    <w:p w14:paraId="3C5D76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六、公告期限</w:t>
      </w:r>
      <w:bookmarkEnd w:id="22"/>
      <w:bookmarkEnd w:id="23"/>
      <w:bookmarkEnd w:id="24"/>
      <w:bookmarkEnd w:id="25"/>
    </w:p>
    <w:p w14:paraId="7B378E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本次公告同时在《中国招标投标公共服务平台》、《河南省电子招标投标公共服务平台》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《河南省政府采购网》、《全国公共资源</w:t>
      </w:r>
      <w:bookmarkStart w:id="44" w:name="_GoBack"/>
      <w:bookmarkEnd w:id="44"/>
      <w:r>
        <w:rPr>
          <w:rFonts w:hint="eastAsia" w:ascii="宋体" w:hAnsi="宋体" w:eastAsia="宋体" w:cs="宋体"/>
          <w:color w:val="auto"/>
          <w:sz w:val="21"/>
          <w:szCs w:val="21"/>
        </w:rPr>
        <w:t>交易平台（河南省·林州市）》上发布。</w:t>
      </w:r>
    </w:p>
    <w:p w14:paraId="5ACE22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sectPr>
          <w:headerReference r:id="rId5" w:type="default"/>
          <w:footerReference r:id="rId6" w:type="default"/>
          <w:pgSz w:w="11907" w:h="16840"/>
          <w:pgMar w:top="1440" w:right="1803" w:bottom="1440" w:left="1803" w:header="851" w:footer="850" w:gutter="0"/>
          <w:cols w:space="720" w:num="1"/>
          <w:docGrid w:linePitch="462" w:charSpace="0"/>
        </w:sectPr>
      </w:pPr>
    </w:p>
    <w:p w14:paraId="61DDF2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p>
    <w:p w14:paraId="65D08D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drawing>
          <wp:anchor distT="0" distB="0" distL="114300" distR="114300" simplePos="0" relativeHeight="251659264" behindDoc="0" locked="0" layoutInCell="1" allowOverlap="1">
            <wp:simplePos x="0" y="0"/>
            <wp:positionH relativeFrom="column">
              <wp:posOffset>-828040</wp:posOffset>
            </wp:positionH>
            <wp:positionV relativeFrom="paragraph">
              <wp:posOffset>-636270</wp:posOffset>
            </wp:positionV>
            <wp:extent cx="6834505" cy="9752330"/>
            <wp:effectExtent l="0" t="0" r="4445" b="1270"/>
            <wp:wrapNone/>
            <wp:docPr id="3" name="图片 3" descr="公告盖章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告盖章页"/>
                    <pic:cNvPicPr>
                      <a:picLocks noChangeAspect="1"/>
                    </pic:cNvPicPr>
                  </pic:nvPicPr>
                  <pic:blipFill>
                    <a:blip r:embed="rId10"/>
                    <a:stretch>
                      <a:fillRect/>
                    </a:stretch>
                  </pic:blipFill>
                  <pic:spPr>
                    <a:xfrm>
                      <a:off x="0" y="0"/>
                      <a:ext cx="6834505" cy="9752330"/>
                    </a:xfrm>
                    <a:prstGeom prst="rect">
                      <a:avLst/>
                    </a:prstGeom>
                    <a:noFill/>
                    <a:ln>
                      <a:noFill/>
                    </a:ln>
                  </pic:spPr>
                </pic:pic>
              </a:graphicData>
            </a:graphic>
          </wp:anchor>
        </w:drawing>
      </w:r>
      <w:r>
        <w:rPr>
          <w:rFonts w:hint="eastAsia" w:ascii="宋体" w:hAnsi="宋体" w:eastAsia="宋体" w:cs="宋体"/>
          <w:color w:val="auto"/>
          <w:sz w:val="21"/>
          <w:szCs w:val="21"/>
        </w:rPr>
        <w:t>自本公告发布之日起3个工作日。</w:t>
      </w:r>
      <w:bookmarkStart w:id="26" w:name="_Toc35393635"/>
      <w:bookmarkStart w:id="27" w:name="_Toc35393804"/>
    </w:p>
    <w:p w14:paraId="5C23FF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七、其他补充事宜</w:t>
      </w:r>
      <w:bookmarkEnd w:id="26"/>
      <w:bookmarkEnd w:id="27"/>
    </w:p>
    <w:p w14:paraId="36FD05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bookmarkStart w:id="28" w:name="_Toc35393805"/>
      <w:bookmarkStart w:id="29" w:name="_Toc28359095"/>
      <w:bookmarkStart w:id="30" w:name="_Toc28359018"/>
      <w:bookmarkStart w:id="31" w:name="_Toc35393636"/>
      <w:r>
        <w:rPr>
          <w:rFonts w:hint="eastAsia" w:ascii="宋体" w:hAnsi="宋体" w:eastAsia="宋体" w:cs="宋体"/>
          <w:color w:val="auto"/>
          <w:sz w:val="21"/>
          <w:szCs w:val="21"/>
        </w:rPr>
        <w:t>政府采购合同融资</w:t>
      </w:r>
    </w:p>
    <w:p w14:paraId="2FF582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35F314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八、凡对本次采购提出询问，请按以下方式联系。</w:t>
      </w:r>
      <w:bookmarkEnd w:id="28"/>
      <w:bookmarkEnd w:id="29"/>
      <w:bookmarkEnd w:id="30"/>
      <w:bookmarkEnd w:id="31"/>
    </w:p>
    <w:p w14:paraId="00B15B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bookmarkStart w:id="32" w:name="_Toc28359096"/>
      <w:bookmarkStart w:id="33" w:name="_Toc35393806"/>
      <w:bookmarkStart w:id="34" w:name="_Toc35393637"/>
      <w:bookmarkStart w:id="35" w:name="_Toc28359019"/>
      <w:r>
        <w:rPr>
          <w:rFonts w:hint="eastAsia" w:ascii="宋体" w:hAnsi="宋体" w:eastAsia="宋体" w:cs="宋体"/>
          <w:color w:val="auto"/>
          <w:sz w:val="21"/>
          <w:szCs w:val="21"/>
        </w:rPr>
        <w:t>1.采购人信息</w:t>
      </w:r>
      <w:bookmarkEnd w:id="32"/>
      <w:bookmarkEnd w:id="33"/>
      <w:bookmarkEnd w:id="34"/>
      <w:bookmarkEnd w:id="35"/>
    </w:p>
    <w:p w14:paraId="4AFC15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称：林州市公安局</w:t>
      </w:r>
    </w:p>
    <w:p w14:paraId="5BE2F3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    址：河南省安阳市林州市红旗渠大道西段</w:t>
      </w:r>
    </w:p>
    <w:p w14:paraId="55AFBD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 系 人：索鹏云</w:t>
      </w:r>
    </w:p>
    <w:p w14:paraId="69EABE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bookmarkStart w:id="36" w:name="_Toc35393638"/>
      <w:bookmarkStart w:id="37" w:name="_Toc35393807"/>
      <w:bookmarkStart w:id="38" w:name="_Toc28359020"/>
      <w:bookmarkStart w:id="39" w:name="_Toc28359097"/>
      <w:r>
        <w:rPr>
          <w:rFonts w:hint="eastAsia" w:ascii="宋体" w:hAnsi="宋体" w:eastAsia="宋体" w:cs="宋体"/>
          <w:color w:val="auto"/>
          <w:sz w:val="21"/>
          <w:szCs w:val="21"/>
        </w:rPr>
        <w:t>13903725665</w:t>
      </w:r>
    </w:p>
    <w:p w14:paraId="5AB2A5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2.采购代理机构信息</w:t>
      </w:r>
      <w:bookmarkEnd w:id="36"/>
      <w:bookmarkEnd w:id="37"/>
      <w:bookmarkEnd w:id="38"/>
      <w:bookmarkEnd w:id="39"/>
    </w:p>
    <w:p w14:paraId="4AA05B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bookmarkStart w:id="40" w:name="_Toc28359021"/>
      <w:bookmarkStart w:id="41" w:name="_Toc28359098"/>
      <w:bookmarkStart w:id="42" w:name="_Toc35393639"/>
      <w:bookmarkStart w:id="43" w:name="_Toc35393808"/>
      <w:r>
        <w:rPr>
          <w:rFonts w:hint="eastAsia" w:ascii="宋体" w:hAnsi="宋体" w:eastAsia="宋体" w:cs="宋体"/>
          <w:color w:val="auto"/>
          <w:sz w:val="21"/>
          <w:szCs w:val="21"/>
        </w:rPr>
        <w:t>名    称：</w:t>
      </w:r>
      <w:r>
        <w:rPr>
          <w:rFonts w:hint="eastAsia" w:ascii="宋体" w:hAnsi="宋体" w:eastAsia="宋体" w:cs="宋体"/>
          <w:color w:val="auto"/>
          <w:sz w:val="21"/>
          <w:szCs w:val="21"/>
          <w:lang w:eastAsia="zh-CN"/>
        </w:rPr>
        <w:t>河南航勤工程管理有限公司</w:t>
      </w:r>
    </w:p>
    <w:p w14:paraId="6F86A6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联 系 人：</w:t>
      </w:r>
      <w:r>
        <w:rPr>
          <w:rFonts w:hint="eastAsia" w:ascii="宋体" w:hAnsi="宋体" w:eastAsia="宋体" w:cs="宋体"/>
          <w:color w:val="auto"/>
          <w:sz w:val="21"/>
          <w:szCs w:val="21"/>
          <w:lang w:val="en-US" w:eastAsia="zh-CN"/>
        </w:rPr>
        <w:t>王毅</w:t>
      </w:r>
    </w:p>
    <w:p w14:paraId="7538D6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联系方式：</w:t>
      </w:r>
      <w:r>
        <w:rPr>
          <w:rFonts w:hint="eastAsia" w:ascii="宋体" w:hAnsi="宋体" w:eastAsia="宋体" w:cs="宋体"/>
          <w:color w:val="auto"/>
          <w:sz w:val="21"/>
          <w:szCs w:val="21"/>
          <w:lang w:val="en-US" w:eastAsia="zh-CN"/>
        </w:rPr>
        <w:t>0372-6900188</w:t>
      </w:r>
    </w:p>
    <w:p w14:paraId="4EEE1C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  址：</w:t>
      </w:r>
      <w:r>
        <w:rPr>
          <w:rFonts w:hint="eastAsia" w:ascii="宋体" w:hAnsi="宋体" w:eastAsia="宋体" w:cs="宋体"/>
          <w:color w:val="auto"/>
          <w:sz w:val="21"/>
          <w:szCs w:val="21"/>
          <w:lang w:eastAsia="zh-CN"/>
        </w:rPr>
        <w:t>林州市红旗渠大道西段88号禧福苑小区6号楼1001室</w:t>
      </w:r>
    </w:p>
    <w:p w14:paraId="62E8E0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3、项目联系方式</w:t>
      </w:r>
      <w:bookmarkEnd w:id="40"/>
      <w:bookmarkEnd w:id="41"/>
      <w:bookmarkEnd w:id="42"/>
      <w:bookmarkEnd w:id="43"/>
    </w:p>
    <w:p w14:paraId="379451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项目联系人：索鹏云</w:t>
      </w:r>
    </w:p>
    <w:p w14:paraId="228090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联系方式：13903725665</w:t>
      </w:r>
    </w:p>
    <w:p w14:paraId="479FEBB9">
      <w:pPr>
        <w:pStyle w:val="7"/>
        <w:spacing w:after="0" w:line="360" w:lineRule="auto"/>
        <w:rPr>
          <w:rFonts w:hint="eastAsia" w:ascii="宋体" w:hAnsi="宋体" w:eastAsia="宋体" w:cs="宋体"/>
          <w:color w:val="auto"/>
          <w:sz w:val="21"/>
          <w:szCs w:val="21"/>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9CE59">
    <w:pPr>
      <w:pStyle w:val="5"/>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13EFC2">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2513EFC2">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074AC">
    <w:pPr>
      <w:pStyle w:val="5"/>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6B629">
    <w:pPr>
      <w:pStyle w:val="6"/>
      <w:pBdr>
        <w:top w:val="none" w:color="auto" w:sz="0" w:space="1"/>
        <w:left w:val="none" w:color="auto" w:sz="0" w:space="4"/>
        <w:bottom w:val="none" w:color="auto" w:sz="0" w:space="1"/>
        <w:right w:val="none" w:color="auto" w:sz="0" w:space="4"/>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29BA">
    <w:pPr>
      <w:pStyle w:val="6"/>
      <w:pBdr>
        <w:top w:val="none" w:color="auto" w:sz="0" w:space="1"/>
        <w:left w:val="none" w:color="auto" w:sz="0" w:space="4"/>
        <w:bottom w:val="none" w:color="auto" w:sz="0" w:space="1"/>
        <w:right w:val="none" w:color="auto" w:sz="0" w:space="4"/>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A4D06"/>
    <w:rsid w:val="14DA1BB4"/>
    <w:rsid w:val="2CC70108"/>
    <w:rsid w:val="35DA4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仿宋_GB2312" w:hAnsi="Times New Roman" w:eastAsia="仿宋_GB2312" w:cs="Times New Roman"/>
      <w:kern w:val="2"/>
      <w:sz w:val="18"/>
      <w:szCs w:val="18"/>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945"/>
        <w:tab w:val="left" w:pos="1155"/>
      </w:tabs>
      <w:spacing w:after="120"/>
      <w:ind w:firstLine="420"/>
    </w:pPr>
    <w:rPr>
      <w:szCs w:val="24"/>
    </w:rPr>
  </w:style>
  <w:style w:type="paragraph" w:styleId="3">
    <w:name w:val="Body Text Indent"/>
    <w:basedOn w:val="1"/>
    <w:next w:val="4"/>
    <w:qFormat/>
    <w:uiPriority w:val="0"/>
    <w:pPr>
      <w:ind w:firstLine="436" w:firstLineChars="200"/>
    </w:pPr>
    <w:rPr>
      <w:spacing w:val="4"/>
    </w:r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rFonts w:ascii="宋体" w:hAnsi="宋体"/>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宋体"/>
    </w:rPr>
  </w:style>
  <w:style w:type="paragraph" w:styleId="7">
    <w:name w:val="Normal (Web)"/>
    <w:basedOn w:val="1"/>
    <w:qFormat/>
    <w:uiPriority w:val="0"/>
    <w:pPr>
      <w:spacing w:after="150"/>
      <w:jc w:val="left"/>
    </w:pPr>
    <w:rPr>
      <w:rFonts w:ascii="微软雅黑" w:hAnsi="微软雅黑" w:eastAsia="微软雅黑"/>
      <w:color w:val="323232"/>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2072</Words>
  <Characters>2572</Characters>
  <Lines>0</Lines>
  <Paragraphs>0</Paragraphs>
  <TotalTime>12</TotalTime>
  <ScaleCrop>false</ScaleCrop>
  <LinksUpToDate>false</LinksUpToDate>
  <CharactersWithSpaces>2595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2025-08-28T08:35:00Z</dcterms:created>
  <dc:creator>往事如烟.</dc:creator>
  <cp:lastModifiedBy>往事如烟.</cp:lastModifiedBy>
  <dcterms:modified xsi:type="dcterms:W3CDTF">2025-08-28T09:46:34Z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CDEBE0A7030D411CAEAE2125B7A6A166_11</vt:lpwstr>
  </property>
  <property fmtid="{D5CDD505-2E9C-101B-9397-08002B2CF9AE}" pid="4" name="KSOTemplateDocerSaveRecord">
    <vt:lpwstr>eyJoZGlkIjoiY2I2NjNkZDU2MGYwNzYxM2IxNDU0Yzk4YzZjNTJiM2IiLCJ1c2VySWQiOiI0NTA1MDEyNzUifQ==</vt:lpwstr>
  </property>
</Properties>
</file>