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0"/>
        </w:tabs>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p>
    <w:p>
      <w:pPr>
        <w:spacing w:line="600" w:lineRule="exact"/>
        <w:jc w:val="center"/>
        <w:rPr>
          <w:rFonts w:ascii="宋体" w:hAnsi="宋体" w:cs="宋体"/>
          <w:b/>
          <w:bCs/>
          <w:sz w:val="56"/>
          <w:szCs w:val="56"/>
        </w:rPr>
      </w:pPr>
      <w:r>
        <w:rPr>
          <w:rFonts w:hint="eastAsia" w:ascii="宋体" w:hAnsi="宋体" w:cs="宋体"/>
          <w:b/>
          <w:bCs/>
          <w:sz w:val="56"/>
          <w:szCs w:val="56"/>
          <w:lang w:eastAsia="zh-CN"/>
        </w:rPr>
        <w:t>安阳市文化广电体育旅游局安阳市2023年全民健身器材采购项目</w:t>
      </w:r>
      <w:r>
        <w:rPr>
          <w:rFonts w:hint="eastAsia" w:ascii="宋体" w:hAnsi="宋体" w:cs="宋体"/>
          <w:b w:val="0"/>
          <w:bCs w:val="0"/>
          <w:sz w:val="56"/>
          <w:szCs w:val="56"/>
          <w:lang w:val="en-US" w:eastAsia="zh-CN"/>
        </w:rPr>
        <w:t>-</w:t>
      </w:r>
      <w:r>
        <w:rPr>
          <w:rFonts w:hint="eastAsia" w:ascii="宋体" w:hAnsi="宋体" w:cs="宋体"/>
          <w:b/>
          <w:bCs/>
          <w:sz w:val="56"/>
          <w:szCs w:val="56"/>
        </w:rPr>
        <w:t>3包</w:t>
      </w:r>
    </w:p>
    <w:p>
      <w:pPr>
        <w:spacing w:line="200" w:lineRule="exact"/>
        <w:rPr>
          <w:sz w:val="24"/>
          <w:szCs w:val="24"/>
        </w:rPr>
      </w:pPr>
    </w:p>
    <w:p>
      <w:pPr>
        <w:spacing w:line="200" w:lineRule="exact"/>
        <w:rPr>
          <w:sz w:val="24"/>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pStyle w:val="32"/>
        <w:rPr>
          <w:szCs w:val="24"/>
        </w:rPr>
      </w:pPr>
    </w:p>
    <w:p>
      <w:pPr>
        <w:spacing w:line="200" w:lineRule="exact"/>
        <w:rPr>
          <w:sz w:val="24"/>
          <w:szCs w:val="24"/>
        </w:rPr>
      </w:pPr>
    </w:p>
    <w:p>
      <w:pPr>
        <w:spacing w:line="304" w:lineRule="exact"/>
        <w:rPr>
          <w:sz w:val="24"/>
          <w:szCs w:val="24"/>
        </w:rPr>
      </w:pPr>
    </w:p>
    <w:p>
      <w:pPr>
        <w:spacing w:line="1096" w:lineRule="exact"/>
        <w:jc w:val="center"/>
        <w:rPr>
          <w:sz w:val="20"/>
        </w:rPr>
      </w:pPr>
      <w:r>
        <w:rPr>
          <w:rFonts w:hint="eastAsia" w:ascii="宋体" w:hAnsi="宋体" w:cs="宋体"/>
          <w:b/>
          <w:bCs/>
          <w:sz w:val="96"/>
          <w:szCs w:val="96"/>
        </w:rPr>
        <w:t>竞争性磋商</w:t>
      </w:r>
      <w:r>
        <w:rPr>
          <w:rFonts w:ascii="宋体" w:hAnsi="宋体" w:cs="宋体"/>
          <w:b/>
          <w:bCs/>
          <w:sz w:val="96"/>
          <w:szCs w:val="96"/>
        </w:rPr>
        <w:t>文件</w:t>
      </w:r>
    </w:p>
    <w:p>
      <w:pPr>
        <w:spacing w:line="240" w:lineRule="auto"/>
        <w:jc w:val="center"/>
        <w:rPr>
          <w:sz w:val="24"/>
          <w:szCs w:val="24"/>
        </w:rPr>
      </w:pPr>
    </w:p>
    <w:p>
      <w:pPr>
        <w:spacing w:line="240" w:lineRule="auto"/>
        <w:jc w:val="center"/>
        <w:rPr>
          <w:rFonts w:ascii="宋体" w:hAnsi="宋体" w:cs="宋体"/>
          <w:b/>
          <w:bCs/>
          <w:sz w:val="24"/>
          <w:szCs w:val="24"/>
        </w:rPr>
      </w:pPr>
    </w:p>
    <w:p>
      <w:pPr>
        <w:spacing w:line="240" w:lineRule="auto"/>
        <w:jc w:val="center"/>
        <w:rPr>
          <w:rFonts w:ascii="宋体" w:hAnsi="宋体" w:cs="宋体"/>
          <w:b/>
          <w:bCs/>
          <w:sz w:val="24"/>
          <w:szCs w:val="24"/>
        </w:rPr>
      </w:pPr>
      <w:r>
        <w:rPr>
          <w:rFonts w:hint="eastAsia" w:ascii="宋体" w:hAnsi="宋体" w:cs="宋体"/>
          <w:b/>
          <w:bCs/>
          <w:sz w:val="32"/>
          <w:szCs w:val="32"/>
        </w:rPr>
        <w:t>采购编号：</w:t>
      </w:r>
      <w:r>
        <w:rPr>
          <w:rFonts w:hint="eastAsia" w:ascii="宋体" w:hAnsi="宋体" w:cs="宋体"/>
          <w:b/>
          <w:bCs/>
          <w:sz w:val="32"/>
          <w:szCs w:val="32"/>
          <w:lang w:eastAsia="zh-CN"/>
        </w:rPr>
        <w:t>安财磋商采购</w:t>
      </w:r>
      <w:r>
        <w:rPr>
          <w:rFonts w:hint="eastAsia" w:ascii="宋体" w:hAnsi="宋体" w:cs="宋体"/>
          <w:b/>
          <w:bCs/>
          <w:sz w:val="32"/>
          <w:szCs w:val="32"/>
          <w:lang w:val="en-US" w:eastAsia="zh-CN"/>
        </w:rPr>
        <w:t>-2023-80</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43" w:lineRule="exact"/>
        <w:rPr>
          <w:rFonts w:ascii="宋体" w:hAnsi="宋体" w:cs="宋体"/>
          <w:b/>
          <w:bCs/>
          <w:sz w:val="32"/>
          <w:szCs w:val="32"/>
        </w:rPr>
      </w:pPr>
    </w:p>
    <w:p>
      <w:pPr>
        <w:spacing w:line="343" w:lineRule="exact"/>
        <w:rPr>
          <w:rFonts w:ascii="宋体" w:hAnsi="宋体" w:cs="宋体"/>
          <w:b/>
          <w:bCs/>
          <w:sz w:val="32"/>
          <w:szCs w:val="32"/>
        </w:rPr>
      </w:pPr>
    </w:p>
    <w:p>
      <w:pPr>
        <w:spacing w:line="343" w:lineRule="exact"/>
        <w:rPr>
          <w:sz w:val="32"/>
          <w:szCs w:val="32"/>
        </w:rPr>
      </w:pPr>
      <w:r>
        <w:rPr>
          <w:rFonts w:ascii="宋体" w:hAnsi="宋体" w:cs="宋体"/>
          <w:b/>
          <w:bCs/>
          <w:sz w:val="32"/>
          <w:szCs w:val="32"/>
        </w:rPr>
        <w:t>采 购 人：</w:t>
      </w:r>
      <w:r>
        <w:rPr>
          <w:rFonts w:hint="eastAsia" w:ascii="宋体" w:hAnsi="宋体" w:cs="宋体"/>
          <w:b/>
          <w:bCs/>
          <w:sz w:val="32"/>
          <w:szCs w:val="32"/>
        </w:rPr>
        <w:t>安阳</w:t>
      </w:r>
      <w:r>
        <w:rPr>
          <w:rFonts w:ascii="宋体" w:hAnsi="宋体" w:cs="宋体"/>
          <w:b/>
          <w:bCs/>
          <w:sz w:val="32"/>
          <w:szCs w:val="32"/>
        </w:rPr>
        <w:t>市</w:t>
      </w:r>
      <w:r>
        <w:rPr>
          <w:rFonts w:hint="eastAsia" w:ascii="宋体" w:hAnsi="宋体" w:cs="宋体"/>
          <w:b/>
          <w:bCs/>
          <w:sz w:val="32"/>
          <w:szCs w:val="32"/>
        </w:rPr>
        <w:t>文化广电体育旅游局</w:t>
      </w:r>
    </w:p>
    <w:p>
      <w:pPr>
        <w:spacing w:line="200" w:lineRule="exact"/>
        <w:rPr>
          <w:sz w:val="32"/>
          <w:szCs w:val="32"/>
        </w:rPr>
      </w:pPr>
    </w:p>
    <w:p>
      <w:pPr>
        <w:spacing w:line="343" w:lineRule="exact"/>
        <w:rPr>
          <w:sz w:val="32"/>
          <w:szCs w:val="32"/>
        </w:rPr>
      </w:pPr>
      <w:r>
        <w:rPr>
          <w:rFonts w:ascii="宋体" w:hAnsi="宋体" w:cs="宋体"/>
          <w:b/>
          <w:bCs/>
          <w:sz w:val="32"/>
          <w:szCs w:val="32"/>
        </w:rPr>
        <w:t>代理机构：</w:t>
      </w:r>
      <w:r>
        <w:rPr>
          <w:rFonts w:hint="eastAsia" w:ascii="宋体" w:hAnsi="宋体"/>
          <w:b/>
          <w:sz w:val="32"/>
          <w:szCs w:val="32"/>
        </w:rPr>
        <w:t>河南求实工程造价咨询有限公司</w:t>
      </w:r>
    </w:p>
    <w:p>
      <w:pPr>
        <w:spacing w:line="200" w:lineRule="exact"/>
        <w:rPr>
          <w:sz w:val="32"/>
          <w:szCs w:val="32"/>
        </w:rPr>
      </w:pPr>
    </w:p>
    <w:p>
      <w:pPr>
        <w:tabs>
          <w:tab w:val="left" w:pos="2520"/>
        </w:tabs>
        <w:spacing w:line="343" w:lineRule="exact"/>
        <w:rPr>
          <w:sz w:val="32"/>
          <w:szCs w:val="32"/>
        </w:rPr>
      </w:pPr>
      <w:r>
        <w:rPr>
          <w:rFonts w:ascii="宋体" w:hAnsi="宋体" w:cs="宋体"/>
          <w:b/>
          <w:bCs/>
          <w:sz w:val="32"/>
          <w:szCs w:val="32"/>
        </w:rPr>
        <w:t>日期：二</w:t>
      </w:r>
      <w:r>
        <w:rPr>
          <w:rFonts w:hint="eastAsia" w:ascii="宋体" w:hAnsi="宋体" w:cs="宋体"/>
          <w:b/>
          <w:bCs/>
          <w:sz w:val="32"/>
          <w:szCs w:val="32"/>
        </w:rPr>
        <w:t>零二三</w:t>
      </w:r>
      <w:r>
        <w:rPr>
          <w:rFonts w:ascii="宋体" w:hAnsi="宋体" w:cs="宋体"/>
          <w:b/>
          <w:bCs/>
          <w:sz w:val="32"/>
          <w:szCs w:val="32"/>
        </w:rPr>
        <w:t>年</w:t>
      </w:r>
      <w:r>
        <w:rPr>
          <w:rFonts w:hint="eastAsia" w:ascii="宋体" w:hAnsi="宋体" w:cs="宋体"/>
          <w:b/>
          <w:bCs/>
          <w:sz w:val="32"/>
          <w:szCs w:val="32"/>
        </w:rPr>
        <w:t>十一</w:t>
      </w:r>
      <w:r>
        <w:rPr>
          <w:rFonts w:ascii="宋体" w:hAnsi="宋体" w:cs="宋体"/>
          <w:b/>
          <w:bCs/>
          <w:sz w:val="32"/>
          <w:szCs w:val="32"/>
        </w:rPr>
        <w:t>月</w:t>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pStyle w:val="32"/>
        <w:sectPr>
          <w:footerReference r:id="rId9" w:type="first"/>
          <w:headerReference r:id="rId5" w:type="default"/>
          <w:footerReference r:id="rId7" w:type="default"/>
          <w:headerReference r:id="rId6" w:type="even"/>
          <w:footerReference r:id="rId8" w:type="even"/>
          <w:pgSz w:w="11905" w:h="16837"/>
          <w:pgMar w:top="1418" w:right="1332" w:bottom="1418" w:left="1418" w:header="567" w:footer="567" w:gutter="0"/>
          <w:pgNumType w:fmt="numberInDash" w:start="0"/>
          <w:cols w:space="720" w:num="1"/>
          <w:titlePg/>
        </w:sectPr>
      </w:pPr>
    </w:p>
    <w:p>
      <w:pPr>
        <w:pStyle w:val="60"/>
        <w:jc w:val="center"/>
        <w:rPr>
          <w:rFonts w:ascii="黑体" w:hAnsi="黑体" w:eastAsia="黑体"/>
          <w:color w:val="000000" w:themeColor="text1"/>
          <w:sz w:val="36"/>
          <w:szCs w:val="36"/>
          <w:lang w:val="zh-CN"/>
        </w:rPr>
      </w:pPr>
      <w:r>
        <w:rPr>
          <w:rFonts w:hint="eastAsia" w:ascii="黑体" w:hAnsi="黑体" w:eastAsia="黑体"/>
          <w:color w:val="000000" w:themeColor="text1"/>
          <w:sz w:val="36"/>
          <w:szCs w:val="36"/>
          <w:lang w:val="zh-CN"/>
        </w:rPr>
        <w:t>目  录</w:t>
      </w:r>
    </w:p>
    <w:p>
      <w:pPr>
        <w:spacing w:line="480" w:lineRule="auto"/>
        <w:rPr>
          <w:color w:val="000000" w:themeColor="text1"/>
          <w:sz w:val="36"/>
          <w:szCs w:val="32"/>
          <w:lang w:val="zh-CN"/>
        </w:rPr>
      </w:pPr>
    </w:p>
    <w:p>
      <w:pPr>
        <w:pStyle w:val="17"/>
        <w:tabs>
          <w:tab w:val="right" w:leader="dot" w:pos="9371"/>
        </w:tabs>
        <w:rPr>
          <w:rFonts w:asciiTheme="minorHAnsi" w:hAnsiTheme="minorHAnsi" w:eastAsiaTheme="minorEastAsia" w:cstheme="minorBidi"/>
          <w:color w:val="auto"/>
          <w:kern w:val="2"/>
          <w:szCs w:val="22"/>
        </w:rPr>
      </w:pPr>
      <w:r>
        <w:rPr>
          <w:color w:val="000000" w:themeColor="text1"/>
          <w:sz w:val="36"/>
          <w:szCs w:val="32"/>
        </w:rPr>
        <w:fldChar w:fldCharType="begin"/>
      </w:r>
      <w:r>
        <w:rPr>
          <w:color w:val="000000" w:themeColor="text1"/>
          <w:sz w:val="36"/>
          <w:szCs w:val="32"/>
        </w:rPr>
        <w:instrText xml:space="preserve"> TOC \o "1-3" \h \z \u </w:instrText>
      </w:r>
      <w:r>
        <w:rPr>
          <w:color w:val="000000" w:themeColor="text1"/>
          <w:sz w:val="36"/>
          <w:szCs w:val="32"/>
        </w:rPr>
        <w:fldChar w:fldCharType="separate"/>
      </w:r>
      <w:r>
        <w:fldChar w:fldCharType="begin"/>
      </w:r>
      <w:r>
        <w:instrText xml:space="preserve"> HYPERLINK \l "_Toc26366082" </w:instrText>
      </w:r>
      <w:r>
        <w:fldChar w:fldCharType="separate"/>
      </w:r>
      <w:r>
        <w:rPr>
          <w:rStyle w:val="30"/>
          <w:rFonts w:hint="eastAsia" w:eastAsia="黑体"/>
          <w:b/>
        </w:rPr>
        <w:t>第一章</w:t>
      </w:r>
      <w:r>
        <w:rPr>
          <w:rStyle w:val="30"/>
          <w:rFonts w:hint="eastAsia" w:eastAsia="黑体"/>
          <w:b/>
          <w:lang w:val="en-US" w:eastAsia="zh-CN"/>
        </w:rPr>
        <w:t xml:space="preserve"> </w:t>
      </w:r>
      <w:r>
        <w:rPr>
          <w:rStyle w:val="30"/>
          <w:rFonts w:hint="eastAsia" w:eastAsia="黑体"/>
          <w:b/>
        </w:rPr>
        <w:t>磋商公告</w:t>
      </w:r>
      <w:r>
        <w:tab/>
      </w:r>
      <w:r>
        <w:fldChar w:fldCharType="begin"/>
      </w:r>
      <w:r>
        <w:instrText xml:space="preserve"> PAGEREF _Toc26366082 \h </w:instrText>
      </w:r>
      <w:r>
        <w:fldChar w:fldCharType="separate"/>
      </w:r>
      <w:r>
        <w:t>- 2 -</w:t>
      </w:r>
      <w:r>
        <w:fldChar w:fldCharType="end"/>
      </w:r>
      <w:r>
        <w:fldChar w:fldCharType="end"/>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"_Toc26366083" </w:instrText>
      </w:r>
      <w:r>
        <w:fldChar w:fldCharType="separate"/>
      </w:r>
      <w:r>
        <w:rPr>
          <w:rStyle w:val="30"/>
          <w:rFonts w:hint="eastAsia" w:eastAsia="黑体"/>
          <w:b/>
        </w:rPr>
        <w:t>第二章</w:t>
      </w:r>
      <w:r>
        <w:rPr>
          <w:rStyle w:val="30"/>
          <w:rFonts w:hint="eastAsia" w:eastAsia="黑体"/>
          <w:b/>
          <w:lang w:val="en-US" w:eastAsia="zh-CN"/>
        </w:rPr>
        <w:t xml:space="preserve"> </w:t>
      </w:r>
      <w:r>
        <w:rPr>
          <w:rStyle w:val="30"/>
          <w:rFonts w:hint="eastAsia" w:eastAsia="黑体"/>
          <w:b/>
        </w:rPr>
        <w:t>采购项目及技术服务要求</w:t>
      </w:r>
      <w:r>
        <w:tab/>
      </w:r>
      <w:r>
        <w:fldChar w:fldCharType="begin"/>
      </w:r>
      <w:r>
        <w:instrText xml:space="preserve"> PAGEREF _Toc26366083 \h </w:instrText>
      </w:r>
      <w:r>
        <w:fldChar w:fldCharType="separate"/>
      </w:r>
      <w:r>
        <w:t>- 5 -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"_Toc26366084" </w:instrText>
      </w:r>
      <w:r>
        <w:fldChar w:fldCharType="separate"/>
      </w:r>
      <w:r>
        <w:rPr>
          <w:rStyle w:val="30"/>
          <w:rFonts w:ascii="黑体" w:hAnsi="黑体" w:eastAsia="黑体"/>
          <w:b/>
        </w:rPr>
        <w:t xml:space="preserve">1. </w:t>
      </w:r>
      <w:r>
        <w:rPr>
          <w:rStyle w:val="30"/>
          <w:rFonts w:hint="eastAsia" w:ascii="黑体" w:hAnsi="黑体" w:eastAsia="黑体"/>
          <w:b/>
        </w:rPr>
        <w:t>采购项目、标段划分、投标报价</w:t>
      </w:r>
      <w:r>
        <w:tab/>
      </w:r>
      <w:r>
        <w:fldChar w:fldCharType="begin"/>
      </w:r>
      <w:r>
        <w:instrText xml:space="preserve"> PAGEREF _Toc26366084 \h </w:instrText>
      </w:r>
      <w:r>
        <w:fldChar w:fldCharType="separate"/>
      </w:r>
      <w:r>
        <w:t>- 5 -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"_Toc26366085" </w:instrText>
      </w:r>
      <w:r>
        <w:fldChar w:fldCharType="separate"/>
      </w:r>
      <w:r>
        <w:rPr>
          <w:rStyle w:val="30"/>
          <w:rFonts w:ascii="黑体" w:hAnsi="黑体" w:eastAsia="黑体"/>
          <w:b/>
        </w:rPr>
        <w:t xml:space="preserve">2. </w:t>
      </w:r>
      <w:r>
        <w:rPr>
          <w:rStyle w:val="30"/>
          <w:rFonts w:hint="eastAsia" w:ascii="黑体" w:hAnsi="黑体" w:eastAsia="黑体"/>
          <w:b/>
        </w:rPr>
        <w:t>标段内容（范围）及基本技术要求</w:t>
      </w:r>
      <w:r>
        <w:tab/>
      </w:r>
      <w:r>
        <w:fldChar w:fldCharType="begin"/>
      </w:r>
      <w:r>
        <w:instrText xml:space="preserve"> PAGEREF _Toc26366085 \h </w:instrText>
      </w:r>
      <w:r>
        <w:fldChar w:fldCharType="separate"/>
      </w:r>
      <w:r>
        <w:t>- 5 -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"_Toc26366086" </w:instrText>
      </w:r>
      <w:r>
        <w:fldChar w:fldCharType="separate"/>
      </w:r>
      <w:r>
        <w:rPr>
          <w:rStyle w:val="30"/>
          <w:rFonts w:ascii="黑体" w:hAnsi="黑体" w:eastAsia="黑体"/>
          <w:b/>
        </w:rPr>
        <w:t xml:space="preserve">3. </w:t>
      </w:r>
      <w:r>
        <w:rPr>
          <w:rStyle w:val="30"/>
          <w:rFonts w:hint="eastAsia" w:ascii="黑体" w:hAnsi="黑体" w:eastAsia="黑体"/>
          <w:b/>
        </w:rPr>
        <w:t>售后服务的基本条款</w:t>
      </w:r>
      <w:r>
        <w:tab/>
      </w:r>
      <w:r>
        <w:fldChar w:fldCharType="begin"/>
      </w:r>
      <w:r>
        <w:instrText xml:space="preserve"> PAGEREF _Toc26366086 \h </w:instrText>
      </w:r>
      <w:r>
        <w:fldChar w:fldCharType="separate"/>
      </w:r>
      <w:r>
        <w:t>- 1</w:t>
      </w:r>
      <w:r>
        <w:rPr>
          <w:rFonts w:hint="eastAsia"/>
          <w:lang w:val="en-US" w:eastAsia="zh-CN"/>
        </w:rPr>
        <w:t>1</w:t>
      </w:r>
      <w:r>
        <w:t xml:space="preserve"> -</w:t>
      </w:r>
      <w:r>
        <w:fldChar w:fldCharType="end"/>
      </w:r>
      <w:r>
        <w:fldChar w:fldCharType="end"/>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"_Toc26366087" </w:instrText>
      </w:r>
      <w:r>
        <w:fldChar w:fldCharType="separate"/>
      </w:r>
      <w:r>
        <w:rPr>
          <w:rStyle w:val="30"/>
          <w:rFonts w:hint="eastAsia" w:eastAsia="黑体"/>
          <w:b/>
        </w:rPr>
        <w:t>第三章</w:t>
      </w:r>
      <w:r>
        <w:rPr>
          <w:rStyle w:val="30"/>
          <w:rFonts w:hint="eastAsia" w:eastAsia="黑体"/>
          <w:b/>
          <w:lang w:val="en-US" w:eastAsia="zh-CN"/>
        </w:rPr>
        <w:t xml:space="preserve"> </w:t>
      </w:r>
      <w:r>
        <w:rPr>
          <w:rStyle w:val="30"/>
          <w:rFonts w:hint="eastAsia" w:eastAsia="黑体"/>
          <w:b/>
        </w:rPr>
        <w:t>投标人须知</w:t>
      </w:r>
      <w:r>
        <w:tab/>
      </w:r>
      <w:r>
        <w:fldChar w:fldCharType="begin"/>
      </w:r>
      <w:r>
        <w:instrText xml:space="preserve"> PAGEREF _Toc26366087 \h </w:instrText>
      </w:r>
      <w:r>
        <w:fldChar w:fldCharType="separate"/>
      </w:r>
      <w:r>
        <w:t>- 1</w:t>
      </w:r>
      <w:r>
        <w:rPr>
          <w:rFonts w:hint="eastAsia"/>
          <w:lang w:val="en-US" w:eastAsia="zh-CN"/>
        </w:rPr>
        <w:t>2</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"_Toc26366088" </w:instrText>
      </w:r>
      <w:r>
        <w:fldChar w:fldCharType="separate"/>
      </w:r>
      <w:r>
        <w:rPr>
          <w:rStyle w:val="30"/>
          <w:rFonts w:hint="eastAsia" w:eastAsia="黑体"/>
          <w:b/>
        </w:rPr>
        <w:t>投标人须知前附表</w:t>
      </w:r>
      <w:r>
        <w:tab/>
      </w:r>
      <w:r>
        <w:fldChar w:fldCharType="begin"/>
      </w:r>
      <w:r>
        <w:instrText xml:space="preserve"> PAGEREF _Toc26366088 \h </w:instrText>
      </w:r>
      <w:r>
        <w:fldChar w:fldCharType="separate"/>
      </w:r>
      <w:r>
        <w:t>- 1</w:t>
      </w:r>
      <w:r>
        <w:rPr>
          <w:rFonts w:hint="eastAsia"/>
          <w:lang w:val="en-US" w:eastAsia="zh-CN"/>
        </w:rPr>
        <w:t>2</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"_Toc26366089" </w:instrText>
      </w:r>
      <w:r>
        <w:fldChar w:fldCharType="separate"/>
      </w:r>
      <w:r>
        <w:rPr>
          <w:rStyle w:val="30"/>
          <w:rFonts w:ascii="黑体" w:hAnsi="黑体" w:eastAsia="黑体" w:cs="楷体_GB2312"/>
          <w:b/>
          <w:bCs/>
          <w:lang w:val="zh-CN"/>
        </w:rPr>
        <w:t xml:space="preserve">1. </w:t>
      </w:r>
      <w:r>
        <w:rPr>
          <w:rStyle w:val="30"/>
          <w:rFonts w:hint="eastAsia" w:ascii="黑体" w:hAnsi="黑体" w:eastAsia="黑体" w:cs="楷体_GB2312"/>
          <w:b/>
          <w:bCs/>
          <w:lang w:val="zh-CN"/>
        </w:rPr>
        <w:t>总则</w:t>
      </w:r>
      <w:r>
        <w:tab/>
      </w:r>
      <w:r>
        <w:fldChar w:fldCharType="begin"/>
      </w:r>
      <w:r>
        <w:instrText xml:space="preserve"> PAGEREF _Toc26366089 \h </w:instrText>
      </w:r>
      <w:r>
        <w:fldChar w:fldCharType="separate"/>
      </w:r>
      <w:r>
        <w:t>- 1</w:t>
      </w:r>
      <w:r>
        <w:rPr>
          <w:rFonts w:hint="eastAsia"/>
          <w:lang w:val="en-US" w:eastAsia="zh-CN"/>
        </w:rPr>
        <w:t>3</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"_Toc26366090" </w:instrText>
      </w:r>
      <w:r>
        <w:fldChar w:fldCharType="separate"/>
      </w:r>
      <w:r>
        <w:rPr>
          <w:rStyle w:val="30"/>
          <w:rFonts w:ascii="黑体" w:hAnsi="黑体" w:eastAsia="黑体" w:cs="楷体_GB2312"/>
          <w:b/>
          <w:bCs/>
          <w:lang w:val="zh-CN"/>
        </w:rPr>
        <w:t xml:space="preserve">2. </w:t>
      </w:r>
      <w:r>
        <w:rPr>
          <w:rStyle w:val="30"/>
          <w:rFonts w:hint="eastAsia" w:ascii="黑体" w:hAnsi="黑体" w:eastAsia="黑体" w:cs="楷体_GB2312"/>
          <w:b/>
          <w:bCs/>
          <w:lang w:val="zh-CN"/>
        </w:rPr>
        <w:t>磋商文件</w:t>
      </w:r>
      <w:r>
        <w:tab/>
      </w:r>
      <w:r>
        <w:fldChar w:fldCharType="begin"/>
      </w:r>
      <w:r>
        <w:instrText xml:space="preserve"> PAGEREF _Toc26366090 \h </w:instrText>
      </w:r>
      <w:r>
        <w:fldChar w:fldCharType="separate"/>
      </w:r>
      <w:r>
        <w:t>- 1</w:t>
      </w:r>
      <w:r>
        <w:rPr>
          <w:rFonts w:hint="eastAsia"/>
          <w:lang w:val="en-US" w:eastAsia="zh-CN"/>
        </w:rPr>
        <w:t>6</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"_Toc26366091" </w:instrText>
      </w:r>
      <w:r>
        <w:fldChar w:fldCharType="separate"/>
      </w:r>
      <w:r>
        <w:rPr>
          <w:rStyle w:val="30"/>
          <w:rFonts w:ascii="黑体" w:hAnsi="黑体" w:eastAsia="黑体" w:cs="楷体_GB2312"/>
          <w:b/>
          <w:bCs/>
          <w:lang w:val="zh-CN"/>
        </w:rPr>
        <w:t xml:space="preserve">3. </w:t>
      </w:r>
      <w:r>
        <w:rPr>
          <w:rStyle w:val="30"/>
          <w:rFonts w:hint="eastAsia" w:ascii="黑体" w:hAnsi="黑体" w:eastAsia="黑体" w:cs="楷体_GB2312"/>
          <w:b/>
          <w:bCs/>
          <w:lang w:val="zh-CN"/>
        </w:rPr>
        <w:t>投标文件（响应文件）</w:t>
      </w:r>
      <w:r>
        <w:tab/>
      </w:r>
      <w:r>
        <w:fldChar w:fldCharType="begin"/>
      </w:r>
      <w:r>
        <w:instrText xml:space="preserve"> PAGEREF _Toc26366091 \h </w:instrText>
      </w:r>
      <w:r>
        <w:fldChar w:fldCharType="separate"/>
      </w:r>
      <w:r>
        <w:t>- 1</w:t>
      </w:r>
      <w:r>
        <w:rPr>
          <w:rFonts w:hint="eastAsia"/>
          <w:lang w:val="en-US" w:eastAsia="zh-CN"/>
        </w:rPr>
        <w:t>7</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"_Toc26366092" </w:instrText>
      </w:r>
      <w:r>
        <w:fldChar w:fldCharType="separate"/>
      </w:r>
      <w:r>
        <w:rPr>
          <w:rStyle w:val="30"/>
          <w:rFonts w:ascii="黑体" w:hAnsi="黑体" w:eastAsia="黑体" w:cs="楷体_GB2312"/>
          <w:b/>
          <w:bCs/>
          <w:lang w:val="zh-CN"/>
        </w:rPr>
        <w:t xml:space="preserve">4. </w:t>
      </w:r>
      <w:r>
        <w:rPr>
          <w:rStyle w:val="30"/>
          <w:rFonts w:hint="eastAsia" w:ascii="黑体" w:hAnsi="黑体" w:eastAsia="黑体" w:cs="楷体_GB2312"/>
          <w:b/>
          <w:bCs/>
          <w:lang w:val="zh-CN"/>
        </w:rPr>
        <w:t>投标（响应文件的递交）</w:t>
      </w:r>
      <w:r>
        <w:tab/>
      </w:r>
      <w:r>
        <w:fldChar w:fldCharType="begin"/>
      </w:r>
      <w:r>
        <w:instrText xml:space="preserve"> PAGEREF _Toc26366092 \h </w:instrText>
      </w:r>
      <w:r>
        <w:fldChar w:fldCharType="separate"/>
      </w:r>
      <w:r>
        <w:t xml:space="preserve">- </w:t>
      </w:r>
      <w:r>
        <w:rPr>
          <w:rFonts w:hint="eastAsia"/>
          <w:lang w:val="en-US" w:eastAsia="zh-CN"/>
        </w:rPr>
        <w:t>19</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"_Toc26366093" </w:instrText>
      </w:r>
      <w:r>
        <w:fldChar w:fldCharType="separate"/>
      </w:r>
      <w:r>
        <w:rPr>
          <w:rStyle w:val="30"/>
          <w:rFonts w:ascii="黑体" w:hAnsi="黑体" w:eastAsia="黑体" w:cs="楷体_GB2312"/>
          <w:b/>
          <w:bCs/>
          <w:lang w:val="zh-CN"/>
        </w:rPr>
        <w:t xml:space="preserve">5. </w:t>
      </w:r>
      <w:r>
        <w:rPr>
          <w:rStyle w:val="30"/>
          <w:rFonts w:hint="eastAsia" w:ascii="黑体" w:hAnsi="黑体" w:eastAsia="黑体" w:cs="楷体_GB2312"/>
          <w:b/>
          <w:bCs/>
          <w:lang w:val="zh-CN"/>
        </w:rPr>
        <w:t>开标（响应文件的开启）</w:t>
      </w:r>
      <w:r>
        <w:tab/>
      </w:r>
      <w:r>
        <w:fldChar w:fldCharType="begin"/>
      </w:r>
      <w:r>
        <w:instrText xml:space="preserve"> PAGEREF _Toc26366093 \h </w:instrText>
      </w:r>
      <w:r>
        <w:fldChar w:fldCharType="separate"/>
      </w:r>
      <w:r>
        <w:t>- 2</w:t>
      </w:r>
      <w:r>
        <w:rPr>
          <w:rFonts w:hint="eastAsia"/>
          <w:lang w:val="en-US" w:eastAsia="zh-CN"/>
        </w:rPr>
        <w:t>0</w:t>
      </w:r>
      <w:r>
        <w:t>-</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"_Toc26366094" </w:instrText>
      </w:r>
      <w:r>
        <w:fldChar w:fldCharType="separate"/>
      </w:r>
      <w:r>
        <w:rPr>
          <w:rStyle w:val="30"/>
          <w:rFonts w:ascii="黑体" w:hAnsi="黑体" w:eastAsia="黑体" w:cs="楷体_GB2312"/>
          <w:b/>
          <w:bCs/>
          <w:lang w:val="zh-CN"/>
        </w:rPr>
        <w:t xml:space="preserve">6. </w:t>
      </w:r>
      <w:r>
        <w:rPr>
          <w:rStyle w:val="30"/>
          <w:rFonts w:hint="eastAsia" w:ascii="黑体" w:hAnsi="黑体" w:eastAsia="黑体" w:cs="楷体_GB2312"/>
          <w:b/>
          <w:bCs/>
          <w:lang w:val="zh-CN"/>
        </w:rPr>
        <w:t>评审</w:t>
      </w:r>
      <w:r>
        <w:tab/>
      </w:r>
      <w:r>
        <w:fldChar w:fldCharType="begin"/>
      </w:r>
      <w:r>
        <w:instrText xml:space="preserve"> PAGEREF _Toc26366094 \h </w:instrText>
      </w:r>
      <w:r>
        <w:fldChar w:fldCharType="separate"/>
      </w:r>
      <w:r>
        <w:t>- 2</w:t>
      </w:r>
      <w:r>
        <w:rPr>
          <w:rFonts w:hint="eastAsia"/>
          <w:lang w:val="en-US" w:eastAsia="zh-CN"/>
        </w:rPr>
        <w:t>1</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"_Toc26366095" </w:instrText>
      </w:r>
      <w:r>
        <w:fldChar w:fldCharType="separate"/>
      </w:r>
      <w:r>
        <w:rPr>
          <w:rStyle w:val="30"/>
          <w:rFonts w:ascii="黑体" w:hAnsi="黑体" w:eastAsia="黑体" w:cs="楷体_GB2312"/>
          <w:b/>
          <w:bCs/>
          <w:lang w:val="zh-CN"/>
        </w:rPr>
        <w:t xml:space="preserve">7. </w:t>
      </w:r>
      <w:r>
        <w:rPr>
          <w:rStyle w:val="30"/>
          <w:rFonts w:hint="eastAsia" w:ascii="黑体" w:hAnsi="黑体" w:eastAsia="黑体" w:cs="楷体_GB2312"/>
          <w:b/>
          <w:bCs/>
          <w:lang w:val="zh-CN"/>
        </w:rPr>
        <w:t>授予合同</w:t>
      </w:r>
      <w:r>
        <w:tab/>
      </w:r>
      <w:r>
        <w:fldChar w:fldCharType="begin"/>
      </w:r>
      <w:r>
        <w:instrText xml:space="preserve"> PAGEREF _Toc26366095 \h </w:instrText>
      </w:r>
      <w:r>
        <w:fldChar w:fldCharType="separate"/>
      </w:r>
      <w:r>
        <w:t>- 2</w:t>
      </w:r>
      <w:r>
        <w:rPr>
          <w:rFonts w:hint="eastAsia"/>
          <w:lang w:val="en-US" w:eastAsia="zh-CN"/>
        </w:rPr>
        <w:t>1</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"_Toc26366096" </w:instrText>
      </w:r>
      <w:r>
        <w:fldChar w:fldCharType="separate"/>
      </w:r>
      <w:r>
        <w:rPr>
          <w:rStyle w:val="30"/>
          <w:rFonts w:ascii="黑体" w:hAnsi="黑体" w:eastAsia="黑体" w:cs="楷体_GB2312"/>
          <w:b/>
          <w:bCs/>
          <w:lang w:val="zh-CN"/>
        </w:rPr>
        <w:t xml:space="preserve">8. </w:t>
      </w:r>
      <w:r>
        <w:rPr>
          <w:rStyle w:val="30"/>
          <w:rFonts w:hint="eastAsia" w:ascii="黑体" w:hAnsi="黑体" w:eastAsia="黑体" w:cs="楷体_GB2312"/>
          <w:b/>
          <w:bCs/>
          <w:lang w:val="zh-CN"/>
        </w:rPr>
        <w:t>验收</w:t>
      </w:r>
      <w:r>
        <w:tab/>
      </w:r>
      <w:r>
        <w:fldChar w:fldCharType="begin"/>
      </w:r>
      <w:r>
        <w:instrText xml:space="preserve"> PAGEREF _Toc26366096 \h </w:instrText>
      </w:r>
      <w:r>
        <w:fldChar w:fldCharType="separate"/>
      </w:r>
      <w:r>
        <w:t>- 2</w:t>
      </w:r>
      <w:r>
        <w:rPr>
          <w:rFonts w:hint="eastAsia"/>
          <w:lang w:val="en-US" w:eastAsia="zh-CN"/>
        </w:rPr>
        <w:t>2</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"_Toc26366097" </w:instrText>
      </w:r>
      <w:r>
        <w:fldChar w:fldCharType="separate"/>
      </w:r>
      <w:r>
        <w:rPr>
          <w:rStyle w:val="30"/>
          <w:rFonts w:ascii="黑体" w:hAnsi="黑体" w:eastAsia="黑体" w:cs="楷体_GB2312"/>
          <w:b/>
          <w:bCs/>
          <w:lang w:val="zh-CN"/>
        </w:rPr>
        <w:t>9.</w:t>
      </w:r>
      <w:r>
        <w:rPr>
          <w:rStyle w:val="30"/>
          <w:rFonts w:hint="eastAsia" w:ascii="黑体" w:hAnsi="黑体" w:eastAsia="黑体" w:cs="楷体_GB2312"/>
          <w:b/>
          <w:bCs/>
          <w:lang w:val="zh-CN"/>
        </w:rPr>
        <w:t>付款</w:t>
      </w:r>
      <w:r>
        <w:tab/>
      </w:r>
      <w:r>
        <w:fldChar w:fldCharType="begin"/>
      </w:r>
      <w:r>
        <w:instrText xml:space="preserve"> PAGEREF _Toc26366097 \h </w:instrText>
      </w:r>
      <w:r>
        <w:fldChar w:fldCharType="separate"/>
      </w:r>
      <w:r>
        <w:t>- 2</w:t>
      </w:r>
      <w:r>
        <w:rPr>
          <w:rFonts w:hint="eastAsia"/>
          <w:lang w:val="en-US" w:eastAsia="zh-CN"/>
        </w:rPr>
        <w:t>3</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"_Toc26366098" </w:instrText>
      </w:r>
      <w:r>
        <w:fldChar w:fldCharType="separate"/>
      </w:r>
      <w:r>
        <w:rPr>
          <w:rStyle w:val="30"/>
          <w:rFonts w:ascii="黑体" w:hAnsi="黑体" w:eastAsia="黑体" w:cs="楷体_GB2312"/>
          <w:b/>
          <w:bCs/>
          <w:lang w:val="zh-CN"/>
        </w:rPr>
        <w:t xml:space="preserve">10. </w:t>
      </w:r>
      <w:r>
        <w:rPr>
          <w:rStyle w:val="30"/>
          <w:rFonts w:hint="eastAsia" w:ascii="黑体" w:hAnsi="黑体" w:eastAsia="黑体" w:cs="楷体_GB2312"/>
          <w:b/>
          <w:bCs/>
          <w:lang w:val="zh-CN"/>
        </w:rPr>
        <w:t>其他</w:t>
      </w:r>
      <w:r>
        <w:tab/>
      </w:r>
      <w:r>
        <w:fldChar w:fldCharType="begin"/>
      </w:r>
      <w:r>
        <w:instrText xml:space="preserve"> PAGEREF _Toc26366098 \h </w:instrText>
      </w:r>
      <w:r>
        <w:fldChar w:fldCharType="separate"/>
      </w:r>
      <w:r>
        <w:t>- 2</w:t>
      </w:r>
      <w:r>
        <w:rPr>
          <w:rFonts w:hint="eastAsia"/>
          <w:lang w:val="en-US" w:eastAsia="zh-CN"/>
        </w:rPr>
        <w:t>3</w:t>
      </w:r>
      <w:r>
        <w:t>-</w:t>
      </w:r>
      <w:r>
        <w:fldChar w:fldCharType="end"/>
      </w:r>
      <w:r>
        <w:fldChar w:fldCharType="end"/>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"_Toc26366099" </w:instrText>
      </w:r>
      <w:r>
        <w:fldChar w:fldCharType="separate"/>
      </w:r>
      <w:r>
        <w:rPr>
          <w:rStyle w:val="30"/>
          <w:rFonts w:hint="eastAsia" w:ascii="黑体" w:hAnsi="黑体" w:eastAsia="黑体"/>
          <w:b/>
          <w:lang w:val="zh-CN"/>
        </w:rPr>
        <w:t>第四章</w:t>
      </w:r>
      <w:r>
        <w:rPr>
          <w:rStyle w:val="30"/>
          <w:rFonts w:hint="eastAsia" w:ascii="黑体" w:hAnsi="黑体" w:eastAsia="黑体"/>
          <w:b/>
          <w:lang w:val="en-US" w:eastAsia="zh-CN"/>
        </w:rPr>
        <w:t xml:space="preserve"> </w:t>
      </w:r>
      <w:r>
        <w:rPr>
          <w:rStyle w:val="30"/>
          <w:rFonts w:hint="eastAsia" w:ascii="黑体" w:hAnsi="黑体" w:eastAsia="黑体"/>
          <w:b/>
          <w:lang w:val="zh-CN"/>
        </w:rPr>
        <w:t>评审办法</w:t>
      </w:r>
      <w:r>
        <w:tab/>
      </w:r>
      <w:r>
        <w:fldChar w:fldCharType="begin"/>
      </w:r>
      <w:r>
        <w:instrText xml:space="preserve"> PAGEREF _Toc26366099 \h </w:instrText>
      </w:r>
      <w:r>
        <w:fldChar w:fldCharType="separate"/>
      </w:r>
      <w:r>
        <w:t>- 2</w:t>
      </w:r>
      <w:r>
        <w:rPr>
          <w:rFonts w:hint="eastAsia"/>
          <w:lang w:val="en-US" w:eastAsia="zh-CN"/>
        </w:rPr>
        <w:t>4</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"_Toc26366100" </w:instrText>
      </w:r>
      <w:r>
        <w:fldChar w:fldCharType="separate"/>
      </w:r>
      <w:r>
        <w:rPr>
          <w:rStyle w:val="30"/>
          <w:rFonts w:hint="eastAsia" w:ascii="黑体" w:hAnsi="黑体" w:eastAsia="黑体"/>
          <w:b/>
        </w:rPr>
        <w:t>评审办法前附表</w:t>
      </w:r>
      <w:r>
        <w:tab/>
      </w:r>
      <w:r>
        <w:fldChar w:fldCharType="begin"/>
      </w:r>
      <w:r>
        <w:instrText xml:space="preserve"> PAGEREF _Toc26366100 \h </w:instrText>
      </w:r>
      <w:r>
        <w:fldChar w:fldCharType="separate"/>
      </w:r>
      <w:r>
        <w:t>- 2</w:t>
      </w:r>
      <w:r>
        <w:rPr>
          <w:rFonts w:hint="eastAsia"/>
          <w:lang w:val="en-US" w:eastAsia="zh-CN"/>
        </w:rPr>
        <w:t>4</w:t>
      </w:r>
      <w:r>
        <w:t>-</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"_Toc26366101" </w:instrText>
      </w:r>
      <w:r>
        <w:fldChar w:fldCharType="separate"/>
      </w:r>
      <w:r>
        <w:rPr>
          <w:rStyle w:val="30"/>
          <w:rFonts w:ascii="黑体" w:hAnsi="黑体" w:eastAsia="黑体" w:cs="楷体_GB2312"/>
          <w:b/>
          <w:bCs/>
          <w:lang w:val="zh-CN"/>
        </w:rPr>
        <w:t xml:space="preserve">1. </w:t>
      </w:r>
      <w:r>
        <w:rPr>
          <w:rStyle w:val="30"/>
          <w:rFonts w:hint="eastAsia" w:ascii="黑体" w:hAnsi="黑体" w:eastAsia="黑体" w:cs="楷体_GB2312"/>
          <w:b/>
          <w:bCs/>
          <w:lang w:val="zh-CN"/>
        </w:rPr>
        <w:t>评审方法（评定成交的标准）</w:t>
      </w:r>
      <w:r>
        <w:tab/>
      </w:r>
      <w:r>
        <w:fldChar w:fldCharType="begin"/>
      </w:r>
      <w:r>
        <w:instrText xml:space="preserve"> PAGEREF _Toc26366101 \h </w:instrText>
      </w:r>
      <w:r>
        <w:fldChar w:fldCharType="separate"/>
      </w:r>
      <w:r>
        <w:t>- 2</w:t>
      </w:r>
      <w:r>
        <w:rPr>
          <w:rFonts w:hint="eastAsia"/>
          <w:lang w:val="en-US" w:eastAsia="zh-CN"/>
        </w:rPr>
        <w:t>6</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"_Toc26366102" </w:instrText>
      </w:r>
      <w:r>
        <w:fldChar w:fldCharType="separate"/>
      </w:r>
      <w:r>
        <w:rPr>
          <w:rStyle w:val="30"/>
          <w:rFonts w:ascii="黑体" w:hAnsi="黑体" w:eastAsia="黑体" w:cs="楷体_GB2312"/>
          <w:b/>
          <w:bCs/>
          <w:lang w:val="zh-CN"/>
        </w:rPr>
        <w:t xml:space="preserve">2. </w:t>
      </w:r>
      <w:r>
        <w:rPr>
          <w:rStyle w:val="30"/>
          <w:rFonts w:hint="eastAsia" w:ascii="黑体" w:hAnsi="黑体" w:eastAsia="黑体" w:cs="楷体_GB2312"/>
          <w:b/>
          <w:bCs/>
          <w:lang w:val="zh-CN"/>
        </w:rPr>
        <w:t>评审标准</w:t>
      </w:r>
      <w:r>
        <w:tab/>
      </w:r>
      <w:r>
        <w:fldChar w:fldCharType="begin"/>
      </w:r>
      <w:r>
        <w:instrText xml:space="preserve"> PAGEREF _Toc26366102 \h </w:instrText>
      </w:r>
      <w:r>
        <w:fldChar w:fldCharType="separate"/>
      </w:r>
      <w:r>
        <w:t>- 2</w:t>
      </w:r>
      <w:r>
        <w:rPr>
          <w:rFonts w:hint="eastAsia"/>
          <w:lang w:val="en-US" w:eastAsia="zh-CN"/>
        </w:rPr>
        <w:t>6</w:t>
      </w:r>
      <w:r>
        <w:t xml:space="preserve"> -</w:t>
      </w:r>
      <w:r>
        <w:fldChar w:fldCharType="end"/>
      </w:r>
      <w:r>
        <w:fldChar w:fldCharType="end"/>
      </w:r>
    </w:p>
    <w:p>
      <w:pPr>
        <w:pStyle w:val="18"/>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"_Toc26366103" </w:instrText>
      </w:r>
      <w:r>
        <w:fldChar w:fldCharType="separate"/>
      </w:r>
      <w:r>
        <w:rPr>
          <w:rStyle w:val="30"/>
          <w:rFonts w:ascii="黑体" w:hAnsi="黑体" w:eastAsia="黑体" w:cs="楷体_GB2312"/>
          <w:b/>
          <w:bCs/>
          <w:lang w:val="zh-CN"/>
        </w:rPr>
        <w:t xml:space="preserve">3. </w:t>
      </w:r>
      <w:r>
        <w:rPr>
          <w:rStyle w:val="30"/>
          <w:rFonts w:hint="eastAsia" w:ascii="黑体" w:hAnsi="黑体" w:eastAsia="黑体" w:cs="楷体_GB2312"/>
          <w:b/>
          <w:bCs/>
          <w:lang w:val="zh-CN"/>
        </w:rPr>
        <w:t>评审程序</w:t>
      </w:r>
      <w:r>
        <w:tab/>
      </w:r>
      <w:r>
        <w:fldChar w:fldCharType="begin"/>
      </w:r>
      <w:r>
        <w:instrText xml:space="preserve"> PAGEREF _Toc26366103 \h </w:instrText>
      </w:r>
      <w:r>
        <w:fldChar w:fldCharType="separate"/>
      </w:r>
      <w:r>
        <w:t>- 2</w:t>
      </w:r>
      <w:r>
        <w:rPr>
          <w:rFonts w:hint="eastAsia"/>
          <w:lang w:val="en-US" w:eastAsia="zh-CN"/>
        </w:rPr>
        <w:t>6</w:t>
      </w:r>
      <w:r>
        <w:t xml:space="preserve"> -</w:t>
      </w:r>
      <w:r>
        <w:fldChar w:fldCharType="end"/>
      </w:r>
      <w:r>
        <w:fldChar w:fldCharType="end"/>
      </w:r>
    </w:p>
    <w:p>
      <w:pPr>
        <w:pStyle w:val="18"/>
        <w:tabs>
          <w:tab w:val="right" w:leader="dot" w:pos="9371"/>
        </w:tabs>
      </w:pPr>
      <w:r>
        <w:fldChar w:fldCharType="begin"/>
      </w:r>
      <w:r>
        <w:instrText xml:space="preserve"> HYPERLINK \l "_Toc26366104" </w:instrText>
      </w:r>
      <w:r>
        <w:fldChar w:fldCharType="separate"/>
      </w:r>
      <w:r>
        <w:rPr>
          <w:rStyle w:val="30"/>
          <w:rFonts w:ascii="黑体" w:hAnsi="黑体" w:eastAsia="黑体" w:cs="楷体_GB2312"/>
          <w:b/>
          <w:bCs/>
          <w:lang w:val="zh-CN"/>
        </w:rPr>
        <w:t xml:space="preserve">4. </w:t>
      </w:r>
      <w:r>
        <w:rPr>
          <w:rStyle w:val="30"/>
          <w:rFonts w:hint="eastAsia" w:ascii="黑体" w:hAnsi="黑体" w:eastAsia="黑体" w:cs="楷体_GB2312"/>
          <w:b/>
          <w:bCs/>
          <w:lang w:val="zh-CN"/>
        </w:rPr>
        <w:t>政府采购促进中小企业发展扶持政策</w:t>
      </w:r>
      <w:r>
        <w:tab/>
      </w:r>
      <w:r>
        <w:fldChar w:fldCharType="begin"/>
      </w:r>
      <w:r>
        <w:instrText xml:space="preserve"> PAGEREF _Toc26366104 \h </w:instrText>
      </w:r>
      <w:r>
        <w:fldChar w:fldCharType="separate"/>
      </w:r>
      <w:r>
        <w:t xml:space="preserve">- </w:t>
      </w:r>
      <w:r>
        <w:rPr>
          <w:rFonts w:hint="eastAsia"/>
          <w:lang w:val="en-US" w:eastAsia="zh-CN"/>
        </w:rPr>
        <w:t>29</w:t>
      </w:r>
      <w:r>
        <w:t xml:space="preserve"> -</w:t>
      </w:r>
      <w:r>
        <w:fldChar w:fldCharType="end"/>
      </w:r>
      <w:r>
        <w:fldChar w:fldCharType="end"/>
      </w:r>
    </w:p>
    <w:p>
      <w:pPr>
        <w:jc w:val="left"/>
        <w:rPr>
          <w:rStyle w:val="30"/>
          <w:rFonts w:ascii="黑体" w:hAnsi="黑体" w:eastAsia="黑体"/>
          <w:b/>
          <w:color w:val="auto"/>
        </w:rPr>
      </w:pPr>
      <w:r>
        <w:rPr>
          <w:rStyle w:val="30"/>
          <w:rFonts w:ascii="黑体" w:hAnsi="黑体" w:eastAsia="黑体"/>
          <w:b/>
          <w:color w:val="auto"/>
          <w:lang w:val="zh-CN"/>
        </w:rPr>
        <w:t>第五章</w:t>
      </w:r>
      <w:r>
        <w:rPr>
          <w:rStyle w:val="30"/>
          <w:rFonts w:hint="eastAsia" w:ascii="黑体" w:hAnsi="黑体" w:eastAsia="黑体"/>
          <w:b/>
          <w:color w:val="auto"/>
          <w:lang w:val="en-US" w:eastAsia="zh-CN"/>
        </w:rPr>
        <w:t xml:space="preserve"> </w:t>
      </w:r>
      <w:r>
        <w:rPr>
          <w:rStyle w:val="30"/>
          <w:rFonts w:ascii="黑体" w:hAnsi="黑体" w:eastAsia="黑体"/>
          <w:b/>
          <w:color w:val="auto"/>
          <w:lang w:val="zh-CN"/>
        </w:rPr>
        <w:t>合同</w:t>
      </w:r>
      <w:r>
        <w:rPr>
          <w:rStyle w:val="30"/>
          <w:rFonts w:hint="eastAsia" w:ascii="黑体" w:hAnsi="黑体" w:eastAsia="黑体"/>
          <w:b/>
          <w:color w:val="auto"/>
          <w:lang w:val="zh-CN" w:eastAsia="zh-CN"/>
        </w:rPr>
        <w:t>条款及格式</w:t>
      </w:r>
      <w:r>
        <w:rPr>
          <w:rStyle w:val="30"/>
          <w:rFonts w:hint="eastAsia" w:ascii="黑体" w:hAnsi="黑体" w:eastAsia="黑体"/>
          <w:b/>
          <w:color w:val="auto"/>
        </w:rPr>
        <w:t>.............................................................</w:t>
      </w:r>
      <w:r>
        <w:rPr>
          <w:rStyle w:val="30"/>
          <w:rFonts w:hint="eastAsia" w:ascii="黑体" w:hAnsi="黑体" w:eastAsia="黑体"/>
          <w:bCs/>
          <w:color w:val="auto"/>
        </w:rPr>
        <w:t>..-</w:t>
      </w:r>
      <w:r>
        <w:rPr>
          <w:rStyle w:val="30"/>
          <w:rFonts w:eastAsia="黑体"/>
          <w:bCs/>
          <w:color w:val="auto"/>
        </w:rPr>
        <w:t>3</w:t>
      </w:r>
      <w:r>
        <w:rPr>
          <w:rStyle w:val="30"/>
          <w:rFonts w:hint="eastAsia" w:eastAsia="黑体"/>
          <w:bCs/>
          <w:color w:val="auto"/>
          <w:lang w:val="en-US" w:eastAsia="zh-CN"/>
        </w:rPr>
        <w:t>2</w:t>
      </w:r>
      <w:r>
        <w:rPr>
          <w:rStyle w:val="30"/>
          <w:rFonts w:hint="eastAsia" w:ascii="黑体" w:hAnsi="黑体" w:eastAsia="黑体"/>
          <w:bCs/>
          <w:color w:val="auto"/>
        </w:rPr>
        <w:t>-</w:t>
      </w:r>
    </w:p>
    <w:p>
      <w:pPr>
        <w:pStyle w:val="17"/>
        <w:tabs>
          <w:tab w:val="right" w:leader="dot" w:pos="9371"/>
        </w:tabs>
        <w:rPr>
          <w:rFonts w:asciiTheme="minorHAnsi" w:hAnsiTheme="minorHAnsi" w:eastAsiaTheme="minorEastAsia" w:cstheme="minorBidi"/>
          <w:color w:val="auto"/>
          <w:kern w:val="2"/>
          <w:szCs w:val="22"/>
        </w:rPr>
      </w:pPr>
      <w:r>
        <w:fldChar w:fldCharType="begin"/>
      </w:r>
      <w:r>
        <w:instrText xml:space="preserve"> HYPERLINK \l "_Toc26366105" </w:instrText>
      </w:r>
      <w:r>
        <w:fldChar w:fldCharType="separate"/>
      </w:r>
      <w:r>
        <w:rPr>
          <w:rStyle w:val="30"/>
          <w:rFonts w:hint="eastAsia" w:ascii="黑体" w:hAnsi="黑体" w:eastAsia="黑体"/>
          <w:b/>
          <w:lang w:val="zh-CN"/>
        </w:rPr>
        <w:t>第六章</w:t>
      </w:r>
      <w:r>
        <w:rPr>
          <w:rStyle w:val="30"/>
          <w:rFonts w:hint="eastAsia" w:ascii="黑体" w:hAnsi="黑体" w:eastAsia="黑体"/>
          <w:b/>
          <w:lang w:val="en-US" w:eastAsia="zh-CN"/>
        </w:rPr>
        <w:t xml:space="preserve"> </w:t>
      </w:r>
      <w:r>
        <w:rPr>
          <w:rStyle w:val="30"/>
          <w:rFonts w:hint="eastAsia" w:ascii="黑体" w:hAnsi="黑体" w:eastAsia="黑体"/>
          <w:b/>
          <w:lang w:val="zh-CN"/>
        </w:rPr>
        <w:t>投标文件格式</w:t>
      </w:r>
      <w:r>
        <w:tab/>
      </w:r>
      <w:r>
        <w:fldChar w:fldCharType="begin"/>
      </w:r>
      <w:r>
        <w:instrText xml:space="preserve"> PAGEREF _Toc26366105 \h </w:instrText>
      </w:r>
      <w:r>
        <w:fldChar w:fldCharType="separate"/>
      </w:r>
      <w:r>
        <w:t>- 3</w:t>
      </w:r>
      <w:r>
        <w:rPr>
          <w:rFonts w:hint="eastAsia"/>
          <w:lang w:val="en-US" w:eastAsia="zh-CN"/>
        </w:rPr>
        <w:t>5</w:t>
      </w:r>
      <w:r>
        <w:t>-</w:t>
      </w:r>
      <w:r>
        <w:fldChar w:fldCharType="end"/>
      </w:r>
      <w:r>
        <w:fldChar w:fldCharType="end"/>
      </w:r>
    </w:p>
    <w:p>
      <w:pPr>
        <w:spacing w:line="480" w:lineRule="auto"/>
        <w:rPr>
          <w:color w:val="000000" w:themeColor="text1"/>
        </w:rPr>
      </w:pPr>
      <w:r>
        <w:rPr>
          <w:color w:val="000000" w:themeColor="text1"/>
          <w:sz w:val="36"/>
          <w:szCs w:val="32"/>
        </w:rPr>
        <w:fldChar w:fldCharType="end"/>
      </w:r>
    </w:p>
    <w:p>
      <w:pPr>
        <w:widowControl w:val="0"/>
        <w:snapToGrid w:val="0"/>
        <w:spacing w:line="660" w:lineRule="exact"/>
        <w:ind w:firstLine="607" w:firstLineChars="168"/>
        <w:rPr>
          <w:rFonts w:ascii="黑体" w:hAnsi="黑体" w:eastAsia="黑体"/>
          <w:b/>
          <w:color w:val="000000" w:themeColor="text1"/>
          <w:sz w:val="36"/>
          <w:szCs w:val="36"/>
        </w:rPr>
      </w:pPr>
    </w:p>
    <w:p>
      <w:pPr>
        <w:widowControl w:val="0"/>
        <w:snapToGrid w:val="0"/>
        <w:spacing w:line="560" w:lineRule="exact"/>
        <w:ind w:firstLine="181" w:firstLineChars="50"/>
        <w:rPr>
          <w:rFonts w:ascii="黑体" w:eastAsia="黑体"/>
          <w:b/>
          <w:color w:val="000000" w:themeColor="text1"/>
          <w:sz w:val="36"/>
          <w:szCs w:val="36"/>
        </w:rPr>
        <w:sectPr>
          <w:footerReference r:id="rId11" w:type="first"/>
          <w:footerReference r:id="rId10" w:type="default"/>
          <w:pgSz w:w="11905" w:h="16837"/>
          <w:pgMar w:top="1418" w:right="1106" w:bottom="1418" w:left="1418" w:header="567" w:footer="567" w:gutter="0"/>
          <w:pgNumType w:fmt="numberInDash" w:start="1"/>
          <w:cols w:space="720" w:num="1"/>
          <w:titlePg/>
        </w:sectPr>
      </w:pPr>
    </w:p>
    <w:p>
      <w:pPr>
        <w:widowControl w:val="0"/>
        <w:snapToGrid w:val="0"/>
        <w:spacing w:line="560" w:lineRule="exact"/>
        <w:jc w:val="center"/>
        <w:outlineLvl w:val="0"/>
        <w:rPr>
          <w:rFonts w:eastAsia="黑体"/>
          <w:b/>
          <w:color w:val="auto"/>
          <w:sz w:val="36"/>
          <w:szCs w:val="36"/>
        </w:rPr>
      </w:pPr>
      <w:bookmarkStart w:id="0" w:name="_Toc2202"/>
      <w:bookmarkStart w:id="1" w:name="_Toc26366082"/>
      <w:r>
        <w:rPr>
          <w:rFonts w:hint="eastAsia" w:eastAsia="黑体"/>
          <w:b/>
          <w:color w:val="auto"/>
          <w:sz w:val="36"/>
          <w:szCs w:val="36"/>
        </w:rPr>
        <w:t>第一章</w:t>
      </w:r>
      <w:r>
        <w:rPr>
          <w:rFonts w:hint="eastAsia" w:eastAsia="黑体"/>
          <w:b/>
          <w:color w:val="auto"/>
          <w:sz w:val="36"/>
          <w:szCs w:val="36"/>
          <w:lang w:val="en-US" w:eastAsia="zh-CN"/>
        </w:rPr>
        <w:t xml:space="preserve">  </w:t>
      </w:r>
      <w:r>
        <w:rPr>
          <w:rFonts w:hint="eastAsia" w:eastAsia="黑体"/>
          <w:b/>
          <w:color w:val="auto"/>
          <w:sz w:val="36"/>
          <w:szCs w:val="36"/>
        </w:rPr>
        <w:t>竞争性磋商公告</w:t>
      </w:r>
      <w:bookmarkEnd w:id="0"/>
      <w:bookmarkEnd w:id="1"/>
    </w:p>
    <w:p>
      <w:pPr>
        <w:widowControl w:val="0"/>
        <w:snapToGrid w:val="0"/>
        <w:spacing w:line="308" w:lineRule="exact"/>
        <w:ind w:firstLine="540" w:firstLineChars="225"/>
        <w:rPr>
          <w:color w:val="auto"/>
          <w:sz w:val="24"/>
          <w:szCs w:val="24"/>
        </w:rPr>
      </w:pPr>
      <w:r>
        <w:rPr>
          <w:rFonts w:hint="eastAsia"/>
          <w:color w:val="auto"/>
          <w:sz w:val="24"/>
          <w:szCs w:val="24"/>
        </w:rPr>
        <w:t>安阳市文化广电体育旅游局安阳市2023年全民健身器材采购项目招标项目的潜在投标人应在安阳市公共资源交易中心网站（http://ggzy.anyang.gov.cn/），数字证书点击【投标用户入口】登录系统，获取磋商文件及其他资料，此为获取磋商文件的唯一途径；获取招标文件，并于2023年12月04日09时00分（北京时间）前递交响应文件。</w:t>
      </w:r>
    </w:p>
    <w:p>
      <w:pPr>
        <w:widowControl w:val="0"/>
        <w:tabs>
          <w:tab w:val="left" w:pos="39"/>
          <w:tab w:val="left" w:pos="96"/>
        </w:tabs>
        <w:snapToGrid w:val="0"/>
        <w:spacing w:line="308" w:lineRule="exact"/>
        <w:rPr>
          <w:rFonts w:ascii="宋体" w:hAnsi="宋体"/>
          <w:b/>
          <w:color w:val="000000" w:themeColor="text1"/>
          <w:sz w:val="24"/>
          <w:szCs w:val="24"/>
        </w:rPr>
      </w:pPr>
      <w:r>
        <w:rPr>
          <w:rFonts w:hint="eastAsia" w:ascii="宋体" w:hAnsi="宋体"/>
          <w:b/>
          <w:color w:val="000000" w:themeColor="text1"/>
          <w:sz w:val="24"/>
          <w:szCs w:val="24"/>
        </w:rPr>
        <w:t>一、项目基本情况</w:t>
      </w:r>
    </w:p>
    <w:p>
      <w:pPr>
        <w:widowControl w:val="0"/>
        <w:tabs>
          <w:tab w:val="left" w:pos="39"/>
          <w:tab w:val="left" w:pos="96"/>
        </w:tabs>
        <w:snapToGrid w:val="0"/>
        <w:spacing w:line="308" w:lineRule="exact"/>
        <w:ind w:firstLine="540" w:firstLineChars="225"/>
        <w:rPr>
          <w:rFonts w:ascii="宋体" w:hAnsi="宋体"/>
          <w:bCs/>
          <w:color w:val="auto"/>
          <w:sz w:val="28"/>
          <w:szCs w:val="28"/>
        </w:rPr>
      </w:pPr>
      <w:r>
        <w:rPr>
          <w:rFonts w:hint="eastAsia" w:ascii="宋体" w:hAnsi="宋体"/>
          <w:bCs/>
          <w:color w:val="auto"/>
          <w:sz w:val="24"/>
          <w:szCs w:val="24"/>
        </w:rPr>
        <w:t>1、项目编号：</w:t>
      </w:r>
      <w:r>
        <w:rPr>
          <w:rFonts w:hint="eastAsia" w:ascii="宋体" w:hAnsi="宋体"/>
          <w:bCs/>
          <w:color w:val="auto"/>
          <w:sz w:val="24"/>
          <w:szCs w:val="24"/>
          <w:lang w:eastAsia="zh-CN"/>
        </w:rPr>
        <w:t>安财磋商采购</w:t>
      </w:r>
      <w:r>
        <w:rPr>
          <w:rFonts w:hint="eastAsia" w:ascii="宋体" w:hAnsi="宋体"/>
          <w:bCs/>
          <w:color w:val="auto"/>
          <w:sz w:val="24"/>
          <w:szCs w:val="24"/>
          <w:lang w:val="en-US" w:eastAsia="zh-CN"/>
        </w:rPr>
        <w:t>-2023-80</w:t>
      </w:r>
    </w:p>
    <w:p>
      <w:pPr>
        <w:widowControl w:val="0"/>
        <w:tabs>
          <w:tab w:val="left" w:pos="39"/>
          <w:tab w:val="left" w:pos="96"/>
        </w:tabs>
        <w:snapToGrid w:val="0"/>
        <w:spacing w:line="308" w:lineRule="exact"/>
        <w:ind w:firstLine="540" w:firstLineChars="225"/>
        <w:rPr>
          <w:color w:val="auto"/>
          <w:sz w:val="24"/>
          <w:szCs w:val="24"/>
        </w:rPr>
      </w:pPr>
      <w:r>
        <w:rPr>
          <w:rFonts w:hint="eastAsia" w:ascii="宋体" w:hAnsi="宋体"/>
          <w:bCs/>
          <w:color w:val="auto"/>
          <w:sz w:val="24"/>
          <w:szCs w:val="24"/>
        </w:rPr>
        <w:t>2、项目名称：</w:t>
      </w:r>
      <w:r>
        <w:rPr>
          <w:rFonts w:hint="eastAsia"/>
          <w:color w:val="auto"/>
          <w:sz w:val="24"/>
          <w:szCs w:val="24"/>
          <w:lang w:eastAsia="zh-CN"/>
        </w:rPr>
        <w:t>安阳市文化广电体育旅游局安阳市2023年全民健身器材采购项目</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3、采购方式：竞争性磋商</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4、预算金额：1400000元</w:t>
      </w:r>
    </w:p>
    <w:p>
      <w:pPr>
        <w:widowControl w:val="0"/>
        <w:tabs>
          <w:tab w:val="left" w:pos="39"/>
          <w:tab w:val="left" w:pos="96"/>
        </w:tabs>
        <w:snapToGrid w:val="0"/>
        <w:spacing w:line="308" w:lineRule="exact"/>
        <w:ind w:firstLine="540" w:firstLineChars="225"/>
        <w:rPr>
          <w:rFonts w:ascii="宋体" w:hAnsi="宋体"/>
          <w:bCs/>
          <w:color w:val="auto"/>
          <w:sz w:val="24"/>
          <w:szCs w:val="24"/>
        </w:rPr>
      </w:pPr>
      <w:r>
        <w:rPr>
          <w:rFonts w:hint="eastAsia" w:ascii="宋体" w:hAnsi="宋体"/>
          <w:bCs/>
          <w:color w:val="auto"/>
          <w:sz w:val="24"/>
          <w:szCs w:val="24"/>
        </w:rPr>
        <w:t xml:space="preserve">   最高限价：500000元</w:t>
      </w:r>
    </w:p>
    <w:tbl>
      <w:tblPr>
        <w:tblStyle w:val="24"/>
        <w:tblW w:w="940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Layout w:type="autofit"/>
        <w:tblCellMar>
          <w:top w:w="0" w:type="dxa"/>
          <w:left w:w="0" w:type="dxa"/>
          <w:bottom w:w="0" w:type="dxa"/>
          <w:right w:w="0" w:type="dxa"/>
        </w:tblCellMar>
      </w:tblPr>
      <w:tblGrid>
        <w:gridCol w:w="525"/>
        <w:gridCol w:w="1710"/>
        <w:gridCol w:w="2024"/>
        <w:gridCol w:w="1309"/>
        <w:gridCol w:w="1308"/>
        <w:gridCol w:w="1253"/>
        <w:gridCol w:w="127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9F9F9"/>
          <w:tblCellMar>
            <w:top w:w="0" w:type="dxa"/>
            <w:left w:w="0" w:type="dxa"/>
            <w:bottom w:w="0" w:type="dxa"/>
            <w:right w:w="0" w:type="dxa"/>
          </w:tblCellMar>
        </w:tblPrEx>
        <w:trPr>
          <w:trHeight w:val="400" w:hRule="atLeast"/>
          <w:tblCellSpacing w:w="0" w:type="dxa"/>
          <w:jc w:val="center"/>
        </w:trPr>
        <w:tc>
          <w:tcPr>
            <w:tcW w:w="54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序号</w:t>
            </w:r>
          </w:p>
        </w:tc>
        <w:tc>
          <w:tcPr>
            <w:tcW w:w="1472"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包号</w:t>
            </w:r>
          </w:p>
        </w:tc>
        <w:tc>
          <w:tcPr>
            <w:tcW w:w="2097"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ind w:firstLine="540" w:firstLineChars="225"/>
              <w:jc w:val="center"/>
              <w:rPr>
                <w:rFonts w:ascii="宋体" w:hAnsi="宋体"/>
                <w:bCs/>
                <w:color w:val="auto"/>
                <w:sz w:val="24"/>
                <w:szCs w:val="24"/>
              </w:rPr>
            </w:pPr>
            <w:r>
              <w:rPr>
                <w:rFonts w:hint="eastAsia" w:ascii="宋体" w:hAnsi="宋体"/>
                <w:bCs/>
                <w:color w:val="auto"/>
                <w:sz w:val="24"/>
                <w:szCs w:val="24"/>
              </w:rPr>
              <w:t>包名称</w:t>
            </w:r>
          </w:p>
        </w:tc>
        <w:tc>
          <w:tcPr>
            <w:tcW w:w="1341"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包预算（元）</w:t>
            </w:r>
          </w:p>
        </w:tc>
        <w:tc>
          <w:tcPr>
            <w:tcW w:w="134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包最高限价（元）</w:t>
            </w:r>
          </w:p>
        </w:tc>
        <w:tc>
          <w:tcPr>
            <w:tcW w:w="130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是否专门面向中小企业</w:t>
            </w:r>
          </w:p>
        </w:tc>
        <w:tc>
          <w:tcPr>
            <w:tcW w:w="130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采购预留金额（元）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763" w:hRule="atLeast"/>
          <w:tblCellSpacing w:w="0" w:type="dxa"/>
          <w:jc w:val="center"/>
        </w:trPr>
        <w:tc>
          <w:tcPr>
            <w:tcW w:w="54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1</w:t>
            </w:r>
          </w:p>
        </w:tc>
        <w:tc>
          <w:tcPr>
            <w:tcW w:w="1472"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default" w:ascii="宋体" w:hAnsi="宋体"/>
                <w:bCs/>
                <w:color w:val="auto"/>
                <w:sz w:val="24"/>
                <w:szCs w:val="24"/>
                <w:lang w:val="en-US"/>
              </w:rPr>
            </w:pPr>
            <w:r>
              <w:rPr>
                <w:rFonts w:hint="eastAsia" w:ascii="宋体" w:hAnsi="宋体"/>
                <w:bCs/>
                <w:color w:val="auto"/>
                <w:sz w:val="24"/>
                <w:szCs w:val="24"/>
                <w:lang w:eastAsia="zh-CN"/>
              </w:rPr>
              <w:t>安财磋商采购</w:t>
            </w:r>
            <w:r>
              <w:rPr>
                <w:rFonts w:hint="eastAsia" w:ascii="宋体" w:hAnsi="宋体"/>
                <w:bCs/>
                <w:color w:val="auto"/>
                <w:sz w:val="24"/>
                <w:szCs w:val="24"/>
                <w:lang w:val="en-US" w:eastAsia="zh-CN"/>
              </w:rPr>
              <w:t>-2023-80001003</w:t>
            </w:r>
          </w:p>
        </w:tc>
        <w:tc>
          <w:tcPr>
            <w:tcW w:w="2097"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color w:val="auto"/>
                <w:sz w:val="24"/>
                <w:szCs w:val="24"/>
                <w:lang w:eastAsia="zh-CN"/>
              </w:rPr>
              <w:t>安阳市文化广电体育旅游局安阳市2023年全民健身器材采购项目</w:t>
            </w:r>
            <w:r>
              <w:rPr>
                <w:rFonts w:hint="eastAsia"/>
                <w:color w:val="auto"/>
                <w:sz w:val="24"/>
                <w:szCs w:val="24"/>
                <w:lang w:val="en-US" w:eastAsia="zh-CN"/>
              </w:rPr>
              <w:t>-</w:t>
            </w:r>
            <w:r>
              <w:rPr>
                <w:rFonts w:hint="eastAsia"/>
                <w:color w:val="auto"/>
                <w:sz w:val="24"/>
                <w:szCs w:val="24"/>
              </w:rPr>
              <w:t>3包</w:t>
            </w:r>
          </w:p>
        </w:tc>
        <w:tc>
          <w:tcPr>
            <w:tcW w:w="1341"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500000</w:t>
            </w:r>
          </w:p>
        </w:tc>
        <w:tc>
          <w:tcPr>
            <w:tcW w:w="1340"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ascii="宋体" w:hAnsi="宋体"/>
                <w:bCs/>
                <w:color w:val="auto"/>
                <w:sz w:val="24"/>
                <w:szCs w:val="24"/>
              </w:rPr>
            </w:pPr>
            <w:r>
              <w:rPr>
                <w:rFonts w:hint="eastAsia" w:ascii="宋体" w:hAnsi="宋体"/>
                <w:bCs/>
                <w:color w:val="auto"/>
                <w:sz w:val="24"/>
                <w:szCs w:val="24"/>
              </w:rPr>
              <w:t>500000</w:t>
            </w:r>
          </w:p>
        </w:tc>
        <w:tc>
          <w:tcPr>
            <w:tcW w:w="130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rPr>
              <w:t>是</w:t>
            </w:r>
          </w:p>
        </w:tc>
        <w:tc>
          <w:tcPr>
            <w:tcW w:w="1309" w:type="dxa"/>
            <w:tcBorders>
              <w:top w:val="outset" w:color="auto" w:sz="6" w:space="0"/>
              <w:left w:val="outset" w:color="auto" w:sz="6" w:space="0"/>
              <w:bottom w:val="outset" w:color="auto" w:sz="6" w:space="0"/>
              <w:right w:val="outset" w:color="auto" w:sz="6" w:space="0"/>
            </w:tcBorders>
            <w:shd w:val="clear" w:color="auto" w:fill="F9F9F9"/>
            <w:vAlign w:val="center"/>
          </w:tcPr>
          <w:p>
            <w:pPr>
              <w:widowControl w:val="0"/>
              <w:tabs>
                <w:tab w:val="left" w:pos="39"/>
                <w:tab w:val="left" w:pos="96"/>
              </w:tabs>
              <w:snapToGrid w:val="0"/>
              <w:spacing w:line="308" w:lineRule="exact"/>
              <w:jc w:val="center"/>
              <w:rPr>
                <w:rFonts w:hint="eastAsia" w:ascii="宋体" w:hAnsi="宋体"/>
                <w:bCs/>
                <w:color w:val="auto"/>
                <w:sz w:val="24"/>
                <w:szCs w:val="24"/>
              </w:rPr>
            </w:pPr>
            <w:r>
              <w:rPr>
                <w:rFonts w:hint="eastAsia" w:ascii="宋体" w:hAnsi="宋体"/>
                <w:bCs/>
                <w:color w:val="auto"/>
                <w:sz w:val="24"/>
                <w:szCs w:val="24"/>
                <w:lang w:val="en-US" w:eastAsia="zh-CN"/>
              </w:rPr>
              <w:t>5</w:t>
            </w:r>
            <w:r>
              <w:rPr>
                <w:rFonts w:hint="eastAsia" w:ascii="宋体" w:hAnsi="宋体"/>
                <w:bCs/>
                <w:color w:val="auto"/>
                <w:sz w:val="24"/>
                <w:szCs w:val="24"/>
              </w:rPr>
              <w:t>00000</w:t>
            </w:r>
          </w:p>
        </w:tc>
      </w:tr>
    </w:tbl>
    <w:p>
      <w:pPr>
        <w:keepNext w:val="0"/>
        <w:keepLines w:val="0"/>
        <w:pageBreakBefore w:val="0"/>
        <w:widowControl w:val="0"/>
        <w:tabs>
          <w:tab w:val="left" w:pos="39"/>
          <w:tab w:val="left" w:pos="96"/>
        </w:tabs>
        <w:kinsoku/>
        <w:wordWrap/>
        <w:overflowPunct/>
        <w:topLinePunct w:val="0"/>
        <w:autoSpaceDE/>
        <w:autoSpaceDN/>
        <w:bidi w:val="0"/>
        <w:adjustRightInd w:val="0"/>
        <w:snapToGrid w:val="0"/>
        <w:spacing w:line="240" w:lineRule="auto"/>
        <w:ind w:firstLine="480" w:firstLineChars="200"/>
        <w:textAlignment w:val="baseline"/>
        <w:rPr>
          <w:rFonts w:hint="eastAsia" w:ascii="宋体" w:hAnsi="宋体" w:eastAsia="宋体" w:cs="宋体"/>
          <w:bCs/>
          <w:color w:val="auto"/>
          <w:sz w:val="24"/>
          <w:szCs w:val="24"/>
        </w:rPr>
      </w:pPr>
      <w:r>
        <w:rPr>
          <w:rFonts w:hint="eastAsia" w:ascii="宋体" w:hAnsi="宋体" w:eastAsia="宋体" w:cs="宋体"/>
          <w:bCs/>
          <w:color w:val="auto"/>
          <w:sz w:val="24"/>
          <w:szCs w:val="24"/>
        </w:rPr>
        <w:t>5、采购需求（包括但不限于标的的名称、数量、简要技术需求或服务要求等）</w:t>
      </w:r>
      <w:r>
        <w:rPr>
          <w:rFonts w:hint="eastAsia" w:ascii="宋体" w:hAnsi="宋体" w:eastAsia="宋体" w:cs="宋体"/>
          <w:color w:val="auto"/>
          <w:sz w:val="24"/>
          <w:szCs w:val="24"/>
        </w:rPr>
        <w:t>3包2023年全民健身器材采购（新农体工程），采购一批全民健身器材，技术参数详见《磋商文件》“基本技术要求”</w:t>
      </w:r>
      <w:r>
        <w:rPr>
          <w:rFonts w:hint="eastAsia" w:ascii="宋体" w:hAnsi="宋体" w:eastAsia="宋体" w:cs="宋体"/>
          <w:bCs/>
          <w:color w:val="auto"/>
          <w:sz w:val="24"/>
          <w:szCs w:val="24"/>
        </w:rPr>
        <w:t>。一个</w:t>
      </w:r>
      <w:r>
        <w:rPr>
          <w:rFonts w:hint="eastAsia" w:ascii="宋体" w:hAnsi="宋体" w:eastAsia="宋体" w:cs="宋体"/>
          <w:bCs/>
          <w:color w:val="auto"/>
          <w:sz w:val="24"/>
          <w:szCs w:val="24"/>
          <w:lang w:eastAsia="zh-CN"/>
        </w:rPr>
        <w:t>投标</w:t>
      </w:r>
      <w:r>
        <w:rPr>
          <w:rFonts w:hint="eastAsia" w:ascii="宋体" w:hAnsi="宋体" w:eastAsia="宋体" w:cs="宋体"/>
          <w:bCs/>
          <w:color w:val="auto"/>
          <w:sz w:val="24"/>
          <w:szCs w:val="24"/>
        </w:rPr>
        <w:t>单位只能投报一个标段。</w:t>
      </w:r>
    </w:p>
    <w:p>
      <w:pPr>
        <w:keepNext w:val="0"/>
        <w:keepLines w:val="0"/>
        <w:pageBreakBefore w:val="0"/>
        <w:widowControl w:val="0"/>
        <w:tabs>
          <w:tab w:val="left" w:pos="39"/>
          <w:tab w:val="left" w:pos="96"/>
        </w:tabs>
        <w:kinsoku/>
        <w:wordWrap/>
        <w:overflowPunct/>
        <w:topLinePunct w:val="0"/>
        <w:autoSpaceDE/>
        <w:autoSpaceDN/>
        <w:bidi w:val="0"/>
        <w:adjustRightInd w:val="0"/>
        <w:snapToGrid w:val="0"/>
        <w:spacing w:line="24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6、</w:t>
      </w:r>
      <w:r>
        <w:rPr>
          <w:rFonts w:hint="eastAsia" w:ascii="宋体" w:hAnsi="宋体" w:eastAsia="宋体" w:cs="宋体"/>
          <w:bCs/>
          <w:color w:val="auto"/>
          <w:sz w:val="24"/>
          <w:szCs w:val="24"/>
          <w:highlight w:val="none"/>
        </w:rPr>
        <w:t>合同履行期限：签订合同后30天内完成</w:t>
      </w:r>
    </w:p>
    <w:p>
      <w:pPr>
        <w:keepNext w:val="0"/>
        <w:keepLines w:val="0"/>
        <w:pageBreakBefore w:val="0"/>
        <w:widowControl w:val="0"/>
        <w:tabs>
          <w:tab w:val="left" w:pos="39"/>
          <w:tab w:val="left" w:pos="96"/>
        </w:tabs>
        <w:kinsoku/>
        <w:wordWrap/>
        <w:overflowPunct/>
        <w:topLinePunct w:val="0"/>
        <w:autoSpaceDE/>
        <w:autoSpaceDN/>
        <w:bidi w:val="0"/>
        <w:adjustRightInd w:val="0"/>
        <w:snapToGrid w:val="0"/>
        <w:spacing w:line="24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7、本项目是否接受联合体投标：否</w:t>
      </w:r>
    </w:p>
    <w:p>
      <w:pPr>
        <w:keepNext w:val="0"/>
        <w:keepLines w:val="0"/>
        <w:pageBreakBefore w:val="0"/>
        <w:widowControl w:val="0"/>
        <w:tabs>
          <w:tab w:val="left" w:pos="39"/>
          <w:tab w:val="left" w:pos="96"/>
        </w:tabs>
        <w:kinsoku/>
        <w:wordWrap/>
        <w:overflowPunct/>
        <w:topLinePunct w:val="0"/>
        <w:autoSpaceDE/>
        <w:autoSpaceDN/>
        <w:bidi w:val="0"/>
        <w:adjustRightInd w:val="0"/>
        <w:snapToGrid w:val="0"/>
        <w:spacing w:line="24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8、是否接受进口产品：否</w:t>
      </w:r>
    </w:p>
    <w:p>
      <w:pPr>
        <w:keepNext w:val="0"/>
        <w:keepLines w:val="0"/>
        <w:pageBreakBefore w:val="0"/>
        <w:widowControl w:val="0"/>
        <w:tabs>
          <w:tab w:val="left" w:pos="39"/>
          <w:tab w:val="left" w:pos="96"/>
        </w:tabs>
        <w:kinsoku/>
        <w:wordWrap/>
        <w:overflowPunct/>
        <w:topLinePunct w:val="0"/>
        <w:autoSpaceDE/>
        <w:autoSpaceDN/>
        <w:bidi w:val="0"/>
        <w:adjustRightInd w:val="0"/>
        <w:snapToGrid w:val="0"/>
        <w:spacing w:line="240" w:lineRule="auto"/>
        <w:ind w:firstLine="480" w:firstLineChars="200"/>
        <w:textAlignment w:val="baseline"/>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9、是否专门面向中小企业：是</w:t>
      </w:r>
    </w:p>
    <w:p>
      <w:pPr>
        <w:widowControl w:val="0"/>
        <w:adjustRightInd w:val="0"/>
        <w:snapToGrid w:val="0"/>
        <w:spacing w:line="308" w:lineRule="exact"/>
        <w:jc w:val="left"/>
        <w:rPr>
          <w:rFonts w:ascii="宋体" w:hAnsi="宋体"/>
          <w:b/>
          <w:color w:val="000000" w:themeColor="text1"/>
          <w:sz w:val="24"/>
          <w:szCs w:val="24"/>
        </w:rPr>
      </w:pPr>
      <w:r>
        <w:rPr>
          <w:rFonts w:hint="eastAsia" w:ascii="宋体" w:hAnsi="宋体"/>
          <w:b/>
          <w:color w:val="000000" w:themeColor="text1"/>
          <w:sz w:val="24"/>
          <w:szCs w:val="24"/>
        </w:rPr>
        <w:t>二、申请人资格要求：</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1、满足《中华人民共和国政府采购法》第二十二条规定；</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2、落实政府采购政策满足的资格要求：无专项资格要求。</w:t>
      </w:r>
    </w:p>
    <w:p>
      <w:pPr>
        <w:widowControl w:val="0"/>
        <w:adjustRightInd w:val="0"/>
        <w:snapToGrid w:val="0"/>
        <w:spacing w:line="308" w:lineRule="exact"/>
        <w:ind w:firstLine="424" w:firstLineChars="177"/>
        <w:jc w:val="left"/>
        <w:rPr>
          <w:rFonts w:ascii="宋体" w:hAnsi="宋体"/>
          <w:bCs/>
          <w:color w:val="auto"/>
          <w:sz w:val="24"/>
          <w:szCs w:val="24"/>
        </w:rPr>
      </w:pPr>
      <w:r>
        <w:rPr>
          <w:rFonts w:hint="eastAsia" w:ascii="宋体" w:hAnsi="宋体"/>
          <w:bCs/>
          <w:color w:val="auto"/>
          <w:sz w:val="24"/>
          <w:szCs w:val="24"/>
        </w:rPr>
        <w:t>3、本项目的特定资格要求</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 xml:space="preserve">  《政府采购法》第二十二条第一款--法定基本资格条件需提供的相关资格证明材料（文件）：</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（1）具有独立承担民事责任的能力。■提供营业执照或事业单位法人证书，■提供税务登记证（三证合一的只需提供三证合一的营业执照）。</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2）具有良好的商业信誉和健全的财务会计制度，有依法缴纳税收和社会保障资金的良好记录。■提供银行出具的近1年内资信证明（法人为基本开户行）、或2022年度经审计的财务报告、或银行（保险公司）出具的投标担保函；■提供近12个月内（任意1个月）已依法缴纳税收的凭据；■提供近12个月内（任意1个月）已依法缴纳社会保险的凭据。依法免税或不需要缴纳社会保障资金的供应商，应提供相应证明文件。</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（3）具备履行合同所必需的设备和专业技术能力。■提供供应商书面声明，自行承诺并承担后果。</w:t>
      </w:r>
    </w:p>
    <w:p>
      <w:pPr>
        <w:widowControl w:val="0"/>
        <w:adjustRightInd w:val="0"/>
        <w:snapToGrid w:val="0"/>
        <w:spacing w:line="308" w:lineRule="exact"/>
        <w:ind w:firstLine="141" w:firstLineChars="59"/>
        <w:jc w:val="left"/>
        <w:rPr>
          <w:rFonts w:ascii="宋体" w:hAnsi="宋体"/>
          <w:bCs/>
          <w:color w:val="auto"/>
          <w:sz w:val="24"/>
          <w:szCs w:val="24"/>
        </w:rPr>
      </w:pPr>
      <w:r>
        <w:rPr>
          <w:rFonts w:hint="eastAsia" w:ascii="宋体" w:hAnsi="宋体"/>
          <w:bCs/>
          <w:color w:val="auto"/>
          <w:sz w:val="24"/>
          <w:szCs w:val="24"/>
        </w:rPr>
        <w:t>（4）参加政府采购活动前3年内在经营活动中没有重大违法记录。■提供供应商书面声明；供应商自行承诺并承担后果，声明函不实的，按《政府采购法》有关提供虚假材料的有关规定给予处罚。</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4、对供应商的限制性规定</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（1）供应商应当无不良信用记录。(在“信用中国”</w:t>
      </w:r>
      <w:r>
        <w:rPr>
          <w:rFonts w:ascii="宋体" w:hAnsi="宋体"/>
          <w:bCs/>
          <w:color w:val="auto"/>
          <w:sz w:val="24"/>
          <w:szCs w:val="24"/>
        </w:rPr>
        <w:t>网站的“失信被执行人”和“重大税收违法失信主体”及“中国政府采购网”网站的“政府采购严重违法失信行为记录名单”均未列入)供应商递交《投标文件》后，采购人或者采购代理机构将按以上信用信息查询渠道在解密《投标文件》之前对参加本项目的供应商信用记录进行查询，供应商有上述任一不良信用记录的，其投标将被拒绝、为无效投标。查询的网页内容将以截图或者拍照作为证据留存。</w:t>
      </w:r>
      <w:r>
        <w:rPr>
          <w:rFonts w:ascii="宋体" w:hAnsi="宋体"/>
          <w:bCs/>
          <w:color w:val="auto"/>
          <w:sz w:val="24"/>
          <w:szCs w:val="24"/>
        </w:rPr>
        <w:br w:type="textWrapping"/>
      </w:r>
      <w:r>
        <w:rPr>
          <w:rFonts w:ascii="宋体" w:hAnsi="宋体"/>
          <w:bCs/>
          <w:color w:val="auto"/>
          <w:sz w:val="24"/>
          <w:szCs w:val="24"/>
        </w:rPr>
        <w:t>（2）单位负责人为同一人或者存在直接控股、管理关系的不同供应商，不得参加本合同项下的政府采购活动。供应商自行承诺并承担后果，承诺书不实的，按《政府采购法》有关提供虚假材料的有关规定给予处罚</w:t>
      </w:r>
      <w:r>
        <w:rPr>
          <w:rFonts w:hint="eastAsia" w:ascii="宋体" w:hAnsi="宋体"/>
          <w:bCs/>
          <w:color w:val="auto"/>
          <w:sz w:val="24"/>
          <w:szCs w:val="24"/>
        </w:rPr>
        <w:t>。</w:t>
      </w:r>
      <w:r>
        <w:rPr>
          <w:rFonts w:ascii="宋体" w:hAnsi="宋体"/>
          <w:bCs/>
          <w:color w:val="auto"/>
          <w:sz w:val="24"/>
          <w:szCs w:val="24"/>
        </w:rPr>
        <w:br w:type="textWrapping"/>
      </w:r>
      <w:r>
        <w:rPr>
          <w:rFonts w:ascii="宋体" w:hAnsi="宋体"/>
          <w:bCs/>
          <w:color w:val="auto"/>
          <w:sz w:val="24"/>
          <w:szCs w:val="24"/>
        </w:rPr>
        <w:t>（3）为本采购项目提供整体设计、规范编制或者项目管理、监理、检测等服务的供应商，不得再参加本采购项目。供应商自行承诺并承担后果，承诺书不实的，按《政府采购法》有关提供虚假材料的有关规定给予处罚。</w:t>
      </w:r>
      <w:r>
        <w:rPr>
          <w:rFonts w:ascii="宋体" w:hAnsi="宋体"/>
          <w:bCs/>
          <w:color w:val="auto"/>
          <w:sz w:val="24"/>
          <w:szCs w:val="24"/>
        </w:rPr>
        <w:br w:type="textWrapping"/>
      </w:r>
      <w:r>
        <w:rPr>
          <w:rFonts w:hint="eastAsia" w:ascii="宋体" w:hAnsi="宋体"/>
          <w:bCs/>
          <w:color w:val="auto"/>
          <w:sz w:val="24"/>
          <w:szCs w:val="24"/>
        </w:rPr>
        <w:t xml:space="preserve">    5、</w:t>
      </w:r>
      <w:r>
        <w:rPr>
          <w:rFonts w:ascii="宋体" w:hAnsi="宋体"/>
          <w:bCs/>
          <w:color w:val="auto"/>
          <w:sz w:val="24"/>
          <w:szCs w:val="24"/>
        </w:rPr>
        <w:t>项目的特定资格要求：</w:t>
      </w:r>
      <w:r>
        <w:rPr>
          <w:rFonts w:ascii="宋体" w:hAnsi="宋体"/>
          <w:bCs/>
          <w:color w:val="auto"/>
          <w:sz w:val="24"/>
          <w:szCs w:val="24"/>
        </w:rPr>
        <w:br w:type="textWrapping"/>
      </w:r>
      <w:r>
        <w:rPr>
          <w:rFonts w:ascii="宋体" w:hAnsi="宋体"/>
          <w:bCs/>
          <w:color w:val="auto"/>
          <w:sz w:val="24"/>
          <w:szCs w:val="24"/>
        </w:rPr>
        <w:t>（1）具备法律、行政法规规定的其他条件。</w:t>
      </w:r>
      <w:r>
        <w:rPr>
          <w:rFonts w:ascii="宋体" w:hAnsi="宋体"/>
          <w:bCs/>
          <w:color w:val="auto"/>
          <w:sz w:val="24"/>
          <w:szCs w:val="24"/>
        </w:rPr>
        <w:br w:type="textWrapping"/>
      </w:r>
      <w:r>
        <w:rPr>
          <w:rFonts w:ascii="宋体" w:hAnsi="宋体"/>
          <w:bCs/>
          <w:color w:val="auto"/>
          <w:sz w:val="24"/>
          <w:szCs w:val="24"/>
        </w:rPr>
        <w:t>（2）本项目（是/否）接受联合体投标：</w:t>
      </w:r>
      <w:r>
        <w:rPr>
          <w:rFonts w:hint="eastAsia" w:ascii="宋体" w:hAnsi="宋体"/>
          <w:bCs/>
          <w:color w:val="auto"/>
          <w:sz w:val="24"/>
          <w:szCs w:val="24"/>
          <w:lang w:eastAsia="zh-CN"/>
        </w:rPr>
        <w:t>否。</w:t>
      </w:r>
      <w:r>
        <w:rPr>
          <w:rFonts w:ascii="宋体" w:hAnsi="宋体"/>
          <w:bCs/>
          <w:color w:val="auto"/>
          <w:sz w:val="24"/>
          <w:szCs w:val="24"/>
        </w:rPr>
        <w:br w:type="textWrapping"/>
      </w:r>
      <w:r>
        <w:rPr>
          <w:rFonts w:ascii="宋体" w:hAnsi="宋体"/>
          <w:bCs/>
          <w:color w:val="auto"/>
          <w:sz w:val="24"/>
          <w:szCs w:val="24"/>
        </w:rPr>
        <w:t>注：（1）所有证照均应为有效的证照；文中“近”、“前”指距投标截止时间。（2）资格证明材料（文件）应附于投标文件中并经投标人电子签章。投标人对资格证明文件真实性有效合规承担责任，提供虚假材料的为无效投标并将进一步追究其责任。（3）本项目采取资格后审，开标后，将由</w:t>
      </w:r>
      <w:r>
        <w:rPr>
          <w:rFonts w:hint="eastAsia" w:ascii="宋体" w:hAnsi="宋体"/>
          <w:bCs/>
          <w:color w:val="auto"/>
          <w:sz w:val="24"/>
          <w:szCs w:val="24"/>
        </w:rPr>
        <w:t>磋商小组</w:t>
      </w:r>
      <w:r>
        <w:rPr>
          <w:rFonts w:ascii="宋体" w:hAnsi="宋体"/>
          <w:bCs/>
          <w:color w:val="auto"/>
          <w:sz w:val="24"/>
          <w:szCs w:val="24"/>
        </w:rPr>
        <w:t>对投标人的资格证明材料（文件）进行资格审核，未按要求逐一提供、或资格审查不合格的为无效投标，投标人应自负其风险费用。</w:t>
      </w:r>
    </w:p>
    <w:p>
      <w:pPr>
        <w:widowControl w:val="0"/>
        <w:adjustRightInd w:val="0"/>
        <w:snapToGrid w:val="0"/>
        <w:spacing w:line="308" w:lineRule="exact"/>
        <w:jc w:val="left"/>
        <w:rPr>
          <w:rFonts w:ascii="宋体" w:hAnsi="宋体"/>
          <w:b/>
          <w:color w:val="auto"/>
          <w:sz w:val="24"/>
          <w:szCs w:val="24"/>
        </w:rPr>
      </w:pPr>
      <w:r>
        <w:rPr>
          <w:rFonts w:hint="eastAsia" w:ascii="宋体" w:hAnsi="宋体"/>
          <w:b/>
          <w:color w:val="auto"/>
          <w:sz w:val="24"/>
          <w:szCs w:val="24"/>
        </w:rPr>
        <w:t>三、获取采购文件</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1、时间：2023年</w:t>
      </w:r>
      <w:r>
        <w:rPr>
          <w:rFonts w:hint="eastAsia" w:ascii="宋体" w:hAnsi="宋体"/>
          <w:bCs/>
          <w:color w:val="auto"/>
          <w:sz w:val="24"/>
          <w:szCs w:val="24"/>
          <w:lang w:val="en-US" w:eastAsia="zh-CN"/>
        </w:rPr>
        <w:t>11</w:t>
      </w:r>
      <w:r>
        <w:rPr>
          <w:rFonts w:hint="eastAsia" w:ascii="宋体" w:hAnsi="宋体"/>
          <w:bCs/>
          <w:color w:val="auto"/>
          <w:sz w:val="24"/>
          <w:szCs w:val="24"/>
        </w:rPr>
        <w:t>月</w:t>
      </w:r>
      <w:r>
        <w:rPr>
          <w:rFonts w:hint="eastAsia" w:ascii="宋体" w:hAnsi="宋体"/>
          <w:bCs/>
          <w:color w:val="auto"/>
          <w:sz w:val="24"/>
          <w:szCs w:val="24"/>
          <w:lang w:val="en-US" w:eastAsia="zh-CN"/>
        </w:rPr>
        <w:t>22</w:t>
      </w:r>
      <w:r>
        <w:rPr>
          <w:rFonts w:hint="eastAsia" w:ascii="宋体" w:hAnsi="宋体"/>
          <w:bCs/>
          <w:color w:val="auto"/>
          <w:sz w:val="24"/>
          <w:szCs w:val="24"/>
        </w:rPr>
        <w:t>日至2023年</w:t>
      </w:r>
      <w:r>
        <w:rPr>
          <w:rFonts w:hint="eastAsia" w:ascii="宋体" w:hAnsi="宋体"/>
          <w:bCs/>
          <w:color w:val="auto"/>
          <w:sz w:val="24"/>
          <w:szCs w:val="24"/>
          <w:lang w:val="en-US" w:eastAsia="zh-CN"/>
        </w:rPr>
        <w:t>11</w:t>
      </w:r>
      <w:r>
        <w:rPr>
          <w:rFonts w:hint="eastAsia" w:ascii="宋体" w:hAnsi="宋体"/>
          <w:bCs/>
          <w:color w:val="auto"/>
          <w:sz w:val="24"/>
          <w:szCs w:val="24"/>
        </w:rPr>
        <w:t>月</w:t>
      </w:r>
      <w:r>
        <w:rPr>
          <w:rFonts w:hint="eastAsia" w:ascii="宋体" w:hAnsi="宋体"/>
          <w:bCs/>
          <w:color w:val="auto"/>
          <w:sz w:val="24"/>
          <w:szCs w:val="24"/>
          <w:lang w:val="en-US" w:eastAsia="zh-CN"/>
        </w:rPr>
        <w:t>28</w:t>
      </w:r>
      <w:r>
        <w:rPr>
          <w:rFonts w:hint="eastAsia" w:ascii="宋体" w:hAnsi="宋体"/>
          <w:bCs/>
          <w:color w:val="auto"/>
          <w:sz w:val="24"/>
          <w:szCs w:val="24"/>
        </w:rPr>
        <w:t>日，每天上午00:00至12:00，下午12:00至23:59（北京时间，法定节假日除外。）</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2、地点：安阳市公共资源交易中心网站（http://</w:t>
      </w:r>
      <w:r>
        <w:fldChar w:fldCharType="begin"/>
      </w:r>
      <w:r>
        <w:instrText xml:space="preserve"> HYPERLINK "http://ggzy.anyang.gov.cn/" </w:instrText>
      </w:r>
      <w:r>
        <w:fldChar w:fldCharType="separate"/>
      </w:r>
      <w:r>
        <w:rPr>
          <w:rFonts w:hint="eastAsia" w:ascii="宋体" w:hAnsi="宋体"/>
          <w:bCs/>
          <w:color w:val="auto"/>
          <w:sz w:val="24"/>
          <w:szCs w:val="24"/>
        </w:rPr>
        <w:t>ggzy.anyang.gov.cn</w:t>
      </w:r>
      <w:r>
        <w:rPr>
          <w:rFonts w:hint="eastAsia" w:ascii="宋体" w:hAnsi="宋体"/>
          <w:bCs/>
          <w:color w:val="auto"/>
          <w:sz w:val="24"/>
          <w:szCs w:val="24"/>
        </w:rPr>
        <w:fldChar w:fldCharType="end"/>
      </w:r>
      <w:r>
        <w:rPr>
          <w:rFonts w:hint="eastAsia" w:ascii="宋体" w:hAnsi="宋体"/>
          <w:bCs/>
          <w:color w:val="auto"/>
          <w:sz w:val="24"/>
          <w:szCs w:val="24"/>
        </w:rPr>
        <w:t>/），数字证书点击【投标用户入口】登录系统，获取磋商文件及其他资料，此为获取磋商文件的唯一途径；</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3、方式：网上下载</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4、售价：0元</w:t>
      </w:r>
    </w:p>
    <w:p>
      <w:pPr>
        <w:widowControl w:val="0"/>
        <w:adjustRightInd w:val="0"/>
        <w:snapToGrid w:val="0"/>
        <w:spacing w:line="308" w:lineRule="exact"/>
        <w:jc w:val="left"/>
        <w:rPr>
          <w:rFonts w:ascii="宋体" w:hAnsi="宋体"/>
          <w:b/>
          <w:color w:val="auto"/>
          <w:sz w:val="24"/>
          <w:szCs w:val="24"/>
        </w:rPr>
      </w:pPr>
      <w:r>
        <w:rPr>
          <w:rFonts w:hint="eastAsia" w:ascii="宋体" w:hAnsi="宋体"/>
          <w:b/>
          <w:color w:val="auto"/>
          <w:sz w:val="24"/>
          <w:szCs w:val="24"/>
        </w:rPr>
        <w:t xml:space="preserve">四、响应文件提交 </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1、截止时间：2023年</w:t>
      </w:r>
      <w:r>
        <w:rPr>
          <w:rFonts w:hint="eastAsia" w:ascii="宋体" w:hAnsi="宋体"/>
          <w:bCs/>
          <w:color w:val="auto"/>
          <w:sz w:val="24"/>
          <w:szCs w:val="24"/>
          <w:lang w:val="en-US" w:eastAsia="zh-CN"/>
        </w:rPr>
        <w:t>12</w:t>
      </w:r>
      <w:r>
        <w:rPr>
          <w:rFonts w:hint="eastAsia" w:ascii="宋体" w:hAnsi="宋体"/>
          <w:bCs/>
          <w:color w:val="auto"/>
          <w:sz w:val="24"/>
          <w:szCs w:val="24"/>
        </w:rPr>
        <w:t>月</w:t>
      </w:r>
      <w:r>
        <w:rPr>
          <w:rFonts w:hint="eastAsia" w:ascii="宋体" w:hAnsi="宋体"/>
          <w:bCs/>
          <w:color w:val="auto"/>
          <w:sz w:val="24"/>
          <w:szCs w:val="24"/>
          <w:lang w:val="en-US" w:eastAsia="zh-CN"/>
        </w:rPr>
        <w:t>04</w:t>
      </w:r>
      <w:r>
        <w:rPr>
          <w:rFonts w:hint="eastAsia" w:ascii="宋体" w:hAnsi="宋体"/>
          <w:bCs/>
          <w:color w:val="auto"/>
          <w:sz w:val="24"/>
          <w:szCs w:val="24"/>
        </w:rPr>
        <w:t>日09时00分（北京时间）</w:t>
      </w:r>
    </w:p>
    <w:p>
      <w:pPr>
        <w:widowControl w:val="0"/>
        <w:adjustRightInd w:val="0"/>
        <w:snapToGrid w:val="0"/>
        <w:spacing w:line="308" w:lineRule="exact"/>
        <w:ind w:firstLine="379" w:firstLineChars="158"/>
        <w:jc w:val="left"/>
        <w:rPr>
          <w:rFonts w:ascii="宋体" w:hAnsi="宋体"/>
          <w:bCs/>
          <w:color w:val="auto"/>
          <w:sz w:val="24"/>
          <w:szCs w:val="24"/>
        </w:rPr>
      </w:pPr>
      <w:r>
        <w:rPr>
          <w:rFonts w:hint="eastAsia" w:ascii="宋体" w:hAnsi="宋体"/>
          <w:bCs/>
          <w:color w:val="auto"/>
          <w:sz w:val="24"/>
          <w:szCs w:val="24"/>
        </w:rPr>
        <w:t>2、地点：安阳市公共资源交易中心（</w:t>
      </w:r>
      <w:r>
        <w:fldChar w:fldCharType="begin"/>
      </w:r>
      <w:r>
        <w:instrText xml:space="preserve"> HYPERLINK "http://ggzy.anyang.gov.cn//" </w:instrText>
      </w:r>
      <w:r>
        <w:fldChar w:fldCharType="separate"/>
      </w:r>
      <w:r>
        <w:rPr>
          <w:rFonts w:hint="eastAsia" w:ascii="宋体" w:hAnsi="宋体"/>
          <w:bCs/>
          <w:color w:val="auto"/>
          <w:sz w:val="24"/>
          <w:szCs w:val="24"/>
        </w:rPr>
        <w:t>http://ggzy.anyang.gov.cn//</w:t>
      </w:r>
      <w:r>
        <w:rPr>
          <w:rFonts w:hint="eastAsia" w:ascii="宋体" w:hAnsi="宋体"/>
          <w:bCs/>
          <w:color w:val="auto"/>
          <w:sz w:val="24"/>
          <w:szCs w:val="24"/>
        </w:rPr>
        <w:fldChar w:fldCharType="end"/>
      </w:r>
      <w:r>
        <w:rPr>
          <w:rFonts w:hint="eastAsia" w:ascii="宋体" w:hAnsi="宋体"/>
          <w:bCs/>
          <w:color w:val="auto"/>
          <w:sz w:val="24"/>
          <w:szCs w:val="24"/>
        </w:rPr>
        <w:t>），凭企业数字证书点击【投标用户入口】登录系统，供应商必须在提交响应文件截止时间前完成所有响应文件的上传，并“确认并签名 ”，逾期上传视为网上响应无效；本项目只接受网上递交电子响应文件方式，不接受现场递交。</w:t>
      </w:r>
    </w:p>
    <w:p>
      <w:pPr>
        <w:widowControl w:val="0"/>
        <w:adjustRightInd w:val="0"/>
        <w:snapToGrid w:val="0"/>
        <w:spacing w:line="308" w:lineRule="exact"/>
        <w:jc w:val="left"/>
        <w:rPr>
          <w:rFonts w:ascii="宋体" w:hAnsi="宋体"/>
          <w:bCs/>
          <w:color w:val="auto"/>
          <w:sz w:val="24"/>
          <w:szCs w:val="24"/>
        </w:rPr>
      </w:pPr>
      <w:r>
        <w:rPr>
          <w:rFonts w:hint="eastAsia" w:ascii="宋体" w:hAnsi="宋体"/>
          <w:b/>
          <w:color w:val="auto"/>
          <w:sz w:val="24"/>
          <w:szCs w:val="24"/>
        </w:rPr>
        <w:t>五、响应文件开启</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1、时间: 2023年</w:t>
      </w:r>
      <w:r>
        <w:rPr>
          <w:rFonts w:hint="eastAsia" w:ascii="宋体" w:hAnsi="宋体"/>
          <w:bCs/>
          <w:color w:val="auto"/>
          <w:sz w:val="24"/>
          <w:szCs w:val="24"/>
          <w:lang w:val="en-US" w:eastAsia="zh-CN"/>
        </w:rPr>
        <w:t>12</w:t>
      </w:r>
      <w:r>
        <w:rPr>
          <w:rFonts w:hint="eastAsia" w:ascii="宋体" w:hAnsi="宋体"/>
          <w:bCs/>
          <w:color w:val="auto"/>
          <w:sz w:val="24"/>
          <w:szCs w:val="24"/>
        </w:rPr>
        <w:t>月</w:t>
      </w:r>
      <w:r>
        <w:rPr>
          <w:rFonts w:hint="eastAsia" w:ascii="宋体" w:hAnsi="宋体"/>
          <w:bCs/>
          <w:color w:val="auto"/>
          <w:sz w:val="24"/>
          <w:szCs w:val="24"/>
          <w:lang w:val="en-US" w:eastAsia="zh-CN"/>
        </w:rPr>
        <w:t>04</w:t>
      </w:r>
      <w:r>
        <w:rPr>
          <w:rFonts w:hint="eastAsia" w:ascii="宋体" w:hAnsi="宋体"/>
          <w:bCs/>
          <w:color w:val="auto"/>
          <w:sz w:val="24"/>
          <w:szCs w:val="24"/>
        </w:rPr>
        <w:t>日09时00分（北京时间）</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 xml:space="preserve"> 2、地点：安阳市公共资源交易中心五楼集中开标大厅</w:t>
      </w:r>
      <w:r>
        <w:rPr>
          <w:rFonts w:hint="eastAsia" w:ascii="宋体" w:hAnsi="宋体"/>
          <w:bCs/>
          <w:color w:val="auto"/>
          <w:sz w:val="24"/>
          <w:szCs w:val="24"/>
          <w:lang w:val="en-US" w:eastAsia="zh-CN"/>
        </w:rPr>
        <w:t>1</w:t>
      </w:r>
      <w:r>
        <w:rPr>
          <w:rFonts w:hint="eastAsia" w:ascii="宋体" w:hAnsi="宋体"/>
          <w:bCs/>
          <w:color w:val="auto"/>
          <w:sz w:val="24"/>
          <w:szCs w:val="24"/>
        </w:rPr>
        <w:t>室（安阳市文峰大道东段 559 号安阳市民之家）。</w:t>
      </w:r>
    </w:p>
    <w:p>
      <w:pPr>
        <w:widowControl w:val="0"/>
        <w:adjustRightInd w:val="0"/>
        <w:snapToGrid w:val="0"/>
        <w:spacing w:line="308" w:lineRule="exact"/>
        <w:jc w:val="left"/>
        <w:rPr>
          <w:rFonts w:ascii="宋体" w:hAnsi="宋体"/>
          <w:bCs/>
          <w:color w:val="auto"/>
          <w:sz w:val="24"/>
          <w:szCs w:val="24"/>
        </w:rPr>
      </w:pPr>
      <w:r>
        <w:rPr>
          <w:rFonts w:hint="eastAsia" w:ascii="宋体" w:hAnsi="宋体"/>
          <w:b/>
          <w:color w:val="000000" w:themeColor="text1"/>
          <w:sz w:val="24"/>
          <w:szCs w:val="24"/>
        </w:rPr>
        <w:t>六、发布公告的媒介及招标公告期限</w:t>
      </w:r>
    </w:p>
    <w:p>
      <w:pPr>
        <w:widowControl w:val="0"/>
        <w:adjustRightInd w:val="0"/>
        <w:snapToGrid w:val="0"/>
        <w:spacing w:line="308" w:lineRule="exact"/>
        <w:jc w:val="left"/>
        <w:rPr>
          <w:rFonts w:ascii="宋体" w:hAnsi="宋体"/>
          <w:bCs/>
          <w:color w:val="auto"/>
          <w:sz w:val="24"/>
          <w:szCs w:val="24"/>
        </w:rPr>
      </w:pPr>
      <w:r>
        <w:rPr>
          <w:rFonts w:hint="eastAsia" w:ascii="宋体" w:hAnsi="宋体"/>
          <w:bCs/>
          <w:color w:val="auto"/>
          <w:sz w:val="24"/>
          <w:szCs w:val="24"/>
        </w:rPr>
        <w:t xml:space="preserve">   本次招标公告在《河南省政府采购网》、《安阳市公共资源交易中心网》</w:t>
      </w:r>
      <w:r>
        <w:rPr>
          <w:rFonts w:hint="eastAsia" w:ascii="宋体" w:hAnsi="宋体"/>
          <w:bCs/>
          <w:color w:val="auto"/>
          <w:sz w:val="24"/>
          <w:szCs w:val="24"/>
          <w:lang w:eastAsia="zh-CN"/>
        </w:rPr>
        <w:t>、《安阳市政府采购网》</w:t>
      </w:r>
      <w:r>
        <w:rPr>
          <w:rFonts w:hint="eastAsia" w:ascii="宋体" w:hAnsi="宋体"/>
          <w:bCs/>
          <w:color w:val="auto"/>
          <w:sz w:val="24"/>
          <w:szCs w:val="24"/>
        </w:rPr>
        <w:t>上发布，招标公告期限为</w:t>
      </w:r>
      <w:r>
        <w:rPr>
          <w:rFonts w:hint="eastAsia" w:ascii="宋体" w:hAnsi="宋体"/>
          <w:bCs/>
          <w:color w:val="auto"/>
          <w:sz w:val="24"/>
          <w:szCs w:val="24"/>
          <w:lang w:eastAsia="zh-CN"/>
        </w:rPr>
        <w:t>三</w:t>
      </w:r>
      <w:r>
        <w:rPr>
          <w:rFonts w:hint="eastAsia" w:ascii="宋体" w:hAnsi="宋体"/>
          <w:bCs/>
          <w:color w:val="auto"/>
          <w:sz w:val="24"/>
          <w:szCs w:val="24"/>
        </w:rPr>
        <w:t>个工作日。</w:t>
      </w:r>
    </w:p>
    <w:p>
      <w:pPr>
        <w:widowControl w:val="0"/>
        <w:snapToGrid w:val="0"/>
        <w:spacing w:line="308" w:lineRule="exac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七、其他补充事宜</w:t>
      </w:r>
    </w:p>
    <w:p>
      <w:pPr>
        <w:widowControl w:val="0"/>
        <w:adjustRightInd w:val="0"/>
        <w:snapToGrid w:val="0"/>
        <w:spacing w:line="308" w:lineRule="exact"/>
        <w:ind w:firstLine="480" w:firstLineChars="200"/>
        <w:jc w:val="left"/>
        <w:rPr>
          <w:rFonts w:ascii="宋体" w:hAnsi="宋体"/>
          <w:bCs/>
          <w:color w:val="auto"/>
          <w:sz w:val="24"/>
          <w:szCs w:val="24"/>
        </w:rPr>
      </w:pPr>
      <w:r>
        <w:rPr>
          <w:rFonts w:hint="eastAsia" w:ascii="宋体" w:hAnsi="宋体"/>
          <w:bCs/>
          <w:color w:val="auto"/>
          <w:sz w:val="24"/>
          <w:szCs w:val="24"/>
        </w:rPr>
        <w:t>1、项目落实的政府采购政策：强制节能产品强制采购、节能产品、环境标志产品及贫困地区产品优先采购、促进中小企业发展扶持政策、进口产品政策、信息安全产品、社会信用体系建设、促进残疾人就业、支持监狱企业发展等。</w:t>
      </w:r>
    </w:p>
    <w:p>
      <w:pPr>
        <w:widowControl w:val="0"/>
        <w:snapToGrid w:val="0"/>
        <w:spacing w:line="308" w:lineRule="exact"/>
        <w:ind w:firstLine="480" w:firstLineChars="200"/>
        <w:rPr>
          <w:rFonts w:ascii="微软雅黑" w:hAnsi="微软雅黑"/>
          <w:color w:val="444444"/>
          <w:sz w:val="15"/>
          <w:szCs w:val="15"/>
          <w:shd w:val="clear" w:color="auto" w:fill="F9F9F9"/>
        </w:rPr>
      </w:pPr>
      <w:r>
        <w:rPr>
          <w:rFonts w:hint="eastAsia" w:ascii="宋体" w:hAnsi="宋体"/>
          <w:bCs/>
          <w:color w:val="auto"/>
          <w:sz w:val="24"/>
          <w:szCs w:val="24"/>
        </w:rPr>
        <w:t>2、政府采购合同融资</w:t>
      </w:r>
      <w:r>
        <w:rPr>
          <w:rFonts w:hint="eastAsia" w:ascii="宋体" w:hAnsi="宋体"/>
          <w:bCs/>
          <w:color w:val="auto"/>
          <w:sz w:val="24"/>
          <w:szCs w:val="24"/>
        </w:rPr>
        <w:br w:type="textWrapping"/>
      </w:r>
      <w:r>
        <w:rPr>
          <w:rFonts w:hint="eastAsia" w:ascii="宋体" w:hAnsi="宋体"/>
          <w:bCs/>
          <w:color w:val="auto"/>
          <w:sz w:val="24"/>
          <w:szCs w:val="24"/>
        </w:rPr>
        <w:t xml:space="preserve">   根据豫财购〔2017〕10号和安财购〔2017〕7号文要求，参加政府采购项目的中小微企业供应商，持中标（成交）通知书可向金融机构申请合同融资，详情请登录安阳市政府采购网（http：//anyang.hngp.gov.cn/anyang），进入网站飘窗或业务指南窗口了解金融机构提供的融资服务内容。</w:t>
      </w:r>
    </w:p>
    <w:p>
      <w:pPr>
        <w:widowControl w:val="0"/>
        <w:snapToGrid w:val="0"/>
        <w:spacing w:line="308" w:lineRule="exact"/>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八、凡对本次招标提出询问，请按照以下方式联系</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 xml:space="preserve">1. 采购人信息 </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名称：</w:t>
      </w:r>
      <w:r>
        <w:rPr>
          <w:rFonts w:hint="eastAsia" w:ascii="宋体" w:hAnsi="宋体" w:cs="宋体"/>
          <w:color w:val="000000" w:themeColor="text1"/>
          <w:sz w:val="24"/>
          <w:szCs w:val="24"/>
          <w:lang w:eastAsia="zh-CN"/>
        </w:rPr>
        <w:t>安阳市文化广电体育旅游局</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地址：安阳市文峰区永明路街道北段6号</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val="en-US" w:eastAsia="zh-CN"/>
        </w:rPr>
        <w:t>刘春波</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联系电话：</w:t>
      </w:r>
      <w:r>
        <w:rPr>
          <w:rFonts w:hint="eastAsia" w:ascii="宋体" w:hAnsi="宋体" w:cs="宋体"/>
          <w:color w:val="000000" w:themeColor="text1"/>
          <w:sz w:val="24"/>
          <w:szCs w:val="24"/>
          <w:lang w:val="en-US" w:eastAsia="zh-CN"/>
        </w:rPr>
        <w:t>0372-2287317</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2.采购代理机构信息</w:t>
      </w:r>
      <w:r>
        <w:rPr>
          <w:rFonts w:hint="eastAsia" w:ascii="宋体" w:hAnsi="宋体" w:cs="宋体"/>
          <w:color w:val="000000" w:themeColor="text1"/>
          <w:sz w:val="24"/>
          <w:szCs w:val="24"/>
          <w:lang w:val="en-US" w:eastAsia="zh-CN"/>
        </w:rPr>
        <w:t>(如有）</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名称：河南求实工程造价咨询有限公司</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地址：郑州市高新区科学大道53号</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联系人：</w:t>
      </w:r>
      <w:r>
        <w:rPr>
          <w:rFonts w:hint="eastAsia" w:ascii="宋体" w:hAnsi="宋体" w:cs="宋体"/>
          <w:color w:val="000000" w:themeColor="text1"/>
          <w:sz w:val="24"/>
          <w:szCs w:val="24"/>
          <w:lang w:eastAsia="zh-CN"/>
        </w:rPr>
        <w:t>张芳瑜、张艳平</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val="en-US" w:eastAsia="zh-CN"/>
        </w:rPr>
      </w:pPr>
      <w:r>
        <w:rPr>
          <w:rFonts w:hint="eastAsia" w:ascii="宋体" w:hAnsi="宋体" w:cs="宋体"/>
          <w:color w:val="000000" w:themeColor="text1"/>
          <w:sz w:val="24"/>
          <w:szCs w:val="24"/>
        </w:rPr>
        <w:t>联系方式：</w:t>
      </w:r>
      <w:r>
        <w:rPr>
          <w:rFonts w:hint="eastAsia" w:ascii="宋体" w:hAnsi="宋体" w:cs="宋体"/>
          <w:color w:val="000000" w:themeColor="text1"/>
          <w:sz w:val="24"/>
          <w:szCs w:val="24"/>
          <w:lang w:val="en-US" w:eastAsia="zh-CN"/>
        </w:rPr>
        <w:t>0372-3189989、15890782288</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rPr>
      </w:pPr>
      <w:r>
        <w:rPr>
          <w:rFonts w:hint="eastAsia" w:ascii="宋体" w:hAnsi="宋体" w:cs="宋体"/>
          <w:color w:val="000000" w:themeColor="text1"/>
          <w:sz w:val="24"/>
          <w:szCs w:val="24"/>
        </w:rPr>
        <w:t>3.项目联系方式</w:t>
      </w:r>
    </w:p>
    <w:p>
      <w:pPr>
        <w:widowControl w:val="0"/>
        <w:tabs>
          <w:tab w:val="left" w:pos="39"/>
          <w:tab w:val="left" w:pos="96"/>
        </w:tabs>
        <w:snapToGrid w:val="0"/>
        <w:spacing w:line="308" w:lineRule="exact"/>
        <w:ind w:firstLine="480" w:firstLineChars="200"/>
        <w:rPr>
          <w:rFonts w:hint="eastAsia" w:ascii="宋体" w:hAnsi="宋体" w:cs="宋体"/>
          <w:color w:val="000000" w:themeColor="text1"/>
          <w:sz w:val="24"/>
          <w:szCs w:val="24"/>
          <w:lang w:eastAsia="zh-CN"/>
        </w:rPr>
      </w:pPr>
      <w:r>
        <w:rPr>
          <w:rFonts w:hint="eastAsia" w:ascii="宋体" w:hAnsi="宋体" w:cs="宋体"/>
          <w:color w:val="000000" w:themeColor="text1"/>
          <w:sz w:val="24"/>
          <w:szCs w:val="24"/>
        </w:rPr>
        <w:t>项目联系人：</w:t>
      </w:r>
      <w:r>
        <w:rPr>
          <w:rFonts w:hint="eastAsia" w:ascii="宋体" w:hAnsi="宋体" w:cs="宋体"/>
          <w:color w:val="000000" w:themeColor="text1"/>
          <w:sz w:val="24"/>
          <w:szCs w:val="24"/>
          <w:lang w:eastAsia="zh-CN"/>
        </w:rPr>
        <w:t>张芳瑜、张艳平</w:t>
      </w:r>
    </w:p>
    <w:p>
      <w:pPr>
        <w:widowControl w:val="0"/>
        <w:tabs>
          <w:tab w:val="left" w:pos="39"/>
          <w:tab w:val="left" w:pos="96"/>
        </w:tabs>
        <w:snapToGrid w:val="0"/>
        <w:spacing w:line="308"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lang w:eastAsia="zh-CN"/>
        </w:rPr>
        <w:t>联系方式：</w:t>
      </w:r>
      <w:r>
        <w:rPr>
          <w:rFonts w:hint="eastAsia" w:ascii="宋体" w:hAnsi="宋体" w:cs="宋体"/>
          <w:color w:val="000000" w:themeColor="text1"/>
          <w:sz w:val="24"/>
          <w:szCs w:val="24"/>
          <w:lang w:val="en-US" w:eastAsia="zh-CN"/>
        </w:rPr>
        <w:t>0372-3189989、15890782288</w:t>
      </w:r>
    </w:p>
    <w:p>
      <w:pPr>
        <w:widowControl w:val="0"/>
        <w:tabs>
          <w:tab w:val="left" w:pos="39"/>
          <w:tab w:val="left" w:pos="96"/>
        </w:tabs>
        <w:snapToGrid w:val="0"/>
        <w:spacing w:line="360" w:lineRule="auto"/>
        <w:rPr>
          <w:rFonts w:ascii="宋体" w:hAnsi="宋体"/>
          <w:color w:val="000000" w:themeColor="text1"/>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widowControl w:val="0"/>
        <w:tabs>
          <w:tab w:val="left" w:pos="39"/>
          <w:tab w:val="left" w:pos="96"/>
        </w:tabs>
        <w:snapToGrid w:val="0"/>
        <w:spacing w:line="360" w:lineRule="auto"/>
        <w:rPr>
          <w:rFonts w:ascii="宋体" w:hAnsi="宋体" w:cs="宋体"/>
          <w:color w:val="000000" w:themeColor="text1"/>
          <w:sz w:val="24"/>
          <w:szCs w:val="24"/>
        </w:rPr>
      </w:pPr>
    </w:p>
    <w:p>
      <w:pPr>
        <w:widowControl w:val="0"/>
        <w:tabs>
          <w:tab w:val="left" w:pos="39"/>
          <w:tab w:val="left" w:pos="96"/>
        </w:tabs>
        <w:snapToGrid w:val="0"/>
        <w:spacing w:line="360" w:lineRule="auto"/>
        <w:ind w:firstLine="630" w:firstLineChars="225"/>
        <w:rPr>
          <w:rFonts w:eastAsia="方正黑体简体"/>
          <w:color w:val="auto"/>
          <w:sz w:val="28"/>
          <w:szCs w:val="28"/>
        </w:rPr>
      </w:pPr>
      <w:r>
        <w:rPr>
          <w:rFonts w:eastAsia="方正黑体简体"/>
          <w:color w:val="auto"/>
          <w:sz w:val="28"/>
          <w:szCs w:val="28"/>
        </w:rPr>
        <w:br w:type="page"/>
      </w:r>
    </w:p>
    <w:p>
      <w:pPr>
        <w:widowControl w:val="0"/>
        <w:snapToGrid w:val="0"/>
        <w:spacing w:line="360" w:lineRule="auto"/>
        <w:jc w:val="center"/>
        <w:outlineLvl w:val="0"/>
        <w:rPr>
          <w:rFonts w:eastAsia="方正黑体简体"/>
          <w:color w:val="auto"/>
          <w:sz w:val="36"/>
          <w:szCs w:val="36"/>
        </w:rPr>
      </w:pPr>
      <w:bookmarkStart w:id="2" w:name="_Toc18983"/>
      <w:bookmarkStart w:id="3" w:name="_Toc26366083"/>
      <w:r>
        <w:rPr>
          <w:rFonts w:hint="eastAsia" w:eastAsia="黑体"/>
          <w:b/>
          <w:color w:val="auto"/>
          <w:sz w:val="36"/>
          <w:szCs w:val="36"/>
        </w:rPr>
        <w:t>第二章</w:t>
      </w:r>
      <w:r>
        <w:rPr>
          <w:rFonts w:hint="eastAsia" w:eastAsia="黑体"/>
          <w:b/>
          <w:color w:val="auto"/>
          <w:sz w:val="36"/>
          <w:szCs w:val="36"/>
          <w:lang w:val="en-US" w:eastAsia="zh-CN"/>
        </w:rPr>
        <w:t xml:space="preserve">  </w:t>
      </w:r>
      <w:r>
        <w:rPr>
          <w:rFonts w:hint="eastAsia" w:eastAsia="黑体"/>
          <w:b/>
          <w:color w:val="auto"/>
          <w:sz w:val="36"/>
          <w:szCs w:val="36"/>
        </w:rPr>
        <w:t>采购项目及技术服务要求</w:t>
      </w:r>
      <w:bookmarkEnd w:id="2"/>
      <w:bookmarkEnd w:id="3"/>
    </w:p>
    <w:p>
      <w:pPr>
        <w:widowControl w:val="0"/>
        <w:snapToGrid w:val="0"/>
        <w:spacing w:line="360" w:lineRule="auto"/>
        <w:jc w:val="center"/>
        <w:rPr>
          <w:b/>
          <w:color w:val="auto"/>
          <w:sz w:val="28"/>
        </w:rPr>
      </w:pPr>
    </w:p>
    <w:p>
      <w:pPr>
        <w:widowControl w:val="0"/>
        <w:snapToGrid w:val="0"/>
        <w:spacing w:line="360" w:lineRule="auto"/>
        <w:jc w:val="left"/>
        <w:outlineLvl w:val="1"/>
        <w:rPr>
          <w:rFonts w:ascii="黑体" w:hAnsi="黑体" w:eastAsia="黑体"/>
          <w:b/>
          <w:color w:val="auto"/>
          <w:sz w:val="28"/>
        </w:rPr>
      </w:pPr>
      <w:bookmarkStart w:id="4" w:name="_Toc26366084"/>
      <w:bookmarkStart w:id="5" w:name="_Toc32375"/>
      <w:r>
        <w:rPr>
          <w:rFonts w:ascii="黑体" w:hAnsi="黑体" w:eastAsia="黑体"/>
          <w:b/>
          <w:color w:val="auto"/>
          <w:sz w:val="28"/>
        </w:rPr>
        <w:t xml:space="preserve">1. </w:t>
      </w:r>
      <w:r>
        <w:rPr>
          <w:rFonts w:hint="eastAsia" w:ascii="黑体" w:hAnsi="黑体" w:eastAsia="黑体"/>
          <w:b/>
          <w:color w:val="auto"/>
          <w:sz w:val="28"/>
        </w:rPr>
        <w:t>采购项目、标段划分、投标报价</w:t>
      </w:r>
      <w:bookmarkEnd w:id="4"/>
      <w:bookmarkEnd w:id="5"/>
    </w:p>
    <w:p>
      <w:pPr>
        <w:widowControl w:val="0"/>
        <w:snapToGrid w:val="0"/>
        <w:spacing w:line="360" w:lineRule="auto"/>
        <w:ind w:firstLine="241" w:firstLineChars="100"/>
        <w:jc w:val="left"/>
        <w:rPr>
          <w:color w:val="auto"/>
          <w:sz w:val="24"/>
          <w:szCs w:val="24"/>
        </w:rPr>
      </w:pPr>
      <w:r>
        <w:rPr>
          <w:rFonts w:ascii="黑体" w:hAnsi="黑体" w:eastAsia="黑体"/>
          <w:b/>
          <w:color w:val="auto"/>
          <w:sz w:val="24"/>
          <w:szCs w:val="24"/>
        </w:rPr>
        <w:t>1.1</w:t>
      </w:r>
      <w:r>
        <w:rPr>
          <w:rFonts w:hint="eastAsia" w:ascii="黑体" w:hAnsi="黑体" w:eastAsia="黑体"/>
          <w:b/>
          <w:color w:val="auto"/>
          <w:sz w:val="24"/>
          <w:szCs w:val="24"/>
        </w:rPr>
        <w:t>采购项目名称</w:t>
      </w:r>
      <w:r>
        <w:rPr>
          <w:rFonts w:hint="eastAsia"/>
          <w:color w:val="auto"/>
          <w:sz w:val="24"/>
          <w:szCs w:val="24"/>
        </w:rPr>
        <w:t>：</w:t>
      </w:r>
      <w:r>
        <w:rPr>
          <w:rFonts w:hint="eastAsia"/>
          <w:color w:val="auto"/>
          <w:sz w:val="24"/>
          <w:szCs w:val="24"/>
          <w:lang w:eastAsia="zh-CN"/>
        </w:rPr>
        <w:t>安阳市文化广电体育旅游局安阳市2023年全民健身器材采购项目</w:t>
      </w:r>
    </w:p>
    <w:p>
      <w:pPr>
        <w:widowControl w:val="0"/>
        <w:snapToGrid w:val="0"/>
        <w:spacing w:line="360" w:lineRule="auto"/>
        <w:ind w:firstLine="241" w:firstLineChars="100"/>
        <w:jc w:val="left"/>
        <w:rPr>
          <w:color w:val="auto"/>
          <w:sz w:val="24"/>
          <w:szCs w:val="24"/>
        </w:rPr>
      </w:pPr>
      <w:r>
        <w:rPr>
          <w:rFonts w:ascii="黑体" w:hAnsi="黑体" w:eastAsia="黑体"/>
          <w:b/>
          <w:color w:val="auto"/>
          <w:sz w:val="24"/>
          <w:szCs w:val="24"/>
        </w:rPr>
        <w:t xml:space="preserve">1.2 </w:t>
      </w:r>
      <w:r>
        <w:rPr>
          <w:rFonts w:hint="eastAsia" w:ascii="黑体" w:hAnsi="黑体" w:eastAsia="黑体"/>
          <w:b/>
          <w:color w:val="auto"/>
          <w:sz w:val="24"/>
          <w:szCs w:val="24"/>
        </w:rPr>
        <w:t>标段划分及其交验期交验地点</w:t>
      </w:r>
      <w:r>
        <w:rPr>
          <w:rFonts w:hint="eastAsia"/>
          <w:color w:val="auto"/>
          <w:sz w:val="24"/>
          <w:szCs w:val="24"/>
        </w:rPr>
        <w:t>：本次采购项目划分为</w:t>
      </w:r>
      <w:r>
        <w:rPr>
          <w:color w:val="auto"/>
          <w:sz w:val="24"/>
          <w:szCs w:val="24"/>
        </w:rPr>
        <w:t>1</w:t>
      </w:r>
      <w:r>
        <w:rPr>
          <w:rFonts w:hint="eastAsia"/>
          <w:color w:val="auto"/>
          <w:sz w:val="24"/>
          <w:szCs w:val="24"/>
        </w:rPr>
        <w:t>个标段。</w:t>
      </w:r>
    </w:p>
    <w:tbl>
      <w:tblPr>
        <w:tblStyle w:val="24"/>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1"/>
        <w:gridCol w:w="1882"/>
        <w:gridCol w:w="2154"/>
        <w:gridCol w:w="1169"/>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4" w:type="dxa"/>
            <w:gridSpan w:val="5"/>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1" w:type="dxa"/>
            <w:vAlign w:val="center"/>
          </w:tcPr>
          <w:p>
            <w:pPr>
              <w:widowControl w:val="0"/>
              <w:snapToGrid w:val="0"/>
              <w:spacing w:line="240" w:lineRule="auto"/>
              <w:jc w:val="center"/>
              <w:rPr>
                <w:b/>
                <w:color w:val="auto"/>
                <w:sz w:val="24"/>
                <w:szCs w:val="24"/>
              </w:rPr>
            </w:pPr>
            <w:r>
              <w:rPr>
                <w:rFonts w:hint="eastAsia"/>
                <w:b/>
                <w:color w:val="auto"/>
                <w:sz w:val="24"/>
                <w:szCs w:val="24"/>
              </w:rPr>
              <w:t>项目名称</w:t>
            </w:r>
          </w:p>
        </w:tc>
        <w:tc>
          <w:tcPr>
            <w:tcW w:w="1882" w:type="dxa"/>
            <w:vAlign w:val="center"/>
          </w:tcPr>
          <w:p>
            <w:pPr>
              <w:widowControl w:val="0"/>
              <w:snapToGrid w:val="0"/>
              <w:spacing w:line="240" w:lineRule="auto"/>
              <w:jc w:val="center"/>
              <w:rPr>
                <w:b/>
                <w:color w:val="auto"/>
                <w:sz w:val="24"/>
                <w:szCs w:val="24"/>
              </w:rPr>
            </w:pPr>
            <w:r>
              <w:rPr>
                <w:rFonts w:hint="eastAsia"/>
                <w:b/>
                <w:color w:val="auto"/>
                <w:sz w:val="24"/>
                <w:szCs w:val="24"/>
              </w:rPr>
              <w:t>标段名称</w:t>
            </w:r>
          </w:p>
        </w:tc>
        <w:tc>
          <w:tcPr>
            <w:tcW w:w="2154" w:type="dxa"/>
            <w:vAlign w:val="center"/>
          </w:tcPr>
          <w:p>
            <w:pPr>
              <w:widowControl w:val="0"/>
              <w:snapToGrid w:val="0"/>
              <w:spacing w:line="240" w:lineRule="auto"/>
              <w:jc w:val="center"/>
              <w:rPr>
                <w:rFonts w:ascii="宋体"/>
                <w:b/>
                <w:color w:val="auto"/>
                <w:sz w:val="24"/>
                <w:szCs w:val="24"/>
              </w:rPr>
            </w:pPr>
            <w:r>
              <w:rPr>
                <w:rFonts w:hint="eastAsia" w:ascii="宋体" w:hAnsi="宋体"/>
                <w:b/>
                <w:color w:val="auto"/>
                <w:sz w:val="24"/>
                <w:szCs w:val="24"/>
              </w:rPr>
              <w:t>标段内容（范围）</w:t>
            </w:r>
          </w:p>
        </w:tc>
        <w:tc>
          <w:tcPr>
            <w:tcW w:w="1169" w:type="dxa"/>
            <w:vAlign w:val="center"/>
          </w:tcPr>
          <w:p>
            <w:pPr>
              <w:widowControl w:val="0"/>
              <w:snapToGrid w:val="0"/>
              <w:spacing w:line="240" w:lineRule="auto"/>
              <w:jc w:val="center"/>
              <w:rPr>
                <w:b/>
                <w:color w:val="auto"/>
                <w:sz w:val="24"/>
                <w:szCs w:val="24"/>
                <w:highlight w:val="none"/>
              </w:rPr>
            </w:pPr>
            <w:r>
              <w:rPr>
                <w:rFonts w:hint="eastAsia" w:ascii="宋体" w:hAnsi="宋体"/>
                <w:b/>
                <w:color w:val="auto"/>
                <w:sz w:val="24"/>
                <w:szCs w:val="24"/>
                <w:highlight w:val="none"/>
              </w:rPr>
              <w:t>合同履行期限</w:t>
            </w:r>
          </w:p>
        </w:tc>
        <w:tc>
          <w:tcPr>
            <w:tcW w:w="1478" w:type="dxa"/>
            <w:vAlign w:val="center"/>
          </w:tcPr>
          <w:p>
            <w:pPr>
              <w:widowControl w:val="0"/>
              <w:snapToGrid w:val="0"/>
              <w:spacing w:line="240" w:lineRule="auto"/>
              <w:jc w:val="center"/>
              <w:rPr>
                <w:b/>
                <w:color w:val="auto"/>
                <w:sz w:val="24"/>
                <w:szCs w:val="24"/>
              </w:rPr>
            </w:pPr>
            <w:r>
              <w:rPr>
                <w:rFonts w:hint="eastAsia" w:ascii="宋体" w:hAnsi="宋体"/>
                <w:b/>
                <w:color w:val="auto"/>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1" w:type="dxa"/>
            <w:vAlign w:val="center"/>
          </w:tcPr>
          <w:p>
            <w:pPr>
              <w:widowControl w:val="0"/>
              <w:adjustRightInd w:val="0"/>
              <w:snapToGrid w:val="0"/>
              <w:spacing w:line="240" w:lineRule="auto"/>
              <w:jc w:val="center"/>
              <w:rPr>
                <w:color w:val="auto"/>
                <w:sz w:val="24"/>
                <w:szCs w:val="24"/>
              </w:rPr>
            </w:pPr>
            <w:r>
              <w:rPr>
                <w:rFonts w:hint="eastAsia"/>
                <w:color w:val="auto"/>
                <w:sz w:val="24"/>
                <w:szCs w:val="24"/>
                <w:lang w:eastAsia="zh-CN"/>
              </w:rPr>
              <w:t>安阳市文化广电体育旅游局安阳市2023年全民健身器材采购项目</w:t>
            </w:r>
          </w:p>
        </w:tc>
        <w:tc>
          <w:tcPr>
            <w:tcW w:w="1882" w:type="dxa"/>
            <w:vAlign w:val="center"/>
          </w:tcPr>
          <w:p>
            <w:pPr>
              <w:widowControl w:val="0"/>
              <w:adjustRightInd w:val="0"/>
              <w:snapToGrid w:val="0"/>
              <w:spacing w:line="240" w:lineRule="auto"/>
              <w:jc w:val="center"/>
              <w:rPr>
                <w:color w:val="auto"/>
                <w:sz w:val="24"/>
                <w:szCs w:val="24"/>
              </w:rPr>
            </w:pPr>
            <w:r>
              <w:rPr>
                <w:rFonts w:hint="eastAsia"/>
                <w:color w:val="auto"/>
                <w:sz w:val="24"/>
                <w:szCs w:val="24"/>
                <w:lang w:eastAsia="zh-CN"/>
              </w:rPr>
              <w:t>安阳市文化广电体育旅游局安阳市2023年全民健身器材采购项目</w:t>
            </w:r>
            <w:r>
              <w:rPr>
                <w:rFonts w:hint="eastAsia"/>
                <w:color w:val="auto"/>
                <w:sz w:val="24"/>
                <w:szCs w:val="24"/>
                <w:lang w:val="en-US" w:eastAsia="zh-CN"/>
              </w:rPr>
              <w:t>-</w:t>
            </w:r>
            <w:r>
              <w:rPr>
                <w:rFonts w:hint="eastAsia"/>
                <w:color w:val="auto"/>
                <w:sz w:val="24"/>
                <w:szCs w:val="24"/>
              </w:rPr>
              <w:t>3包</w:t>
            </w:r>
          </w:p>
        </w:tc>
        <w:tc>
          <w:tcPr>
            <w:tcW w:w="2154"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见“第二章</w:t>
            </w:r>
            <w:r>
              <w:rPr>
                <w:color w:val="auto"/>
                <w:sz w:val="24"/>
                <w:szCs w:val="24"/>
              </w:rPr>
              <w:t>2</w:t>
            </w:r>
            <w:r>
              <w:rPr>
                <w:rFonts w:hint="eastAsia"/>
                <w:color w:val="auto"/>
                <w:sz w:val="24"/>
                <w:szCs w:val="24"/>
              </w:rPr>
              <w:t>条：标段内容（范围）及要求”</w:t>
            </w:r>
          </w:p>
        </w:tc>
        <w:tc>
          <w:tcPr>
            <w:tcW w:w="1169" w:type="dxa"/>
            <w:vAlign w:val="center"/>
          </w:tcPr>
          <w:p>
            <w:pPr>
              <w:widowControl w:val="0"/>
              <w:adjustRightInd w:val="0"/>
              <w:snapToGrid w:val="0"/>
              <w:spacing w:line="240" w:lineRule="auto"/>
              <w:jc w:val="center"/>
              <w:rPr>
                <w:color w:val="auto"/>
                <w:sz w:val="24"/>
                <w:szCs w:val="24"/>
                <w:highlight w:val="none"/>
              </w:rPr>
            </w:pPr>
            <w:r>
              <w:rPr>
                <w:color w:val="auto"/>
                <w:sz w:val="24"/>
                <w:szCs w:val="24"/>
                <w:highlight w:val="none"/>
              </w:rPr>
              <w:t>签订合同后</w:t>
            </w:r>
            <w:r>
              <w:rPr>
                <w:rFonts w:hint="eastAsia"/>
                <w:color w:val="auto"/>
                <w:sz w:val="24"/>
                <w:szCs w:val="24"/>
                <w:highlight w:val="none"/>
              </w:rPr>
              <w:t>30天内完成</w:t>
            </w:r>
          </w:p>
        </w:tc>
        <w:tc>
          <w:tcPr>
            <w:tcW w:w="1478" w:type="dxa"/>
            <w:vAlign w:val="center"/>
          </w:tcPr>
          <w:p>
            <w:pPr>
              <w:widowControl w:val="0"/>
              <w:adjustRightInd w:val="0"/>
              <w:snapToGrid w:val="0"/>
              <w:spacing w:line="240" w:lineRule="auto"/>
              <w:jc w:val="center"/>
              <w:rPr>
                <w:color w:val="auto"/>
                <w:sz w:val="24"/>
                <w:szCs w:val="24"/>
              </w:rPr>
            </w:pPr>
            <w:r>
              <w:rPr>
                <w:rFonts w:hint="eastAsia"/>
                <w:color w:val="auto"/>
                <w:sz w:val="24"/>
                <w:szCs w:val="24"/>
              </w:rPr>
              <w:t>采购人指定地点</w:t>
            </w:r>
          </w:p>
        </w:tc>
      </w:tr>
    </w:tbl>
    <w:p>
      <w:pPr>
        <w:spacing w:line="400" w:lineRule="exact"/>
        <w:ind w:firstLine="482" w:firstLineChars="200"/>
        <w:rPr>
          <w:rFonts w:ascii="宋体"/>
          <w:b/>
          <w:color w:val="auto"/>
          <w:sz w:val="24"/>
          <w:szCs w:val="24"/>
        </w:rPr>
      </w:pPr>
      <w:r>
        <w:rPr>
          <w:rFonts w:ascii="宋体" w:hAnsi="宋体"/>
          <w:b/>
          <w:color w:val="auto"/>
          <w:sz w:val="24"/>
          <w:szCs w:val="24"/>
        </w:rPr>
        <w:t xml:space="preserve">1.3 </w:t>
      </w:r>
      <w:r>
        <w:rPr>
          <w:rFonts w:hint="eastAsia" w:ascii="宋体" w:hAnsi="宋体"/>
          <w:b/>
          <w:color w:val="auto"/>
          <w:sz w:val="24"/>
          <w:szCs w:val="24"/>
        </w:rPr>
        <w:t>磋商报价（价格构成）</w:t>
      </w:r>
    </w:p>
    <w:p>
      <w:pPr>
        <w:spacing w:line="400" w:lineRule="exact"/>
        <w:ind w:firstLine="480" w:firstLineChars="200"/>
        <w:jc w:val="left"/>
      </w:pPr>
      <w:r>
        <w:rPr>
          <w:rFonts w:hint="eastAsia" w:ascii="宋体" w:hAnsi="宋体" w:cs="宋体"/>
          <w:sz w:val="24"/>
          <w:szCs w:val="24"/>
        </w:rPr>
        <w:t xml:space="preserve">1.3.1 供应商的投标报价应为达到采购需求下的服务总包价，包括产品价款、人 </w:t>
      </w:r>
    </w:p>
    <w:p>
      <w:pPr>
        <w:spacing w:line="400" w:lineRule="exact"/>
        <w:jc w:val="left"/>
      </w:pPr>
      <w:r>
        <w:rPr>
          <w:rFonts w:hint="eastAsia" w:ascii="宋体" w:hAnsi="宋体" w:cs="宋体"/>
          <w:sz w:val="24"/>
          <w:szCs w:val="24"/>
        </w:rPr>
        <w:t>员工资、相关税款、备品备件价、易损</w:t>
      </w:r>
      <w:bookmarkStart w:id="58" w:name="_GoBack"/>
      <w:bookmarkEnd w:id="58"/>
      <w:r>
        <w:rPr>
          <w:rFonts w:hint="eastAsia" w:ascii="宋体" w:hAnsi="宋体" w:cs="宋体"/>
          <w:sz w:val="24"/>
          <w:szCs w:val="24"/>
        </w:rPr>
        <w:t xml:space="preserve">件价、专用工具价、第三方抽检费、售后及技术服务费、知识产权（如有）、保险（如需）、货物包装及运送到安阳地区指定地点的运杂费、装卸费等与采购项目相关的、必须的款项及费用（包括未列明而完成交验所必须的所有产品、材料、工具、费用）。成交价格在成交合同范围内固定不变。 </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1.3.2 本次竞争性磋商共二次报价（含系统中开标一览表报价共二次价格磋商）。 磋商小组未对《磋商文件》作优化变更增加的，磋商中的报价均不应超过前次报价，供应商擅自调高报价的，磋商小组将按二次报价中的最低报价作为有效报价。供应商拒绝接受上述意见的，磋商小组将视为变相在提交《响应文件》截止时间后撤回《响应文件》，并评定其为无效投标，依据磋商文件“第三章 3.5.5 违背承诺的责任追究措施”，供应商承担相应法律责任及违约责任。</w:t>
      </w:r>
    </w:p>
    <w:p>
      <w:pPr>
        <w:autoSpaceDE w:val="0"/>
        <w:autoSpaceDN w:val="0"/>
        <w:adjustRightInd w:val="0"/>
        <w:snapToGrid w:val="0"/>
        <w:spacing w:line="400" w:lineRule="exact"/>
        <w:ind w:firstLine="569" w:firstLineChars="236"/>
        <w:jc w:val="left"/>
        <w:rPr>
          <w:rFonts w:ascii="宋体"/>
          <w:b/>
          <w:color w:val="auto"/>
          <w:sz w:val="24"/>
          <w:szCs w:val="24"/>
        </w:rPr>
      </w:pPr>
      <w:r>
        <w:rPr>
          <w:rFonts w:hint="eastAsia" w:ascii="宋体" w:hAnsi="宋体"/>
          <w:b/>
          <w:color w:val="auto"/>
          <w:sz w:val="24"/>
          <w:szCs w:val="24"/>
        </w:rPr>
        <w:t>价格磋商规则详见第四章“评审办法”第“</w:t>
      </w:r>
      <w:r>
        <w:rPr>
          <w:rFonts w:ascii="宋体" w:hAnsi="宋体"/>
          <w:b/>
          <w:color w:val="auto"/>
          <w:sz w:val="24"/>
          <w:szCs w:val="24"/>
        </w:rPr>
        <w:t xml:space="preserve">3.5.7 </w:t>
      </w:r>
      <w:r>
        <w:rPr>
          <w:rFonts w:hint="eastAsia" w:ascii="宋体" w:hAnsi="宋体"/>
          <w:b/>
          <w:color w:val="auto"/>
          <w:sz w:val="24"/>
          <w:szCs w:val="24"/>
        </w:rPr>
        <w:t>价格磋商”条款。</w:t>
      </w:r>
    </w:p>
    <w:p>
      <w:pPr>
        <w:widowControl w:val="0"/>
        <w:snapToGrid w:val="0"/>
        <w:spacing w:line="400" w:lineRule="exact"/>
        <w:ind w:firstLine="480" w:firstLineChars="200"/>
        <w:jc w:val="left"/>
        <w:rPr>
          <w:rFonts w:ascii="宋体"/>
          <w:color w:val="auto"/>
          <w:sz w:val="24"/>
          <w:szCs w:val="24"/>
        </w:rPr>
      </w:pPr>
      <w:r>
        <w:rPr>
          <w:rFonts w:ascii="宋体" w:hAnsi="宋体"/>
          <w:color w:val="auto"/>
          <w:sz w:val="24"/>
          <w:szCs w:val="24"/>
        </w:rPr>
        <w:t xml:space="preserve">1.3.3 </w:t>
      </w:r>
      <w:r>
        <w:rPr>
          <w:rFonts w:hint="eastAsia" w:ascii="宋体" w:hAnsi="宋体"/>
          <w:color w:val="auto"/>
          <w:sz w:val="24"/>
          <w:szCs w:val="24"/>
        </w:rPr>
        <w:t>如投标人的投标报价未超过采购预算（见磋商公告</w:t>
      </w:r>
      <w:r>
        <w:rPr>
          <w:rFonts w:ascii="宋体" w:hAnsi="宋体"/>
          <w:color w:val="auto"/>
          <w:sz w:val="24"/>
          <w:szCs w:val="24"/>
        </w:rPr>
        <w:t>1.</w:t>
      </w:r>
      <w:r>
        <w:rPr>
          <w:rFonts w:hint="eastAsia" w:ascii="宋体" w:hAnsi="宋体"/>
          <w:color w:val="auto"/>
          <w:sz w:val="24"/>
          <w:szCs w:val="24"/>
        </w:rPr>
        <w:t>4）的供应商不足三家的，该标段做废标处理。</w:t>
      </w:r>
    </w:p>
    <w:p>
      <w:pPr>
        <w:widowControl w:val="0"/>
        <w:snapToGrid w:val="0"/>
        <w:spacing w:line="400" w:lineRule="exact"/>
        <w:ind w:firstLine="480" w:firstLineChars="200"/>
        <w:jc w:val="left"/>
        <w:rPr>
          <w:rFonts w:ascii="宋体"/>
          <w:color w:val="auto"/>
          <w:sz w:val="24"/>
          <w:szCs w:val="24"/>
        </w:rPr>
      </w:pPr>
      <w:r>
        <w:rPr>
          <w:rFonts w:ascii="宋体" w:hAnsi="宋体"/>
          <w:color w:val="auto"/>
          <w:sz w:val="24"/>
          <w:szCs w:val="24"/>
        </w:rPr>
        <w:t>1.3.4</w:t>
      </w:r>
      <w:r>
        <w:rPr>
          <w:rFonts w:hint="eastAsia" w:ascii="宋体" w:hAnsi="宋体"/>
          <w:color w:val="auto"/>
          <w:sz w:val="24"/>
          <w:szCs w:val="24"/>
        </w:rPr>
        <w:t>遵循第三章投标人须知</w:t>
      </w:r>
      <w:r>
        <w:rPr>
          <w:rFonts w:ascii="宋体" w:hAnsi="宋体"/>
          <w:color w:val="auto"/>
          <w:sz w:val="24"/>
          <w:szCs w:val="24"/>
        </w:rPr>
        <w:t>3.7.5</w:t>
      </w:r>
      <w:r>
        <w:rPr>
          <w:rFonts w:hint="eastAsia" w:ascii="宋体" w:hAnsi="宋体"/>
          <w:color w:val="auto"/>
          <w:sz w:val="24"/>
          <w:szCs w:val="24"/>
        </w:rPr>
        <w:t>项规定。</w:t>
      </w:r>
    </w:p>
    <w:p>
      <w:pPr>
        <w:spacing w:line="400" w:lineRule="exact"/>
        <w:outlineLvl w:val="1"/>
        <w:rPr>
          <w:rFonts w:ascii="黑体" w:hAnsi="黑体" w:eastAsia="黑体"/>
          <w:b/>
          <w:color w:val="auto"/>
          <w:sz w:val="28"/>
        </w:rPr>
      </w:pPr>
      <w:bookmarkStart w:id="6" w:name="_Toc26366085"/>
      <w:bookmarkStart w:id="7" w:name="_Toc14801"/>
      <w:r>
        <w:rPr>
          <w:rFonts w:ascii="黑体" w:hAnsi="黑体" w:eastAsia="黑体"/>
          <w:b/>
          <w:color w:val="auto"/>
          <w:sz w:val="28"/>
        </w:rPr>
        <w:t xml:space="preserve">2. </w:t>
      </w:r>
      <w:r>
        <w:rPr>
          <w:rFonts w:hint="eastAsia" w:ascii="黑体" w:hAnsi="黑体" w:eastAsia="黑体"/>
          <w:b/>
          <w:color w:val="auto"/>
          <w:sz w:val="28"/>
        </w:rPr>
        <w:t>标段内容（范围）及基本技术要求</w:t>
      </w:r>
      <w:bookmarkEnd w:id="6"/>
      <w:bookmarkEnd w:id="7"/>
    </w:p>
    <w:p>
      <w:pPr>
        <w:widowControl w:val="0"/>
        <w:snapToGrid w:val="0"/>
        <w:spacing w:line="400" w:lineRule="exact"/>
        <w:ind w:firstLine="241" w:firstLineChars="100"/>
        <w:jc w:val="left"/>
        <w:rPr>
          <w:rFonts w:ascii="宋体" w:hAnsi="宋体"/>
          <w:b/>
          <w:bCs/>
          <w:color w:val="auto"/>
          <w:sz w:val="24"/>
          <w:szCs w:val="24"/>
        </w:rPr>
      </w:pPr>
      <w:r>
        <w:rPr>
          <w:rFonts w:hint="eastAsia" w:ascii="宋体" w:hAnsi="宋体"/>
          <w:b/>
          <w:bCs/>
          <w:color w:val="auto"/>
          <w:sz w:val="24"/>
          <w:szCs w:val="24"/>
        </w:rPr>
        <w:t>2.1 总体技术（方案）要求及标段内容（范围）：详见下述2.4款</w:t>
      </w:r>
    </w:p>
    <w:p>
      <w:pPr>
        <w:widowControl w:val="0"/>
        <w:snapToGrid w:val="0"/>
        <w:spacing w:line="400" w:lineRule="exact"/>
        <w:ind w:firstLine="241" w:firstLineChars="100"/>
        <w:jc w:val="left"/>
        <w:rPr>
          <w:rFonts w:ascii="宋体" w:hAnsi="宋体"/>
          <w:b/>
          <w:bCs/>
          <w:color w:val="auto"/>
          <w:sz w:val="24"/>
          <w:szCs w:val="24"/>
        </w:rPr>
      </w:pPr>
      <w:r>
        <w:rPr>
          <w:rFonts w:hint="eastAsia" w:ascii="宋体" w:hAnsi="宋体"/>
          <w:b/>
          <w:bCs/>
          <w:color w:val="auto"/>
          <w:sz w:val="24"/>
          <w:szCs w:val="24"/>
        </w:rPr>
        <w:t xml:space="preserve">2.2 项目落实的政府采购政策（法规标准条款）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2.2.1 政府采购节能产品、环境标志产品实施品目清单管理后，对本次采购产属于“节能产品政府采购品目清单”中强制采购品目的，响应产品应当具有相应的认证证书（认证证书应当为国家确定的认证机构出具、且应处于有效期之内），响应文件中应当提供相应的认证证书（认证证书应当为国家确定的认证机构出具、且应处于有效期之内）。 </w:t>
      </w:r>
    </w:p>
    <w:p>
      <w:pPr>
        <w:widowControl w:val="0"/>
        <w:snapToGrid w:val="0"/>
        <w:spacing w:line="400" w:lineRule="exact"/>
        <w:jc w:val="left"/>
        <w:rPr>
          <w:rFonts w:ascii="宋体" w:hAnsi="宋体"/>
          <w:color w:val="auto"/>
          <w:sz w:val="24"/>
          <w:szCs w:val="24"/>
        </w:rPr>
      </w:pPr>
      <w:r>
        <w:rPr>
          <w:rFonts w:hint="eastAsia" w:ascii="宋体" w:hAnsi="宋体"/>
          <w:color w:val="auto"/>
          <w:sz w:val="24"/>
          <w:szCs w:val="24"/>
        </w:rPr>
        <w:t xml:space="preserve">属于政府强制采购品目、而未按要求提供相应资料的，为无效投标。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2.2.2 同等条件下，获得节能产品认证证书或环境标志产品认证证书的产品或贫困地区产品优先采购。认证证书应当为国家确定的认证机构出具、且应处于有效期之内。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2.2.3 本次采购不允许进口产品参加。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2.2.4 信息安全产品须通过国家信息安全认证中心认证，计算机产品须预装正版操作系统软件。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2.2.5 促进中小企业发展扶持政策：见第四章“评审办法”第 4 条。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2.2.6 促进残疾人就业、支持监狱企业发展：见第四章“评标办法”第 4 条。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2.2.7 所供产品有商品包装的应当使用绿色包装。所供产品有其他环保政策要求的，应符合相关环保法律政策要求。 </w:t>
      </w:r>
    </w:p>
    <w:p>
      <w:pPr>
        <w:widowControl w:val="0"/>
        <w:snapToGrid w:val="0"/>
        <w:spacing w:line="400" w:lineRule="exact"/>
        <w:ind w:firstLine="240" w:firstLineChars="100"/>
        <w:jc w:val="left"/>
        <w:rPr>
          <w:rFonts w:ascii="宋体" w:hAnsi="宋体"/>
          <w:color w:val="auto"/>
          <w:sz w:val="24"/>
          <w:szCs w:val="24"/>
        </w:rPr>
      </w:pPr>
      <w:r>
        <w:rPr>
          <w:rFonts w:hint="eastAsia" w:ascii="宋体" w:hAnsi="宋体"/>
          <w:color w:val="auto"/>
          <w:sz w:val="24"/>
          <w:szCs w:val="24"/>
        </w:rPr>
        <w:t xml:space="preserve">2.2.8 支持绿色建筑、绿色建材，支持不发达、少数民族地区的企业，促进自主创新产业发展，支持脱贫攻坚等；同等条件下，优先采购。 </w:t>
      </w:r>
    </w:p>
    <w:p>
      <w:pPr>
        <w:spacing w:line="400" w:lineRule="exact"/>
        <w:ind w:firstLine="241" w:firstLineChars="100"/>
        <w:jc w:val="left"/>
      </w:pPr>
      <w:r>
        <w:rPr>
          <w:rFonts w:hint="eastAsia" w:ascii="黑体" w:hAnsi="宋体" w:eastAsia="黑体" w:cs="黑体"/>
          <w:b/>
          <w:bCs/>
          <w:sz w:val="24"/>
          <w:szCs w:val="24"/>
        </w:rPr>
        <w:t xml:space="preserve">2.3 采购标的需执行的国家相关标准、行业标准、地方标准或者其他标准、规范 </w:t>
      </w:r>
    </w:p>
    <w:p>
      <w:pPr>
        <w:spacing w:line="400" w:lineRule="exact"/>
        <w:ind w:firstLine="480" w:firstLineChars="200"/>
        <w:jc w:val="left"/>
      </w:pPr>
      <w:r>
        <w:rPr>
          <w:rFonts w:hint="eastAsia" w:ascii="宋体" w:hAnsi="宋体" w:cs="宋体"/>
          <w:sz w:val="24"/>
          <w:szCs w:val="24"/>
        </w:rPr>
        <w:t xml:space="preserve">供应商所报响应服务（及所涉货物材料设施）应符合国家质量标准、地方标准及行业规范的要求，符合国家各项强制性规范及安全标准，响应服务（及所涉货物材料设施）不应与第三方存在知识产权权属问题；供应商应本着服务客户、为客户着想的宗旨，来完善服务（及所涉货物材料设施）及技术要求未尽事宜，不得以《磋商文件》未列明事项为由，来降低响应服务（及所涉货物材料设施）的质量。 </w:t>
      </w:r>
    </w:p>
    <w:p>
      <w:pPr>
        <w:spacing w:line="400" w:lineRule="exact"/>
        <w:ind w:firstLine="241" w:firstLineChars="100"/>
        <w:jc w:val="left"/>
      </w:pPr>
      <w:r>
        <w:rPr>
          <w:rFonts w:hint="eastAsia" w:ascii="黑体" w:hAnsi="宋体" w:eastAsia="黑体" w:cs="黑体"/>
          <w:b/>
          <w:bCs/>
          <w:sz w:val="24"/>
          <w:szCs w:val="24"/>
        </w:rPr>
        <w:t>2.4 具体服务要求及标段（包）内容（范围）</w:t>
      </w:r>
    </w:p>
    <w:p>
      <w:pPr>
        <w:spacing w:line="360" w:lineRule="auto"/>
        <w:ind w:firstLine="480" w:firstLineChars="200"/>
        <w:rPr>
          <w:rFonts w:ascii="宋体" w:hAnsi="宋体" w:cs="宋体"/>
          <w:sz w:val="24"/>
          <w:szCs w:val="24"/>
        </w:rPr>
      </w:pPr>
      <w:r>
        <w:rPr>
          <w:rFonts w:hint="eastAsia" w:ascii="宋体" w:hAnsi="宋体" w:cs="宋体"/>
          <w:sz w:val="24"/>
          <w:szCs w:val="24"/>
        </w:rPr>
        <w:t>2.4.1 采购产品清单：（9件/套，共28套）</w:t>
      </w:r>
    </w:p>
    <w:tbl>
      <w:tblPr>
        <w:tblStyle w:val="24"/>
        <w:tblW w:w="8493" w:type="dxa"/>
        <w:tblInd w:w="96" w:type="dxa"/>
        <w:tblLayout w:type="autofit"/>
        <w:tblCellMar>
          <w:top w:w="0" w:type="dxa"/>
          <w:left w:w="108" w:type="dxa"/>
          <w:bottom w:w="0" w:type="dxa"/>
          <w:right w:w="108" w:type="dxa"/>
        </w:tblCellMar>
      </w:tblPr>
      <w:tblGrid>
        <w:gridCol w:w="1488"/>
        <w:gridCol w:w="3660"/>
        <w:gridCol w:w="1635"/>
        <w:gridCol w:w="1710"/>
      </w:tblGrid>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序号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产品名称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数量</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单位</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地埋篮球架</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副</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双位漫步机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三位扭腰器</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健骑机</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伸腰展背器</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大转轮上肢牵引器</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弹振压腿器</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后仰训练器</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r>
        <w:tblPrEx>
          <w:tblCellMar>
            <w:top w:w="0" w:type="dxa"/>
            <w:left w:w="108" w:type="dxa"/>
            <w:bottom w:w="0" w:type="dxa"/>
            <w:right w:w="108" w:type="dxa"/>
          </w:tblCellMar>
        </w:tblPrEx>
        <w:trPr>
          <w:trHeight w:val="312"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告示牌</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ascii="宋体" w:hAnsi="宋体" w:cs="宋体"/>
                <w:sz w:val="24"/>
                <w:szCs w:val="24"/>
              </w:rPr>
            </w:pPr>
            <w:r>
              <w:rPr>
                <w:rFonts w:hint="eastAsia" w:ascii="宋体" w:hAnsi="宋体" w:cs="宋体"/>
                <w:bCs/>
                <w:szCs w:val="21"/>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rPr>
                <w:rFonts w:ascii="宋体" w:hAnsi="宋体" w:cs="宋体"/>
                <w:sz w:val="24"/>
                <w:szCs w:val="24"/>
              </w:rPr>
            </w:pPr>
            <w:r>
              <w:rPr>
                <w:rFonts w:hint="eastAsia" w:ascii="宋体" w:hAnsi="宋体" w:cs="宋体"/>
                <w:sz w:val="24"/>
                <w:szCs w:val="24"/>
              </w:rPr>
              <w:t>件</w:t>
            </w:r>
          </w:p>
        </w:tc>
      </w:tr>
    </w:tbl>
    <w:p>
      <w:pPr>
        <w:spacing w:line="360" w:lineRule="auto"/>
        <w:ind w:firstLine="480" w:firstLineChars="200"/>
        <w:rPr>
          <w:rFonts w:hint="eastAsia" w:ascii="宋体" w:hAnsi="宋体" w:cs="宋体"/>
          <w:sz w:val="24"/>
          <w:szCs w:val="24"/>
        </w:rPr>
      </w:pPr>
    </w:p>
    <w:p>
      <w:pPr>
        <w:pStyle w:val="23"/>
        <w:rPr>
          <w:rFonts w:hint="eastAsia"/>
        </w:rPr>
      </w:pPr>
    </w:p>
    <w:p/>
    <w:p>
      <w:pPr>
        <w:spacing w:line="360" w:lineRule="auto"/>
        <w:ind w:firstLine="480" w:firstLineChars="200"/>
        <w:rPr>
          <w:rFonts w:ascii="宋体" w:hAnsi="宋体" w:cs="宋体"/>
          <w:sz w:val="24"/>
          <w:szCs w:val="24"/>
        </w:rPr>
      </w:pPr>
      <w:r>
        <w:rPr>
          <w:rFonts w:hint="eastAsia" w:ascii="宋体" w:hAnsi="宋体" w:cs="宋体"/>
          <w:sz w:val="24"/>
          <w:szCs w:val="24"/>
        </w:rPr>
        <w:t>2.4.2 基本参数：</w:t>
      </w:r>
    </w:p>
    <w:tbl>
      <w:tblPr>
        <w:tblStyle w:val="25"/>
        <w:tblW w:w="8886"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095"/>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tcPr>
          <w:p>
            <w:pPr>
              <w:jc w:val="left"/>
              <w:rPr>
                <w:rFonts w:ascii="宋体" w:hAnsi="宋体" w:cs="宋体"/>
                <w:szCs w:val="21"/>
              </w:rPr>
            </w:pPr>
            <w:r>
              <w:rPr>
                <w:rFonts w:hint="eastAsia" w:ascii="宋体" w:hAnsi="宋体" w:cs="宋体"/>
                <w:szCs w:val="21"/>
              </w:rPr>
              <w:t>序号</w:t>
            </w:r>
          </w:p>
        </w:tc>
        <w:tc>
          <w:tcPr>
            <w:tcW w:w="1095" w:type="dxa"/>
            <w:vAlign w:val="center"/>
          </w:tcPr>
          <w:p>
            <w:pPr>
              <w:jc w:val="left"/>
              <w:rPr>
                <w:rFonts w:ascii="宋体" w:hAnsi="宋体" w:cs="宋体"/>
                <w:szCs w:val="21"/>
              </w:rPr>
            </w:pPr>
            <w:r>
              <w:rPr>
                <w:rFonts w:hint="eastAsia" w:ascii="宋体" w:hAnsi="宋体" w:cs="宋体"/>
                <w:szCs w:val="21"/>
              </w:rPr>
              <w:t>产品名称</w:t>
            </w:r>
          </w:p>
        </w:tc>
        <w:tc>
          <w:tcPr>
            <w:tcW w:w="7382" w:type="dxa"/>
            <w:vAlign w:val="center"/>
          </w:tcPr>
          <w:p>
            <w:pPr>
              <w:ind w:firstLine="420" w:firstLineChars="200"/>
              <w:jc w:val="left"/>
              <w:rPr>
                <w:rFonts w:ascii="宋体" w:hAnsi="宋体" w:cs="宋体"/>
                <w:szCs w:val="21"/>
              </w:rPr>
            </w:pPr>
            <w:r>
              <w:rPr>
                <w:rFonts w:hint="eastAsia" w:ascii="宋体" w:hAnsi="宋体" w:cs="宋体"/>
                <w:szCs w:val="21"/>
              </w:rPr>
              <w:t>基本参数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1</w:t>
            </w:r>
          </w:p>
        </w:tc>
        <w:tc>
          <w:tcPr>
            <w:tcW w:w="1095" w:type="dxa"/>
            <w:vAlign w:val="center"/>
          </w:tcPr>
          <w:p>
            <w:pPr>
              <w:jc w:val="left"/>
              <w:rPr>
                <w:rFonts w:ascii="宋体" w:hAnsi="宋体" w:cs="宋体"/>
                <w:szCs w:val="21"/>
              </w:rPr>
            </w:pPr>
            <w:r>
              <w:rPr>
                <w:rFonts w:hint="eastAsia" w:ascii="宋体" w:hAnsi="宋体" w:cs="宋体"/>
                <w:szCs w:val="21"/>
              </w:rPr>
              <w:t>地埋篮球架</w:t>
            </w:r>
          </w:p>
        </w:tc>
        <w:tc>
          <w:tcPr>
            <w:tcW w:w="7382" w:type="dxa"/>
            <w:vAlign w:val="center"/>
          </w:tcPr>
          <w:p>
            <w:pPr>
              <w:jc w:val="left"/>
              <w:rPr>
                <w:rFonts w:ascii="宋体" w:hAnsi="宋体" w:cs="宋体"/>
                <w:szCs w:val="21"/>
              </w:rPr>
            </w:pPr>
            <w:r>
              <w:rPr>
                <w:rFonts w:hint="eastAsia" w:ascii="宋体" w:hAnsi="宋体" w:cs="宋体"/>
                <w:szCs w:val="21"/>
              </w:rPr>
              <w:t>1.立柱规格不小于φ165mm×4mm定制的优质圆钢管整体弯制而成；</w:t>
            </w:r>
          </w:p>
          <w:p>
            <w:pPr>
              <w:jc w:val="left"/>
              <w:rPr>
                <w:rFonts w:ascii="宋体" w:hAnsi="宋体" w:cs="宋体"/>
                <w:szCs w:val="21"/>
              </w:rPr>
            </w:pPr>
            <w:r>
              <w:rPr>
                <w:rFonts w:hint="eastAsia" w:ascii="宋体" w:hAnsi="宋体" w:cs="宋体"/>
                <w:szCs w:val="21"/>
              </w:rPr>
              <w:t>2.篮板符合GB 19272-2011中5.12.1.3的要求：篮板应选用GB19272-2011中5.12.1.3.2规定的1800mm×1050mm的矩形篮板（材质为SMC），篮板面板厚度为5mm，翻边宽度为50mm，翻边厚度为7.8mm，背面用“井”字形加强筋，加强筋厚度为不低于5mm； 篮板的质量应满足GB19272-2011中5.12.1.3.3条至5.12.1.3.6条的要求；矩形篮板背部连接有不少于5点的连接安装位置，且安装位置尺寸符合GB19272-2011的要求；</w:t>
            </w:r>
          </w:p>
          <w:p>
            <w:pPr>
              <w:jc w:val="left"/>
              <w:rPr>
                <w:rFonts w:ascii="宋体" w:hAnsi="宋体" w:cs="宋体"/>
                <w:szCs w:val="21"/>
              </w:rPr>
            </w:pPr>
            <w:r>
              <w:rPr>
                <w:rFonts w:hint="eastAsia" w:ascii="宋体" w:hAnsi="宋体" w:cs="宋体"/>
                <w:szCs w:val="21"/>
              </w:rPr>
              <w:t>3.具有调节篮板垂直度的结构：篮架上、下拉杆采用不小于Φ48mm×2.5mm优质钢管在弯管机上一次成型。通过调节上下拉杆可调节篮板的平面度和垂直度。 主立柱和伸臂间采用外径不小于φ60mm×2.5mm的优质钢管做斜撑加固；</w:t>
            </w:r>
          </w:p>
          <w:p>
            <w:pPr>
              <w:jc w:val="left"/>
              <w:rPr>
                <w:rFonts w:ascii="宋体" w:hAnsi="宋体" w:cs="宋体"/>
                <w:szCs w:val="21"/>
              </w:rPr>
            </w:pPr>
            <w:r>
              <w:rPr>
                <w:rFonts w:hint="eastAsia" w:ascii="宋体" w:hAnsi="宋体" w:cs="宋体"/>
                <w:szCs w:val="21"/>
              </w:rPr>
              <w:t>4.篮板投篮区背面应有不小于570mm×150mm×5mm的加强钢板；</w:t>
            </w:r>
          </w:p>
          <w:p>
            <w:pPr>
              <w:jc w:val="left"/>
              <w:rPr>
                <w:rFonts w:ascii="宋体" w:hAnsi="宋体" w:cs="宋体"/>
                <w:szCs w:val="21"/>
              </w:rPr>
            </w:pPr>
            <w:r>
              <w:rPr>
                <w:rFonts w:hint="eastAsia" w:ascii="宋体" w:hAnsi="宋体" w:cs="宋体"/>
                <w:szCs w:val="21"/>
              </w:rPr>
              <w:t>5.篮圈：优质圆钢，呈橙色，弹簧篮圈；</w:t>
            </w:r>
          </w:p>
          <w:p>
            <w:pPr>
              <w:jc w:val="left"/>
              <w:rPr>
                <w:rFonts w:ascii="宋体" w:hAnsi="宋体" w:cs="宋体"/>
                <w:szCs w:val="21"/>
              </w:rPr>
            </w:pPr>
            <w:r>
              <w:rPr>
                <w:rFonts w:hint="eastAsia" w:ascii="宋体" w:hAnsi="宋体" w:cs="宋体"/>
                <w:szCs w:val="21"/>
              </w:rPr>
              <w:t>6.固定方式：采用直埋式：安装技术参数：篮圈上沿距地面高度3050mm，悬臂长度1800mm；主要承载立柱采用直接埋入地下的结构，立柱埋入深度900mm，地埋尺寸800mm×800mm×1000mm。各连接部位采用螺栓、螺钉紧固，防松、防盗、防锈；</w:t>
            </w:r>
          </w:p>
          <w:p>
            <w:pPr>
              <w:jc w:val="left"/>
              <w:rPr>
                <w:rFonts w:ascii="宋体" w:hAnsi="宋体" w:cs="宋体"/>
                <w:szCs w:val="21"/>
              </w:rPr>
            </w:pPr>
            <w:r>
              <w:rPr>
                <w:rFonts w:hint="eastAsia" w:ascii="宋体" w:hAnsi="宋体" w:cs="宋体"/>
                <w:szCs w:val="21"/>
              </w:rPr>
              <w:t>7.表面处理工艺：脱脂-抛丸-静电喷涂；</w:t>
            </w:r>
          </w:p>
          <w:p>
            <w:pPr>
              <w:jc w:val="left"/>
              <w:rPr>
                <w:rFonts w:ascii="宋体" w:hAnsi="宋体" w:cs="宋体"/>
                <w:szCs w:val="21"/>
              </w:rPr>
            </w:pPr>
            <w:r>
              <w:rPr>
                <w:rFonts w:hint="eastAsia" w:ascii="宋体" w:hAnsi="宋体" w:cs="宋体"/>
                <w:szCs w:val="21"/>
              </w:rPr>
              <w:t>8.产品符合GB19272-2011（室外健身器材的安全 通用要求）相关标准要求并在项目公告日期前通过NSCC国体认证。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2</w:t>
            </w:r>
          </w:p>
        </w:tc>
        <w:tc>
          <w:tcPr>
            <w:tcW w:w="1095" w:type="dxa"/>
            <w:vAlign w:val="center"/>
          </w:tcPr>
          <w:p>
            <w:pPr>
              <w:jc w:val="left"/>
              <w:rPr>
                <w:rFonts w:ascii="宋体" w:hAnsi="宋体" w:cs="宋体"/>
                <w:szCs w:val="21"/>
              </w:rPr>
            </w:pPr>
            <w:r>
              <w:rPr>
                <w:rFonts w:hint="eastAsia" w:ascii="宋体" w:hAnsi="宋体" w:cs="宋体"/>
                <w:szCs w:val="21"/>
              </w:rPr>
              <w:t>双位漫步机</w:t>
            </w:r>
          </w:p>
        </w:tc>
        <w:tc>
          <w:tcPr>
            <w:tcW w:w="7382" w:type="dxa"/>
            <w:vAlign w:val="center"/>
          </w:tcPr>
          <w:p>
            <w:pPr>
              <w:jc w:val="left"/>
              <w:rPr>
                <w:rFonts w:ascii="宋体" w:hAnsi="宋体" w:cs="宋体"/>
                <w:szCs w:val="21"/>
              </w:rPr>
            </w:pPr>
            <w:r>
              <w:rPr>
                <w:rFonts w:hint="eastAsia" w:ascii="宋体" w:hAnsi="宋体" w:cs="宋体"/>
                <w:szCs w:val="21"/>
              </w:rPr>
              <w:t>1.主要承载立柱采用单一钢管，钢管直径不小于114mm，壁厚不小于3.0mm；</w:t>
            </w:r>
          </w:p>
          <w:p>
            <w:pPr>
              <w:jc w:val="left"/>
              <w:rPr>
                <w:rFonts w:ascii="宋体" w:hAnsi="宋体" w:cs="宋体"/>
                <w:szCs w:val="21"/>
              </w:rPr>
            </w:pPr>
            <w:r>
              <w:rPr>
                <w:rFonts w:hint="eastAsia" w:ascii="宋体" w:hAnsi="宋体" w:cs="宋体"/>
                <w:szCs w:val="21"/>
              </w:rPr>
              <w:t>2.摆杆应有可靠限位装置，且单侧摆动幅度不大于65°，摆杆选用不小于φ60mm×3mm或等强度规格的管材，扶手管材实际壁厚不小于2.5mm；</w:t>
            </w:r>
          </w:p>
          <w:p>
            <w:pPr>
              <w:jc w:val="left"/>
              <w:rPr>
                <w:rFonts w:ascii="宋体" w:hAnsi="宋体" w:cs="宋体"/>
                <w:szCs w:val="21"/>
              </w:rPr>
            </w:pPr>
            <w:r>
              <w:rPr>
                <w:rFonts w:hint="eastAsia" w:ascii="宋体" w:hAnsi="宋体" w:cs="宋体"/>
                <w:szCs w:val="21"/>
              </w:rPr>
              <w:t>3.手及手指剪切、挤压和卡夹活动部件与邻近的活动部件或固定部件之间的距离应不小于60mm；</w:t>
            </w:r>
          </w:p>
          <w:p>
            <w:pPr>
              <w:jc w:val="left"/>
              <w:rPr>
                <w:rFonts w:ascii="宋体" w:hAnsi="宋体" w:cs="宋体"/>
                <w:szCs w:val="21"/>
              </w:rPr>
            </w:pPr>
            <w:r>
              <w:rPr>
                <w:rFonts w:hint="eastAsia" w:ascii="宋体" w:hAnsi="宋体" w:cs="宋体"/>
                <w:szCs w:val="21"/>
              </w:rPr>
              <w:t>4.踏板的主运动方向和易滑脱方向应设置高度不小于30mm、长度大于踏板周长2/3的防滑脱的凸台或护板；凸台顶部棱边R弧应不小于2mm；</w:t>
            </w:r>
          </w:p>
          <w:p>
            <w:pPr>
              <w:jc w:val="left"/>
              <w:rPr>
                <w:rFonts w:ascii="宋体" w:hAnsi="宋体" w:cs="宋体"/>
                <w:szCs w:val="21"/>
              </w:rPr>
            </w:pPr>
            <w:r>
              <w:rPr>
                <w:rFonts w:hint="eastAsia" w:ascii="宋体" w:hAnsi="宋体" w:cs="宋体"/>
                <w:szCs w:val="21"/>
              </w:rPr>
              <w:t>5.脚踏部位应有防滑措施，站立使用的单脚防滑面应不小于（3×10000  ）mm²，摩擦系数应不小于0.5；</w:t>
            </w:r>
          </w:p>
          <w:p>
            <w:pPr>
              <w:jc w:val="left"/>
              <w:rPr>
                <w:rFonts w:ascii="宋体" w:hAnsi="宋体" w:cs="宋体"/>
                <w:szCs w:val="21"/>
              </w:rPr>
            </w:pPr>
            <w:r>
              <w:rPr>
                <w:rFonts w:hint="eastAsia" w:ascii="宋体" w:hAnsi="宋体" w:cs="宋体"/>
                <w:szCs w:val="21"/>
              </w:rPr>
              <w:t>6.摆动部件下缘距地面或底面最小高度应不小于80mm；</w:t>
            </w:r>
          </w:p>
          <w:p>
            <w:pPr>
              <w:jc w:val="left"/>
              <w:rPr>
                <w:rFonts w:ascii="宋体" w:hAnsi="宋体" w:cs="宋体"/>
                <w:szCs w:val="21"/>
              </w:rPr>
            </w:pPr>
            <w:r>
              <w:rPr>
                <w:rFonts w:hint="eastAsia" w:ascii="宋体" w:hAnsi="宋体" w:cs="宋体"/>
                <w:szCs w:val="21"/>
              </w:rPr>
              <w:t>7.相邻运动的两踏板的间距应不小于100mm；转轴直径不小于30mm并辅以调质热处理，轴承座最薄处壁厚不小于6mm，轴承选用不小于6206承载能力的深沟球轴；</w:t>
            </w:r>
          </w:p>
          <w:p>
            <w:pPr>
              <w:jc w:val="left"/>
              <w:rPr>
                <w:rFonts w:ascii="宋体" w:hAnsi="宋体" w:cs="宋体"/>
                <w:szCs w:val="21"/>
              </w:rPr>
            </w:pPr>
            <w:r>
              <w:rPr>
                <w:rFonts w:hint="eastAsia" w:ascii="宋体" w:hAnsi="宋体" w:cs="宋体"/>
                <w:szCs w:val="21"/>
              </w:rPr>
              <w:t>8.踏板前后应采取防止碰撞第三者的缓冲措施；</w:t>
            </w:r>
          </w:p>
          <w:p>
            <w:pPr>
              <w:jc w:val="left"/>
              <w:rPr>
                <w:rFonts w:ascii="宋体" w:hAnsi="宋体" w:cs="宋体"/>
                <w:szCs w:val="21"/>
              </w:rPr>
            </w:pPr>
            <w:r>
              <w:rPr>
                <w:rFonts w:hint="eastAsia" w:ascii="宋体" w:hAnsi="宋体" w:cs="宋体"/>
                <w:szCs w:val="21"/>
              </w:rPr>
              <w:t>9.不存在衣服、头发钩挂或缠绕结构，不应有易接近且与使用功能无关的突出物；</w:t>
            </w:r>
          </w:p>
          <w:p>
            <w:pPr>
              <w:jc w:val="left"/>
              <w:rPr>
                <w:rFonts w:ascii="宋体" w:hAnsi="宋体" w:cs="宋体"/>
                <w:szCs w:val="21"/>
              </w:rPr>
            </w:pPr>
            <w:r>
              <w:rPr>
                <w:rFonts w:hint="eastAsia" w:ascii="宋体" w:hAnsi="宋体" w:cs="宋体"/>
                <w:szCs w:val="21"/>
              </w:rPr>
              <w:t>10.器材各部位螺钉、螺母等紧固件紧固可靠且防锈、防松和防盗。</w:t>
            </w:r>
          </w:p>
          <w:p>
            <w:pPr>
              <w:jc w:val="left"/>
              <w:rPr>
                <w:rFonts w:ascii="宋体" w:hAnsi="宋体" w:cs="宋体"/>
                <w:szCs w:val="21"/>
              </w:rPr>
            </w:pPr>
            <w:r>
              <w:rPr>
                <w:rFonts w:hint="eastAsia" w:ascii="宋体" w:hAnsi="宋体" w:cs="宋体"/>
                <w:szCs w:val="21"/>
              </w:rPr>
              <w:t>11.产品符合GB19272-2011（室外健身器材的安全 通用要求）相关标准要求并在项目公告前通过NSCC国体认证。</w:t>
            </w:r>
          </w:p>
          <w:p>
            <w:pPr>
              <w:jc w:val="left"/>
              <w:rPr>
                <w:rFonts w:ascii="宋体" w:hAnsi="宋体" w:cs="宋体"/>
                <w:szCs w:val="21"/>
              </w:rPr>
            </w:pPr>
            <w:r>
              <w:rPr>
                <w:rFonts w:hint="eastAsia" w:ascii="宋体" w:hAnsi="宋体" w:cs="宋体"/>
                <w:szCs w:val="21"/>
              </w:rPr>
              <w:t>12.主要功能：器材为2站位，可供二人同时使用，增强下肢的活动能力，提高身体的协调性、平衡能力和有氧能力。</w:t>
            </w:r>
          </w:p>
          <w:p>
            <w:pPr>
              <w:jc w:val="left"/>
              <w:rPr>
                <w:rFonts w:ascii="宋体" w:hAnsi="宋体" w:cs="宋体"/>
                <w:szCs w:val="21"/>
              </w:rPr>
            </w:pPr>
            <w:r>
              <w:rPr>
                <w:rFonts w:hint="eastAsia" w:ascii="宋体" w:hAnsi="宋体" w:cs="宋体"/>
                <w:szCs w:val="21"/>
              </w:rPr>
              <w:t>13.锻炼方法：握住扶手，双脚站在踏板上前后交替做漫步动作。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3</w:t>
            </w:r>
          </w:p>
        </w:tc>
        <w:tc>
          <w:tcPr>
            <w:tcW w:w="1095" w:type="dxa"/>
            <w:vAlign w:val="center"/>
          </w:tcPr>
          <w:p>
            <w:pPr>
              <w:jc w:val="left"/>
              <w:rPr>
                <w:rFonts w:ascii="宋体" w:hAnsi="宋体" w:cs="宋体"/>
                <w:szCs w:val="21"/>
              </w:rPr>
            </w:pPr>
            <w:r>
              <w:rPr>
                <w:rFonts w:hint="eastAsia" w:ascii="宋体" w:hAnsi="宋体" w:cs="宋体"/>
                <w:szCs w:val="21"/>
              </w:rPr>
              <w:t>三位扭腰器</w:t>
            </w:r>
          </w:p>
        </w:tc>
        <w:tc>
          <w:tcPr>
            <w:tcW w:w="7382" w:type="dxa"/>
            <w:vAlign w:val="center"/>
          </w:tcPr>
          <w:p>
            <w:pPr>
              <w:jc w:val="left"/>
              <w:rPr>
                <w:rFonts w:ascii="宋体" w:hAnsi="宋体" w:cs="宋体"/>
                <w:szCs w:val="21"/>
              </w:rPr>
            </w:pPr>
            <w:r>
              <w:rPr>
                <w:rFonts w:hint="eastAsia" w:ascii="宋体" w:hAnsi="宋体" w:cs="宋体"/>
                <w:szCs w:val="21"/>
              </w:rPr>
              <w:t>1.主要承载立柱采用单一钢管，直径不小于114mm，钢管壁厚不小于3mm；</w:t>
            </w:r>
          </w:p>
          <w:p>
            <w:pPr>
              <w:jc w:val="left"/>
              <w:rPr>
                <w:rFonts w:ascii="宋体" w:hAnsi="宋体" w:cs="宋体"/>
                <w:szCs w:val="21"/>
              </w:rPr>
            </w:pPr>
            <w:r>
              <w:rPr>
                <w:rFonts w:hint="eastAsia" w:ascii="宋体" w:hAnsi="宋体" w:cs="宋体"/>
                <w:szCs w:val="21"/>
              </w:rPr>
              <w:t>2.主要承载横梁采用不小于φ32mm×2.3mm钢管或等强度管材；</w:t>
            </w:r>
          </w:p>
          <w:p>
            <w:pPr>
              <w:jc w:val="left"/>
              <w:rPr>
                <w:rFonts w:ascii="宋体" w:hAnsi="宋体" w:cs="宋体"/>
                <w:szCs w:val="21"/>
              </w:rPr>
            </w:pPr>
            <w:r>
              <w:rPr>
                <w:rFonts w:hint="eastAsia" w:ascii="宋体" w:hAnsi="宋体" w:cs="宋体"/>
                <w:szCs w:val="21"/>
              </w:rPr>
              <w:t xml:space="preserve">3.转动部位采用深沟球轴承+推力球轴承；深沟球轴承选用6205承载能力的深沟球轴；推力球轴承选用30205承载能力的圆锥柱推力球轴承； </w:t>
            </w:r>
          </w:p>
          <w:p>
            <w:pPr>
              <w:jc w:val="left"/>
              <w:rPr>
                <w:rFonts w:ascii="宋体" w:hAnsi="宋体" w:cs="宋体"/>
                <w:szCs w:val="21"/>
              </w:rPr>
            </w:pPr>
            <w:r>
              <w:rPr>
                <w:rFonts w:hint="eastAsia" w:ascii="宋体" w:hAnsi="宋体" w:cs="宋体"/>
                <w:szCs w:val="21"/>
              </w:rPr>
              <w:t>4.扭腰盘不应使用塑料材质；</w:t>
            </w:r>
          </w:p>
          <w:p>
            <w:pPr>
              <w:jc w:val="left"/>
              <w:rPr>
                <w:rFonts w:ascii="宋体" w:hAnsi="宋体" w:cs="宋体"/>
                <w:szCs w:val="21"/>
              </w:rPr>
            </w:pPr>
            <w:r>
              <w:rPr>
                <w:rFonts w:hint="eastAsia" w:ascii="宋体" w:hAnsi="宋体" w:cs="宋体"/>
                <w:szCs w:val="21"/>
              </w:rPr>
              <w:t>5.器材各支撑人体表面的所有棱边和尖角应使其半径不小于3.0mm，用于握持的支撑部位的横截面在任何方向上在16~45mm之间；</w:t>
            </w:r>
          </w:p>
          <w:p>
            <w:pPr>
              <w:jc w:val="left"/>
              <w:rPr>
                <w:rFonts w:ascii="宋体" w:hAnsi="宋体" w:cs="宋体"/>
                <w:szCs w:val="21"/>
              </w:rPr>
            </w:pPr>
            <w:r>
              <w:rPr>
                <w:rFonts w:hint="eastAsia" w:ascii="宋体" w:hAnsi="宋体" w:cs="宋体"/>
                <w:szCs w:val="21"/>
              </w:rPr>
              <w:t>6.脚或腿的卡夹活动部件底面与底面或其他部件的间距不小于80mm；</w:t>
            </w:r>
          </w:p>
          <w:p>
            <w:pPr>
              <w:jc w:val="left"/>
              <w:rPr>
                <w:rFonts w:ascii="宋体" w:hAnsi="宋体" w:cs="宋体"/>
                <w:szCs w:val="21"/>
              </w:rPr>
            </w:pPr>
            <w:r>
              <w:rPr>
                <w:rFonts w:hint="eastAsia" w:ascii="宋体" w:hAnsi="宋体" w:cs="宋体"/>
                <w:szCs w:val="21"/>
              </w:rPr>
              <w:t>7.脚踏部位有防滑措施，站立使用的单脚防滑面积不小于30000mm²，站立使用的防滑面摩擦摩擦系数不小于0.5；</w:t>
            </w:r>
          </w:p>
          <w:p>
            <w:pPr>
              <w:jc w:val="left"/>
              <w:rPr>
                <w:rFonts w:ascii="宋体" w:hAnsi="宋体" w:cs="宋体"/>
                <w:szCs w:val="21"/>
              </w:rPr>
            </w:pPr>
            <w:r>
              <w:rPr>
                <w:rFonts w:hint="eastAsia" w:ascii="宋体" w:hAnsi="宋体" w:cs="宋体"/>
                <w:szCs w:val="21"/>
              </w:rPr>
              <w:t>8.扭腰盘设置防止超速运转的阻尼装置；</w:t>
            </w:r>
          </w:p>
          <w:p>
            <w:pPr>
              <w:jc w:val="left"/>
              <w:rPr>
                <w:rFonts w:ascii="宋体" w:hAnsi="宋体" w:cs="宋体"/>
                <w:szCs w:val="21"/>
              </w:rPr>
            </w:pPr>
            <w:r>
              <w:rPr>
                <w:rFonts w:hint="eastAsia" w:ascii="宋体" w:hAnsi="宋体" w:cs="宋体"/>
                <w:szCs w:val="21"/>
              </w:rPr>
              <w:t>9.产品符合GB19272-2011（室外健身器材的安全 通用要求）相关标准要求并在项目公告前通过NSCC国体认证。</w:t>
            </w:r>
          </w:p>
          <w:p>
            <w:pPr>
              <w:jc w:val="left"/>
              <w:rPr>
                <w:rFonts w:ascii="宋体" w:hAnsi="宋体" w:cs="宋体"/>
                <w:szCs w:val="21"/>
              </w:rPr>
            </w:pPr>
            <w:r>
              <w:rPr>
                <w:rFonts w:hint="eastAsia" w:ascii="宋体" w:hAnsi="宋体" w:cs="宋体"/>
                <w:szCs w:val="21"/>
              </w:rPr>
              <w:t>10.主要功能：器材为3站位，可供三人同时使用，主要锻炼腰、髋部，增强腰部的灵活性和柔韧性。</w:t>
            </w:r>
          </w:p>
          <w:p>
            <w:pPr>
              <w:jc w:val="left"/>
              <w:rPr>
                <w:rFonts w:ascii="宋体" w:hAnsi="宋体" w:cs="宋体"/>
                <w:szCs w:val="21"/>
              </w:rPr>
            </w:pPr>
            <w:r>
              <w:rPr>
                <w:rFonts w:hint="eastAsia" w:ascii="宋体" w:hAnsi="宋体" w:cs="宋体"/>
                <w:szCs w:val="21"/>
              </w:rPr>
              <w:t>11.锻炼方法：双手握住环形扶手，站在扭腰盘上，扭动腰部使扭腰盘转动。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4</w:t>
            </w:r>
          </w:p>
        </w:tc>
        <w:tc>
          <w:tcPr>
            <w:tcW w:w="1095" w:type="dxa"/>
            <w:vAlign w:val="center"/>
          </w:tcPr>
          <w:p>
            <w:pPr>
              <w:jc w:val="left"/>
              <w:rPr>
                <w:rFonts w:ascii="宋体" w:hAnsi="宋体" w:cs="宋体"/>
                <w:szCs w:val="21"/>
              </w:rPr>
            </w:pPr>
            <w:r>
              <w:rPr>
                <w:rFonts w:hint="eastAsia" w:ascii="宋体" w:hAnsi="宋体" w:cs="宋体"/>
                <w:szCs w:val="21"/>
              </w:rPr>
              <w:t>健骑机</w:t>
            </w:r>
          </w:p>
        </w:tc>
        <w:tc>
          <w:tcPr>
            <w:tcW w:w="7382" w:type="dxa"/>
            <w:vAlign w:val="center"/>
          </w:tcPr>
          <w:p>
            <w:pPr>
              <w:jc w:val="left"/>
              <w:rPr>
                <w:rFonts w:ascii="宋体" w:hAnsi="宋体" w:cs="宋体"/>
                <w:szCs w:val="21"/>
              </w:rPr>
            </w:pPr>
            <w:r>
              <w:rPr>
                <w:rFonts w:hint="eastAsia" w:ascii="宋体" w:hAnsi="宋体" w:cs="宋体"/>
                <w:szCs w:val="21"/>
              </w:rPr>
              <w:t>1.主要承载立柱采用单一钢管，钢管直径不小于114mm，壁厚不小于3.0mm；</w:t>
            </w:r>
          </w:p>
          <w:p>
            <w:pPr>
              <w:jc w:val="left"/>
              <w:rPr>
                <w:rFonts w:ascii="宋体" w:hAnsi="宋体" w:cs="宋体"/>
                <w:szCs w:val="21"/>
              </w:rPr>
            </w:pPr>
            <w:r>
              <w:rPr>
                <w:rFonts w:hint="eastAsia" w:ascii="宋体" w:hAnsi="宋体" w:cs="宋体"/>
                <w:szCs w:val="21"/>
              </w:rPr>
              <w:t>2.主要承载横梁采用不小于φ42mm×3.0mm钢管或等强度管材；</w:t>
            </w:r>
          </w:p>
          <w:p>
            <w:pPr>
              <w:jc w:val="left"/>
              <w:rPr>
                <w:rFonts w:ascii="宋体" w:hAnsi="宋体" w:cs="宋体"/>
                <w:szCs w:val="21"/>
              </w:rPr>
            </w:pPr>
            <w:r>
              <w:rPr>
                <w:rFonts w:hint="eastAsia" w:ascii="宋体" w:hAnsi="宋体" w:cs="宋体"/>
                <w:szCs w:val="21"/>
              </w:rPr>
              <w:t>3.转轴直径不小于φ25mm，经调质热处理，使组织均匀，消除内应力，增加韧度和抗弯性，不易断裂。</w:t>
            </w:r>
            <w:r>
              <w:rPr>
                <w:rFonts w:hint="eastAsia" w:ascii="宋体" w:hAnsi="宋体" w:cs="宋体"/>
                <w:szCs w:val="21"/>
              </w:rPr>
              <w:tab/>
            </w:r>
          </w:p>
          <w:p>
            <w:pPr>
              <w:jc w:val="left"/>
              <w:rPr>
                <w:rFonts w:ascii="宋体" w:hAnsi="宋体" w:cs="宋体"/>
                <w:szCs w:val="21"/>
              </w:rPr>
            </w:pPr>
            <w:r>
              <w:rPr>
                <w:rFonts w:hint="eastAsia" w:ascii="宋体" w:hAnsi="宋体" w:cs="宋体"/>
                <w:szCs w:val="21"/>
              </w:rPr>
              <w:t>4.器材各支撑人体的表面所有棱边和尖角其半径不小于3.0mm，使用者或第三者易接触的零部件所有棱边予以圆滑过渡或加以防护；</w:t>
            </w:r>
          </w:p>
          <w:p>
            <w:pPr>
              <w:jc w:val="left"/>
              <w:rPr>
                <w:rFonts w:ascii="宋体" w:hAnsi="宋体" w:cs="宋体"/>
                <w:szCs w:val="21"/>
              </w:rPr>
            </w:pPr>
            <w:r>
              <w:rPr>
                <w:rFonts w:hint="eastAsia" w:ascii="宋体" w:hAnsi="宋体" w:cs="宋体"/>
                <w:szCs w:val="21"/>
              </w:rPr>
              <w:t>5.不存在衣服、头发钩挂或缠绕结构，不应有易接近且与使用功能无关的突出物；</w:t>
            </w:r>
          </w:p>
          <w:p>
            <w:pPr>
              <w:jc w:val="left"/>
              <w:rPr>
                <w:rFonts w:ascii="宋体" w:hAnsi="宋体" w:cs="宋体"/>
                <w:szCs w:val="21"/>
              </w:rPr>
            </w:pPr>
            <w:r>
              <w:rPr>
                <w:rFonts w:hint="eastAsia" w:ascii="宋体" w:hAnsi="宋体" w:cs="宋体"/>
                <w:szCs w:val="21"/>
              </w:rPr>
              <w:t>6.器材各部位螺钉、螺母等紧固件紧固可靠且防锈、防松和防盗。</w:t>
            </w:r>
          </w:p>
          <w:p>
            <w:pPr>
              <w:jc w:val="left"/>
              <w:rPr>
                <w:rFonts w:ascii="宋体" w:hAnsi="宋体" w:cs="宋体"/>
                <w:szCs w:val="21"/>
              </w:rPr>
            </w:pPr>
            <w:r>
              <w:rPr>
                <w:rFonts w:hint="eastAsia" w:ascii="宋体" w:hAnsi="宋体" w:cs="宋体"/>
                <w:szCs w:val="21"/>
              </w:rPr>
              <w:t>7.身体卡夹器材活动部件与地面可能挤压使用者身体时，则活动部件下底面距地面距离应不小于400mm；</w:t>
            </w:r>
          </w:p>
          <w:p>
            <w:pPr>
              <w:jc w:val="left"/>
              <w:rPr>
                <w:rFonts w:ascii="宋体" w:hAnsi="宋体" w:cs="宋体"/>
                <w:szCs w:val="21"/>
              </w:rPr>
            </w:pPr>
            <w:r>
              <w:rPr>
                <w:rFonts w:hint="eastAsia" w:ascii="宋体" w:hAnsi="宋体" w:cs="宋体"/>
                <w:szCs w:val="21"/>
              </w:rPr>
              <w:t>8.脚或腿的卡夹活动部件底面与地面或其他部件的间距应不小于80mm；</w:t>
            </w:r>
          </w:p>
          <w:p>
            <w:pPr>
              <w:jc w:val="left"/>
              <w:rPr>
                <w:rFonts w:ascii="宋体" w:hAnsi="宋体" w:cs="宋体"/>
                <w:szCs w:val="21"/>
              </w:rPr>
            </w:pPr>
            <w:r>
              <w:rPr>
                <w:rFonts w:hint="eastAsia" w:ascii="宋体" w:hAnsi="宋体" w:cs="宋体"/>
                <w:szCs w:val="21"/>
              </w:rPr>
              <w:t>9.手及手指剪切、挤压和卡夹活动部件与邻近的活动部件或固定部件之间的距离应不小于60mm；</w:t>
            </w:r>
          </w:p>
          <w:p>
            <w:pPr>
              <w:jc w:val="left"/>
              <w:rPr>
                <w:rFonts w:ascii="宋体" w:hAnsi="宋体" w:cs="宋体"/>
                <w:szCs w:val="21"/>
              </w:rPr>
            </w:pPr>
            <w:r>
              <w:rPr>
                <w:rFonts w:hint="eastAsia" w:ascii="宋体" w:hAnsi="宋体" w:cs="宋体"/>
                <w:szCs w:val="21"/>
              </w:rPr>
              <w:t>10.运动幅度过大的器材应有限位装置；</w:t>
            </w:r>
          </w:p>
          <w:p>
            <w:pPr>
              <w:jc w:val="left"/>
              <w:rPr>
                <w:rFonts w:ascii="宋体" w:hAnsi="宋体" w:cs="宋体"/>
                <w:szCs w:val="21"/>
              </w:rPr>
            </w:pPr>
            <w:r>
              <w:rPr>
                <w:rFonts w:hint="eastAsia" w:ascii="宋体" w:hAnsi="宋体" w:cs="宋体"/>
                <w:szCs w:val="21"/>
              </w:rPr>
              <w:t>11.脚踏位应有防滑措施；</w:t>
            </w:r>
          </w:p>
          <w:p>
            <w:pPr>
              <w:jc w:val="left"/>
              <w:rPr>
                <w:rFonts w:ascii="宋体" w:hAnsi="宋体" w:cs="宋体"/>
                <w:szCs w:val="21"/>
              </w:rPr>
            </w:pPr>
            <w:r>
              <w:rPr>
                <w:rFonts w:hint="eastAsia" w:ascii="宋体" w:hAnsi="宋体" w:cs="宋体"/>
                <w:szCs w:val="21"/>
              </w:rPr>
              <w:t>12.产品符合GB19272-2011（室外健身器材的安全 通用要求）相关标准要求并在项目公告前通过NSCC国体认证。</w:t>
            </w:r>
          </w:p>
          <w:p>
            <w:pPr>
              <w:jc w:val="left"/>
              <w:rPr>
                <w:rFonts w:ascii="宋体" w:hAnsi="宋体" w:cs="宋体"/>
                <w:szCs w:val="21"/>
              </w:rPr>
            </w:pPr>
            <w:r>
              <w:rPr>
                <w:rFonts w:hint="eastAsia" w:ascii="宋体" w:hAnsi="宋体" w:cs="宋体"/>
                <w:szCs w:val="21"/>
              </w:rPr>
              <w:t>13.主要功能：锻炼腿部及胸部肌群，使四肢得到充分运动，增强心肺功能。</w:t>
            </w:r>
          </w:p>
          <w:p>
            <w:pPr>
              <w:jc w:val="left"/>
              <w:rPr>
                <w:rFonts w:ascii="宋体" w:hAnsi="宋体" w:cs="宋体"/>
                <w:szCs w:val="21"/>
              </w:rPr>
            </w:pPr>
            <w:r>
              <w:rPr>
                <w:rFonts w:hint="eastAsia" w:ascii="宋体" w:hAnsi="宋体" w:cs="宋体"/>
                <w:szCs w:val="21"/>
              </w:rPr>
              <w:t>14.锻炼方法：握住扶手，双脚站在踏板上前后交替运动。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5</w:t>
            </w:r>
          </w:p>
        </w:tc>
        <w:tc>
          <w:tcPr>
            <w:tcW w:w="1095" w:type="dxa"/>
            <w:vAlign w:val="center"/>
          </w:tcPr>
          <w:p>
            <w:pPr>
              <w:jc w:val="left"/>
              <w:rPr>
                <w:rFonts w:ascii="宋体" w:hAnsi="宋体" w:cs="宋体"/>
                <w:szCs w:val="21"/>
              </w:rPr>
            </w:pPr>
            <w:r>
              <w:rPr>
                <w:rFonts w:hint="eastAsia" w:ascii="宋体" w:hAnsi="宋体" w:cs="宋体"/>
                <w:szCs w:val="21"/>
              </w:rPr>
              <w:t>伸腰展背器</w:t>
            </w:r>
          </w:p>
        </w:tc>
        <w:tc>
          <w:tcPr>
            <w:tcW w:w="7382" w:type="dxa"/>
            <w:vAlign w:val="center"/>
          </w:tcPr>
          <w:p>
            <w:pPr>
              <w:jc w:val="left"/>
              <w:rPr>
                <w:rFonts w:ascii="宋体" w:hAnsi="宋体" w:cs="宋体"/>
                <w:szCs w:val="21"/>
              </w:rPr>
            </w:pPr>
            <w:r>
              <w:rPr>
                <w:rFonts w:hint="eastAsia" w:ascii="宋体" w:hAnsi="宋体" w:cs="宋体"/>
                <w:szCs w:val="21"/>
              </w:rPr>
              <w:t>1.主要承载立柱采用单一钢管，直径不小于114mm，钢管壁厚不小于3mm；</w:t>
            </w:r>
          </w:p>
          <w:p>
            <w:pPr>
              <w:jc w:val="left"/>
              <w:rPr>
                <w:rFonts w:ascii="宋体" w:hAnsi="宋体" w:cs="宋体"/>
                <w:szCs w:val="21"/>
              </w:rPr>
            </w:pPr>
            <w:r>
              <w:rPr>
                <w:rFonts w:hint="eastAsia" w:ascii="宋体" w:hAnsi="宋体" w:cs="宋体"/>
                <w:szCs w:val="21"/>
              </w:rPr>
              <w:t>2.主要承载横梁尺寸不小于40mm×40mm×3.0mm或等强度管材；</w:t>
            </w:r>
          </w:p>
          <w:p>
            <w:pPr>
              <w:jc w:val="left"/>
              <w:rPr>
                <w:rFonts w:ascii="宋体" w:hAnsi="宋体" w:cs="宋体"/>
                <w:szCs w:val="21"/>
              </w:rPr>
            </w:pPr>
            <w:r>
              <w:rPr>
                <w:rFonts w:hint="eastAsia" w:ascii="宋体" w:hAnsi="宋体" w:cs="宋体"/>
                <w:szCs w:val="21"/>
              </w:rPr>
              <w:t>3.用于抓紧的支撑部位的厚度不大于60mm；</w:t>
            </w:r>
          </w:p>
          <w:p>
            <w:pPr>
              <w:jc w:val="left"/>
              <w:rPr>
                <w:rFonts w:ascii="宋体" w:hAnsi="宋体" w:cs="宋体"/>
                <w:szCs w:val="21"/>
              </w:rPr>
            </w:pPr>
            <w:r>
              <w:rPr>
                <w:rFonts w:hint="eastAsia" w:ascii="宋体" w:hAnsi="宋体" w:cs="宋体"/>
                <w:szCs w:val="21"/>
              </w:rPr>
              <w:t>4.靠背采取整体式板面，并设置符合人体工学按摩点。</w:t>
            </w:r>
          </w:p>
          <w:p>
            <w:pPr>
              <w:jc w:val="left"/>
              <w:rPr>
                <w:rFonts w:ascii="宋体" w:hAnsi="宋体" w:cs="宋体"/>
                <w:szCs w:val="21"/>
              </w:rPr>
            </w:pPr>
            <w:r>
              <w:rPr>
                <w:rFonts w:hint="eastAsia" w:ascii="宋体" w:hAnsi="宋体" w:cs="宋体"/>
                <w:szCs w:val="21"/>
              </w:rPr>
              <w:t>5.器材各支撑人体的表面所有棱边和尖角其半径不小于3.0mm，使用者或第三者易接触的零部件所有棱边予以圆滑过渡或加以防护；</w:t>
            </w:r>
          </w:p>
          <w:p>
            <w:pPr>
              <w:jc w:val="left"/>
              <w:rPr>
                <w:rFonts w:ascii="宋体" w:hAnsi="宋体" w:cs="宋体"/>
                <w:szCs w:val="21"/>
              </w:rPr>
            </w:pPr>
            <w:r>
              <w:rPr>
                <w:rFonts w:hint="eastAsia" w:ascii="宋体" w:hAnsi="宋体" w:cs="宋体"/>
                <w:szCs w:val="21"/>
              </w:rPr>
              <w:t>6.不存在衣服、头发钩挂或缠绕结构，不应有易接近且与使用功能无关的突出物；</w:t>
            </w:r>
          </w:p>
          <w:p>
            <w:pPr>
              <w:jc w:val="left"/>
              <w:rPr>
                <w:rFonts w:ascii="宋体" w:hAnsi="宋体" w:cs="宋体"/>
                <w:szCs w:val="21"/>
              </w:rPr>
            </w:pPr>
            <w:r>
              <w:rPr>
                <w:rFonts w:hint="eastAsia" w:ascii="宋体" w:hAnsi="宋体" w:cs="宋体"/>
                <w:szCs w:val="21"/>
              </w:rPr>
              <w:t>7.器材各部位螺钉、螺母等紧固件紧固可靠且防锈、防松和防盗；</w:t>
            </w:r>
          </w:p>
          <w:p>
            <w:pPr>
              <w:jc w:val="left"/>
              <w:rPr>
                <w:rFonts w:ascii="宋体" w:hAnsi="宋体" w:cs="宋体"/>
                <w:szCs w:val="21"/>
              </w:rPr>
            </w:pPr>
            <w:r>
              <w:rPr>
                <w:rFonts w:hint="eastAsia" w:ascii="宋体" w:hAnsi="宋体" w:cs="宋体"/>
                <w:szCs w:val="21"/>
              </w:rPr>
              <w:t>8.头、颈卡夹完全闭合开口经检验符合标准要求；</w:t>
            </w:r>
          </w:p>
          <w:p>
            <w:pPr>
              <w:jc w:val="left"/>
              <w:rPr>
                <w:rFonts w:ascii="宋体" w:hAnsi="宋体" w:cs="宋体"/>
                <w:szCs w:val="21"/>
              </w:rPr>
            </w:pPr>
            <w:r>
              <w:rPr>
                <w:rFonts w:hint="eastAsia" w:ascii="宋体" w:hAnsi="宋体" w:cs="宋体"/>
                <w:szCs w:val="21"/>
              </w:rPr>
              <w:t>9.产品符合GB19272-2011（室外健身器材的安全 通用要求）相关标准要求并在本项目公告日期前通过NSCC国体认证。</w:t>
            </w:r>
          </w:p>
          <w:p>
            <w:pPr>
              <w:jc w:val="left"/>
              <w:rPr>
                <w:rFonts w:ascii="宋体" w:hAnsi="宋体" w:cs="宋体"/>
                <w:szCs w:val="21"/>
              </w:rPr>
            </w:pPr>
            <w:r>
              <w:rPr>
                <w:rFonts w:hint="eastAsia" w:ascii="宋体" w:hAnsi="宋体" w:cs="宋体"/>
                <w:szCs w:val="21"/>
              </w:rPr>
              <w:t>10.主要功能：器材为2站位，可供两人同时使用，锻炼臂力、躯干肌肉及身体的协调性和平衡性。</w:t>
            </w:r>
          </w:p>
          <w:p>
            <w:pPr>
              <w:jc w:val="left"/>
              <w:rPr>
                <w:rFonts w:ascii="宋体" w:hAnsi="宋体" w:cs="宋体"/>
                <w:szCs w:val="21"/>
              </w:rPr>
            </w:pPr>
            <w:r>
              <w:rPr>
                <w:rFonts w:hint="eastAsia" w:ascii="宋体" w:hAnsi="宋体" w:cs="宋体"/>
                <w:szCs w:val="21"/>
              </w:rPr>
              <w:t>11.锻炼方法：握紧扶手，背靠弧形板，上体后仰，向后做伸展运动。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6</w:t>
            </w:r>
          </w:p>
        </w:tc>
        <w:tc>
          <w:tcPr>
            <w:tcW w:w="1095" w:type="dxa"/>
            <w:vAlign w:val="center"/>
          </w:tcPr>
          <w:p>
            <w:pPr>
              <w:jc w:val="left"/>
              <w:rPr>
                <w:rFonts w:ascii="宋体" w:hAnsi="宋体" w:cs="宋体"/>
                <w:szCs w:val="21"/>
              </w:rPr>
            </w:pPr>
            <w:r>
              <w:rPr>
                <w:rFonts w:hint="eastAsia" w:ascii="宋体" w:hAnsi="宋体" w:cs="宋体"/>
                <w:szCs w:val="21"/>
              </w:rPr>
              <w:t>大转轮上肢牵引器</w:t>
            </w:r>
          </w:p>
        </w:tc>
        <w:tc>
          <w:tcPr>
            <w:tcW w:w="7382" w:type="dxa"/>
            <w:vAlign w:val="center"/>
          </w:tcPr>
          <w:p>
            <w:pPr>
              <w:jc w:val="left"/>
              <w:rPr>
                <w:rFonts w:ascii="宋体" w:hAnsi="宋体" w:cs="宋体"/>
                <w:szCs w:val="21"/>
              </w:rPr>
            </w:pPr>
            <w:r>
              <w:rPr>
                <w:rFonts w:hint="eastAsia" w:ascii="宋体" w:hAnsi="宋体" w:cs="宋体"/>
                <w:szCs w:val="21"/>
              </w:rPr>
              <w:t>1.主要承载立柱采用单一钢管，钢管直径不小于114mm，壁厚不小于3.0mm；</w:t>
            </w:r>
          </w:p>
          <w:p>
            <w:pPr>
              <w:jc w:val="left"/>
              <w:rPr>
                <w:rFonts w:ascii="宋体" w:hAnsi="宋体" w:cs="宋体"/>
                <w:szCs w:val="21"/>
              </w:rPr>
            </w:pPr>
            <w:r>
              <w:rPr>
                <w:rFonts w:hint="eastAsia" w:ascii="宋体" w:hAnsi="宋体" w:cs="宋体"/>
                <w:szCs w:val="21"/>
              </w:rPr>
              <w:t>2.主要承载横梁不小于φ60mm×3.0mm钢管或等强度管材;</w:t>
            </w:r>
          </w:p>
          <w:p>
            <w:pPr>
              <w:jc w:val="left"/>
              <w:rPr>
                <w:rFonts w:ascii="宋体" w:hAnsi="宋体" w:cs="宋体"/>
                <w:szCs w:val="21"/>
              </w:rPr>
            </w:pPr>
            <w:r>
              <w:rPr>
                <w:rFonts w:hint="eastAsia" w:ascii="宋体" w:hAnsi="宋体" w:cs="宋体"/>
                <w:szCs w:val="21"/>
              </w:rPr>
              <w:t>3. 摆杆应有限位结构，摆杆运动至极限位置时，摆杆最低点与地面的距离应不小于1850mm。</w:t>
            </w:r>
          </w:p>
          <w:p>
            <w:pPr>
              <w:jc w:val="left"/>
              <w:rPr>
                <w:rFonts w:ascii="宋体" w:hAnsi="宋体" w:cs="宋体"/>
                <w:szCs w:val="21"/>
              </w:rPr>
            </w:pPr>
            <w:r>
              <w:rPr>
                <w:rFonts w:hint="eastAsia" w:ascii="宋体" w:hAnsi="宋体" w:cs="宋体"/>
                <w:szCs w:val="21"/>
              </w:rPr>
              <w:t>4.活动把手（不含柔性部件）质量不大于600g，且端部直径大于50mm；</w:t>
            </w:r>
          </w:p>
          <w:p>
            <w:pPr>
              <w:jc w:val="left"/>
              <w:rPr>
                <w:rFonts w:ascii="宋体" w:hAnsi="宋体" w:cs="宋体"/>
                <w:szCs w:val="21"/>
              </w:rPr>
            </w:pPr>
            <w:r>
              <w:rPr>
                <w:rFonts w:hint="eastAsia" w:ascii="宋体" w:hAnsi="宋体" w:cs="宋体"/>
                <w:szCs w:val="21"/>
              </w:rPr>
              <w:t>5.采用转轮或转盘结构并具有符合人体生物学规律的阻尼装置；转轴直径φ25mm，选用6205深沟球轴承，并作防水、防尘密封，对轴承形成良好保护。</w:t>
            </w:r>
          </w:p>
          <w:p>
            <w:pPr>
              <w:jc w:val="left"/>
              <w:rPr>
                <w:rFonts w:ascii="宋体" w:hAnsi="宋体" w:cs="宋体"/>
                <w:szCs w:val="21"/>
              </w:rPr>
            </w:pPr>
            <w:r>
              <w:rPr>
                <w:rFonts w:hint="eastAsia" w:ascii="宋体" w:hAnsi="宋体" w:cs="宋体"/>
                <w:szCs w:val="21"/>
              </w:rPr>
              <w:t>6.头颈卡夹完全闭合开口按GB19272-2011标准中6.3.2.2.1检验，C型、E型试棒不应通过口，或D型试棒应通过；</w:t>
            </w:r>
          </w:p>
          <w:p>
            <w:pPr>
              <w:jc w:val="left"/>
              <w:rPr>
                <w:rFonts w:ascii="宋体" w:hAnsi="宋体" w:cs="宋体"/>
                <w:szCs w:val="21"/>
              </w:rPr>
            </w:pPr>
            <w:r>
              <w:rPr>
                <w:rFonts w:hint="eastAsia" w:ascii="宋体" w:hAnsi="宋体" w:cs="宋体"/>
                <w:szCs w:val="21"/>
              </w:rPr>
              <w:t>7. 器材各支撑人体的表面所有棱边和尖角其半径不小于3.0mm，使用者或第三者易接触的零部件所有棱边予以圆滑过渡或加以防护；</w:t>
            </w:r>
          </w:p>
          <w:p>
            <w:pPr>
              <w:jc w:val="left"/>
              <w:rPr>
                <w:rFonts w:ascii="宋体" w:hAnsi="宋体" w:cs="宋体"/>
                <w:szCs w:val="21"/>
              </w:rPr>
            </w:pPr>
            <w:r>
              <w:rPr>
                <w:rFonts w:hint="eastAsia" w:ascii="宋体" w:hAnsi="宋体" w:cs="宋体"/>
                <w:szCs w:val="21"/>
              </w:rPr>
              <w:t>8.不存在衣服、头发钩挂或缠绕结构，不应有易接近且与使用功能无关的突出物；</w:t>
            </w:r>
          </w:p>
          <w:p>
            <w:pPr>
              <w:jc w:val="left"/>
              <w:rPr>
                <w:rFonts w:ascii="宋体" w:hAnsi="宋体" w:cs="宋体"/>
                <w:szCs w:val="21"/>
              </w:rPr>
            </w:pPr>
            <w:r>
              <w:rPr>
                <w:rFonts w:hint="eastAsia" w:ascii="宋体" w:hAnsi="宋体" w:cs="宋体"/>
                <w:szCs w:val="21"/>
              </w:rPr>
              <w:t>9.器材各部位螺钉、螺母等紧固件紧固可靠且防锈、防松和防盗。</w:t>
            </w:r>
          </w:p>
          <w:p>
            <w:pPr>
              <w:jc w:val="left"/>
              <w:rPr>
                <w:rFonts w:ascii="宋体" w:hAnsi="宋体" w:cs="宋体"/>
                <w:szCs w:val="21"/>
              </w:rPr>
            </w:pPr>
            <w:r>
              <w:rPr>
                <w:rFonts w:hint="eastAsia" w:ascii="宋体" w:hAnsi="宋体" w:cs="宋体"/>
                <w:szCs w:val="21"/>
              </w:rPr>
              <w:t>10.产品符合GB19272-2011（室外健身器材的安全 通用要求）相关标准要求并在项目公告前通过NSCC国体认证。</w:t>
            </w:r>
          </w:p>
          <w:p>
            <w:pPr>
              <w:jc w:val="left"/>
              <w:rPr>
                <w:rFonts w:ascii="宋体" w:hAnsi="宋体" w:cs="宋体"/>
                <w:szCs w:val="21"/>
              </w:rPr>
            </w:pPr>
            <w:r>
              <w:rPr>
                <w:rFonts w:hint="eastAsia" w:ascii="宋体" w:hAnsi="宋体" w:cs="宋体"/>
                <w:szCs w:val="21"/>
              </w:rPr>
              <w:t>11.主要功能：本产品为一根立柱同时具备两种使用功能的组合型健身器，不接受拆开报价。器材为2站位，可同时供两人使用，同时兼备上肢牵引器和大转轮的双重锻炼功能；上肢牵引器可锻炼手腕、手臂肌肉，促进上肢灵活性；大转轮可锻炼肩、肘、髋、膝等部位的活动能力。</w:t>
            </w:r>
          </w:p>
          <w:p>
            <w:pPr>
              <w:jc w:val="left"/>
              <w:rPr>
                <w:rFonts w:ascii="宋体" w:hAnsi="宋体" w:cs="宋体"/>
                <w:szCs w:val="21"/>
              </w:rPr>
            </w:pPr>
            <w:r>
              <w:rPr>
                <w:rFonts w:hint="eastAsia" w:ascii="宋体" w:hAnsi="宋体" w:cs="宋体"/>
                <w:szCs w:val="21"/>
              </w:rPr>
              <w:t>12.锻炼方法：双手握住把手，双臂交替做拉伸动作；手握把手，双臂驱动轮盘转动，练习者顺势将身体翻转。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7</w:t>
            </w:r>
          </w:p>
        </w:tc>
        <w:tc>
          <w:tcPr>
            <w:tcW w:w="1095" w:type="dxa"/>
            <w:vAlign w:val="center"/>
          </w:tcPr>
          <w:p>
            <w:pPr>
              <w:jc w:val="left"/>
              <w:rPr>
                <w:rFonts w:ascii="宋体" w:hAnsi="宋体" w:cs="宋体"/>
                <w:szCs w:val="21"/>
              </w:rPr>
            </w:pPr>
            <w:r>
              <w:rPr>
                <w:rFonts w:hint="eastAsia" w:ascii="宋体" w:hAnsi="宋体" w:cs="宋体"/>
                <w:szCs w:val="21"/>
              </w:rPr>
              <w:t>弹振压腿器</w:t>
            </w:r>
          </w:p>
        </w:tc>
        <w:tc>
          <w:tcPr>
            <w:tcW w:w="7382" w:type="dxa"/>
            <w:vAlign w:val="center"/>
          </w:tcPr>
          <w:p>
            <w:pPr>
              <w:jc w:val="left"/>
              <w:rPr>
                <w:rFonts w:ascii="宋体" w:hAnsi="宋体" w:cs="宋体"/>
                <w:szCs w:val="21"/>
              </w:rPr>
            </w:pPr>
            <w:r>
              <w:rPr>
                <w:rFonts w:hint="eastAsia" w:ascii="宋体" w:hAnsi="宋体" w:cs="宋体"/>
                <w:szCs w:val="21"/>
              </w:rPr>
              <w:t>1.主要承载立柱不小于φ114mm×3.0mm优质钢管；</w:t>
            </w:r>
          </w:p>
          <w:p>
            <w:pPr>
              <w:jc w:val="left"/>
              <w:rPr>
                <w:rFonts w:ascii="宋体" w:hAnsi="宋体" w:cs="宋体"/>
                <w:szCs w:val="21"/>
              </w:rPr>
            </w:pPr>
            <w:r>
              <w:rPr>
                <w:rFonts w:hint="eastAsia" w:ascii="宋体" w:hAnsi="宋体" w:cs="宋体"/>
                <w:szCs w:val="21"/>
              </w:rPr>
              <w:t>2.主要承载横梁采用不小于φ38×3.0mm或等强度钢管；设置三个不同运动高度，必须满足三人同时使用；</w:t>
            </w:r>
          </w:p>
          <w:p>
            <w:pPr>
              <w:jc w:val="left"/>
              <w:rPr>
                <w:rFonts w:ascii="宋体" w:hAnsi="宋体" w:cs="宋体"/>
                <w:szCs w:val="21"/>
              </w:rPr>
            </w:pPr>
            <w:r>
              <w:rPr>
                <w:rFonts w:hint="eastAsia" w:ascii="宋体" w:hAnsi="宋体" w:cs="宋体"/>
                <w:szCs w:val="21"/>
              </w:rPr>
              <w:t>3.器材各支撑人体的表面所有棱边和尖角其半径不小于3.0mm，使用者或第三者易接触的零部件所有棱边予以圆滑过渡或加以防护；</w:t>
            </w:r>
          </w:p>
          <w:p>
            <w:pPr>
              <w:jc w:val="left"/>
              <w:rPr>
                <w:rFonts w:ascii="宋体" w:hAnsi="宋体" w:cs="宋体"/>
                <w:szCs w:val="21"/>
              </w:rPr>
            </w:pPr>
            <w:r>
              <w:rPr>
                <w:rFonts w:hint="eastAsia" w:ascii="宋体" w:hAnsi="宋体" w:cs="宋体"/>
                <w:szCs w:val="21"/>
              </w:rPr>
              <w:t>4.产品符合GB19272-2011（室外健身器材的安全 通用要求）相关标准要求并在项目公告前通过NSCC国体认证。</w:t>
            </w:r>
          </w:p>
          <w:p>
            <w:pPr>
              <w:jc w:val="left"/>
              <w:rPr>
                <w:rFonts w:ascii="宋体" w:hAnsi="宋体" w:cs="宋体"/>
                <w:szCs w:val="21"/>
              </w:rPr>
            </w:pPr>
            <w:r>
              <w:rPr>
                <w:rFonts w:hint="eastAsia" w:ascii="宋体" w:hAnsi="宋体" w:cs="宋体"/>
                <w:szCs w:val="21"/>
              </w:rPr>
              <w:t>5.主要功能：器材为3站位，可同时供三人同时使用，锻炼腰、腿部的柔韧性，对下肢关节活动障碍、麻木、肌肉萎缩有良好的康复作用。</w:t>
            </w:r>
          </w:p>
          <w:p>
            <w:pPr>
              <w:jc w:val="left"/>
              <w:rPr>
                <w:rFonts w:ascii="宋体" w:hAnsi="宋体" w:cs="宋体"/>
                <w:szCs w:val="21"/>
              </w:rPr>
            </w:pPr>
            <w:r>
              <w:rPr>
                <w:rFonts w:hint="eastAsia" w:ascii="宋体" w:hAnsi="宋体" w:cs="宋体"/>
                <w:szCs w:val="21"/>
              </w:rPr>
              <w:t>6.锻炼方法：单腿站立，将另一条腿伸直放于杠上，双手向前拉杆，身体随之向前伸展，两腿交替锻炼。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8</w:t>
            </w:r>
          </w:p>
        </w:tc>
        <w:tc>
          <w:tcPr>
            <w:tcW w:w="1095" w:type="dxa"/>
            <w:vAlign w:val="center"/>
          </w:tcPr>
          <w:p>
            <w:pPr>
              <w:jc w:val="left"/>
              <w:rPr>
                <w:rFonts w:ascii="宋体" w:hAnsi="宋体" w:cs="宋体"/>
                <w:szCs w:val="21"/>
              </w:rPr>
            </w:pPr>
            <w:r>
              <w:rPr>
                <w:rFonts w:hint="eastAsia" w:ascii="宋体" w:hAnsi="宋体" w:cs="宋体"/>
                <w:szCs w:val="21"/>
              </w:rPr>
              <w:t>后仰训练器</w:t>
            </w:r>
          </w:p>
        </w:tc>
        <w:tc>
          <w:tcPr>
            <w:tcW w:w="7382" w:type="dxa"/>
            <w:vAlign w:val="center"/>
          </w:tcPr>
          <w:p>
            <w:pPr>
              <w:jc w:val="left"/>
              <w:rPr>
                <w:rFonts w:ascii="宋体" w:hAnsi="宋体" w:cs="宋体"/>
                <w:szCs w:val="21"/>
              </w:rPr>
            </w:pPr>
            <w:r>
              <w:rPr>
                <w:rFonts w:hint="eastAsia" w:ascii="宋体" w:hAnsi="宋体" w:cs="宋体"/>
                <w:szCs w:val="21"/>
              </w:rPr>
              <w:t>1.主要承载立柱采用不小于φ60mm×3.0mm单一钢管；</w:t>
            </w:r>
          </w:p>
          <w:p>
            <w:pPr>
              <w:jc w:val="left"/>
              <w:rPr>
                <w:rFonts w:ascii="宋体" w:hAnsi="宋体" w:cs="宋体"/>
                <w:szCs w:val="21"/>
              </w:rPr>
            </w:pPr>
            <w:r>
              <w:rPr>
                <w:rFonts w:hint="eastAsia" w:ascii="宋体" w:hAnsi="宋体" w:cs="宋体"/>
                <w:szCs w:val="21"/>
              </w:rPr>
              <w:t>2.主要承载横梁不小于φ60mm×3.0mm钢管或等强度管材；</w:t>
            </w:r>
          </w:p>
          <w:p>
            <w:pPr>
              <w:jc w:val="left"/>
              <w:rPr>
                <w:rFonts w:ascii="宋体" w:hAnsi="宋体" w:cs="宋体"/>
                <w:szCs w:val="21"/>
              </w:rPr>
            </w:pPr>
            <w:r>
              <w:rPr>
                <w:rFonts w:hint="eastAsia" w:ascii="宋体" w:hAnsi="宋体" w:cs="宋体"/>
                <w:szCs w:val="21"/>
              </w:rPr>
              <w:t>3.器材各支撑人体的表面所有棱边和尖角其半径不小于3.0mm，使用者或第三者易接触的零部件所有棱边予以圆滑过渡或加以防护；</w:t>
            </w:r>
          </w:p>
          <w:p>
            <w:pPr>
              <w:jc w:val="left"/>
              <w:rPr>
                <w:rFonts w:ascii="宋体" w:hAnsi="宋体" w:cs="宋体"/>
                <w:szCs w:val="21"/>
              </w:rPr>
            </w:pPr>
            <w:r>
              <w:rPr>
                <w:rFonts w:hint="eastAsia" w:ascii="宋体" w:hAnsi="宋体" w:cs="宋体"/>
                <w:szCs w:val="21"/>
              </w:rPr>
              <w:t>4.不存在衣服、头发钩挂或缠绕结构，不应有易接近且与使用功能无关的突出物；</w:t>
            </w:r>
          </w:p>
          <w:p>
            <w:pPr>
              <w:jc w:val="left"/>
              <w:rPr>
                <w:rFonts w:ascii="宋体" w:hAnsi="宋体" w:cs="宋体"/>
                <w:szCs w:val="21"/>
              </w:rPr>
            </w:pPr>
            <w:r>
              <w:rPr>
                <w:rFonts w:hint="eastAsia" w:ascii="宋体" w:hAnsi="宋体" w:cs="宋体"/>
                <w:szCs w:val="21"/>
              </w:rPr>
              <w:t>5.用于握持的支撑部位的横截面在16~45mm之间；</w:t>
            </w:r>
          </w:p>
          <w:p>
            <w:pPr>
              <w:jc w:val="left"/>
              <w:rPr>
                <w:rFonts w:ascii="宋体" w:hAnsi="宋体" w:cs="宋体"/>
                <w:szCs w:val="21"/>
              </w:rPr>
            </w:pPr>
            <w:r>
              <w:rPr>
                <w:rFonts w:hint="eastAsia" w:ascii="宋体" w:hAnsi="宋体" w:cs="宋体"/>
                <w:szCs w:val="21"/>
              </w:rPr>
              <w:t>6.头、颈卡夹完全闭合开口经检验符合标准要求；</w:t>
            </w:r>
          </w:p>
          <w:p>
            <w:pPr>
              <w:jc w:val="left"/>
              <w:rPr>
                <w:rFonts w:ascii="宋体" w:hAnsi="宋体" w:cs="宋体"/>
                <w:szCs w:val="21"/>
              </w:rPr>
            </w:pPr>
            <w:r>
              <w:rPr>
                <w:rFonts w:hint="eastAsia" w:ascii="宋体" w:hAnsi="宋体" w:cs="宋体"/>
                <w:szCs w:val="21"/>
              </w:rPr>
              <w:t>7.产品符合GB19272-2011（室外健身器材的安全 通用要求）相关标准要求并在项目公告前通过NSCC国体认证。</w:t>
            </w:r>
          </w:p>
          <w:p>
            <w:pPr>
              <w:jc w:val="left"/>
              <w:rPr>
                <w:rFonts w:ascii="宋体" w:hAnsi="宋体" w:cs="宋体"/>
                <w:szCs w:val="21"/>
              </w:rPr>
            </w:pPr>
            <w:r>
              <w:rPr>
                <w:rFonts w:hint="eastAsia" w:ascii="宋体" w:hAnsi="宋体" w:cs="宋体"/>
                <w:szCs w:val="21"/>
              </w:rPr>
              <w:t>8.主要功能：舒缓、放松背部、肩胛骨、腰部肌肉，减缓长期工作造成的颈背部疼痛、肩胛骨疼痛、腰部疼痛。</w:t>
            </w:r>
          </w:p>
          <w:p>
            <w:pPr>
              <w:jc w:val="left"/>
              <w:rPr>
                <w:rFonts w:ascii="宋体" w:hAnsi="宋体" w:cs="宋体"/>
                <w:szCs w:val="21"/>
              </w:rPr>
            </w:pPr>
            <w:r>
              <w:rPr>
                <w:rFonts w:hint="eastAsia" w:ascii="宋体" w:hAnsi="宋体" w:cs="宋体"/>
                <w:szCs w:val="21"/>
              </w:rPr>
              <w:t>9.锻炼方法：站立在前挡腿管与立柱弯管之间，双手向后握住扶手，身体腰部靠住主横管，后背用力向后仰，贴在后仰框架上。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vAlign w:val="center"/>
          </w:tcPr>
          <w:p>
            <w:pPr>
              <w:jc w:val="left"/>
              <w:rPr>
                <w:rFonts w:ascii="宋体" w:hAnsi="宋体" w:cs="宋体"/>
                <w:szCs w:val="21"/>
              </w:rPr>
            </w:pPr>
            <w:r>
              <w:rPr>
                <w:rFonts w:hint="eastAsia" w:ascii="宋体" w:hAnsi="宋体" w:cs="宋体"/>
                <w:szCs w:val="21"/>
              </w:rPr>
              <w:t>9</w:t>
            </w:r>
          </w:p>
        </w:tc>
        <w:tc>
          <w:tcPr>
            <w:tcW w:w="1095" w:type="dxa"/>
            <w:vAlign w:val="center"/>
          </w:tcPr>
          <w:p>
            <w:pPr>
              <w:jc w:val="left"/>
              <w:rPr>
                <w:rFonts w:ascii="宋体" w:hAnsi="宋体" w:cs="宋体"/>
                <w:szCs w:val="21"/>
              </w:rPr>
            </w:pPr>
            <w:r>
              <w:rPr>
                <w:rFonts w:hint="eastAsia" w:ascii="宋体" w:hAnsi="宋体" w:cs="宋体"/>
                <w:szCs w:val="21"/>
              </w:rPr>
              <w:t>告示牌</w:t>
            </w:r>
          </w:p>
        </w:tc>
        <w:tc>
          <w:tcPr>
            <w:tcW w:w="7382" w:type="dxa"/>
            <w:vAlign w:val="center"/>
          </w:tcPr>
          <w:p>
            <w:pPr>
              <w:jc w:val="left"/>
              <w:rPr>
                <w:rFonts w:ascii="宋体" w:hAnsi="宋体" w:cs="宋体"/>
                <w:szCs w:val="21"/>
              </w:rPr>
            </w:pPr>
            <w:r>
              <w:rPr>
                <w:rFonts w:hint="eastAsia" w:ascii="宋体" w:hAnsi="宋体" w:cs="宋体"/>
                <w:szCs w:val="21"/>
              </w:rPr>
              <w:t>1.主要承载立柱采用单一钢管，钢管直径不小于114mm，壁厚不小于3.0mm；</w:t>
            </w:r>
          </w:p>
          <w:p>
            <w:pPr>
              <w:jc w:val="left"/>
              <w:rPr>
                <w:rFonts w:ascii="宋体" w:hAnsi="宋体" w:cs="宋体"/>
                <w:szCs w:val="21"/>
              </w:rPr>
            </w:pPr>
            <w:r>
              <w:rPr>
                <w:rFonts w:hint="eastAsia" w:ascii="宋体" w:hAnsi="宋体" w:cs="宋体"/>
                <w:szCs w:val="21"/>
              </w:rPr>
              <w:t>2.主要承载横梁采用不小于20mm×30mm×2.0mm钢管或等强度管材；</w:t>
            </w:r>
          </w:p>
          <w:p>
            <w:pPr>
              <w:jc w:val="left"/>
              <w:rPr>
                <w:rFonts w:ascii="宋体" w:hAnsi="宋体" w:cs="宋体"/>
                <w:szCs w:val="21"/>
              </w:rPr>
            </w:pPr>
            <w:r>
              <w:rPr>
                <w:rFonts w:hint="eastAsia" w:ascii="宋体" w:hAnsi="宋体" w:cs="宋体"/>
                <w:szCs w:val="21"/>
              </w:rPr>
              <w:t>3.告示牌面板采用不锈钢材质，耐蚀性能相当于0Cr18Ni9（SUS304），厚度不小于1mm，面板边缘及尖角不得翘起，图样及字样蚀刻处理；</w:t>
            </w:r>
          </w:p>
          <w:p>
            <w:pPr>
              <w:jc w:val="left"/>
              <w:rPr>
                <w:rFonts w:ascii="宋体" w:hAnsi="宋体" w:cs="宋体"/>
                <w:szCs w:val="21"/>
              </w:rPr>
            </w:pPr>
            <w:r>
              <w:rPr>
                <w:rFonts w:hint="eastAsia" w:ascii="宋体" w:hAnsi="宋体" w:cs="宋体"/>
                <w:szCs w:val="21"/>
              </w:rPr>
              <w:t>4.产品符合GB19272-2011（室外健身器材的安全通用要求）相关标准要求并在项目公告前通过NSCC国体认证。</w:t>
            </w:r>
          </w:p>
          <w:p>
            <w:pPr>
              <w:jc w:val="left"/>
              <w:rPr>
                <w:rFonts w:ascii="宋体" w:hAnsi="宋体" w:cs="宋体"/>
                <w:szCs w:val="21"/>
              </w:rPr>
            </w:pPr>
            <w:r>
              <w:rPr>
                <w:rFonts w:hint="eastAsia" w:ascii="宋体" w:hAnsi="宋体" w:cs="宋体"/>
                <w:szCs w:val="21"/>
              </w:rPr>
              <w:t>5.主要功能：警示说明。</w:t>
            </w:r>
          </w:p>
          <w:p>
            <w:pPr>
              <w:jc w:val="left"/>
              <w:rPr>
                <w:rFonts w:ascii="宋体" w:hAnsi="宋体" w:cs="宋体"/>
                <w:szCs w:val="21"/>
              </w:rPr>
            </w:pPr>
            <w:r>
              <w:rPr>
                <w:rFonts w:hint="eastAsia" w:ascii="宋体" w:hAnsi="宋体" w:cs="宋体"/>
                <w:szCs w:val="21"/>
              </w:rPr>
              <w:t>6.锻炼方法：使用我公司产品前仔细阅读指示牌，以免发生意外。</w:t>
            </w:r>
          </w:p>
        </w:tc>
      </w:tr>
    </w:tbl>
    <w:p>
      <w:pPr>
        <w:spacing w:line="300" w:lineRule="auto"/>
        <w:ind w:firstLine="480" w:firstLineChars="200"/>
        <w:rPr>
          <w:rFonts w:ascii="宋体" w:hAnsi="宋体" w:cs="宋体"/>
          <w:sz w:val="24"/>
          <w:szCs w:val="24"/>
        </w:rPr>
      </w:pPr>
      <w:r>
        <w:rPr>
          <w:rFonts w:hint="eastAsia" w:ascii="宋体" w:hAnsi="宋体" w:cs="宋体"/>
          <w:sz w:val="24"/>
          <w:szCs w:val="24"/>
        </w:rPr>
        <w:t>注：所有投标产品符合GB19272-2011（室外健身器材的安全 通用要求）相关标准要求，全部具有NSCC国体认证（全部产品均为生产厂家自主设计生产的成熟产品，获证日期均为项目公告前）。</w:t>
      </w:r>
    </w:p>
    <w:p>
      <w:pPr>
        <w:spacing w:line="300" w:lineRule="auto"/>
        <w:ind w:firstLine="480" w:firstLineChars="200"/>
        <w:rPr>
          <w:rFonts w:ascii="宋体" w:hAnsi="宋体" w:cs="宋体"/>
          <w:sz w:val="24"/>
          <w:szCs w:val="24"/>
        </w:rPr>
      </w:pPr>
      <w:r>
        <w:rPr>
          <w:rFonts w:hint="eastAsia" w:ascii="宋体" w:hAnsi="宋体" w:cs="宋体"/>
          <w:sz w:val="24"/>
          <w:szCs w:val="24"/>
        </w:rPr>
        <w:t>2.4.3 售后服务方案</w:t>
      </w:r>
    </w:p>
    <w:p>
      <w:pPr>
        <w:spacing w:line="300" w:lineRule="auto"/>
        <w:ind w:firstLine="480" w:firstLineChars="200"/>
        <w:rPr>
          <w:rFonts w:ascii="宋体" w:hAnsi="宋体" w:cs="宋体"/>
          <w:sz w:val="24"/>
          <w:szCs w:val="24"/>
          <w:u w:val="single"/>
          <w:lang w:val="zh-CN"/>
        </w:rPr>
      </w:pPr>
      <w:r>
        <w:rPr>
          <w:rFonts w:hint="eastAsia" w:ascii="宋体" w:hAnsi="宋体" w:cs="宋体"/>
          <w:sz w:val="24"/>
          <w:szCs w:val="24"/>
        </w:rPr>
        <w:t>为了维护消费者的权益，保证用户能够正常使用，维护产品在用户中的良好信誉，按照招标文件中对质保期内售后服务、</w:t>
      </w:r>
      <w:bookmarkStart w:id="8" w:name="_Toc5696"/>
      <w:r>
        <w:rPr>
          <w:rFonts w:hint="eastAsia" w:ascii="宋体" w:hAnsi="宋体" w:cs="宋体"/>
          <w:sz w:val="24"/>
          <w:szCs w:val="24"/>
        </w:rPr>
        <w:t>维修服务具体响应时限</w:t>
      </w:r>
      <w:bookmarkEnd w:id="8"/>
      <w:r>
        <w:rPr>
          <w:rFonts w:hint="eastAsia" w:ascii="宋体" w:hAnsi="宋体" w:cs="宋体"/>
          <w:sz w:val="24"/>
          <w:szCs w:val="24"/>
        </w:rPr>
        <w:t>、售后服务管理体系、售后服务能力以及施工方案等做出承诺。</w:t>
      </w:r>
    </w:p>
    <w:p>
      <w:pPr>
        <w:pStyle w:val="8"/>
        <w:spacing w:after="0" w:line="300" w:lineRule="auto"/>
        <w:rPr>
          <w:rFonts w:ascii="黑体" w:hAnsi="黑体" w:eastAsia="黑体" w:cs="黑体"/>
          <w:b/>
          <w:bCs/>
          <w:sz w:val="24"/>
          <w:szCs w:val="24"/>
        </w:rPr>
      </w:pPr>
      <w:r>
        <w:rPr>
          <w:rFonts w:hint="eastAsia" w:ascii="宋体" w:hAnsi="宋体" w:cs="宋体"/>
          <w:sz w:val="24"/>
          <w:szCs w:val="24"/>
        </w:rPr>
        <w:t xml:space="preserve">    2.4.4 以上内容均包括健身器材的生产、运输、安装等。</w:t>
      </w:r>
    </w:p>
    <w:p>
      <w:pPr>
        <w:ind w:firstLine="241" w:firstLineChars="100"/>
        <w:jc w:val="left"/>
        <w:rPr>
          <w:rFonts w:ascii="黑体" w:hAnsi="宋体" w:eastAsia="黑体" w:cs="黑体"/>
          <w:b/>
          <w:bCs/>
          <w:sz w:val="24"/>
          <w:szCs w:val="24"/>
        </w:rPr>
      </w:pPr>
      <w:r>
        <w:rPr>
          <w:rFonts w:hint="eastAsia" w:ascii="黑体" w:hAnsi="宋体" w:eastAsia="黑体" w:cs="黑体"/>
          <w:b/>
          <w:bCs/>
          <w:sz w:val="24"/>
          <w:szCs w:val="24"/>
        </w:rPr>
        <w:t>2.5技术偏离</w:t>
      </w:r>
    </w:p>
    <w:p>
      <w:pPr>
        <w:widowControl w:val="0"/>
        <w:adjustRightInd w:val="0"/>
        <w:snapToGrid w:val="0"/>
        <w:spacing w:beforeLines="50" w:line="300" w:lineRule="auto"/>
        <w:ind w:firstLine="480" w:firstLineChars="200"/>
        <w:jc w:val="left"/>
        <w:rPr>
          <w:rFonts w:ascii="宋体"/>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.1</w:t>
      </w:r>
      <w:r>
        <w:rPr>
          <w:rFonts w:hint="eastAsia" w:ascii="宋体" w:hAnsi="宋体"/>
          <w:color w:val="auto"/>
          <w:sz w:val="24"/>
          <w:szCs w:val="24"/>
        </w:rPr>
        <w:t>“基本技术要求”列示的参数为基本要求，“基本技术要求”列示的产品、配件的品牌、型号参数为推荐产品；投标人可提供与其价格相近且质量性能相等或优于的其他产品，投标人应提供相关证明材料（如权威评测资料、及印刷品产品说明书或印刷品图册等）以供磋商小组评议。</w:t>
      </w:r>
    </w:p>
    <w:p>
      <w:pPr>
        <w:widowControl w:val="0"/>
        <w:adjustRightInd w:val="0"/>
        <w:snapToGrid w:val="0"/>
        <w:spacing w:beforeLines="50" w:line="300" w:lineRule="auto"/>
        <w:ind w:firstLine="480" w:firstLineChars="200"/>
        <w:jc w:val="left"/>
        <w:rPr>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 xml:space="preserve">.2 </w:t>
      </w:r>
      <w:r>
        <w:rPr>
          <w:rFonts w:hint="eastAsia" w:ascii="宋体" w:hAnsi="宋体"/>
          <w:color w:val="auto"/>
          <w:sz w:val="24"/>
          <w:szCs w:val="24"/>
        </w:rPr>
        <w:t>除磋商文件“基本技术要求”有明确说明外，投标人所投标的各项产品均应为该产品的标准</w:t>
      </w:r>
      <w:r>
        <w:rPr>
          <w:rFonts w:hint="eastAsia"/>
          <w:color w:val="auto"/>
          <w:sz w:val="24"/>
          <w:szCs w:val="24"/>
        </w:rPr>
        <w:t>配置、不应改变或调换厂家的出厂标准配置；如确因市场因素无法按上述规格产品进行投标，应提供优于“基本技术要求”的同品牌的同类产品进行投标，投标人应提供印刷品产品说明书或印刷品图册等予以佐证（扫描件）。</w:t>
      </w:r>
    </w:p>
    <w:p>
      <w:pPr>
        <w:widowControl w:val="0"/>
        <w:adjustRightInd w:val="0"/>
        <w:snapToGrid w:val="0"/>
        <w:spacing w:beforeLines="50" w:line="300" w:lineRule="auto"/>
        <w:ind w:firstLine="480" w:firstLineChars="200"/>
        <w:rPr>
          <w:rFonts w:ascii="宋体"/>
          <w:color w:val="auto"/>
          <w:sz w:val="24"/>
          <w:szCs w:val="24"/>
        </w:rPr>
      </w:pPr>
      <w:r>
        <w:rPr>
          <w:rFonts w:ascii="宋体" w:hAnsi="宋体"/>
          <w:color w:val="auto"/>
          <w:sz w:val="24"/>
          <w:szCs w:val="24"/>
        </w:rPr>
        <w:t>2.</w:t>
      </w:r>
      <w:r>
        <w:rPr>
          <w:rFonts w:hint="eastAsia" w:ascii="宋体" w:hAnsi="宋体"/>
          <w:color w:val="auto"/>
          <w:sz w:val="24"/>
          <w:szCs w:val="24"/>
        </w:rPr>
        <w:t>5</w:t>
      </w:r>
      <w:r>
        <w:rPr>
          <w:rFonts w:ascii="宋体" w:hAnsi="宋体"/>
          <w:color w:val="auto"/>
          <w:sz w:val="24"/>
          <w:szCs w:val="24"/>
        </w:rPr>
        <w:t xml:space="preserve">.3 </w:t>
      </w:r>
      <w:r>
        <w:rPr>
          <w:rFonts w:hint="eastAsia" w:ascii="宋体" w:hAnsi="宋体"/>
          <w:color w:val="auto"/>
          <w:sz w:val="24"/>
          <w:szCs w:val="24"/>
        </w:rPr>
        <w:t>投标文件对技术偏差的描述要求：见第三章投标人须知</w:t>
      </w:r>
      <w:r>
        <w:rPr>
          <w:rFonts w:ascii="宋体" w:hAnsi="宋体"/>
          <w:color w:val="auto"/>
          <w:sz w:val="24"/>
          <w:szCs w:val="24"/>
        </w:rPr>
        <w:t>3.7.3</w:t>
      </w:r>
      <w:r>
        <w:rPr>
          <w:rFonts w:hint="eastAsia" w:ascii="宋体" w:hAnsi="宋体"/>
          <w:color w:val="auto"/>
          <w:sz w:val="24"/>
          <w:szCs w:val="24"/>
        </w:rPr>
        <w:t>项。</w:t>
      </w:r>
    </w:p>
    <w:p>
      <w:pPr>
        <w:adjustRightInd w:val="0"/>
        <w:snapToGrid w:val="0"/>
        <w:spacing w:beforeLines="50" w:line="300" w:lineRule="auto"/>
        <w:ind w:firstLine="241" w:firstLineChars="100"/>
        <w:rPr>
          <w:rFonts w:ascii="黑体" w:hAnsi="黑体" w:eastAsia="黑体"/>
          <w:b/>
          <w:color w:val="auto"/>
          <w:sz w:val="24"/>
          <w:szCs w:val="24"/>
        </w:rPr>
      </w:pPr>
      <w:r>
        <w:rPr>
          <w:rFonts w:ascii="黑体" w:hAnsi="黑体" w:eastAsia="黑体"/>
          <w:b/>
          <w:color w:val="auto"/>
          <w:sz w:val="24"/>
          <w:szCs w:val="24"/>
        </w:rPr>
        <w:t>2.</w:t>
      </w:r>
      <w:r>
        <w:rPr>
          <w:rFonts w:hint="eastAsia" w:ascii="黑体" w:hAnsi="黑体" w:eastAsia="黑体"/>
          <w:b/>
          <w:color w:val="auto"/>
          <w:sz w:val="24"/>
          <w:szCs w:val="24"/>
        </w:rPr>
        <w:t>6投标产品质量要求</w:t>
      </w:r>
    </w:p>
    <w:p>
      <w:pPr>
        <w:widowControl w:val="0"/>
        <w:adjustRightInd w:val="0"/>
        <w:snapToGrid w:val="0"/>
        <w:spacing w:beforeLines="50" w:line="300" w:lineRule="auto"/>
        <w:ind w:left="22" w:firstLine="555"/>
        <w:jc w:val="left"/>
        <w:rPr>
          <w:color w:val="auto"/>
          <w:sz w:val="24"/>
          <w:szCs w:val="24"/>
        </w:rPr>
      </w:pPr>
      <w:r>
        <w:rPr>
          <w:rFonts w:hint="eastAsia"/>
          <w:color w:val="auto"/>
          <w:sz w:val="24"/>
          <w:szCs w:val="24"/>
        </w:rPr>
        <w:t>投标人所投产品应为全新产品且符合国家质量标准、部颁标准及行业规范的要求，符合国家各项强制性规范及安全标准，投标产品不应与第三方存在知识产权权属问题；</w:t>
      </w:r>
      <w:r>
        <w:rPr>
          <w:rFonts w:hint="eastAsia"/>
          <w:color w:val="auto"/>
          <w:sz w:val="24"/>
          <w:szCs w:val="24"/>
          <w:highlight w:val="none"/>
        </w:rPr>
        <w:t>投标产品应为同一品牌产品；</w:t>
      </w:r>
      <w:r>
        <w:rPr>
          <w:rFonts w:hint="eastAsia"/>
          <w:color w:val="auto"/>
          <w:sz w:val="24"/>
          <w:szCs w:val="24"/>
        </w:rPr>
        <w:t>投标人应本着服务客户、为客户着想的宗旨，来完善产品及技术要求未尽事宜，不得以磋商文件未列明事项为由，来降低投标产品的质量。</w:t>
      </w:r>
    </w:p>
    <w:p>
      <w:pPr>
        <w:widowControl w:val="0"/>
        <w:adjustRightInd w:val="0"/>
        <w:snapToGrid w:val="0"/>
        <w:spacing w:beforeLines="50" w:line="300" w:lineRule="auto"/>
        <w:outlineLvl w:val="1"/>
        <w:rPr>
          <w:rFonts w:ascii="黑体" w:hAnsi="黑体" w:eastAsia="黑体"/>
          <w:b/>
          <w:color w:val="auto"/>
          <w:sz w:val="28"/>
        </w:rPr>
      </w:pPr>
      <w:bookmarkStart w:id="9" w:name="_Toc26366086"/>
      <w:bookmarkStart w:id="10" w:name="_Toc30036"/>
      <w:r>
        <w:rPr>
          <w:rFonts w:ascii="黑体" w:hAnsi="黑体" w:eastAsia="黑体"/>
          <w:b/>
          <w:color w:val="auto"/>
          <w:sz w:val="28"/>
        </w:rPr>
        <w:t xml:space="preserve">3. </w:t>
      </w:r>
      <w:r>
        <w:rPr>
          <w:rFonts w:hint="eastAsia" w:ascii="黑体" w:hAnsi="黑体" w:eastAsia="黑体"/>
          <w:b/>
          <w:color w:val="auto"/>
          <w:sz w:val="28"/>
        </w:rPr>
        <w:t>售后服务的基本条款</w:t>
      </w:r>
      <w:bookmarkEnd w:id="9"/>
      <w:bookmarkEnd w:id="10"/>
    </w:p>
    <w:p>
      <w:pPr>
        <w:spacing w:line="400" w:lineRule="exact"/>
        <w:ind w:firstLine="480" w:firstLineChars="200"/>
        <w:rPr>
          <w:rFonts w:ascii="宋体" w:hAnsi="宋体" w:cs="宋体"/>
          <w:sz w:val="24"/>
        </w:rPr>
      </w:pPr>
      <w:r>
        <w:rPr>
          <w:rFonts w:hint="eastAsia" w:ascii="宋体" w:hAnsi="宋体" w:cs="宋体"/>
          <w:sz w:val="24"/>
        </w:rPr>
        <w:t>3.1 严格按照国家有关部门及出版社规定的售后服务要求处理。</w:t>
      </w:r>
    </w:p>
    <w:p>
      <w:pPr>
        <w:spacing w:line="400" w:lineRule="exact"/>
        <w:ind w:firstLine="480" w:firstLineChars="200"/>
        <w:rPr>
          <w:rFonts w:ascii="宋体" w:hAnsi="宋体" w:cs="宋体"/>
          <w:sz w:val="24"/>
        </w:rPr>
      </w:pPr>
      <w:r>
        <w:rPr>
          <w:rFonts w:hint="eastAsia" w:ascii="宋体" w:hAnsi="宋体" w:cs="宋体"/>
          <w:sz w:val="24"/>
        </w:rPr>
        <w:t>3.2 在成交供应商未按照合同规定的地点交货、验收之前，如发生不可抗力因素导致货物毁坏或灭失，由成交供应商承担责任。</w:t>
      </w:r>
    </w:p>
    <w:p>
      <w:pPr>
        <w:spacing w:line="400" w:lineRule="exact"/>
        <w:ind w:firstLine="480" w:firstLineChars="200"/>
        <w:rPr>
          <w:rFonts w:ascii="宋体" w:hAnsi="宋体" w:cs="宋体"/>
          <w:sz w:val="24"/>
        </w:rPr>
      </w:pPr>
      <w:r>
        <w:rPr>
          <w:rFonts w:hint="eastAsia" w:ascii="宋体" w:hAnsi="宋体" w:cs="宋体"/>
          <w:sz w:val="24"/>
        </w:rPr>
        <w:t>3.3成交供应商要按照采购人的要求交验清楚。</w:t>
      </w:r>
    </w:p>
    <w:p>
      <w:pPr>
        <w:spacing w:line="400" w:lineRule="exact"/>
        <w:ind w:firstLine="480" w:firstLineChars="200"/>
        <w:rPr>
          <w:rFonts w:ascii="宋体" w:hAnsi="宋体" w:cs="宋体"/>
          <w:sz w:val="24"/>
        </w:rPr>
      </w:pPr>
      <w:r>
        <w:rPr>
          <w:rFonts w:hint="eastAsia" w:ascii="宋体" w:hAnsi="宋体" w:cs="宋体"/>
          <w:sz w:val="24"/>
        </w:rPr>
        <w:t>3.4 投标人须提供详尽的售后服务方案，并附相关资料予以佐证。</w:t>
      </w:r>
    </w:p>
    <w:p>
      <w:pPr>
        <w:spacing w:line="360" w:lineRule="auto"/>
        <w:ind w:right="238"/>
        <w:jc w:val="center"/>
        <w:outlineLvl w:val="0"/>
        <w:rPr>
          <w:rFonts w:eastAsia="黑体"/>
          <w:b/>
          <w:color w:val="auto"/>
          <w:sz w:val="36"/>
          <w:szCs w:val="36"/>
        </w:rPr>
      </w:pPr>
      <w:r>
        <w:rPr>
          <w:rFonts w:eastAsia="黑体"/>
          <w:b/>
          <w:color w:val="auto"/>
          <w:spacing w:val="36"/>
          <w:sz w:val="36"/>
          <w:szCs w:val="36"/>
        </w:rPr>
        <w:br w:type="page"/>
      </w:r>
      <w:bookmarkStart w:id="11" w:name="_Toc22220"/>
      <w:bookmarkStart w:id="12" w:name="_Toc26366087"/>
      <w:r>
        <w:rPr>
          <w:rFonts w:hint="eastAsia" w:eastAsia="黑体"/>
          <w:b/>
          <w:color w:val="auto"/>
          <w:sz w:val="36"/>
          <w:szCs w:val="36"/>
        </w:rPr>
        <w:t>第三章</w:t>
      </w:r>
      <w:r>
        <w:rPr>
          <w:rFonts w:hint="eastAsia" w:eastAsia="黑体"/>
          <w:b/>
          <w:color w:val="auto"/>
          <w:sz w:val="36"/>
          <w:szCs w:val="36"/>
          <w:lang w:val="en-US" w:eastAsia="zh-CN"/>
        </w:rPr>
        <w:t xml:space="preserve">  </w:t>
      </w:r>
      <w:r>
        <w:rPr>
          <w:rFonts w:hint="eastAsia" w:eastAsia="黑体"/>
          <w:b/>
          <w:color w:val="auto"/>
          <w:sz w:val="36"/>
          <w:szCs w:val="36"/>
        </w:rPr>
        <w:t>投标人须知</w:t>
      </w:r>
      <w:bookmarkEnd w:id="11"/>
      <w:bookmarkEnd w:id="12"/>
    </w:p>
    <w:p>
      <w:pPr>
        <w:spacing w:line="360" w:lineRule="auto"/>
        <w:ind w:right="238"/>
        <w:jc w:val="left"/>
        <w:outlineLvl w:val="1"/>
        <w:rPr>
          <w:rFonts w:eastAsia="黑体"/>
          <w:b/>
          <w:color w:val="auto"/>
          <w:sz w:val="28"/>
          <w:szCs w:val="28"/>
        </w:rPr>
      </w:pPr>
      <w:bookmarkStart w:id="13" w:name="_Toc26366088"/>
      <w:bookmarkStart w:id="14" w:name="_Toc8271"/>
      <w:r>
        <w:rPr>
          <w:rFonts w:hint="eastAsia" w:eastAsia="黑体"/>
          <w:b/>
          <w:color w:val="auto"/>
          <w:sz w:val="28"/>
          <w:szCs w:val="28"/>
        </w:rPr>
        <w:t>投标人须知前附表</w:t>
      </w:r>
      <w:bookmarkEnd w:id="13"/>
      <w:bookmarkEnd w:id="14"/>
    </w:p>
    <w:tbl>
      <w:tblPr>
        <w:tblStyle w:val="24"/>
        <w:tblW w:w="9647" w:type="dxa"/>
        <w:jc w:val="center"/>
        <w:tblLayout w:type="fixed"/>
        <w:tblCellMar>
          <w:top w:w="0" w:type="dxa"/>
          <w:left w:w="108" w:type="dxa"/>
          <w:bottom w:w="0" w:type="dxa"/>
          <w:right w:w="108" w:type="dxa"/>
        </w:tblCellMar>
      </w:tblPr>
      <w:tblGrid>
        <w:gridCol w:w="500"/>
        <w:gridCol w:w="694"/>
        <w:gridCol w:w="1874"/>
        <w:gridCol w:w="6579"/>
      </w:tblGrid>
      <w:tr>
        <w:tblPrEx>
          <w:tblCellMar>
            <w:top w:w="0" w:type="dxa"/>
            <w:left w:w="108" w:type="dxa"/>
            <w:bottom w:w="0" w:type="dxa"/>
            <w:right w:w="108" w:type="dxa"/>
          </w:tblCellMar>
        </w:tblPrEx>
        <w:trPr>
          <w:trHeight w:val="571" w:hRule="atLeast"/>
          <w:jc w:val="center"/>
        </w:trPr>
        <w:tc>
          <w:tcPr>
            <w:tcW w:w="500" w:type="dxa"/>
            <w:tcBorders>
              <w:top w:val="single" w:color="auto" w:sz="12" w:space="0"/>
              <w:left w:val="single" w:color="auto" w:sz="12" w:space="0"/>
              <w:bottom w:val="single" w:color="auto" w:sz="6" w:space="0"/>
              <w:right w:val="single" w:color="auto" w:sz="6" w:space="0"/>
            </w:tcBorders>
          </w:tcPr>
          <w:p>
            <w:pPr>
              <w:autoSpaceDE w:val="0"/>
              <w:autoSpaceDN w:val="0"/>
              <w:adjustRightInd w:val="0"/>
              <w:spacing w:line="240" w:lineRule="auto"/>
              <w:rPr>
                <w:rFonts w:ascii="宋体" w:cs="楷体_GB2312"/>
                <w:b/>
                <w:bCs/>
                <w:color w:val="auto"/>
                <w:sz w:val="24"/>
                <w:lang w:val="zh-CN"/>
              </w:rPr>
            </w:pPr>
            <w:r>
              <w:rPr>
                <w:rFonts w:hint="eastAsia" w:ascii="宋体" w:hAnsi="宋体" w:cs="楷体_GB2312"/>
                <w:b/>
                <w:bCs/>
                <w:color w:val="auto"/>
                <w:sz w:val="24"/>
                <w:lang w:val="zh-CN"/>
              </w:rPr>
              <w:t>章节</w:t>
            </w:r>
          </w:p>
        </w:tc>
        <w:tc>
          <w:tcPr>
            <w:tcW w:w="694"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pacing w:line="240" w:lineRule="auto"/>
              <w:ind w:right="-126" w:rightChars="-60"/>
              <w:rPr>
                <w:rFonts w:ascii="宋体" w:cs="楷体_GB2312"/>
                <w:b/>
                <w:bCs/>
                <w:color w:val="auto"/>
                <w:sz w:val="24"/>
                <w:lang w:val="zh-CN"/>
              </w:rPr>
            </w:pPr>
            <w:r>
              <w:rPr>
                <w:rFonts w:hint="eastAsia" w:ascii="宋体" w:hAnsi="宋体" w:cs="楷体_GB2312"/>
                <w:b/>
                <w:bCs/>
                <w:color w:val="auto"/>
                <w:sz w:val="24"/>
                <w:lang w:val="zh-CN"/>
              </w:rPr>
              <w:t>条款号</w:t>
            </w:r>
          </w:p>
        </w:tc>
        <w:tc>
          <w:tcPr>
            <w:tcW w:w="1874" w:type="dxa"/>
            <w:tcBorders>
              <w:top w:val="single" w:color="auto" w:sz="12" w:space="0"/>
              <w:left w:val="single" w:color="auto" w:sz="6" w:space="0"/>
              <w:bottom w:val="single" w:color="auto" w:sz="6" w:space="0"/>
              <w:right w:val="single" w:color="auto" w:sz="6" w:space="0"/>
            </w:tcBorders>
            <w:vAlign w:val="center"/>
          </w:tcPr>
          <w:p>
            <w:pPr>
              <w:autoSpaceDE w:val="0"/>
              <w:autoSpaceDN w:val="0"/>
              <w:adjustRightIn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条款名称</w:t>
            </w:r>
          </w:p>
        </w:tc>
        <w:tc>
          <w:tcPr>
            <w:tcW w:w="6579"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编列内容</w:t>
            </w:r>
          </w:p>
        </w:tc>
      </w:tr>
      <w:tr>
        <w:tblPrEx>
          <w:tblCellMar>
            <w:top w:w="0" w:type="dxa"/>
            <w:left w:w="108" w:type="dxa"/>
            <w:bottom w:w="0" w:type="dxa"/>
            <w:right w:w="108" w:type="dxa"/>
          </w:tblCellMar>
        </w:tblPrEx>
        <w:trPr>
          <w:trHeight w:val="649" w:hRule="atLeast"/>
          <w:jc w:val="center"/>
        </w:trPr>
        <w:tc>
          <w:tcPr>
            <w:tcW w:w="500"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r>
              <w:rPr>
                <w:rFonts w:hint="eastAsia" w:ascii="宋体" w:hAnsi="宋体" w:cs="楷体_GB2312"/>
                <w:b/>
                <w:bCs/>
                <w:color w:val="auto"/>
                <w:sz w:val="24"/>
              </w:rPr>
              <w:t>第一章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color w:val="auto"/>
                <w:sz w:val="24"/>
                <w:lang w:val="zh-CN"/>
              </w:rPr>
            </w:pPr>
            <w:r>
              <w:rPr>
                <w:rFonts w:hint="eastAsia" w:ascii="宋体" w:hAnsi="宋体" w:cs="楷体_GB2312"/>
                <w:b/>
                <w:bCs/>
                <w:color w:val="auto"/>
                <w:sz w:val="24"/>
              </w:rPr>
              <w:t>采购项目名称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531" w:hRule="atLeast"/>
          <w:jc w:val="center"/>
        </w:trPr>
        <w:tc>
          <w:tcPr>
            <w:tcW w:w="500"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采购编号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567" w:hRule="atLeast"/>
          <w:jc w:val="center"/>
        </w:trPr>
        <w:tc>
          <w:tcPr>
            <w:tcW w:w="500" w:type="dxa"/>
            <w:vMerge w:val="continue"/>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采购方式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竞争性磋商</w:t>
            </w:r>
          </w:p>
        </w:tc>
      </w:tr>
      <w:tr>
        <w:tblPrEx>
          <w:tblCellMar>
            <w:top w:w="0" w:type="dxa"/>
            <w:left w:w="108" w:type="dxa"/>
            <w:bottom w:w="0" w:type="dxa"/>
            <w:right w:w="108" w:type="dxa"/>
          </w:tblCellMar>
        </w:tblPrEx>
        <w:trPr>
          <w:trHeight w:val="37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采购预算</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见“第一章磋商公告”相应条款。</w:t>
            </w:r>
            <w:r>
              <w:rPr>
                <w:rFonts w:hint="eastAsia" w:ascii="宋体" w:hAnsi="宋体" w:cs="楷体_GB2312"/>
                <w:b/>
                <w:color w:val="auto"/>
                <w:sz w:val="24"/>
                <w:lang w:val="zh-CN"/>
              </w:rPr>
              <w:t>注：投标人的投标报价未超过采购预算的不足三家时，该项目（标段）终止。</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投标人资格要求及相关证明材料要求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采购人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73" w:rightChars="-35"/>
              <w:jc w:val="center"/>
              <w:rPr>
                <w:rFonts w:ascii="宋体"/>
                <w:b/>
                <w:color w:val="auto"/>
                <w:sz w:val="24"/>
                <w:szCs w:val="24"/>
              </w:rPr>
            </w:pPr>
            <w:r>
              <w:rPr>
                <w:rFonts w:hint="eastAsia" w:ascii="宋体" w:hAnsi="宋体"/>
                <w:b/>
                <w:color w:val="auto"/>
                <w:sz w:val="24"/>
                <w:szCs w:val="24"/>
              </w:rPr>
              <w:t>采购代理机构</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见“第一章磋商公告”相应条款</w:t>
            </w:r>
          </w:p>
        </w:tc>
      </w:tr>
      <w:tr>
        <w:tblPrEx>
          <w:tblCellMar>
            <w:top w:w="0" w:type="dxa"/>
            <w:left w:w="108" w:type="dxa"/>
            <w:bottom w:w="0" w:type="dxa"/>
            <w:right w:w="108" w:type="dxa"/>
          </w:tblCellMar>
        </w:tblPrEx>
        <w:trPr>
          <w:trHeight w:val="90" w:hRule="atLeast"/>
          <w:jc w:val="center"/>
        </w:trPr>
        <w:tc>
          <w:tcPr>
            <w:tcW w:w="500" w:type="dxa"/>
            <w:vMerge w:val="restart"/>
            <w:tcBorders>
              <w:top w:val="single" w:color="auto" w:sz="6" w:space="0"/>
              <w:left w:val="single" w:color="auto" w:sz="12"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第二章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b/>
                <w:color w:val="auto"/>
                <w:sz w:val="24"/>
                <w:szCs w:val="24"/>
              </w:rPr>
              <w:t>标段划分</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cs="楷体_GB2312"/>
                <w:b/>
                <w:bCs/>
                <w:color w:val="auto"/>
                <w:sz w:val="24"/>
              </w:rPr>
              <w:t>合同履行期限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bCs/>
                <w:color w:val="auto"/>
                <w:sz w:val="24"/>
                <w:lang w:val="zh-CN"/>
              </w:rPr>
            </w:pPr>
            <w:r>
              <w:rPr>
                <w:rFonts w:hint="eastAsia" w:ascii="宋体" w:hAnsi="宋体"/>
                <w:color w:val="auto"/>
                <w:sz w:val="24"/>
              </w:rPr>
              <w:t>见“第二部分采购项目及技术服务要求”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交验地</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9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szCs w:val="24"/>
              </w:rPr>
            </w:pPr>
            <w:r>
              <w:rPr>
                <w:rFonts w:hint="eastAsia" w:ascii="宋体" w:hAnsi="宋体"/>
                <w:b/>
                <w:color w:val="auto"/>
                <w:sz w:val="24"/>
                <w:szCs w:val="24"/>
              </w:rPr>
              <w:t>投标报价</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color w:val="auto"/>
                <w:sz w:val="24"/>
                <w:szCs w:val="24"/>
              </w:rPr>
            </w:pPr>
            <w:r>
              <w:rPr>
                <w:rFonts w:hint="eastAsia"/>
                <w:color w:val="auto"/>
                <w:sz w:val="24"/>
                <w:szCs w:val="24"/>
              </w:rPr>
              <w:t>见“第二章采购项目及技术服务要求”相应条款</w:t>
            </w:r>
          </w:p>
        </w:tc>
      </w:tr>
      <w:tr>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标段内容（范围）及要求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21"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技术偏离</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w:t>
            </w:r>
            <w:r>
              <w:rPr>
                <w:rFonts w:hint="eastAsia"/>
                <w:color w:val="auto"/>
                <w:sz w:val="24"/>
                <w:szCs w:val="24"/>
              </w:rPr>
              <w:t>章</w:t>
            </w:r>
            <w:r>
              <w:rPr>
                <w:rFonts w:hint="eastAsia" w:ascii="宋体" w:hAnsi="宋体" w:cs="楷体_GB2312"/>
                <w:color w:val="auto"/>
                <w:sz w:val="24"/>
                <w:lang w:val="zh-CN"/>
              </w:rPr>
              <w:t>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03"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售后服务</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见“第二章采购项目及技术服务要求”</w:t>
            </w:r>
            <w:r>
              <w:rPr>
                <w:rFonts w:hint="eastAsia"/>
                <w:color w:val="auto"/>
                <w:sz w:val="24"/>
                <w:szCs w:val="24"/>
              </w:rPr>
              <w:t>相应条款</w:t>
            </w:r>
          </w:p>
        </w:tc>
      </w:tr>
      <w:tr>
        <w:tblPrEx>
          <w:tblCellMar>
            <w:top w:w="0" w:type="dxa"/>
            <w:left w:w="108" w:type="dxa"/>
            <w:bottom w:w="0" w:type="dxa"/>
            <w:right w:w="108" w:type="dxa"/>
          </w:tblCellMar>
        </w:tblPrEx>
        <w:trPr>
          <w:trHeight w:val="366" w:hRule="atLeast"/>
          <w:jc w:val="center"/>
        </w:trPr>
        <w:tc>
          <w:tcPr>
            <w:tcW w:w="500" w:type="dxa"/>
            <w:vMerge w:val="restart"/>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1.4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联合体投标</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不接受</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1.10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踏勘现场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不组织</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投标预备会</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不召开</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1.12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分包</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不允许</w:t>
            </w:r>
          </w:p>
        </w:tc>
      </w:tr>
      <w:tr>
        <w:tblPrEx>
          <w:tblCellMar>
            <w:top w:w="0" w:type="dxa"/>
            <w:left w:w="108" w:type="dxa"/>
            <w:bottom w:w="0" w:type="dxa"/>
            <w:right w:w="108" w:type="dxa"/>
          </w:tblCellMar>
        </w:tblPrEx>
        <w:trPr>
          <w:trHeight w:val="44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rPr>
            </w:pPr>
            <w:r>
              <w:rPr>
                <w:rFonts w:ascii="宋体" w:hAnsi="宋体" w:cs="楷体_GB2312"/>
                <w:b/>
                <w:bCs/>
                <w:color w:val="auto"/>
                <w:szCs w:val="21"/>
              </w:rPr>
              <w:t>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lang w:val="zh-CN"/>
              </w:rPr>
              <w:t>构成磋商文件的其他材料</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04"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2.2.1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178" w:rightChars="-85"/>
              <w:jc w:val="center"/>
              <w:rPr>
                <w:rFonts w:ascii="宋体" w:cs="楷体_GB2312"/>
                <w:b/>
                <w:bCs/>
                <w:color w:val="auto"/>
                <w:sz w:val="24"/>
                <w:lang w:val="zh-CN"/>
              </w:rPr>
            </w:pPr>
            <w:r>
              <w:rPr>
                <w:rFonts w:hint="eastAsia" w:ascii="宋体" w:hAnsi="宋体" w:cs="楷体_GB2312"/>
                <w:b/>
                <w:bCs/>
                <w:color w:val="auto"/>
                <w:sz w:val="24"/>
                <w:lang w:val="zh-CN"/>
              </w:rPr>
              <w:t>投标人提出问题的截止时间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投标截止时间</w:t>
            </w:r>
            <w:r>
              <w:rPr>
                <w:rFonts w:ascii="宋体" w:hAnsi="宋体" w:cs="楷体_GB2312"/>
                <w:color w:val="auto"/>
                <w:sz w:val="24"/>
                <w:lang w:val="zh-CN"/>
              </w:rPr>
              <w:t>2</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2.3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right="-178" w:rightChars="-85"/>
              <w:jc w:val="center"/>
              <w:rPr>
                <w:rFonts w:ascii="宋体" w:cs="楷体_GB2312"/>
                <w:b/>
                <w:bCs/>
                <w:color w:val="auto"/>
                <w:sz w:val="24"/>
                <w:lang w:val="zh-CN"/>
              </w:rPr>
            </w:pPr>
            <w:r>
              <w:rPr>
                <w:rFonts w:hint="eastAsia" w:ascii="宋体" w:hAnsi="宋体" w:cs="楷体_GB2312"/>
                <w:b/>
                <w:bCs/>
                <w:color w:val="auto"/>
                <w:sz w:val="24"/>
                <w:lang w:val="zh-CN"/>
              </w:rPr>
              <w:t>磋商文件澄清修改补充时间</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投标截止时间</w:t>
            </w:r>
            <w:r>
              <w:rPr>
                <w:rFonts w:hint="eastAsia" w:ascii="宋体" w:hAnsi="宋体" w:cs="楷体_GB2312"/>
                <w:color w:val="auto"/>
                <w:sz w:val="24"/>
              </w:rPr>
              <w:t>5个工作</w:t>
            </w:r>
            <w:r>
              <w:rPr>
                <w:rFonts w:hint="eastAsia" w:ascii="宋体" w:hAnsi="宋体" w:cs="楷体_GB2312"/>
                <w:color w:val="auto"/>
                <w:sz w:val="24"/>
                <w:lang w:val="zh-CN"/>
              </w:rPr>
              <w:t>日前。</w:t>
            </w:r>
          </w:p>
        </w:tc>
      </w:tr>
      <w:tr>
        <w:tblPrEx>
          <w:tblCellMar>
            <w:top w:w="0" w:type="dxa"/>
            <w:left w:w="108" w:type="dxa"/>
            <w:bottom w:w="0" w:type="dxa"/>
            <w:right w:w="108" w:type="dxa"/>
          </w:tblCellMar>
        </w:tblPrEx>
        <w:trPr>
          <w:trHeight w:val="300"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ind w:left="-126" w:leftChars="-60" w:right="-36" w:rightChars="-17"/>
              <w:jc w:val="center"/>
              <w:rPr>
                <w:rFonts w:ascii="宋体" w:cs="楷体_GB2312"/>
                <w:b/>
                <w:bCs/>
                <w:color w:val="auto"/>
                <w:szCs w:val="21"/>
                <w:lang w:val="zh-CN"/>
              </w:rPr>
            </w:pPr>
            <w:r>
              <w:rPr>
                <w:rFonts w:hint="eastAsia" w:ascii="宋体" w:hAnsi="宋体" w:cs="楷体_GB2312"/>
                <w:b/>
                <w:bCs/>
                <w:color w:val="auto"/>
                <w:szCs w:val="21"/>
                <w:lang w:val="zh-CN"/>
              </w:rPr>
              <w:t>磋商文件的澄清修改补充告知方式</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35"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投标文件的组成</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67" w:hRule="atLeast"/>
          <w:jc w:val="center"/>
        </w:trPr>
        <w:tc>
          <w:tcPr>
            <w:tcW w:w="500" w:type="dxa"/>
            <w:tcBorders>
              <w:top w:val="single" w:color="auto" w:sz="6" w:space="0"/>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3.4.1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投标有效期</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从开标之日起，投标有效期为</w:t>
            </w:r>
            <w:r>
              <w:rPr>
                <w:rFonts w:ascii="宋体" w:hAnsi="宋体" w:cs="楷体_GB2312"/>
                <w:color w:val="auto"/>
                <w:sz w:val="24"/>
                <w:lang w:val="zh-CN"/>
              </w:rPr>
              <w:t>90</w:t>
            </w:r>
            <w:r>
              <w:rPr>
                <w:rFonts w:hint="eastAsia" w:ascii="宋体" w:hAnsi="宋体" w:cs="楷体_GB2312"/>
                <w:color w:val="auto"/>
                <w:sz w:val="24"/>
                <w:lang w:val="zh-CN"/>
              </w:rPr>
              <w:t>日历天</w:t>
            </w:r>
          </w:p>
        </w:tc>
      </w:tr>
      <w:tr>
        <w:tblPrEx>
          <w:tblCellMar>
            <w:top w:w="0" w:type="dxa"/>
            <w:left w:w="108" w:type="dxa"/>
            <w:bottom w:w="0" w:type="dxa"/>
            <w:right w:w="108" w:type="dxa"/>
          </w:tblCellMar>
        </w:tblPrEx>
        <w:trPr>
          <w:trHeight w:val="694" w:hRule="atLeast"/>
          <w:jc w:val="center"/>
        </w:trPr>
        <w:tc>
          <w:tcPr>
            <w:tcW w:w="500" w:type="dxa"/>
            <w:vMerge w:val="restart"/>
            <w:tcBorders>
              <w:left w:val="single" w:color="auto" w:sz="12" w:space="0"/>
              <w:bottom w:val="single" w:color="auto" w:sz="4"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4"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3.5.1</w:t>
            </w:r>
          </w:p>
        </w:tc>
        <w:tc>
          <w:tcPr>
            <w:tcW w:w="1874" w:type="dxa"/>
            <w:tcBorders>
              <w:top w:val="single" w:color="auto" w:sz="6" w:space="0"/>
              <w:left w:val="single" w:color="auto" w:sz="6" w:space="0"/>
              <w:bottom w:val="single" w:color="auto" w:sz="4"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Cs w:val="21"/>
                <w:lang w:val="zh-CN"/>
              </w:rPr>
            </w:pPr>
            <w:r>
              <w:rPr>
                <w:rFonts w:hint="eastAsia" w:ascii="宋体" w:cs="楷体_GB2312"/>
                <w:b/>
                <w:bCs/>
                <w:color w:val="auto"/>
                <w:szCs w:val="21"/>
                <w:lang w:val="zh-CN"/>
              </w:rPr>
              <w:t>投标承诺函</w:t>
            </w:r>
          </w:p>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cs="楷体_GB2312"/>
                <w:b/>
                <w:bCs/>
                <w:color w:val="auto"/>
                <w:szCs w:val="21"/>
                <w:lang w:val="zh-CN"/>
              </w:rPr>
              <w:t>（替代投标保证金）</w:t>
            </w:r>
          </w:p>
        </w:tc>
        <w:tc>
          <w:tcPr>
            <w:tcW w:w="6579" w:type="dxa"/>
            <w:tcBorders>
              <w:top w:val="single" w:color="auto" w:sz="6" w:space="0"/>
              <w:left w:val="single" w:color="auto" w:sz="6" w:space="0"/>
              <w:bottom w:val="single" w:color="auto" w:sz="4" w:space="0"/>
              <w:right w:val="single" w:color="auto" w:sz="12" w:space="0"/>
            </w:tcBorders>
            <w:vAlign w:val="center"/>
          </w:tcPr>
          <w:p>
            <w:pPr>
              <w:autoSpaceDE w:val="0"/>
              <w:autoSpaceDN w:val="0"/>
              <w:adjustRightInd w:val="0"/>
              <w:snapToGrid w:val="0"/>
              <w:spacing w:beforeLines="50" w:line="290" w:lineRule="exact"/>
              <w:rPr>
                <w:rFonts w:ascii="宋体" w:hAnsi="宋体" w:cs="楷体_GB2312"/>
                <w:color w:val="auto"/>
                <w:sz w:val="24"/>
                <w:lang w:val="zh-CN"/>
              </w:rPr>
            </w:pPr>
            <w:r>
              <w:rPr>
                <w:rFonts w:hint="eastAsia" w:ascii="宋体" w:hAnsi="宋体" w:cs="楷体_GB2312"/>
                <w:color w:val="auto"/>
                <w:sz w:val="24"/>
                <w:lang w:val="zh-CN"/>
              </w:rPr>
              <w:t>以投标承诺函形式替代投标保证金。</w:t>
            </w:r>
          </w:p>
          <w:p>
            <w:pPr>
              <w:autoSpaceDE w:val="0"/>
              <w:autoSpaceDN w:val="0"/>
              <w:adjustRightInd w:val="0"/>
              <w:snapToGrid w:val="0"/>
              <w:spacing w:beforeLines="50" w:line="290" w:lineRule="exact"/>
              <w:rPr>
                <w:rFonts w:ascii="宋体"/>
                <w:b/>
                <w:color w:val="auto"/>
                <w:sz w:val="24"/>
                <w:szCs w:val="24"/>
                <w:u w:val="single"/>
              </w:rPr>
            </w:pPr>
            <w:r>
              <w:rPr>
                <w:rFonts w:hint="eastAsia" w:ascii="宋体" w:hAnsi="宋体" w:cs="楷体_GB2312"/>
                <w:color w:val="auto"/>
                <w:sz w:val="24"/>
                <w:lang w:val="zh-CN"/>
              </w:rPr>
              <w:t>供应商应按附件格式进行投标承诺、违背承诺的责任追究。</w:t>
            </w:r>
          </w:p>
        </w:tc>
      </w:tr>
      <w:tr>
        <w:tblPrEx>
          <w:tblCellMar>
            <w:top w:w="0" w:type="dxa"/>
            <w:left w:w="108" w:type="dxa"/>
            <w:bottom w:w="0" w:type="dxa"/>
            <w:right w:w="108" w:type="dxa"/>
          </w:tblCellMar>
        </w:tblPrEx>
        <w:trPr>
          <w:trHeight w:val="577"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right="-88" w:rightChars="-42"/>
              <w:jc w:val="center"/>
              <w:rPr>
                <w:rFonts w:ascii="宋体" w:cs="楷体_GB2312"/>
                <w:b/>
                <w:bCs/>
                <w:color w:val="auto"/>
                <w:szCs w:val="21"/>
                <w:lang w:val="zh-CN"/>
              </w:rPr>
            </w:pPr>
            <w:r>
              <w:rPr>
                <w:rFonts w:ascii="宋体" w:hAnsi="宋体" w:cs="楷体_GB2312"/>
                <w:b/>
                <w:bCs/>
                <w:color w:val="auto"/>
                <w:szCs w:val="21"/>
                <w:lang w:val="zh-CN"/>
              </w:rPr>
              <w:t>3.7.3</w:t>
            </w:r>
          </w:p>
        </w:tc>
        <w:tc>
          <w:tcPr>
            <w:tcW w:w="1874" w:type="dxa"/>
            <w:tcBorders>
              <w:top w:val="single" w:color="auto" w:sz="4"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偏差描述</w:t>
            </w:r>
          </w:p>
        </w:tc>
        <w:tc>
          <w:tcPr>
            <w:tcW w:w="6579" w:type="dxa"/>
            <w:tcBorders>
              <w:top w:val="single" w:color="auto" w:sz="4" w:space="0"/>
              <w:left w:val="single" w:color="auto" w:sz="6" w:space="0"/>
              <w:bottom w:val="single" w:color="auto" w:sz="6" w:space="0"/>
              <w:right w:val="single" w:color="auto" w:sz="12" w:space="0"/>
            </w:tcBorders>
            <w:vAlign w:val="center"/>
          </w:tcPr>
          <w:p>
            <w:pPr>
              <w:snapToGrid w:val="0"/>
              <w:spacing w:beforeLines="50" w:line="290" w:lineRule="exact"/>
              <w:rPr>
                <w:b/>
                <w:color w:val="auto"/>
                <w:sz w:val="24"/>
                <w:szCs w:val="24"/>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65"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3.7.4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签字或盖章要求</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34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4.2.4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是否退还投标文件</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否</w:t>
            </w:r>
          </w:p>
        </w:tc>
      </w:tr>
      <w:tr>
        <w:tblPrEx>
          <w:tblCellMar>
            <w:top w:w="0" w:type="dxa"/>
            <w:left w:w="108" w:type="dxa"/>
            <w:bottom w:w="0" w:type="dxa"/>
            <w:right w:w="108" w:type="dxa"/>
          </w:tblCellMar>
        </w:tblPrEx>
        <w:trPr>
          <w:trHeight w:val="507" w:hRule="atLeast"/>
          <w:jc w:val="center"/>
        </w:trPr>
        <w:tc>
          <w:tcPr>
            <w:tcW w:w="500" w:type="dxa"/>
            <w:vMerge w:val="continue"/>
            <w:tcBorders>
              <w:left w:val="single" w:color="auto" w:sz="12" w:space="0"/>
              <w:bottom w:val="single" w:color="auto" w:sz="6"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lang w:val="zh-CN"/>
              </w:rPr>
            </w:pPr>
            <w:r>
              <w:rPr>
                <w:rFonts w:ascii="宋体" w:hAnsi="宋体" w:cs="楷体_GB2312"/>
                <w:b/>
                <w:bCs/>
                <w:color w:val="auto"/>
                <w:szCs w:val="21"/>
              </w:rPr>
              <w:t>6.1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磋商小组的组建</w:t>
            </w:r>
          </w:p>
        </w:tc>
        <w:tc>
          <w:tcPr>
            <w:tcW w:w="6579"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见“第三章投标人须知”相应条款</w:t>
            </w:r>
          </w:p>
        </w:tc>
      </w:tr>
      <w:tr>
        <w:tblPrEx>
          <w:tblCellMar>
            <w:top w:w="0" w:type="dxa"/>
            <w:left w:w="108" w:type="dxa"/>
            <w:bottom w:w="0" w:type="dxa"/>
            <w:right w:w="108" w:type="dxa"/>
          </w:tblCellMar>
        </w:tblPrEx>
        <w:trPr>
          <w:trHeight w:val="543" w:hRule="atLeast"/>
          <w:jc w:val="center"/>
        </w:trPr>
        <w:tc>
          <w:tcPr>
            <w:tcW w:w="500"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r>
              <w:rPr>
                <w:rFonts w:hint="eastAsia" w:ascii="宋体" w:hAnsi="宋体" w:cs="楷体_GB2312"/>
                <w:b/>
                <w:bCs/>
                <w:color w:val="auto"/>
                <w:sz w:val="24"/>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ind w:left="-134" w:leftChars="-64" w:right="-88" w:rightChars="-42"/>
              <w:jc w:val="center"/>
              <w:rPr>
                <w:rFonts w:ascii="宋体" w:cs="楷体_GB2312"/>
                <w:b/>
                <w:bCs/>
                <w:color w:val="auto"/>
                <w:szCs w:val="21"/>
              </w:rPr>
            </w:pPr>
            <w:r>
              <w:rPr>
                <w:rFonts w:ascii="宋体" w:hAnsi="宋体" w:cs="楷体_GB2312"/>
                <w:b/>
                <w:bCs/>
                <w:color w:val="auto"/>
                <w:szCs w:val="21"/>
              </w:rPr>
              <w:t>7.1</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highlight w:val="none"/>
              </w:rPr>
            </w:pPr>
            <w:r>
              <w:rPr>
                <w:rFonts w:hint="eastAsia" w:ascii="宋体" w:hAnsi="宋体"/>
                <w:b/>
                <w:color w:val="auto"/>
                <w:sz w:val="24"/>
                <w:highlight w:val="none"/>
              </w:rPr>
              <w:t>是否授权磋商小组确定成交供应商</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highlight w:val="none"/>
              </w:rPr>
            </w:pPr>
            <w:r>
              <w:rPr>
                <w:rFonts w:hint="eastAsia" w:ascii="宋体" w:hAnsi="宋体"/>
                <w:color w:val="auto"/>
                <w:sz w:val="24"/>
                <w:highlight w:val="none"/>
                <w:lang w:eastAsia="zh-CN"/>
              </w:rPr>
              <w:t>否</w:t>
            </w:r>
            <w:r>
              <w:rPr>
                <w:rFonts w:hint="eastAsia" w:ascii="宋体" w:hAnsi="宋体"/>
                <w:color w:val="auto"/>
                <w:sz w:val="24"/>
                <w:highlight w:val="none"/>
              </w:rPr>
              <w:t>。磋商小组按照最后</w:t>
            </w:r>
            <w:r>
              <w:rPr>
                <w:rFonts w:hint="eastAsia" w:ascii="宋体" w:hAnsi="宋体"/>
                <w:color w:val="auto"/>
                <w:sz w:val="24"/>
                <w:highlight w:val="none"/>
                <w:lang w:eastAsia="zh-CN"/>
              </w:rPr>
              <w:t>得分由高到低推荐</w:t>
            </w:r>
            <w:r>
              <w:rPr>
                <w:rFonts w:hint="eastAsia" w:ascii="宋体" w:hAnsi="宋体"/>
                <w:color w:val="auto"/>
                <w:sz w:val="24"/>
                <w:highlight w:val="none"/>
              </w:rPr>
              <w:t>3名成交候选人。</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7.2</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rPr>
            </w:pPr>
            <w:r>
              <w:rPr>
                <w:rFonts w:hint="eastAsia" w:ascii="宋体" w:hAnsi="宋体"/>
                <w:b/>
                <w:color w:val="auto"/>
                <w:sz w:val="24"/>
              </w:rPr>
              <w:t>成交结果公告</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本次竞争性磋商的成交结果将在成交供应商确定之日起1个工作日内，在磋商公告所述媒介公告</w:t>
            </w:r>
            <w:r>
              <w:rPr>
                <w:rFonts w:ascii="宋体" w:hAnsi="宋体"/>
                <w:color w:val="auto"/>
                <w:sz w:val="24"/>
              </w:rPr>
              <w:t>1</w:t>
            </w:r>
            <w:r>
              <w:rPr>
                <w:rFonts w:hint="eastAsia" w:ascii="宋体" w:hAnsi="宋体"/>
                <w:color w:val="auto"/>
                <w:sz w:val="24"/>
              </w:rPr>
              <w:t>个工作日。</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7.3</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质疑、投诉</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参与本次采购活动的供应商如有异议，可在各环节法定质疑期内向采购代理机构一次性提出针对该采购程序环节的纸质书面质疑函，书面原件送达至采购文件列示的采购代理机构及采购人联系人处；依据法规规定，质疑函应当有明确的请求和必要的证明材料，应当包括下列内容：</w:t>
            </w:r>
            <w:r>
              <w:rPr>
                <w:rFonts w:ascii="宋体" w:hAnsi="宋体"/>
                <w:color w:val="auto"/>
                <w:sz w:val="24"/>
              </w:rPr>
              <w:t>1</w:t>
            </w:r>
            <w:r>
              <w:rPr>
                <w:rFonts w:hint="eastAsia" w:ascii="宋体" w:hAnsi="宋体"/>
                <w:color w:val="auto"/>
                <w:sz w:val="24"/>
              </w:rPr>
              <w:t>、供应商的姓名或者名称、地址、邮编、联系人及联系电话；</w:t>
            </w:r>
            <w:r>
              <w:rPr>
                <w:rFonts w:ascii="宋体" w:hAnsi="宋体"/>
                <w:color w:val="auto"/>
                <w:sz w:val="24"/>
              </w:rPr>
              <w:t>2</w:t>
            </w:r>
            <w:r>
              <w:rPr>
                <w:rFonts w:hint="eastAsia" w:ascii="宋体" w:hAnsi="宋体"/>
                <w:color w:val="auto"/>
                <w:sz w:val="24"/>
              </w:rPr>
              <w:t>、质疑项目的名称、编号；</w:t>
            </w:r>
            <w:r>
              <w:rPr>
                <w:rFonts w:ascii="宋体" w:hAnsi="宋体"/>
                <w:color w:val="auto"/>
                <w:sz w:val="24"/>
              </w:rPr>
              <w:t>3</w:t>
            </w:r>
            <w:r>
              <w:rPr>
                <w:rFonts w:hint="eastAsia" w:ascii="宋体" w:hAnsi="宋体"/>
                <w:color w:val="auto"/>
                <w:sz w:val="24"/>
              </w:rPr>
              <w:t>、具体、明确的质疑事项和与质疑事项相关的请求；</w:t>
            </w:r>
            <w:r>
              <w:rPr>
                <w:rFonts w:ascii="宋体" w:hAnsi="宋体"/>
                <w:color w:val="auto"/>
                <w:sz w:val="24"/>
              </w:rPr>
              <w:t>4</w:t>
            </w:r>
            <w:r>
              <w:rPr>
                <w:rFonts w:hint="eastAsia" w:ascii="宋体" w:hAnsi="宋体"/>
                <w:color w:val="auto"/>
                <w:sz w:val="24"/>
              </w:rPr>
              <w:t>、事实依据；</w:t>
            </w:r>
            <w:r>
              <w:rPr>
                <w:rFonts w:ascii="宋体" w:hAnsi="宋体"/>
                <w:color w:val="auto"/>
                <w:sz w:val="24"/>
              </w:rPr>
              <w:t>5</w:t>
            </w:r>
            <w:r>
              <w:rPr>
                <w:rFonts w:hint="eastAsia" w:ascii="宋体" w:hAnsi="宋体"/>
                <w:color w:val="auto"/>
                <w:sz w:val="24"/>
              </w:rPr>
              <w:t>、必要的法律依据；</w:t>
            </w:r>
            <w:r>
              <w:rPr>
                <w:rFonts w:ascii="宋体" w:hAnsi="宋体"/>
                <w:color w:val="auto"/>
                <w:sz w:val="24"/>
              </w:rPr>
              <w:t>6</w:t>
            </w:r>
            <w:r>
              <w:rPr>
                <w:rFonts w:hint="eastAsia" w:ascii="宋体" w:hAnsi="宋体"/>
                <w:color w:val="auto"/>
                <w:sz w:val="24"/>
              </w:rPr>
              <w:t>、提出质疑的日期。供应商为自然人的，应当由本人签字；供应商为法人或者其他组织的，应当由法定代表人、主要负责人，或者其授权代表签字或者盖章，并加盖公章。如对采购代理机构的答复仍有异议的，可向同级财政局政府采购监督管理办公室提出书面投诉。（具体程序按照《政府采购质疑和投诉办法》执行）。</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rPr>
            </w:pPr>
            <w:r>
              <w:rPr>
                <w:rFonts w:ascii="宋体" w:hAnsi="宋体" w:cs="楷体_GB2312"/>
                <w:b/>
                <w:bCs/>
                <w:color w:val="auto"/>
                <w:szCs w:val="21"/>
              </w:rPr>
              <w:t>7.4</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rPr>
            </w:pPr>
            <w:r>
              <w:rPr>
                <w:rFonts w:hint="eastAsia" w:ascii="宋体" w:hAnsi="宋体" w:cs="楷体_GB2312"/>
                <w:b/>
                <w:bCs/>
                <w:color w:val="auto"/>
                <w:sz w:val="24"/>
              </w:rPr>
              <w:t>成交通知书</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s="楷体_GB2312"/>
                <w:color w:val="auto"/>
                <w:sz w:val="24"/>
                <w:lang w:val="zh-CN"/>
              </w:rPr>
            </w:pPr>
            <w:r>
              <w:rPr>
                <w:rFonts w:hint="eastAsia" w:ascii="宋体" w:hAnsi="宋体" w:cs="楷体_GB2312"/>
                <w:color w:val="auto"/>
                <w:sz w:val="24"/>
                <w:lang w:val="zh-CN"/>
              </w:rPr>
              <w:t>采购代理机构在成交供应商确定后</w:t>
            </w:r>
            <w:r>
              <w:rPr>
                <w:rFonts w:hint="eastAsia" w:ascii="宋体" w:hAnsi="宋体" w:cs="楷体_GB2312"/>
                <w:color w:val="auto"/>
                <w:sz w:val="24"/>
              </w:rPr>
              <w:t>1</w:t>
            </w:r>
            <w:r>
              <w:rPr>
                <w:rFonts w:hint="eastAsia" w:ascii="宋体" w:hAnsi="宋体" w:cs="楷体_GB2312"/>
                <w:color w:val="auto"/>
                <w:sz w:val="24"/>
                <w:lang w:val="zh-CN"/>
              </w:rPr>
              <w:t>个工作日内，向成交供应商发出成交通知书。</w:t>
            </w:r>
          </w:p>
        </w:tc>
      </w:tr>
      <w:tr>
        <w:tblPrEx>
          <w:tblCellMar>
            <w:top w:w="0" w:type="dxa"/>
            <w:left w:w="108" w:type="dxa"/>
            <w:bottom w:w="0" w:type="dxa"/>
            <w:right w:w="108" w:type="dxa"/>
          </w:tblCellMar>
        </w:tblPrEx>
        <w:trPr>
          <w:trHeight w:val="453" w:hRule="atLeast"/>
          <w:jc w:val="center"/>
        </w:trPr>
        <w:tc>
          <w:tcPr>
            <w:tcW w:w="500" w:type="dxa"/>
            <w:vMerge w:val="restart"/>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r>
              <w:rPr>
                <w:rFonts w:hint="eastAsia" w:ascii="宋体" w:hAnsi="宋体" w:cs="楷体_GB2312"/>
                <w:b/>
                <w:bCs/>
                <w:color w:val="auto"/>
                <w:sz w:val="24"/>
                <w:lang w:val="zh-CN"/>
              </w:rPr>
              <w:t>第三章</w:t>
            </w: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highlight w:val="none"/>
                <w:lang w:val="zh-CN"/>
              </w:rPr>
            </w:pPr>
            <w:r>
              <w:rPr>
                <w:rFonts w:ascii="宋体" w:hAnsi="宋体" w:cs="楷体_GB2312"/>
                <w:b/>
                <w:bCs/>
                <w:color w:val="auto"/>
                <w:szCs w:val="21"/>
                <w:highlight w:val="none"/>
                <w:lang w:val="zh-CN"/>
              </w:rPr>
              <w:t>7.5</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履约保证金</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highlight w:val="none"/>
              </w:rPr>
            </w:pPr>
            <w:r>
              <w:rPr>
                <w:color w:val="auto"/>
                <w:sz w:val="24"/>
                <w:szCs w:val="24"/>
                <w:highlight w:val="none"/>
              </w:rPr>
              <w:t>无</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napToGrid w:val="0"/>
              <w:spacing w:line="240" w:lineRule="auto"/>
              <w:jc w:val="center"/>
              <w:rPr>
                <w:rFonts w:ascii="宋体" w:cs="楷体_GB2312"/>
                <w:b/>
                <w:bCs/>
                <w:color w:val="auto"/>
                <w:sz w:val="24"/>
                <w:lang w:val="zh-CN"/>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napToGrid w:val="0"/>
              <w:spacing w:line="240" w:lineRule="auto"/>
              <w:jc w:val="center"/>
              <w:rPr>
                <w:rFonts w:ascii="宋体" w:cs="楷体_GB2312"/>
                <w:b/>
                <w:bCs/>
                <w:color w:val="auto"/>
                <w:szCs w:val="21"/>
                <w:lang w:val="zh-CN"/>
              </w:rPr>
            </w:pPr>
            <w:r>
              <w:rPr>
                <w:rFonts w:ascii="宋体" w:hAnsi="宋体" w:cs="楷体_GB2312"/>
                <w:b/>
                <w:bCs/>
                <w:color w:val="auto"/>
                <w:szCs w:val="21"/>
                <w:lang w:val="zh-CN"/>
              </w:rPr>
              <w:t>8</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lang w:val="zh-CN"/>
              </w:rPr>
            </w:pPr>
            <w:r>
              <w:rPr>
                <w:rFonts w:hint="eastAsia" w:ascii="宋体" w:hAnsi="宋体" w:cs="楷体_GB2312"/>
                <w:b/>
                <w:bCs/>
                <w:color w:val="auto"/>
                <w:sz w:val="24"/>
                <w:lang w:val="zh-CN"/>
              </w:rPr>
              <w:t>验收</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rPr>
            </w:pPr>
            <w:r>
              <w:rPr>
                <w:rFonts w:hint="eastAsia"/>
                <w:color w:val="auto"/>
                <w:sz w:val="24"/>
                <w:szCs w:val="24"/>
              </w:rPr>
              <w:t>见“第三章投标人须知”相应条款</w:t>
            </w:r>
          </w:p>
        </w:tc>
      </w:tr>
      <w:tr>
        <w:tblPrEx>
          <w:tblCellMar>
            <w:top w:w="0" w:type="dxa"/>
            <w:left w:w="108" w:type="dxa"/>
            <w:bottom w:w="0" w:type="dxa"/>
            <w:right w:w="108" w:type="dxa"/>
          </w:tblCellMar>
        </w:tblPrEx>
        <w:trPr>
          <w:trHeight w:val="453" w:hRule="atLeast"/>
          <w:jc w:val="center"/>
        </w:trPr>
        <w:tc>
          <w:tcPr>
            <w:tcW w:w="500" w:type="dxa"/>
            <w:vMerge w:val="continue"/>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highlight w:val="none"/>
              </w:rPr>
            </w:pPr>
            <w:r>
              <w:rPr>
                <w:rFonts w:ascii="宋体" w:hAnsi="宋体" w:cs="楷体_GB2312"/>
                <w:b/>
                <w:bCs/>
                <w:color w:val="auto"/>
                <w:sz w:val="24"/>
                <w:highlight w:val="none"/>
              </w:rPr>
              <w:t>9</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cs="楷体_GB2312"/>
                <w:b/>
                <w:bCs/>
                <w:color w:val="auto"/>
                <w:sz w:val="24"/>
                <w:highlight w:val="none"/>
                <w:lang w:val="zh-CN"/>
              </w:rPr>
            </w:pPr>
            <w:r>
              <w:rPr>
                <w:rFonts w:hint="eastAsia" w:ascii="宋体" w:hAnsi="宋体" w:cs="楷体_GB2312"/>
                <w:b/>
                <w:bCs/>
                <w:color w:val="auto"/>
                <w:sz w:val="24"/>
                <w:highlight w:val="none"/>
                <w:lang w:val="zh-CN"/>
              </w:rPr>
              <w:t>付款</w:t>
            </w:r>
          </w:p>
        </w:tc>
        <w:tc>
          <w:tcPr>
            <w:tcW w:w="6579" w:type="dxa"/>
            <w:tcBorders>
              <w:top w:val="single" w:color="auto" w:sz="6" w:space="0"/>
              <w:left w:val="single" w:color="auto" w:sz="6" w:space="0"/>
              <w:bottom w:val="single" w:color="auto" w:sz="6" w:space="0"/>
              <w:right w:val="single" w:color="auto" w:sz="12" w:space="0"/>
            </w:tcBorders>
            <w:vAlign w:val="center"/>
          </w:tcPr>
          <w:p>
            <w:pPr>
              <w:snapToGrid w:val="0"/>
              <w:spacing w:beforeLines="50" w:line="290" w:lineRule="exact"/>
              <w:rPr>
                <w:color w:val="auto"/>
                <w:sz w:val="24"/>
                <w:szCs w:val="24"/>
                <w:highlight w:val="none"/>
              </w:rPr>
            </w:pPr>
            <w:r>
              <w:rPr>
                <w:color w:val="auto"/>
                <w:sz w:val="24"/>
                <w:szCs w:val="24"/>
                <w:highlight w:val="none"/>
              </w:rPr>
              <w:t>验收合格后一次性付清。</w:t>
            </w:r>
          </w:p>
        </w:tc>
      </w:tr>
      <w:tr>
        <w:tblPrEx>
          <w:tblCellMar>
            <w:top w:w="0" w:type="dxa"/>
            <w:left w:w="108" w:type="dxa"/>
            <w:bottom w:w="0" w:type="dxa"/>
            <w:right w:w="108" w:type="dxa"/>
          </w:tblCellMar>
        </w:tblPrEx>
        <w:trPr>
          <w:trHeight w:val="453" w:hRule="atLeast"/>
          <w:jc w:val="center"/>
        </w:trPr>
        <w:tc>
          <w:tcPr>
            <w:tcW w:w="500" w:type="dxa"/>
            <w:tcBorders>
              <w:left w:val="single" w:color="auto" w:sz="12" w:space="0"/>
              <w:right w:val="single" w:color="auto" w:sz="6" w:space="0"/>
            </w:tcBorders>
          </w:tcPr>
          <w:p>
            <w:pPr>
              <w:autoSpaceDE w:val="0"/>
              <w:autoSpaceDN w:val="0"/>
              <w:adjustRightInd w:val="0"/>
              <w:spacing w:line="360" w:lineRule="auto"/>
              <w:rPr>
                <w:rFonts w:ascii="宋体" w:cs="楷体_GB2312"/>
                <w:b/>
                <w:bCs/>
                <w:color w:val="auto"/>
                <w:sz w:val="24"/>
              </w:rPr>
            </w:pPr>
          </w:p>
        </w:tc>
        <w:tc>
          <w:tcPr>
            <w:tcW w:w="694"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cs="楷体_GB2312"/>
                <w:b/>
                <w:bCs/>
                <w:color w:val="auto"/>
                <w:sz w:val="24"/>
              </w:rPr>
            </w:pPr>
            <w:r>
              <w:rPr>
                <w:rFonts w:ascii="宋体" w:hAnsi="宋体" w:cs="楷体_GB2312"/>
                <w:b/>
                <w:bCs/>
                <w:color w:val="auto"/>
                <w:sz w:val="24"/>
              </w:rPr>
              <w:t>10.</w:t>
            </w:r>
          </w:p>
        </w:tc>
        <w:tc>
          <w:tcPr>
            <w:tcW w:w="187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290" w:lineRule="exact"/>
              <w:jc w:val="center"/>
              <w:rPr>
                <w:rFonts w:ascii="宋体"/>
                <w:b/>
                <w:color w:val="auto"/>
                <w:sz w:val="24"/>
              </w:rPr>
            </w:pPr>
            <w:r>
              <w:rPr>
                <w:rFonts w:hint="eastAsia" w:ascii="宋体" w:hAnsi="宋体"/>
                <w:b/>
                <w:color w:val="auto"/>
                <w:sz w:val="24"/>
              </w:rPr>
              <w:t>代理服务费</w:t>
            </w:r>
          </w:p>
        </w:tc>
        <w:tc>
          <w:tcPr>
            <w:tcW w:w="6579" w:type="dxa"/>
            <w:tcBorders>
              <w:top w:val="single" w:color="auto" w:sz="6" w:space="0"/>
              <w:left w:val="single" w:color="auto" w:sz="6" w:space="0"/>
              <w:bottom w:val="single" w:color="auto" w:sz="6" w:space="0"/>
              <w:right w:val="single" w:color="auto" w:sz="12" w:space="0"/>
            </w:tcBorders>
            <w:vAlign w:val="center"/>
          </w:tcPr>
          <w:p>
            <w:pPr>
              <w:adjustRightInd w:val="0"/>
              <w:snapToGrid w:val="0"/>
              <w:spacing w:beforeLines="50" w:line="290" w:lineRule="exact"/>
              <w:rPr>
                <w:rFonts w:ascii="宋体"/>
                <w:color w:val="auto"/>
                <w:sz w:val="24"/>
              </w:rPr>
            </w:pPr>
            <w:r>
              <w:rPr>
                <w:rFonts w:hint="eastAsia" w:ascii="宋体" w:hAnsi="宋体"/>
                <w:color w:val="auto"/>
                <w:sz w:val="24"/>
              </w:rPr>
              <w:t>按照《河南省招标代理服务收费标准》的通知-豫招协[2023]002 号规定的收费标准收取。代理服务费由成交供应商支付。</w:t>
            </w:r>
          </w:p>
        </w:tc>
      </w:tr>
    </w:tbl>
    <w:p>
      <w:pPr>
        <w:autoSpaceDE w:val="0"/>
        <w:autoSpaceDN w:val="0"/>
        <w:adjustRightInd w:val="0"/>
        <w:spacing w:line="360" w:lineRule="auto"/>
        <w:rPr>
          <w:color w:val="auto"/>
        </w:rPr>
      </w:pPr>
    </w:p>
    <w:p>
      <w:pPr>
        <w:autoSpaceDE w:val="0"/>
        <w:autoSpaceDN w:val="0"/>
        <w:adjustRightInd w:val="0"/>
        <w:snapToGrid w:val="0"/>
        <w:spacing w:line="380" w:lineRule="exact"/>
        <w:ind w:firstLine="539"/>
        <w:outlineLvl w:val="1"/>
        <w:rPr>
          <w:rFonts w:ascii="黑体" w:hAnsi="黑体" w:eastAsia="黑体"/>
          <w:color w:val="auto"/>
          <w:sz w:val="28"/>
          <w:szCs w:val="28"/>
          <w:lang w:val="zh-CN"/>
        </w:rPr>
      </w:pPr>
      <w:bookmarkStart w:id="15" w:name="_Toc26366089"/>
      <w:bookmarkStart w:id="16" w:name="_Toc15414"/>
      <w:r>
        <w:rPr>
          <w:rFonts w:ascii="黑体" w:hAnsi="黑体" w:eastAsia="黑体" w:cs="楷体_GB2312"/>
          <w:b/>
          <w:bCs/>
          <w:color w:val="auto"/>
          <w:sz w:val="28"/>
          <w:szCs w:val="28"/>
          <w:lang w:val="zh-CN"/>
        </w:rPr>
        <w:t xml:space="preserve">1. </w:t>
      </w:r>
      <w:r>
        <w:rPr>
          <w:rFonts w:hint="eastAsia" w:ascii="黑体" w:hAnsi="黑体" w:eastAsia="黑体" w:cs="楷体_GB2312"/>
          <w:b/>
          <w:bCs/>
          <w:color w:val="auto"/>
          <w:sz w:val="28"/>
          <w:szCs w:val="28"/>
          <w:lang w:val="zh-CN"/>
        </w:rPr>
        <w:t>总则</w:t>
      </w:r>
      <w:bookmarkEnd w:id="15"/>
      <w:bookmarkEnd w:id="16"/>
    </w:p>
    <w:p>
      <w:pPr>
        <w:autoSpaceDE w:val="0"/>
        <w:autoSpaceDN w:val="0"/>
        <w:adjustRightInd w:val="0"/>
        <w:snapToGrid w:val="0"/>
        <w:spacing w:line="380" w:lineRule="exact"/>
        <w:ind w:firstLine="539"/>
        <w:rPr>
          <w:rFonts w:ascii="宋体"/>
          <w:color w:val="auto"/>
          <w:sz w:val="24"/>
          <w:szCs w:val="24"/>
        </w:rPr>
      </w:pPr>
      <w:r>
        <w:rPr>
          <w:rFonts w:ascii="黑体" w:hAnsi="黑体" w:eastAsia="黑体" w:cs="楷体_GB2312"/>
          <w:b/>
          <w:color w:val="auto"/>
          <w:sz w:val="24"/>
          <w:lang w:val="zh-CN"/>
        </w:rPr>
        <w:t xml:space="preserve">1.1 </w:t>
      </w:r>
      <w:r>
        <w:rPr>
          <w:rFonts w:hint="eastAsia" w:ascii="宋体" w:hAnsi="宋体"/>
          <w:color w:val="auto"/>
          <w:sz w:val="24"/>
          <w:szCs w:val="24"/>
        </w:rPr>
        <w:t>根据《中华人民共和国政府采购法》、《中华人民共和国政府采购法实施条例》、《政府采购非招标采购方式管理办法》及相关政府采购法律法规等制定本文件。</w:t>
      </w:r>
    </w:p>
    <w:p>
      <w:pPr>
        <w:adjustRightInd w:val="0"/>
        <w:snapToGrid w:val="0"/>
        <w:spacing w:line="380" w:lineRule="exact"/>
        <w:ind w:firstLine="482" w:firstLineChars="200"/>
        <w:rPr>
          <w:rFonts w:ascii="黑体" w:hAnsi="黑体" w:eastAsia="黑体" w:cs="楷体_GB2312"/>
          <w:b/>
          <w:color w:val="auto"/>
          <w:sz w:val="24"/>
        </w:rPr>
      </w:pPr>
      <w:r>
        <w:rPr>
          <w:rFonts w:ascii="黑体" w:hAnsi="黑体" w:eastAsia="黑体" w:cs="楷体_GB2312"/>
          <w:b/>
          <w:color w:val="auto"/>
          <w:sz w:val="24"/>
        </w:rPr>
        <w:t xml:space="preserve">1.2 </w:t>
      </w:r>
      <w:r>
        <w:rPr>
          <w:rFonts w:hint="eastAsia" w:ascii="黑体" w:hAnsi="黑体" w:eastAsia="黑体" w:cs="楷体_GB2312"/>
          <w:b/>
          <w:color w:val="auto"/>
          <w:sz w:val="24"/>
          <w:lang w:val="zh-CN"/>
        </w:rPr>
        <w:t>磋商文件的法律适用及法律效力</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1.2.1</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所述内容，仅适用于本次项目采购。</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1.2.2 </w:t>
      </w:r>
      <w:r>
        <w:rPr>
          <w:rFonts w:hint="eastAsia" w:ascii="宋体" w:hAnsi="宋体" w:cs="宋体"/>
          <w:color w:val="auto"/>
          <w:sz w:val="24"/>
          <w:szCs w:val="24"/>
        </w:rPr>
        <w:t>磋商文件</w:t>
      </w:r>
      <w:r>
        <w:rPr>
          <w:rFonts w:hint="eastAsia" w:ascii="宋体" w:hAnsi="宋体"/>
          <w:color w:val="auto"/>
          <w:sz w:val="24"/>
          <w:szCs w:val="24"/>
        </w:rPr>
        <w:t>的修改性文件、补充文件、澄清文件或说明具有同等法律效力。</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1.2.3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适用于并执行《政府采购法》和其它相关的法律、法规。</w:t>
      </w:r>
    </w:p>
    <w:p>
      <w:pPr>
        <w:adjustRightInd w:val="0"/>
        <w:snapToGrid w:val="0"/>
        <w:spacing w:line="380" w:lineRule="exact"/>
        <w:ind w:firstLine="544" w:firstLineChars="227"/>
        <w:rPr>
          <w:rFonts w:ascii="宋体"/>
          <w:color w:val="auto"/>
          <w:sz w:val="24"/>
          <w:szCs w:val="24"/>
        </w:rPr>
      </w:pPr>
      <w:r>
        <w:rPr>
          <w:rFonts w:ascii="宋体" w:hAnsi="宋体"/>
          <w:color w:val="auto"/>
          <w:sz w:val="24"/>
          <w:szCs w:val="24"/>
        </w:rPr>
        <w:t xml:space="preserve">1.2.4 </w:t>
      </w:r>
      <w:r>
        <w:rPr>
          <w:rFonts w:hint="eastAsia" w:ascii="宋体" w:hAnsi="宋体"/>
          <w:color w:val="auto"/>
          <w:sz w:val="24"/>
          <w:szCs w:val="24"/>
        </w:rPr>
        <w:t>本</w:t>
      </w:r>
      <w:r>
        <w:rPr>
          <w:rFonts w:hint="eastAsia" w:ascii="宋体" w:hAnsi="宋体" w:cs="宋体"/>
          <w:color w:val="auto"/>
          <w:sz w:val="24"/>
          <w:szCs w:val="24"/>
        </w:rPr>
        <w:t>磋商文件</w:t>
      </w:r>
      <w:r>
        <w:rPr>
          <w:rFonts w:hint="eastAsia" w:ascii="宋体" w:hAnsi="宋体"/>
          <w:color w:val="auto"/>
          <w:sz w:val="24"/>
          <w:szCs w:val="24"/>
        </w:rPr>
        <w:t>的解释权属采购人及代理机构。</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1.3 </w:t>
      </w:r>
      <w:r>
        <w:rPr>
          <w:rFonts w:hint="eastAsia" w:ascii="黑体" w:hAnsi="黑体" w:eastAsia="黑体" w:cs="楷体_GB2312"/>
          <w:b/>
          <w:color w:val="auto"/>
          <w:sz w:val="24"/>
          <w:lang w:val="zh-CN"/>
        </w:rPr>
        <w:t>合格的投标人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1.3.1 </w:t>
      </w:r>
      <w:r>
        <w:rPr>
          <w:rFonts w:hint="eastAsia" w:ascii="宋体" w:hAnsi="宋体" w:cs="楷体_GB2312"/>
          <w:color w:val="auto"/>
          <w:sz w:val="24"/>
          <w:lang w:val="zh-CN"/>
        </w:rPr>
        <w:t>凡符合磋商文件规定，承认本磋商文件所有内容的投标人为合格的投标人。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1.3.2 </w:t>
      </w:r>
      <w:r>
        <w:rPr>
          <w:rFonts w:hint="eastAsia" w:ascii="宋体" w:hAnsi="宋体" w:cs="楷体_GB2312"/>
          <w:color w:val="auto"/>
          <w:sz w:val="24"/>
          <w:lang w:val="zh-CN"/>
        </w:rPr>
        <w:t>单位负责人为同一人或者存在直接控股、管理关系的不同供应商，不得参加同一合同项下的政府采购活动。</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1.3.3 </w:t>
      </w:r>
      <w:r>
        <w:rPr>
          <w:rFonts w:hint="eastAsia" w:ascii="宋体" w:hAnsi="宋体" w:cs="楷体_GB2312"/>
          <w:color w:val="auto"/>
          <w:sz w:val="24"/>
          <w:lang w:val="zh-CN"/>
        </w:rPr>
        <w:t>为采购项目提供整体设计、规范编制或者项目管理、监理、检测等服务的供应商，不得再参加该采购项目的其他采购活动。</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1.3.4 </w:t>
      </w:r>
      <w:r>
        <w:rPr>
          <w:rFonts w:hint="eastAsia" w:ascii="宋体" w:hAnsi="宋体" w:cs="楷体_GB2312"/>
          <w:color w:val="auto"/>
          <w:sz w:val="24"/>
          <w:lang w:val="zh-CN"/>
        </w:rPr>
        <w:t>投标人应遵守国家法律、法规和磋商文件的规定。</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1.4</w:t>
      </w:r>
      <w:r>
        <w:rPr>
          <w:rFonts w:hint="eastAsia" w:ascii="黑体" w:hAnsi="黑体" w:eastAsia="黑体" w:cs="楷体_GB2312"/>
          <w:b/>
          <w:color w:val="auto"/>
          <w:sz w:val="24"/>
          <w:lang w:val="zh-CN"/>
        </w:rPr>
        <w:t>　联合体</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如投标人须知前附表规定接受联合体投标的，应遵守以下规定：</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cs="楷体_GB2312"/>
          <w:color w:val="auto"/>
          <w:sz w:val="24"/>
          <w:lang w:val="zh-CN"/>
        </w:rPr>
        <w:t>（</w:t>
      </w:r>
      <w:r>
        <w:rPr>
          <w:rFonts w:ascii="宋体" w:cs="楷体_GB2312"/>
          <w:color w:val="auto"/>
          <w:sz w:val="24"/>
          <w:lang w:val="zh-CN"/>
        </w:rPr>
        <w:t>1</w:t>
      </w:r>
      <w:r>
        <w:rPr>
          <w:rFonts w:hint="eastAsia" w:ascii="宋体" w:cs="楷体_GB2312"/>
          <w:color w:val="auto"/>
          <w:sz w:val="24"/>
          <w:lang w:val="zh-CN"/>
        </w:rPr>
        <w:t>）两个以上的自然人、法人或者其他组织组成一个联合体，以一个供应商的身份共同参加政府采购活动的，应当对所有的联合体成员进行信用记录查询，联合体成员存在不良信用记录的，视同联合体存在不良信用记录。</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）两个以上供应商可以组成一个投标联合体，以一个投标人的身份投标，但必须确定其中一个单位为投标的全权代表参加投标活动，并承担投标及履约中应承担的全部责任和义务。</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以联合体形式参加投标的，应符投标人须知前附表的要求，联合体各方均应当符合政府采购法第二十二条第一款规定的条件，联合体各方均应当具备承担采购项目（标段）的相应能力、具备规定的相应资格条件。全权代表一方的条件应符合投标资格要求。</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）联合体中有同类资质的供应商按照联合体分工承担相同工作的，应当按照资质等级较低的供应商确定资质等级。</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）联合体各方之间应当签订联合投标协议，明确约定联合体各方承担的工作和相应的责任，并将联合投标协议连同投标文件一并提交采购代理机构。</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）联合体各方签订联合投标协议后，不得再以自己名义单独在同一项目中投标，也不得组成新的联合体参加同一项目投标。</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7</w:t>
      </w:r>
      <w:r>
        <w:rPr>
          <w:rFonts w:hint="eastAsia" w:ascii="宋体" w:hAnsi="宋体" w:cs="楷体_GB2312"/>
          <w:color w:val="auto"/>
          <w:sz w:val="24"/>
          <w:lang w:val="zh-CN"/>
        </w:rPr>
        <w:t>）联合体中标（成交）的，联合体各方应当共同与采购人签订合同，就中标（成交）项目（标段）向采购人承担连带责任。</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1.5  </w:t>
      </w:r>
      <w:r>
        <w:rPr>
          <w:rFonts w:hint="eastAsia" w:ascii="黑体" w:hAnsi="黑体" w:eastAsia="黑体" w:cs="楷体_GB2312"/>
          <w:b/>
          <w:color w:val="auto"/>
          <w:sz w:val="24"/>
          <w:lang w:val="zh-CN"/>
        </w:rPr>
        <w:t>知识产权</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1.5.1 </w:t>
      </w:r>
      <w:r>
        <w:rPr>
          <w:rFonts w:hint="eastAsia" w:ascii="宋体" w:hAnsi="宋体" w:cs="楷体_GB2312"/>
          <w:color w:val="auto"/>
          <w:sz w:val="24"/>
          <w:lang w:val="zh-CN"/>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响应的知识产权，则在投标报价中必须包括合法获取该知识产权的一切相关费用。如因此导致采购人损失的，供应商须承担全部赔偿责任。</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1.5.2 </w:t>
      </w:r>
      <w:r>
        <w:rPr>
          <w:rFonts w:hint="eastAsia" w:ascii="宋体" w:hAnsi="宋体" w:cs="楷体_GB2312"/>
          <w:color w:val="auto"/>
          <w:sz w:val="24"/>
          <w:lang w:val="zh-CN"/>
        </w:rPr>
        <w:t>供应商如欲在项目实施过程中采用自有知识成果，须在投标文件中声明，并提供相关知识产权证明文件。使用该知识成果后，供应商须提供开发接口和开发手册等技术文档。</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1.6  </w:t>
      </w:r>
      <w:r>
        <w:rPr>
          <w:rFonts w:hint="eastAsia" w:ascii="黑体" w:hAnsi="黑体" w:eastAsia="黑体" w:cs="楷体_GB2312"/>
          <w:b/>
          <w:color w:val="auto"/>
          <w:sz w:val="24"/>
          <w:lang w:val="zh-CN"/>
        </w:rPr>
        <w:t>投标费用</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无论投标过程中的做法和结果如何，无论何种原因的磋商失败废标或终止，投标人应自行承担所有与准备和参加投标有关的全部费用（类比商业采购中的客户洽谈费用），采购代理机构在任何情况下均无义务和责任承担投标人的任何费用。</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1.7 </w:t>
      </w:r>
      <w:r>
        <w:rPr>
          <w:rFonts w:hint="eastAsia" w:ascii="黑体" w:hAnsi="黑体" w:eastAsia="黑体" w:cs="楷体_GB2312"/>
          <w:b/>
          <w:color w:val="auto"/>
          <w:sz w:val="24"/>
          <w:lang w:val="zh-CN"/>
        </w:rPr>
        <w:t>保密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1.7.1 </w:t>
      </w:r>
      <w:r>
        <w:rPr>
          <w:rFonts w:hint="eastAsia" w:ascii="宋体" w:hAnsi="宋体" w:cs="楷体_GB2312"/>
          <w:color w:val="auto"/>
          <w:sz w:val="24"/>
          <w:lang w:val="zh-CN"/>
        </w:rPr>
        <w:t>参与竞争性磋商活动的各方应对磋商文件和投标文件中的商业和技术等秘密保密，投标人应在投标文件中对需保密事项予以书面声明，否则视为非保密事项。</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1.7.2 </w:t>
      </w:r>
      <w:r>
        <w:rPr>
          <w:rFonts w:hint="eastAsia" w:ascii="宋体" w:hAnsi="宋体" w:cs="楷体_GB2312"/>
          <w:color w:val="auto"/>
          <w:sz w:val="24"/>
          <w:lang w:val="zh-CN"/>
        </w:rPr>
        <w:t>依据政府采购成交结果及合同公告规定，成交（合同）标的名称、规格型号、单价及成交（合同）金额等内容不得作为商业秘密。</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1.8 </w:t>
      </w:r>
      <w:r>
        <w:rPr>
          <w:rFonts w:hint="eastAsia" w:ascii="黑体" w:hAnsi="黑体" w:eastAsia="黑体" w:cs="楷体_GB2312"/>
          <w:b/>
          <w:color w:val="auto"/>
          <w:sz w:val="24"/>
          <w:lang w:val="zh-CN"/>
        </w:rPr>
        <w:t>语言文字</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除专用术语外，与竞争性磋商有关的语言均使用中文。必要时专用术语应附有中文注释。如果投标文件或与投标有关的其它文件、信件及来往函电以其它语言书写，投标人应将其译成中文，并对中文译稿的真实、准确、完整承担责任。</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1.9 </w:t>
      </w:r>
      <w:r>
        <w:rPr>
          <w:rFonts w:hint="eastAsia" w:ascii="黑体" w:hAnsi="黑体" w:eastAsia="黑体" w:cs="楷体_GB2312"/>
          <w:b/>
          <w:color w:val="auto"/>
          <w:sz w:val="24"/>
          <w:lang w:val="zh-CN"/>
        </w:rPr>
        <w:t>计量单位</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所有计量均采用中华人民共和国法定计量单位。</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1.10 </w:t>
      </w:r>
      <w:r>
        <w:rPr>
          <w:rFonts w:hint="eastAsia" w:ascii="黑体" w:hAnsi="黑体" w:eastAsia="黑体" w:cs="楷体_GB2312"/>
          <w:b/>
          <w:color w:val="auto"/>
          <w:sz w:val="24"/>
          <w:lang w:val="zh-CN"/>
        </w:rPr>
        <w:t>踏勘现场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1.10.1</w:t>
      </w:r>
      <w:r>
        <w:rPr>
          <w:rFonts w:hint="eastAsia" w:ascii="宋体" w:hAnsi="宋体" w:cs="楷体_GB2312"/>
          <w:color w:val="auto"/>
          <w:sz w:val="24"/>
          <w:lang w:val="zh-CN"/>
        </w:rPr>
        <w:t>投标人踏勘现场发生的费用自理，投标人自行负责在踏勘现场中所发生的人员伤亡和财产损失。</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1.10.2</w:t>
      </w:r>
      <w:r>
        <w:rPr>
          <w:rFonts w:hint="eastAsia" w:ascii="宋体" w:hAnsi="宋体" w:cs="楷体_GB2312"/>
          <w:color w:val="auto"/>
          <w:sz w:val="24"/>
          <w:lang w:val="zh-CN"/>
        </w:rPr>
        <w:t>投标人须知前附表规定组织踏勘现场的，采购人及代理机构按投标人须知前附表规定的时间、地点组织投标人踏勘项目现场。采购人及代理机构在踏勘现场中介绍的交验安装条件和相关的周边环境情况，供投标人在编制投标文件时参考，采购人及代理机构不对投标人据此作出的判断和决策负责。</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1.10.3  </w:t>
      </w:r>
      <w:r>
        <w:rPr>
          <w:rFonts w:hint="eastAsia" w:ascii="宋体" w:hAnsi="宋体" w:cs="楷体_GB2312"/>
          <w:color w:val="auto"/>
          <w:sz w:val="24"/>
          <w:lang w:val="zh-CN"/>
        </w:rPr>
        <w:t>投标人须知前附表规定不组织踏勘现场的，磋商文件不单独提供交验地自然环境、气候条件、交验安装条件等情况说明，投标人被视为熟悉前述与履行合同有关的一切情况，投标人可自行踏勘现场并自行了解相关情况。</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1.11 </w:t>
      </w:r>
      <w:r>
        <w:rPr>
          <w:rFonts w:hint="eastAsia" w:ascii="黑体" w:hAnsi="黑体" w:eastAsia="黑体" w:cs="楷体_GB2312"/>
          <w:b/>
          <w:color w:val="auto"/>
          <w:sz w:val="24"/>
          <w:lang w:val="zh-CN"/>
        </w:rPr>
        <w:t>投标预备会</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1.11.1 </w:t>
      </w:r>
      <w:r>
        <w:rPr>
          <w:rFonts w:hint="eastAsia" w:ascii="宋体" w:hAnsi="宋体" w:cs="楷体_GB2312"/>
          <w:color w:val="auto"/>
          <w:sz w:val="24"/>
          <w:lang w:val="zh-CN"/>
        </w:rPr>
        <w:t>投标人须知前附表规定召开投标预备会的，采购人及代理机构按投标人须知前附表规定的时间和地点召开投标预备会，澄清投标人提出的问题。</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1.11.2 </w:t>
      </w:r>
      <w:r>
        <w:rPr>
          <w:rFonts w:hint="eastAsia" w:ascii="宋体" w:hAnsi="宋体" w:cs="楷体_GB2312"/>
          <w:color w:val="auto"/>
          <w:sz w:val="24"/>
          <w:lang w:val="zh-CN"/>
        </w:rPr>
        <w:t>投标人应在投标人须知前附表规定的时间前，以书面形式将提出的问题送达采购人及代理机构，以便采购人及代理机构在会议期间澄清。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1.11.3 </w:t>
      </w:r>
      <w:r>
        <w:rPr>
          <w:rFonts w:hint="eastAsia" w:ascii="宋体" w:hAnsi="宋体" w:cs="楷体_GB2312"/>
          <w:color w:val="auto"/>
          <w:sz w:val="24"/>
          <w:lang w:val="zh-CN"/>
        </w:rPr>
        <w:t>投标预备会后，采购人及代理机构在投标人须知前附表规定的时间内，将对投标人所提问题的澄清，以本章</w:t>
      </w:r>
      <w:r>
        <w:rPr>
          <w:rFonts w:ascii="宋体" w:hAnsi="宋体" w:cs="楷体_GB2312"/>
          <w:color w:val="auto"/>
          <w:sz w:val="24"/>
          <w:lang w:val="zh-CN"/>
        </w:rPr>
        <w:t>2.3.2</w:t>
      </w:r>
      <w:r>
        <w:rPr>
          <w:rFonts w:hint="eastAsia" w:ascii="宋体" w:hAnsi="宋体" w:cs="楷体_GB2312"/>
          <w:color w:val="auto"/>
          <w:sz w:val="24"/>
          <w:lang w:val="zh-CN"/>
        </w:rPr>
        <w:t>项方式通告潜在投标人。该澄清内容为磋商文件的组成部分。</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黑体" w:hAnsi="黑体" w:eastAsia="黑体" w:cs="楷体_GB2312"/>
          <w:b/>
          <w:color w:val="auto"/>
          <w:sz w:val="24"/>
          <w:lang w:val="zh-CN"/>
        </w:rPr>
      </w:pPr>
      <w:r>
        <w:rPr>
          <w:rFonts w:ascii="黑体" w:hAnsi="黑体" w:eastAsia="黑体" w:cs="楷体_GB2312"/>
          <w:b/>
          <w:color w:val="auto"/>
          <w:sz w:val="24"/>
          <w:lang w:val="zh-CN"/>
        </w:rPr>
        <w:t xml:space="preserve">1.12 </w:t>
      </w:r>
      <w:r>
        <w:rPr>
          <w:rFonts w:hint="eastAsia" w:ascii="黑体" w:hAnsi="黑体" w:eastAsia="黑体" w:cs="楷体_GB2312"/>
          <w:b/>
          <w:color w:val="auto"/>
          <w:sz w:val="24"/>
          <w:lang w:val="zh-CN"/>
        </w:rPr>
        <w:t>分包</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宋体" w:cs="楷体_GB2312"/>
          <w:color w:val="auto"/>
          <w:sz w:val="24"/>
          <w:lang w:val="zh-CN"/>
        </w:rPr>
      </w:pPr>
      <w:r>
        <w:rPr>
          <w:rFonts w:hint="eastAsia" w:ascii="宋体" w:hAnsi="宋体" w:cs="楷体_GB2312"/>
          <w:color w:val="auto"/>
          <w:sz w:val="24"/>
          <w:lang w:val="zh-CN"/>
        </w:rPr>
        <w:t>投标人拟在成交后将成交项目</w:t>
      </w:r>
      <w:r>
        <w:rPr>
          <w:rFonts w:ascii="宋体" w:hAnsi="宋体" w:cs="楷体_GB2312"/>
          <w:color w:val="auto"/>
          <w:sz w:val="24"/>
          <w:lang w:val="zh-CN"/>
        </w:rPr>
        <w:t>(</w:t>
      </w:r>
      <w:r>
        <w:rPr>
          <w:rFonts w:hint="eastAsia" w:ascii="宋体" w:hAnsi="宋体" w:cs="楷体_GB2312"/>
          <w:color w:val="auto"/>
          <w:sz w:val="24"/>
          <w:lang w:val="zh-CN"/>
        </w:rPr>
        <w:t>标段</w:t>
      </w:r>
      <w:r>
        <w:rPr>
          <w:rFonts w:ascii="宋体" w:hAnsi="宋体" w:cs="楷体_GB2312"/>
          <w:color w:val="auto"/>
          <w:sz w:val="24"/>
          <w:lang w:val="zh-CN"/>
        </w:rPr>
        <w:t>)</w:t>
      </w:r>
      <w:r>
        <w:rPr>
          <w:rFonts w:hint="eastAsia" w:ascii="宋体" w:hAnsi="宋体" w:cs="楷体_GB2312"/>
          <w:color w:val="auto"/>
          <w:sz w:val="24"/>
          <w:lang w:val="zh-CN"/>
        </w:rPr>
        <w:t>的部分非主体、非关键性工作进行分包的，应符合投标人须知前附表规定的分包内容、分包金额和接受分包的第三人资质要求等限制性条件。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539"/>
        <w:textAlignment w:val="baseline"/>
        <w:rPr>
          <w:rFonts w:ascii="黑体" w:hAnsi="黑体" w:eastAsia="黑体" w:cs="楷体_GB2312"/>
          <w:b/>
          <w:color w:val="auto"/>
          <w:sz w:val="24"/>
          <w:lang w:val="zh-CN"/>
        </w:rPr>
      </w:pPr>
      <w:r>
        <w:rPr>
          <w:rFonts w:ascii="黑体" w:hAnsi="黑体" w:eastAsia="黑体" w:cs="楷体_GB2312"/>
          <w:b/>
          <w:color w:val="auto"/>
          <w:sz w:val="24"/>
          <w:lang w:val="zh-CN"/>
        </w:rPr>
        <w:t xml:space="preserve">1.13 </w:t>
      </w:r>
      <w:r>
        <w:rPr>
          <w:rFonts w:hint="eastAsia" w:ascii="黑体" w:hAnsi="黑体" w:eastAsia="黑体" w:cs="楷体_GB2312"/>
          <w:b/>
          <w:color w:val="auto"/>
          <w:sz w:val="24"/>
          <w:lang w:val="zh-CN"/>
        </w:rPr>
        <w:t>偏离</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磋商文件允许投标文件偏离磋商文件某些要求的，偏离应当符合磋商文件规定的偏离范围和幅度。</w:t>
      </w: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17" w:name="_Toc30881"/>
      <w:bookmarkStart w:id="18" w:name="_Toc26366090"/>
      <w:r>
        <w:rPr>
          <w:rFonts w:ascii="黑体" w:hAnsi="黑体" w:eastAsia="黑体" w:cs="楷体_GB2312"/>
          <w:b/>
          <w:bCs/>
          <w:color w:val="auto"/>
          <w:sz w:val="28"/>
          <w:szCs w:val="28"/>
          <w:lang w:val="zh-CN"/>
        </w:rPr>
        <w:t xml:space="preserve">2. </w:t>
      </w:r>
      <w:r>
        <w:rPr>
          <w:rFonts w:hint="eastAsia" w:ascii="黑体" w:hAnsi="黑体" w:eastAsia="黑体" w:cs="楷体_GB2312"/>
          <w:b/>
          <w:bCs/>
          <w:color w:val="auto"/>
          <w:sz w:val="28"/>
          <w:szCs w:val="28"/>
          <w:lang w:val="zh-CN"/>
        </w:rPr>
        <w:t>磋商文件</w:t>
      </w:r>
      <w:bookmarkEnd w:id="17"/>
      <w:bookmarkEnd w:id="18"/>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2.1</w:t>
      </w:r>
      <w:r>
        <w:rPr>
          <w:rFonts w:hint="eastAsia" w:ascii="黑体" w:hAnsi="黑体" w:eastAsia="黑体" w:cs="楷体_GB2312"/>
          <w:b/>
          <w:color w:val="auto"/>
          <w:sz w:val="24"/>
          <w:lang w:val="zh-CN"/>
        </w:rPr>
        <w:t>磋商文件的组成</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2.1.1 </w:t>
      </w:r>
      <w:r>
        <w:rPr>
          <w:rFonts w:hint="eastAsia" w:ascii="宋体" w:hAnsi="宋体" w:cs="楷体_GB2312"/>
          <w:color w:val="auto"/>
          <w:sz w:val="24"/>
          <w:lang w:val="zh-CN"/>
        </w:rPr>
        <w:t>磋商文件用以阐明采购项目的内容、程序和合同主要条款。磋商文件由下述部分组成：</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1</w:t>
      </w:r>
      <w:r>
        <w:rPr>
          <w:rFonts w:hint="eastAsia" w:ascii="宋体" w:hAnsi="宋体" w:cs="楷体_GB2312"/>
          <w:color w:val="auto"/>
          <w:sz w:val="24"/>
          <w:lang w:val="zh-CN"/>
        </w:rPr>
        <w:t>）磋商公告</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）采购项目及技术、服务要求</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）投标人须知</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4</w:t>
      </w:r>
      <w:r>
        <w:rPr>
          <w:rFonts w:hint="eastAsia" w:ascii="宋体" w:hAnsi="宋体" w:cs="楷体_GB2312"/>
          <w:color w:val="auto"/>
          <w:sz w:val="24"/>
          <w:lang w:val="zh-CN"/>
        </w:rPr>
        <w:t>）评审办法</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5</w:t>
      </w:r>
      <w:r>
        <w:rPr>
          <w:rFonts w:hint="eastAsia" w:ascii="宋体" w:hAnsi="宋体" w:cs="楷体_GB2312"/>
          <w:color w:val="auto"/>
          <w:sz w:val="24"/>
          <w:lang w:val="zh-CN"/>
        </w:rPr>
        <w:t>）合同主要条款</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w:t>
      </w:r>
      <w:r>
        <w:rPr>
          <w:rFonts w:ascii="宋体" w:hAnsi="宋体" w:cs="楷体_GB2312"/>
          <w:color w:val="auto"/>
          <w:sz w:val="24"/>
          <w:lang w:val="zh-CN"/>
        </w:rPr>
        <w:t>6</w:t>
      </w:r>
      <w:r>
        <w:rPr>
          <w:rFonts w:hint="eastAsia" w:ascii="宋体" w:hAnsi="宋体" w:cs="楷体_GB2312"/>
          <w:color w:val="auto"/>
          <w:sz w:val="24"/>
          <w:lang w:val="zh-CN"/>
        </w:rPr>
        <w:t>）投标文件格式</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2.1.2 </w:t>
      </w:r>
      <w:r>
        <w:rPr>
          <w:rFonts w:hint="eastAsia" w:ascii="宋体" w:hAnsi="宋体" w:cs="楷体_GB2312"/>
          <w:color w:val="auto"/>
          <w:sz w:val="24"/>
          <w:lang w:val="zh-CN"/>
        </w:rPr>
        <w:t>根据本章第</w:t>
      </w:r>
      <w:r>
        <w:rPr>
          <w:rFonts w:ascii="宋体" w:hAnsi="宋体" w:cs="楷体_GB2312"/>
          <w:color w:val="auto"/>
          <w:sz w:val="24"/>
          <w:lang w:val="zh-CN"/>
        </w:rPr>
        <w:t>1.11</w:t>
      </w:r>
      <w:r>
        <w:rPr>
          <w:rFonts w:hint="eastAsia" w:ascii="宋体" w:hAnsi="宋体" w:cs="楷体_GB2312"/>
          <w:color w:val="auto"/>
          <w:sz w:val="24"/>
          <w:lang w:val="zh-CN"/>
        </w:rPr>
        <w:t>款、第</w:t>
      </w:r>
      <w:r>
        <w:rPr>
          <w:rFonts w:ascii="宋体" w:hAnsi="宋体" w:cs="楷体_GB2312"/>
          <w:color w:val="auto"/>
          <w:sz w:val="24"/>
          <w:lang w:val="zh-CN"/>
        </w:rPr>
        <w:t>2.2</w:t>
      </w:r>
      <w:r>
        <w:rPr>
          <w:rFonts w:hint="eastAsia" w:ascii="宋体" w:hAnsi="宋体" w:cs="楷体_GB2312"/>
          <w:color w:val="auto"/>
          <w:sz w:val="24"/>
          <w:lang w:val="zh-CN"/>
        </w:rPr>
        <w:t>款和第</w:t>
      </w:r>
      <w:r>
        <w:rPr>
          <w:rFonts w:ascii="宋体" w:hAnsi="宋体" w:cs="楷体_GB2312"/>
          <w:color w:val="auto"/>
          <w:sz w:val="24"/>
          <w:lang w:val="zh-CN"/>
        </w:rPr>
        <w:t>2.3</w:t>
      </w:r>
      <w:r>
        <w:rPr>
          <w:rFonts w:hint="eastAsia" w:ascii="宋体" w:hAnsi="宋体" w:cs="楷体_GB2312"/>
          <w:color w:val="auto"/>
          <w:sz w:val="24"/>
          <w:lang w:val="zh-CN"/>
        </w:rPr>
        <w:t>款、对磋商文件的澄清、修改、补充书构成磋商文件的组成部分，并取代磋商文件中被澄清、修改处，对所有投标人均有约束力。</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2.1.3 </w:t>
      </w:r>
      <w:r>
        <w:rPr>
          <w:rFonts w:hint="eastAsia" w:ascii="宋体" w:hAnsi="宋体" w:cs="楷体_GB2312"/>
          <w:color w:val="auto"/>
          <w:sz w:val="24"/>
          <w:lang w:val="zh-CN"/>
        </w:rPr>
        <w:t>当磋商文件、磋商文件的澄清、修改、补充等在同一内容的表述上不一致时，以最后发出（发布）的文件为准。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2.1.4 </w:t>
      </w:r>
      <w:r>
        <w:rPr>
          <w:rFonts w:hint="eastAsia" w:ascii="宋体" w:hAnsi="宋体" w:cs="楷体_GB2312"/>
          <w:color w:val="auto"/>
          <w:sz w:val="24"/>
          <w:lang w:val="zh-CN"/>
        </w:rPr>
        <w:t>投标人与任何人的口头协议不影响《磋商文件》的任何条款和内容。</w:t>
      </w:r>
    </w:p>
    <w:p>
      <w:pPr>
        <w:autoSpaceDE w:val="0"/>
        <w:autoSpaceDN w:val="0"/>
        <w:adjustRightInd w:val="0"/>
        <w:snapToGrid w:val="0"/>
        <w:spacing w:line="380" w:lineRule="exact"/>
        <w:ind w:firstLine="539"/>
        <w:rPr>
          <w:rFonts w:ascii="宋体" w:cs="楷体_GB2312"/>
          <w:color w:val="auto"/>
          <w:sz w:val="24"/>
        </w:rPr>
      </w:pPr>
      <w:r>
        <w:rPr>
          <w:rFonts w:ascii="宋体" w:hAnsi="宋体" w:cs="楷体_GB2312"/>
          <w:color w:val="auto"/>
          <w:sz w:val="24"/>
        </w:rPr>
        <w:t xml:space="preserve">2.1.5 </w:t>
      </w:r>
      <w:r>
        <w:rPr>
          <w:rFonts w:hint="eastAsia" w:ascii="宋体" w:hAnsi="宋体" w:cs="楷体_GB2312"/>
          <w:color w:val="auto"/>
          <w:sz w:val="24"/>
        </w:rPr>
        <w:t>投标人应仔细阅读和检查磋商文件的全部内容是否齐全，如发现缺页或附件不全等遗漏，应及时向采购代理机构提出并索取补齐，否则责任及风险自负。</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2.2 </w:t>
      </w:r>
      <w:r>
        <w:rPr>
          <w:rFonts w:hint="eastAsia" w:ascii="黑体" w:hAnsi="黑体" w:eastAsia="黑体" w:cs="楷体_GB2312"/>
          <w:b/>
          <w:color w:val="auto"/>
          <w:sz w:val="24"/>
          <w:lang w:val="zh-CN"/>
        </w:rPr>
        <w:t>磋商文件的澄清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2.2.1 </w:t>
      </w:r>
      <w:r>
        <w:rPr>
          <w:rFonts w:hint="eastAsia" w:ascii="宋体" w:hAnsi="宋体" w:cs="楷体_GB2312"/>
          <w:color w:val="auto"/>
          <w:sz w:val="24"/>
          <w:lang w:val="zh-CN"/>
        </w:rPr>
        <w:t>合规获取磋商文件的所有潜在投标人对磋商文件如有需澄清的疑问，应在投标人须知前附表规定的时间内按磋商公告中载明的地址以纸质书面形式通知到采购代理机构。在规定的时间内未提出疑问的，将视为对磋商文件的完全认可。</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2.2.2 </w:t>
      </w:r>
      <w:r>
        <w:rPr>
          <w:rFonts w:hint="eastAsia" w:ascii="宋体" w:hAnsi="宋体" w:cs="楷体_GB2312"/>
          <w:color w:val="auto"/>
          <w:sz w:val="24"/>
          <w:lang w:val="zh-CN"/>
        </w:rPr>
        <w:t>采购代理机构对潜在投标人在规定的时间内提出的疑问，将视情况以书面形式予以答复，并在其认为必要时，将不标明查询来源的书面答复，在“磋商公告”所述媒体通告所有潜在投标人。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2.2.3 </w:t>
      </w:r>
      <w:r>
        <w:rPr>
          <w:rFonts w:hint="eastAsia" w:ascii="宋体" w:hAnsi="宋体" w:cs="楷体_GB2312"/>
          <w:color w:val="auto"/>
          <w:sz w:val="24"/>
          <w:lang w:val="zh-CN"/>
        </w:rPr>
        <w:t>磋商文件中如有不符合国家有关强制性规定、不符合国家标准及行业标准的，投标人应在投标阶段或成交实施阶段予以纠正或尽提醒义务。如作为有经验的投标人（成交供应商）应当知道而未尽提醒义务的，执行指令而造成的损失及风险由投标人（成交供应商）承担。</w:t>
      </w:r>
    </w:p>
    <w:p>
      <w:pPr>
        <w:adjustRightInd w:val="0"/>
        <w:snapToGrid w:val="0"/>
        <w:spacing w:line="380" w:lineRule="exact"/>
        <w:ind w:firstLine="480" w:firstLineChars="200"/>
        <w:jc w:val="left"/>
        <w:rPr>
          <w:rFonts w:ascii="宋体" w:cs="楷体_GB2312"/>
          <w:color w:val="auto"/>
          <w:sz w:val="24"/>
          <w:lang w:val="zh-CN"/>
        </w:rPr>
      </w:pPr>
      <w:r>
        <w:rPr>
          <w:rFonts w:ascii="宋体" w:hAnsi="宋体" w:cs="楷体_GB2312"/>
          <w:color w:val="auto"/>
          <w:sz w:val="24"/>
          <w:lang w:val="zh-CN"/>
        </w:rPr>
        <w:t>2.2.4</w:t>
      </w:r>
      <w:r>
        <w:rPr>
          <w:rFonts w:hint="eastAsia" w:ascii="宋体" w:hAnsi="宋体" w:cs="楷体_GB2312"/>
          <w:color w:val="auto"/>
          <w:sz w:val="24"/>
          <w:lang w:val="zh-CN"/>
        </w:rPr>
        <w:t>采购代理机构可视情况在投标截止前答疑。</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2.3 </w:t>
      </w:r>
      <w:r>
        <w:rPr>
          <w:rFonts w:hint="eastAsia" w:ascii="黑体" w:hAnsi="黑体" w:eastAsia="黑体" w:cs="楷体_GB2312"/>
          <w:b/>
          <w:color w:val="auto"/>
          <w:sz w:val="24"/>
          <w:lang w:val="zh-CN"/>
        </w:rPr>
        <w:t>磋商文件的澄清、修改、补充</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2.3.1 </w:t>
      </w:r>
      <w:r>
        <w:rPr>
          <w:rFonts w:hint="eastAsia" w:ascii="宋体" w:hAnsi="宋体" w:cs="楷体_GB2312"/>
          <w:color w:val="auto"/>
          <w:sz w:val="24"/>
          <w:lang w:val="zh-CN"/>
        </w:rPr>
        <w:t>采购人、代理机构在投标截止时间前有权澄清修改、补充已发售的磋商文件。</w:t>
      </w:r>
    </w:p>
    <w:p>
      <w:pPr>
        <w:autoSpaceDE w:val="0"/>
        <w:autoSpaceDN w:val="0"/>
        <w:adjustRightInd w:val="0"/>
        <w:snapToGrid w:val="0"/>
        <w:spacing w:line="380" w:lineRule="exact"/>
        <w:ind w:firstLine="539"/>
        <w:rPr>
          <w:rFonts w:ascii="宋体"/>
          <w:color w:val="auto"/>
          <w:sz w:val="24"/>
        </w:rPr>
      </w:pPr>
      <w:r>
        <w:rPr>
          <w:rFonts w:ascii="宋体" w:hAnsi="宋体" w:cs="楷体_GB2312"/>
          <w:color w:val="auto"/>
          <w:sz w:val="24"/>
          <w:lang w:val="zh-CN"/>
        </w:rPr>
        <w:t>2.3.</w:t>
      </w:r>
      <w:r>
        <w:rPr>
          <w:rFonts w:ascii="宋体" w:hAnsi="宋体"/>
          <w:color w:val="auto"/>
          <w:sz w:val="24"/>
        </w:rPr>
        <w:t xml:space="preserve">2 </w:t>
      </w:r>
      <w:r>
        <w:rPr>
          <w:rFonts w:hint="eastAsia" w:ascii="宋体" w:hAnsi="宋体"/>
          <w:color w:val="auto"/>
          <w:sz w:val="24"/>
        </w:rPr>
        <w:t>磋商过程中对磋商文件的变动见第四章评审办法</w:t>
      </w:r>
      <w:r>
        <w:rPr>
          <w:rFonts w:ascii="宋体" w:hAnsi="宋体"/>
          <w:color w:val="auto"/>
          <w:sz w:val="24"/>
        </w:rPr>
        <w:t>3.5</w:t>
      </w:r>
      <w:r>
        <w:rPr>
          <w:rFonts w:hint="eastAsia" w:ascii="宋体" w:hAnsi="宋体"/>
          <w:color w:val="auto"/>
          <w:sz w:val="24"/>
        </w:rPr>
        <w:t>款磋商规则。</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2.4 </w:t>
      </w:r>
      <w:r>
        <w:rPr>
          <w:rFonts w:hint="eastAsia" w:ascii="黑体" w:hAnsi="黑体" w:eastAsia="黑体" w:cs="楷体_GB2312"/>
          <w:b/>
          <w:color w:val="auto"/>
          <w:sz w:val="24"/>
          <w:lang w:val="zh-CN"/>
        </w:rPr>
        <w:t>磋商文件的澄清、修改、补充的通知，及相应时间变更</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color w:val="auto"/>
          <w:sz w:val="24"/>
          <w:lang w:val="zh-CN"/>
        </w:rPr>
        <w:t xml:space="preserve">2.4.1 </w:t>
      </w:r>
      <w:r>
        <w:rPr>
          <w:rFonts w:hint="eastAsia" w:ascii="宋体" w:hAnsi="宋体" w:cs="楷体_GB2312"/>
          <w:color w:val="auto"/>
          <w:sz w:val="24"/>
          <w:lang w:val="zh-CN"/>
        </w:rPr>
        <w:t>磋商文件在投标截止时间前的所有澄清、修改（包括时间变更等）、补充事项，均在“磋商公告”所述媒体予以公告。</w:t>
      </w:r>
      <w:r>
        <w:rPr>
          <w:rFonts w:hint="eastAsia" w:ascii="宋体" w:hAnsi="宋体" w:cs="楷体_GB2312"/>
          <w:b/>
          <w:color w:val="auto"/>
          <w:sz w:val="24"/>
          <w:lang w:val="zh-CN"/>
        </w:rPr>
        <w:t>澄清或修改公告一经在法定网站以公告形式发布，依法视为书面通知，不再另行通知。</w:t>
      </w:r>
    </w:p>
    <w:p>
      <w:pPr>
        <w:autoSpaceDE w:val="0"/>
        <w:autoSpaceDN w:val="0"/>
        <w:adjustRightInd w:val="0"/>
        <w:snapToGrid w:val="0"/>
        <w:spacing w:line="380" w:lineRule="exact"/>
        <w:ind w:firstLine="539"/>
        <w:rPr>
          <w:rFonts w:ascii="宋体" w:cs="楷体_GB2312"/>
          <w:b/>
          <w:color w:val="auto"/>
          <w:sz w:val="24"/>
          <w:lang w:val="zh-CN"/>
        </w:rPr>
      </w:pPr>
      <w:r>
        <w:rPr>
          <w:rFonts w:hint="eastAsia" w:ascii="宋体" w:hAnsi="宋体" w:cs="楷体_GB2312"/>
          <w:b/>
          <w:color w:val="auto"/>
          <w:sz w:val="24"/>
          <w:lang w:val="zh-CN"/>
        </w:rPr>
        <w:t>基于网上电子交易的特点</w:t>
      </w:r>
      <w:r>
        <w:rPr>
          <w:rFonts w:ascii="宋体" w:hAnsi="宋体" w:cs="楷体_GB2312"/>
          <w:b/>
          <w:color w:val="auto"/>
          <w:sz w:val="24"/>
          <w:lang w:val="zh-CN"/>
        </w:rPr>
        <w:t>—</w:t>
      </w:r>
      <w:r>
        <w:rPr>
          <w:rFonts w:ascii="宋体" w:cs="楷体_GB2312"/>
          <w:b/>
          <w:color w:val="auto"/>
          <w:sz w:val="24"/>
          <w:lang w:val="zh-CN"/>
        </w:rPr>
        <w:t>-</w:t>
      </w:r>
      <w:r>
        <w:rPr>
          <w:rFonts w:hint="eastAsia" w:ascii="宋体" w:hAnsi="宋体" w:cs="楷体_GB2312"/>
          <w:b/>
          <w:color w:val="auto"/>
          <w:sz w:val="24"/>
          <w:lang w:val="zh-CN"/>
        </w:rPr>
        <w:t>无权限获知或通知潜在投标人，潜在投标人应随时关注“磋商公告”所述媒体相关项目信息（为免各部门网站出现维护等情况，潜在投标人应对“磋商公告”所述媒体逐一查阅），如有遗漏，后果自负。</w:t>
      </w:r>
    </w:p>
    <w:p>
      <w:pPr>
        <w:autoSpaceDE w:val="0"/>
        <w:autoSpaceDN w:val="0"/>
        <w:adjustRightInd w:val="0"/>
        <w:snapToGrid w:val="0"/>
        <w:spacing w:line="380" w:lineRule="exact"/>
        <w:ind w:firstLine="539"/>
        <w:rPr>
          <w:rFonts w:ascii="宋体" w:cs="楷体_GB2312"/>
          <w:color w:val="auto"/>
          <w:sz w:val="24"/>
          <w:lang w:val="zh-CN"/>
        </w:rPr>
      </w:pPr>
      <w:r>
        <w:rPr>
          <w:rFonts w:ascii="宋体" w:cs="楷体_GB2312"/>
          <w:color w:val="auto"/>
          <w:sz w:val="24"/>
          <w:lang w:val="zh-CN"/>
        </w:rPr>
        <w:t xml:space="preserve">2.4.2 </w:t>
      </w:r>
      <w:r>
        <w:rPr>
          <w:rFonts w:hint="eastAsia" w:ascii="宋体" w:cs="楷体_GB2312"/>
          <w:color w:val="auto"/>
          <w:sz w:val="24"/>
          <w:lang w:val="zh-CN"/>
        </w:rPr>
        <w:t>磋商文件的澄清、修改、补充书构成磋商文件的组成部分，并取代磋商文件中被澄清、修改处，对所有投标人均有约束力。</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2.4.3 </w:t>
      </w:r>
      <w:r>
        <w:rPr>
          <w:rFonts w:hint="eastAsia" w:ascii="宋体" w:hAnsi="宋体" w:cs="楷体_GB2312"/>
          <w:color w:val="auto"/>
          <w:sz w:val="24"/>
          <w:lang w:val="zh-CN"/>
        </w:rPr>
        <w:t>如果投标截止时间前的澄清修改补充发出的时间不满足投标人须知前附表规定时间，并且澄清修改补充内容影响投标文件编制的，代理机构可视采购具体情况延长投标截止时间和开标时间，并将在“磋商公告”所述媒体予以公告。</w:t>
      </w:r>
    </w:p>
    <w:p>
      <w:pPr>
        <w:autoSpaceDE w:val="0"/>
        <w:autoSpaceDN w:val="0"/>
        <w:adjustRightInd w:val="0"/>
        <w:snapToGrid w:val="0"/>
        <w:spacing w:line="380" w:lineRule="exact"/>
        <w:ind w:firstLine="539"/>
        <w:rPr>
          <w:rFonts w:ascii="宋体" w:cs="楷体_GB2312"/>
          <w:color w:val="auto"/>
          <w:sz w:val="24"/>
        </w:rPr>
      </w:pP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19" w:name="_Toc26366091"/>
      <w:bookmarkStart w:id="20" w:name="_Toc26284"/>
      <w:r>
        <w:rPr>
          <w:rFonts w:ascii="黑体" w:hAnsi="黑体" w:eastAsia="黑体" w:cs="楷体_GB2312"/>
          <w:b/>
          <w:bCs/>
          <w:color w:val="auto"/>
          <w:sz w:val="28"/>
          <w:szCs w:val="28"/>
          <w:lang w:val="zh-CN"/>
        </w:rPr>
        <w:t xml:space="preserve">3. </w:t>
      </w:r>
      <w:r>
        <w:rPr>
          <w:rFonts w:hint="eastAsia" w:ascii="黑体" w:hAnsi="黑体" w:eastAsia="黑体" w:cs="楷体_GB2312"/>
          <w:b/>
          <w:bCs/>
          <w:color w:val="auto"/>
          <w:sz w:val="28"/>
          <w:szCs w:val="28"/>
          <w:lang w:val="zh-CN"/>
        </w:rPr>
        <w:t>投标文件（响应文件）</w:t>
      </w:r>
      <w:bookmarkEnd w:id="19"/>
      <w:bookmarkEnd w:id="20"/>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3.1</w:t>
      </w:r>
      <w:r>
        <w:rPr>
          <w:rFonts w:hint="eastAsia" w:ascii="宋体" w:hAnsi="宋体" w:cs="楷体_GB2312"/>
          <w:color w:val="auto"/>
          <w:sz w:val="24"/>
          <w:lang w:val="zh-CN"/>
        </w:rPr>
        <w:t>投标人应仔细阅读磋商文件的所有内容，按磋商文件的要求提供投标文件（响应文件），并保证所提供全部资料的真实性。投标文件（响应文件）应对磋商文件实质性要求作出实质性响应。磋商小组对投标文件（响应文件）的有效性、完整性和响应程度进行审查，不满足实质性要求的为</w:t>
      </w:r>
      <w:r>
        <w:rPr>
          <w:rFonts w:hint="eastAsia" w:ascii="宋体" w:hAnsi="宋体" w:cs="楷体_GB2312"/>
          <w:b/>
          <w:color w:val="auto"/>
          <w:sz w:val="24"/>
          <w:lang w:val="zh-CN"/>
        </w:rPr>
        <w:t>无效投标</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3.2 </w:t>
      </w:r>
      <w:r>
        <w:rPr>
          <w:rFonts w:hint="eastAsia" w:ascii="黑体" w:hAnsi="黑体" w:eastAsia="黑体" w:cs="楷体_GB2312"/>
          <w:b/>
          <w:color w:val="auto"/>
          <w:sz w:val="24"/>
          <w:lang w:val="zh-CN"/>
        </w:rPr>
        <w:t>投标文件（响应文件）的组成</w:t>
      </w:r>
    </w:p>
    <w:p>
      <w:pPr>
        <w:adjustRightInd w:val="0"/>
        <w:snapToGrid w:val="0"/>
        <w:spacing w:line="380" w:lineRule="exact"/>
        <w:ind w:firstLine="539"/>
        <w:textAlignment w:val="top"/>
        <w:rPr>
          <w:rFonts w:ascii="宋体" w:cs="楷体_GB2312"/>
          <w:color w:val="auto"/>
          <w:sz w:val="24"/>
          <w:lang w:val="zh-CN"/>
        </w:rPr>
      </w:pPr>
      <w:r>
        <w:rPr>
          <w:rFonts w:ascii="宋体" w:hAnsi="宋体" w:cs="楷体_GB2312"/>
          <w:color w:val="auto"/>
          <w:sz w:val="24"/>
          <w:lang w:val="zh-CN"/>
        </w:rPr>
        <w:t xml:space="preserve">3.2.1 </w:t>
      </w:r>
      <w:r>
        <w:rPr>
          <w:rFonts w:hint="eastAsia" w:ascii="宋体" w:hAnsi="宋体" w:cs="楷体_GB2312"/>
          <w:color w:val="auto"/>
          <w:sz w:val="24"/>
          <w:lang w:val="zh-CN"/>
        </w:rPr>
        <w:t>投标文件（响应文件）组成如有缺项，磋商小组按照实质性判断原则（实质性要求和实质性响应两因素）、有权视情况将其作无效投标处理，投标人自负此项风险；投标文件组成内容未对磋商文件实质性要求作出实质性响应，磋商小组按照实质性判断原则、视情况将其作无效投标处理，投标人自负此项风险</w:t>
      </w:r>
    </w:p>
    <w:p>
      <w:pPr>
        <w:adjustRightInd w:val="0"/>
        <w:snapToGrid w:val="0"/>
        <w:spacing w:line="380" w:lineRule="exact"/>
        <w:ind w:firstLine="539"/>
        <w:textAlignment w:val="top"/>
        <w:rPr>
          <w:color w:val="auto"/>
        </w:rPr>
      </w:pPr>
      <w:r>
        <w:rPr>
          <w:rFonts w:ascii="宋体" w:hAnsi="宋体" w:cs="楷体_GB2312"/>
          <w:color w:val="auto"/>
          <w:sz w:val="24"/>
          <w:lang w:val="zh-CN"/>
        </w:rPr>
        <w:t xml:space="preserve">3.2.2 </w:t>
      </w:r>
      <w:r>
        <w:rPr>
          <w:rFonts w:hint="eastAsia" w:ascii="宋体" w:hAnsi="宋体" w:cs="楷体_GB2312"/>
          <w:color w:val="auto"/>
          <w:sz w:val="24"/>
          <w:lang w:val="zh-CN"/>
        </w:rPr>
        <w:t>投标文件（响应文件）应包括下列内容：</w:t>
      </w:r>
    </w:p>
    <w:p>
      <w:pPr>
        <w:adjustRightInd w:val="0"/>
        <w:snapToGrid w:val="0"/>
        <w:spacing w:line="380" w:lineRule="exact"/>
        <w:ind w:firstLine="539"/>
        <w:textAlignment w:val="top"/>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）投标书。</w:t>
      </w:r>
    </w:p>
    <w:p>
      <w:pPr>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2</w:t>
      </w:r>
      <w:r>
        <w:rPr>
          <w:rFonts w:hint="eastAsia" w:ascii="宋体" w:hAnsi="宋体" w:cs="楷体_GB2312"/>
          <w:color w:val="auto"/>
          <w:sz w:val="24"/>
          <w:lang w:val="zh-CN"/>
        </w:rPr>
        <w:t>）</w:t>
      </w:r>
      <w:r>
        <w:rPr>
          <w:rFonts w:hint="eastAsia" w:ascii="宋体" w:hAnsi="宋体"/>
          <w:color w:val="auto"/>
          <w:sz w:val="24"/>
        </w:rPr>
        <w:t>开标一览表</w:t>
      </w:r>
    </w:p>
    <w:p>
      <w:pPr>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w:t>
      </w:r>
      <w:r>
        <w:rPr>
          <w:rFonts w:hint="eastAsia" w:ascii="宋体" w:hAnsi="宋体"/>
          <w:color w:val="auto"/>
          <w:sz w:val="24"/>
        </w:rPr>
        <w:t>分项报价</w:t>
      </w:r>
    </w:p>
    <w:p>
      <w:pPr>
        <w:adjustRightInd w:val="0"/>
        <w:snapToGrid w:val="0"/>
        <w:spacing w:line="380" w:lineRule="exact"/>
        <w:ind w:firstLine="539"/>
        <w:textAlignment w:val="top"/>
        <w:rPr>
          <w:rFonts w:ascii="宋体" w:hAnsi="宋体"/>
          <w:color w:val="auto"/>
          <w:sz w:val="24"/>
        </w:rPr>
      </w:pPr>
      <w:r>
        <w:rPr>
          <w:rFonts w:hint="eastAsia" w:ascii="宋体" w:hAnsi="宋体"/>
          <w:color w:val="auto"/>
          <w:sz w:val="24"/>
        </w:rPr>
        <w:t>（4）</w:t>
      </w:r>
      <w:r>
        <w:rPr>
          <w:rFonts w:hint="eastAsia"/>
          <w:color w:val="000000" w:themeColor="text1"/>
          <w:sz w:val="24"/>
          <w:szCs w:val="24"/>
        </w:rPr>
        <w:t>响应产品清单及具体技术参数</w:t>
      </w:r>
    </w:p>
    <w:p>
      <w:pPr>
        <w:adjustRightInd w:val="0"/>
        <w:snapToGrid w:val="0"/>
        <w:spacing w:line="380" w:lineRule="exact"/>
        <w:ind w:firstLine="539"/>
        <w:textAlignment w:val="top"/>
        <w:rPr>
          <w:rFonts w:hint="eastAsia" w:ascii="宋体" w:eastAsia="宋体"/>
          <w:color w:val="auto"/>
          <w:sz w:val="24"/>
          <w:lang w:eastAsia="zh-CN"/>
        </w:rPr>
      </w:pPr>
      <w:r>
        <w:rPr>
          <w:rFonts w:hint="eastAsia" w:ascii="宋体" w:hAnsi="宋体"/>
          <w:color w:val="auto"/>
          <w:sz w:val="24"/>
        </w:rPr>
        <w:t>（5）技术偏差表</w:t>
      </w:r>
    </w:p>
    <w:p>
      <w:pPr>
        <w:adjustRightInd w:val="0"/>
        <w:snapToGrid w:val="0"/>
        <w:spacing w:line="380" w:lineRule="exact"/>
        <w:ind w:firstLine="539"/>
        <w:rPr>
          <w:rFonts w:ascii="宋体"/>
          <w:color w:val="auto"/>
          <w:sz w:val="24"/>
        </w:rPr>
      </w:pPr>
      <w:r>
        <w:rPr>
          <w:rFonts w:hint="eastAsia" w:ascii="宋体" w:hAnsi="宋体" w:cs="楷体_GB2312"/>
          <w:color w:val="auto"/>
          <w:sz w:val="24"/>
          <w:lang w:val="zh-CN"/>
        </w:rPr>
        <w:t>（6）</w:t>
      </w:r>
      <w:r>
        <w:rPr>
          <w:rFonts w:hint="eastAsia" w:ascii="宋体" w:hAnsi="宋体"/>
          <w:color w:val="auto"/>
          <w:sz w:val="24"/>
        </w:rPr>
        <w:t>其他偏差表</w:t>
      </w:r>
    </w:p>
    <w:p>
      <w:pPr>
        <w:adjustRightInd w:val="0"/>
        <w:snapToGrid w:val="0"/>
        <w:spacing w:line="380" w:lineRule="exact"/>
        <w:ind w:firstLine="539"/>
        <w:textAlignment w:val="top"/>
        <w:rPr>
          <w:rFonts w:ascii="宋体"/>
          <w:color w:val="auto"/>
          <w:sz w:val="24"/>
        </w:rPr>
      </w:pPr>
      <w:r>
        <w:rPr>
          <w:rFonts w:hint="eastAsia" w:ascii="宋体" w:hAnsi="宋体" w:cs="楷体_GB2312"/>
          <w:color w:val="auto"/>
          <w:sz w:val="24"/>
          <w:lang w:val="zh-CN"/>
        </w:rPr>
        <w:t>（7）</w:t>
      </w:r>
      <w:r>
        <w:rPr>
          <w:rFonts w:hint="eastAsia" w:ascii="宋体" w:hAnsi="宋体"/>
          <w:color w:val="auto"/>
          <w:sz w:val="24"/>
        </w:rPr>
        <w:t>售后服务计划</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（8）反商业贿赂承诺书</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（9） 履约承诺书</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（10）采购项目及技术服务要求所需的其他材料（按条款需要）</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（11）供应商人须知所需的其他材料（按条款需要）</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（12）评审办法所需的其他材料（按条款需要）</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（13）供应商认为有必要提交的其它材料</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（14）关于资格的声明函</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（15）法定代表人身份证明或法定代表人授权委托书</w:t>
      </w:r>
    </w:p>
    <w:p>
      <w:pPr>
        <w:autoSpaceDE w:val="0"/>
        <w:autoSpaceDN w:val="0"/>
        <w:adjustRightInd w:val="0"/>
        <w:snapToGrid w:val="0"/>
        <w:spacing w:line="380" w:lineRule="exact"/>
        <w:ind w:firstLine="520" w:firstLineChars="217"/>
        <w:rPr>
          <w:rFonts w:hint="eastAsia" w:ascii="宋体" w:hAnsi="宋体" w:cs="楷体_GB2312"/>
          <w:color w:val="auto"/>
          <w:sz w:val="24"/>
          <w:lang w:val="zh-CN"/>
        </w:rPr>
      </w:pPr>
      <w:r>
        <w:rPr>
          <w:rFonts w:hint="eastAsia" w:ascii="宋体" w:hAnsi="宋体" w:cs="楷体_GB2312"/>
          <w:color w:val="auto"/>
          <w:sz w:val="24"/>
          <w:lang w:val="zh-CN"/>
        </w:rPr>
        <w:t>（16）投标承诺函（以投标承诺函形式替代投标保证金）</w:t>
      </w:r>
    </w:p>
    <w:p>
      <w:pPr>
        <w:autoSpaceDE w:val="0"/>
        <w:autoSpaceDN w:val="0"/>
        <w:adjustRightInd w:val="0"/>
        <w:snapToGrid w:val="0"/>
        <w:spacing w:line="380" w:lineRule="exact"/>
        <w:ind w:firstLine="520" w:firstLineChars="217"/>
        <w:rPr>
          <w:rFonts w:ascii="宋体" w:cs="楷体_GB2312"/>
          <w:color w:val="auto"/>
          <w:sz w:val="24"/>
          <w:lang w:val="zh-CN"/>
        </w:rPr>
      </w:pPr>
      <w:r>
        <w:rPr>
          <w:rFonts w:hint="eastAsia" w:ascii="宋体" w:hAnsi="宋体" w:cs="楷体_GB2312"/>
          <w:color w:val="auto"/>
          <w:sz w:val="24"/>
          <w:lang w:val="zh-CN"/>
        </w:rPr>
        <w:t>（17）资格要求相关证明材料（文件）</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3.2.3</w:t>
      </w:r>
      <w:r>
        <w:rPr>
          <w:rFonts w:hint="eastAsia" w:ascii="宋体" w:hAnsi="宋体" w:cs="楷体_GB2312"/>
          <w:color w:val="auto"/>
          <w:sz w:val="24"/>
          <w:lang w:val="zh-CN"/>
        </w:rPr>
        <w:t>按照本章第</w:t>
      </w:r>
      <w:r>
        <w:rPr>
          <w:rFonts w:ascii="宋体" w:hAnsi="宋体" w:cs="楷体_GB2312"/>
          <w:color w:val="auto"/>
          <w:sz w:val="24"/>
          <w:lang w:val="zh-CN"/>
        </w:rPr>
        <w:t>4.3</w:t>
      </w:r>
      <w:r>
        <w:rPr>
          <w:rFonts w:hint="eastAsia" w:ascii="宋体" w:hAnsi="宋体" w:cs="楷体_GB2312"/>
          <w:color w:val="auto"/>
          <w:sz w:val="24"/>
          <w:lang w:val="zh-CN"/>
        </w:rPr>
        <w:t>款、第四章第</w:t>
      </w:r>
      <w:r>
        <w:rPr>
          <w:rFonts w:ascii="宋体" w:hAnsi="宋体" w:cs="楷体_GB2312"/>
          <w:color w:val="auto"/>
          <w:sz w:val="24"/>
          <w:lang w:val="zh-CN"/>
        </w:rPr>
        <w:t>3.4</w:t>
      </w:r>
      <w:r>
        <w:rPr>
          <w:rFonts w:hint="eastAsia" w:ascii="宋体" w:hAnsi="宋体" w:cs="楷体_GB2312"/>
          <w:color w:val="auto"/>
          <w:sz w:val="24"/>
          <w:lang w:val="zh-CN"/>
        </w:rPr>
        <w:t>款规定，对投标文件（响应文件）的补充、修改、澄清、说明或者更正构成投标文件（响应文件）的组成部分，</w:t>
      </w:r>
    </w:p>
    <w:p>
      <w:pPr>
        <w:topLinePunct/>
        <w:adjustRightInd w:val="0"/>
        <w:snapToGrid w:val="0"/>
        <w:spacing w:line="380" w:lineRule="exact"/>
        <w:ind w:firstLine="566" w:firstLineChars="235"/>
        <w:rPr>
          <w:rFonts w:ascii="宋体" w:cs="楷体_GB2312"/>
          <w:color w:val="auto"/>
          <w:sz w:val="24"/>
          <w:lang w:val="zh-CN"/>
        </w:rPr>
      </w:pPr>
      <w:r>
        <w:rPr>
          <w:rFonts w:ascii="黑体" w:hAnsi="黑体" w:eastAsia="黑体" w:cs="楷体_GB2312"/>
          <w:b/>
          <w:color w:val="auto"/>
          <w:sz w:val="24"/>
          <w:lang w:val="zh-CN"/>
        </w:rPr>
        <w:t xml:space="preserve">3.3 </w:t>
      </w:r>
      <w:r>
        <w:rPr>
          <w:rFonts w:hint="eastAsia" w:ascii="黑体" w:hAnsi="黑体" w:eastAsia="黑体" w:cs="楷体_GB2312"/>
          <w:b/>
          <w:color w:val="auto"/>
          <w:sz w:val="24"/>
          <w:lang w:val="zh-CN"/>
        </w:rPr>
        <w:t>投标报价</w:t>
      </w:r>
      <w:r>
        <w:rPr>
          <w:rFonts w:hint="eastAsia" w:ascii="宋体" w:hAnsi="宋体" w:cs="楷体_GB2312"/>
          <w:color w:val="auto"/>
          <w:sz w:val="24"/>
          <w:lang w:val="zh-CN"/>
        </w:rPr>
        <w:t>（价格构成）：见第二章</w:t>
      </w:r>
      <w:r>
        <w:rPr>
          <w:rFonts w:ascii="宋体" w:hAnsi="宋体" w:cs="楷体_GB2312"/>
          <w:color w:val="auto"/>
          <w:sz w:val="24"/>
          <w:lang w:val="zh-CN"/>
        </w:rPr>
        <w:t>1.3</w:t>
      </w:r>
      <w:r>
        <w:rPr>
          <w:rFonts w:hint="eastAsia" w:ascii="宋体" w:hAnsi="宋体" w:cs="楷体_GB2312"/>
          <w:color w:val="auto"/>
          <w:sz w:val="24"/>
          <w:lang w:val="zh-CN"/>
        </w:rPr>
        <w:t>款。</w:t>
      </w:r>
    </w:p>
    <w:p>
      <w:pPr>
        <w:topLinePunct/>
        <w:adjustRightInd w:val="0"/>
        <w:snapToGrid w:val="0"/>
        <w:spacing w:line="380" w:lineRule="exact"/>
        <w:ind w:firstLine="566" w:firstLineChars="235"/>
        <w:rPr>
          <w:rFonts w:ascii="黑体" w:hAnsi="黑体" w:eastAsia="黑体" w:cs="楷体_GB2312"/>
          <w:b/>
          <w:color w:val="auto"/>
          <w:sz w:val="24"/>
          <w:lang w:val="zh-CN"/>
        </w:rPr>
      </w:pPr>
      <w:r>
        <w:rPr>
          <w:rFonts w:ascii="黑体" w:hAnsi="黑体" w:eastAsia="黑体" w:cs="楷体_GB2312"/>
          <w:b/>
          <w:color w:val="auto"/>
          <w:sz w:val="24"/>
          <w:lang w:val="zh-CN"/>
        </w:rPr>
        <w:t xml:space="preserve">3.4 </w:t>
      </w:r>
      <w:r>
        <w:rPr>
          <w:rFonts w:hint="eastAsia" w:ascii="黑体" w:hAnsi="黑体" w:eastAsia="黑体" w:cs="楷体_GB2312"/>
          <w:b/>
          <w:color w:val="auto"/>
          <w:sz w:val="24"/>
          <w:lang w:val="zh-CN"/>
        </w:rPr>
        <w:t>投标有效期</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3.4.1</w:t>
      </w:r>
      <w:r>
        <w:rPr>
          <w:rFonts w:hint="eastAsia" w:ascii="宋体" w:hAnsi="宋体" w:cs="楷体_GB2312"/>
          <w:color w:val="auto"/>
          <w:sz w:val="24"/>
          <w:lang w:val="zh-CN"/>
        </w:rPr>
        <w:t>投标有效期见投标人须知前附表。投标文件（响应文件）在投标有效期内保持不变（包括价格等投标文件各项条款）。</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3.4.2</w:t>
      </w:r>
      <w:r>
        <w:rPr>
          <w:rFonts w:hint="eastAsia" w:ascii="宋体" w:hAnsi="宋体" w:cs="楷体_GB2312"/>
          <w:color w:val="auto"/>
          <w:sz w:val="24"/>
          <w:lang w:val="zh-CN"/>
        </w:rPr>
        <w:t>在投标有效期内，投标人撤销或修改其投标文件（响应文件）的，应承担磋商文件和法律规定的责任。</w:t>
      </w:r>
    </w:p>
    <w:p>
      <w:pPr>
        <w:widowControl w:val="0"/>
        <w:tabs>
          <w:tab w:val="left" w:pos="65"/>
        </w:tabs>
        <w:spacing w:line="380" w:lineRule="exact"/>
        <w:ind w:firstLine="482" w:firstLineChars="200"/>
        <w:textAlignment w:val="auto"/>
        <w:rPr>
          <w:rFonts w:ascii="宋体" w:hAnsi="宋体"/>
          <w:color w:val="auto"/>
          <w:sz w:val="24"/>
          <w:szCs w:val="24"/>
        </w:rPr>
      </w:pPr>
      <w:r>
        <w:rPr>
          <w:rFonts w:ascii="黑体" w:hAnsi="黑体" w:eastAsia="黑体" w:cs="楷体_GB2312"/>
          <w:b/>
          <w:color w:val="auto"/>
          <w:sz w:val="24"/>
          <w:lang w:val="zh-CN"/>
        </w:rPr>
        <w:t xml:space="preserve">3.5 </w:t>
      </w:r>
      <w:r>
        <w:rPr>
          <w:rFonts w:hint="eastAsia" w:ascii="黑体" w:hAnsi="黑体" w:eastAsia="黑体" w:cs="楷体_GB2312"/>
          <w:b/>
          <w:color w:val="auto"/>
          <w:sz w:val="24"/>
          <w:lang w:val="zh-CN"/>
        </w:rPr>
        <w:t>投标保证金：</w:t>
      </w:r>
      <w:r>
        <w:rPr>
          <w:rFonts w:hint="eastAsia" w:ascii="宋体" w:hAnsi="宋体"/>
          <w:color w:val="auto"/>
          <w:sz w:val="24"/>
          <w:szCs w:val="24"/>
          <w:lang w:val="zh-CN"/>
        </w:rPr>
        <w:t xml:space="preserve">3.5.1 </w:t>
      </w:r>
      <w:r>
        <w:rPr>
          <w:rFonts w:hint="eastAsia" w:ascii="宋体" w:hAnsi="宋体"/>
          <w:color w:val="auto"/>
          <w:sz w:val="24"/>
          <w:szCs w:val="24"/>
        </w:rPr>
        <w:t>按照豫财购〔2022〕4号文件规定，本项目以投标承诺函的形式替代投标保证金，供应商应按附件格式进行投标承诺，违背承诺的将承担相应的法律责任及违约责任。</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3.5.2 未提供投标承诺函的为</w:t>
      </w:r>
      <w:r>
        <w:rPr>
          <w:rFonts w:hint="eastAsia" w:ascii="宋体" w:hAnsi="宋体"/>
          <w:b/>
          <w:bCs/>
          <w:color w:val="auto"/>
          <w:sz w:val="24"/>
          <w:szCs w:val="24"/>
        </w:rPr>
        <w:t>无效投标</w:t>
      </w:r>
      <w:r>
        <w:rPr>
          <w:rFonts w:hint="eastAsia" w:ascii="宋体" w:hAnsi="宋体"/>
          <w:color w:val="auto"/>
          <w:sz w:val="24"/>
          <w:szCs w:val="24"/>
        </w:rPr>
        <w:t>。</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3.5.3 投标单位的投标承诺函包含投标人承诺的事项及违背承诺的责任追究措施。</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3.5.4 承诺事项：</w:t>
      </w:r>
    </w:p>
    <w:p>
      <w:pPr>
        <w:widowControl w:val="0"/>
        <w:tabs>
          <w:tab w:val="left" w:pos="65"/>
        </w:tabs>
        <w:spacing w:line="380" w:lineRule="exact"/>
        <w:ind w:firstLine="480" w:firstLineChars="200"/>
        <w:textAlignment w:val="auto"/>
        <w:rPr>
          <w:rFonts w:ascii="宋体" w:hAnsi="宋体"/>
          <w:color w:val="auto"/>
          <w:sz w:val="24"/>
          <w:szCs w:val="24"/>
        </w:rPr>
      </w:pPr>
      <w:r>
        <w:rPr>
          <w:rFonts w:hint="eastAsia" w:ascii="宋体" w:hAnsi="宋体"/>
          <w:color w:val="auto"/>
          <w:sz w:val="24"/>
          <w:szCs w:val="24"/>
        </w:rPr>
        <w:t>3.5.4.1、投标单位应遵循公开、公平、公正和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的原则自愿参加项目的投标；</w:t>
      </w:r>
      <w:r>
        <w:rPr>
          <w:rFonts w:hint="eastAsia" w:ascii="宋体" w:hAnsi="宋体"/>
          <w:color w:val="auto"/>
          <w:sz w:val="24"/>
          <w:szCs w:val="24"/>
        </w:rPr>
        <w:br w:type="textWrapping"/>
      </w:r>
      <w:r>
        <w:rPr>
          <w:rFonts w:hint="eastAsia" w:ascii="宋体" w:hAnsi="宋体"/>
          <w:color w:val="auto"/>
          <w:sz w:val="24"/>
          <w:szCs w:val="24"/>
        </w:rPr>
        <w:t xml:space="preserve">    3.5.4.2、投标单位在政府采购活动中应提供真实、准确、有效、合法的材料，不</w:t>
      </w:r>
      <w:r>
        <w:rPr>
          <w:rFonts w:hint="eastAsia" w:ascii="宋体" w:hAnsi="宋体" w:cs="楷体_GB2312"/>
          <w:color w:val="auto"/>
          <w:sz w:val="24"/>
          <w:lang w:val="zh-CN"/>
        </w:rPr>
        <w:t>提供虚假材料；</w:t>
      </w:r>
    </w:p>
    <w:p>
      <w:pPr>
        <w:topLinePunct/>
        <w:adjustRightInd w:val="0"/>
        <w:snapToGrid w:val="0"/>
        <w:spacing w:line="380" w:lineRule="exact"/>
        <w:ind w:firstLine="480" w:firstLineChars="200"/>
        <w:rPr>
          <w:rFonts w:ascii="宋体" w:hAnsi="宋体" w:cs="楷体_GB2312"/>
          <w:color w:val="auto"/>
          <w:sz w:val="24"/>
          <w:lang w:val="zh-CN"/>
        </w:rPr>
      </w:pPr>
      <w:r>
        <w:rPr>
          <w:rFonts w:hint="eastAsia" w:ascii="宋体" w:hAnsi="宋体"/>
          <w:color w:val="auto"/>
          <w:sz w:val="24"/>
          <w:szCs w:val="24"/>
        </w:rPr>
        <w:t>3.5.4.3、投标单位</w:t>
      </w:r>
      <w:r>
        <w:rPr>
          <w:rFonts w:hint="eastAsia"/>
          <w:color w:val="auto"/>
          <w:sz w:val="24"/>
          <w:lang w:val="zh-CN"/>
        </w:rPr>
        <w:t>按照</w:t>
      </w:r>
      <w:r>
        <w:rPr>
          <w:rFonts w:hint="eastAsia"/>
          <w:color w:val="auto"/>
          <w:sz w:val="24"/>
        </w:rPr>
        <w:t>招标</w:t>
      </w:r>
      <w:r>
        <w:rPr>
          <w:rFonts w:hint="eastAsia"/>
          <w:color w:val="auto"/>
          <w:sz w:val="24"/>
          <w:lang w:val="zh-CN"/>
        </w:rPr>
        <w:t>文件规定，</w:t>
      </w:r>
      <w:r>
        <w:rPr>
          <w:rFonts w:hint="eastAsia" w:ascii="宋体" w:hAnsi="宋体" w:cs="楷体_GB2312"/>
          <w:color w:val="auto"/>
          <w:sz w:val="24"/>
          <w:lang w:val="zh-CN"/>
        </w:rPr>
        <w:t>在提交</w:t>
      </w:r>
      <w:r>
        <w:rPr>
          <w:rFonts w:hint="eastAsia"/>
          <w:color w:val="auto"/>
          <w:sz w:val="24"/>
        </w:rPr>
        <w:t>响应</w:t>
      </w:r>
      <w:r>
        <w:rPr>
          <w:rFonts w:hint="eastAsia" w:ascii="宋体" w:hAnsi="宋体" w:cs="楷体_GB2312"/>
          <w:color w:val="auto"/>
          <w:sz w:val="24"/>
          <w:lang w:val="zh-CN"/>
        </w:rPr>
        <w:t>文件截止时间后，在</w:t>
      </w:r>
      <w:r>
        <w:rPr>
          <w:rFonts w:hint="eastAsia"/>
          <w:color w:val="auto"/>
          <w:sz w:val="24"/>
        </w:rPr>
        <w:t>招标</w:t>
      </w:r>
      <w:r>
        <w:rPr>
          <w:rFonts w:hint="eastAsia" w:ascii="宋体" w:hAnsi="宋体" w:cs="楷体_GB2312"/>
          <w:color w:val="auto"/>
          <w:sz w:val="24"/>
          <w:lang w:val="zh-CN"/>
        </w:rPr>
        <w:t>文件规定的投标有效期限内不</w:t>
      </w:r>
      <w:r>
        <w:rPr>
          <w:rFonts w:hint="eastAsia" w:ascii="宋体" w:hAnsi="宋体" w:cs="楷体_GB2312"/>
          <w:color w:val="auto"/>
          <w:sz w:val="24"/>
        </w:rPr>
        <w:t>应</w:t>
      </w:r>
      <w:r>
        <w:rPr>
          <w:rFonts w:hint="eastAsia" w:ascii="宋体" w:hAnsi="宋体" w:cs="楷体_GB2312"/>
          <w:color w:val="auto"/>
          <w:sz w:val="24"/>
          <w:lang w:val="zh-CN"/>
        </w:rPr>
        <w:t>撤回投标文件；</w:t>
      </w:r>
    </w:p>
    <w:p>
      <w:pPr>
        <w:topLinePunct/>
        <w:adjustRightInd w:val="0"/>
        <w:snapToGrid w:val="0"/>
        <w:spacing w:line="380" w:lineRule="exact"/>
        <w:ind w:firstLine="480" w:firstLineChars="200"/>
        <w:rPr>
          <w:rFonts w:ascii="宋体" w:cs="楷体_GB2312"/>
          <w:color w:val="auto"/>
          <w:sz w:val="24"/>
          <w:lang w:val="zh-CN"/>
        </w:rPr>
      </w:pPr>
      <w:r>
        <w:rPr>
          <w:rFonts w:hint="eastAsia" w:ascii="宋体" w:hAnsi="宋体"/>
          <w:color w:val="auto"/>
          <w:sz w:val="24"/>
          <w:szCs w:val="24"/>
        </w:rPr>
        <w:t>3.5.4.4</w:t>
      </w:r>
      <w:r>
        <w:rPr>
          <w:rFonts w:hint="eastAsia"/>
          <w:color w:val="auto"/>
          <w:sz w:val="24"/>
        </w:rPr>
        <w:t>、不应</w:t>
      </w:r>
      <w:r>
        <w:rPr>
          <w:rFonts w:hint="eastAsia" w:ascii="宋体" w:hAnsi="宋体" w:cs="楷体_GB2312"/>
          <w:color w:val="auto"/>
          <w:sz w:val="24"/>
          <w:lang w:val="zh-CN"/>
        </w:rPr>
        <w:t>与其他投标人、采购人或采购代理机构串通或恶意串通。</w:t>
      </w:r>
    </w:p>
    <w:p>
      <w:pPr>
        <w:widowControl w:val="0"/>
        <w:tabs>
          <w:tab w:val="left" w:pos="65"/>
        </w:tabs>
        <w:spacing w:line="380" w:lineRule="exact"/>
        <w:ind w:firstLine="480" w:firstLineChars="200"/>
        <w:textAlignment w:val="auto"/>
        <w:rPr>
          <w:color w:val="auto"/>
          <w:sz w:val="24"/>
        </w:rPr>
      </w:pPr>
      <w:r>
        <w:rPr>
          <w:rFonts w:hint="eastAsia" w:ascii="宋体" w:hAnsi="宋体"/>
          <w:color w:val="auto"/>
          <w:sz w:val="24"/>
          <w:szCs w:val="24"/>
        </w:rPr>
        <w:t>3.5.4.5</w:t>
      </w:r>
      <w:r>
        <w:rPr>
          <w:rFonts w:hint="eastAsia"/>
          <w:color w:val="auto"/>
          <w:sz w:val="24"/>
        </w:rPr>
        <w:t>、成交后</w:t>
      </w:r>
      <w:r>
        <w:rPr>
          <w:rFonts w:hint="eastAsia" w:ascii="宋体" w:hAnsi="宋体" w:cs="楷体_GB2312"/>
          <w:color w:val="auto"/>
          <w:sz w:val="24"/>
          <w:lang w:val="zh-CN"/>
        </w:rPr>
        <w:t>除不可抗拒力或招标文件认可的情形外</w:t>
      </w:r>
      <w:r>
        <w:rPr>
          <w:rFonts w:hint="eastAsia"/>
          <w:color w:val="auto"/>
          <w:sz w:val="24"/>
        </w:rPr>
        <w:t>，</w:t>
      </w:r>
      <w:r>
        <w:rPr>
          <w:rFonts w:hint="eastAsia" w:ascii="宋体" w:hAnsi="宋体"/>
          <w:color w:val="auto"/>
          <w:sz w:val="24"/>
          <w:szCs w:val="24"/>
        </w:rPr>
        <w:t>投标单位应</w:t>
      </w:r>
      <w:r>
        <w:rPr>
          <w:rFonts w:hint="eastAsia"/>
          <w:color w:val="auto"/>
          <w:sz w:val="24"/>
        </w:rPr>
        <w:t>及时领取成交通知书，</w:t>
      </w:r>
      <w:r>
        <w:rPr>
          <w:rFonts w:hint="eastAsia" w:ascii="宋体" w:hAnsi="宋体" w:cs="楷体_GB2312"/>
          <w:color w:val="auto"/>
          <w:sz w:val="24"/>
          <w:lang w:val="zh-CN"/>
        </w:rPr>
        <w:t>在成交通知书规定时间、地点与采购人签订合同</w:t>
      </w:r>
      <w:r>
        <w:rPr>
          <w:rFonts w:hint="eastAsia"/>
          <w:color w:val="auto"/>
          <w:sz w:val="24"/>
          <w:lang w:val="zh-CN"/>
        </w:rPr>
        <w:t>；</w:t>
      </w:r>
      <w:r>
        <w:rPr>
          <w:rFonts w:hint="eastAsia"/>
          <w:color w:val="auto"/>
          <w:sz w:val="24"/>
        </w:rPr>
        <w:br w:type="textWrapping"/>
      </w:r>
      <w:r>
        <w:rPr>
          <w:rFonts w:hint="eastAsia" w:ascii="宋体" w:hAnsi="宋体"/>
          <w:color w:val="auto"/>
          <w:sz w:val="24"/>
          <w:szCs w:val="24"/>
        </w:rPr>
        <w:t>3.5.4.6</w:t>
      </w:r>
      <w:r>
        <w:rPr>
          <w:rFonts w:hint="eastAsia"/>
          <w:color w:val="auto"/>
          <w:sz w:val="24"/>
        </w:rPr>
        <w:t>、</w:t>
      </w:r>
      <w:r>
        <w:rPr>
          <w:rFonts w:hint="eastAsia" w:ascii="宋体" w:hAnsi="宋体"/>
          <w:color w:val="auto"/>
          <w:sz w:val="24"/>
          <w:szCs w:val="24"/>
        </w:rPr>
        <w:t>投标单位应</w:t>
      </w:r>
      <w:r>
        <w:rPr>
          <w:rFonts w:hint="eastAsia" w:ascii="宋体" w:hAnsi="宋体" w:cs="楷体_GB2312"/>
          <w:color w:val="auto"/>
          <w:sz w:val="24"/>
          <w:lang w:val="zh-CN"/>
        </w:rPr>
        <w:t>遵守法律法规及</w:t>
      </w:r>
      <w:r>
        <w:rPr>
          <w:rFonts w:hint="eastAsia"/>
          <w:color w:val="auto"/>
          <w:sz w:val="24"/>
        </w:rPr>
        <w:t>招标</w:t>
      </w:r>
      <w:r>
        <w:rPr>
          <w:rFonts w:hint="eastAsia" w:ascii="宋体" w:hAnsi="宋体" w:cs="楷体_GB2312"/>
          <w:color w:val="auto"/>
          <w:sz w:val="24"/>
          <w:lang w:val="zh-CN"/>
        </w:rPr>
        <w:t>文件规定的其他情况；</w:t>
      </w:r>
    </w:p>
    <w:p>
      <w:pPr>
        <w:widowControl w:val="0"/>
        <w:tabs>
          <w:tab w:val="left" w:pos="65"/>
        </w:tabs>
        <w:spacing w:line="380" w:lineRule="exact"/>
        <w:ind w:firstLine="480" w:firstLineChars="200"/>
        <w:textAlignment w:val="auto"/>
        <w:rPr>
          <w:color w:val="auto"/>
          <w:sz w:val="24"/>
        </w:rPr>
      </w:pPr>
      <w:r>
        <w:rPr>
          <w:rFonts w:hint="eastAsia" w:ascii="宋体" w:hAnsi="宋体"/>
          <w:color w:val="auto"/>
          <w:sz w:val="24"/>
          <w:szCs w:val="24"/>
        </w:rPr>
        <w:t>3.5.4.7</w:t>
      </w:r>
      <w:r>
        <w:rPr>
          <w:rFonts w:hint="eastAsia"/>
          <w:color w:val="auto"/>
          <w:sz w:val="24"/>
        </w:rPr>
        <w:t>、</w:t>
      </w:r>
      <w:r>
        <w:rPr>
          <w:rFonts w:hint="eastAsia" w:ascii="宋体" w:hAnsi="宋体"/>
          <w:color w:val="auto"/>
          <w:sz w:val="24"/>
          <w:szCs w:val="24"/>
        </w:rPr>
        <w:t>投标单位应</w:t>
      </w:r>
      <w:r>
        <w:rPr>
          <w:rFonts w:hint="eastAsia"/>
          <w:color w:val="auto"/>
          <w:sz w:val="24"/>
        </w:rPr>
        <w:t>按招标文件规定</w:t>
      </w:r>
      <w:r>
        <w:rPr>
          <w:rFonts w:hint="eastAsia" w:ascii="宋体" w:hAnsi="宋体"/>
          <w:color w:val="auto"/>
          <w:sz w:val="24"/>
          <w:szCs w:val="24"/>
        </w:rPr>
        <w:t>及时缴纳</w:t>
      </w:r>
      <w:r>
        <w:rPr>
          <w:rFonts w:hint="eastAsia"/>
          <w:color w:val="auto"/>
          <w:sz w:val="24"/>
        </w:rPr>
        <w:t>中标服务费。</w:t>
      </w:r>
    </w:p>
    <w:p>
      <w:pPr>
        <w:widowControl w:val="0"/>
        <w:tabs>
          <w:tab w:val="left" w:pos="65"/>
        </w:tabs>
        <w:spacing w:line="380" w:lineRule="exact"/>
        <w:ind w:firstLine="480" w:firstLineChars="200"/>
        <w:textAlignment w:val="auto"/>
        <w:rPr>
          <w:rFonts w:ascii="宋体" w:hAnsi="宋体" w:cs="楷体_GB2312"/>
          <w:color w:val="auto"/>
          <w:sz w:val="24"/>
          <w:szCs w:val="22"/>
        </w:rPr>
      </w:pPr>
      <w:r>
        <w:rPr>
          <w:rFonts w:hint="eastAsia" w:ascii="宋体" w:hAnsi="宋体" w:cs="楷体_GB2312"/>
          <w:color w:val="auto"/>
          <w:sz w:val="24"/>
          <w:szCs w:val="22"/>
        </w:rPr>
        <w:t>3.5.5 违背承诺的责任追究措施</w:t>
      </w:r>
    </w:p>
    <w:p>
      <w:pPr>
        <w:widowControl w:val="0"/>
        <w:tabs>
          <w:tab w:val="left" w:pos="65"/>
        </w:tabs>
        <w:spacing w:line="380" w:lineRule="exact"/>
        <w:ind w:firstLine="480" w:firstLineChars="200"/>
        <w:textAlignment w:val="auto"/>
        <w:rPr>
          <w:color w:val="auto"/>
          <w:sz w:val="24"/>
        </w:rPr>
      </w:pPr>
      <w:r>
        <w:rPr>
          <w:rFonts w:hint="eastAsia"/>
          <w:color w:val="auto"/>
          <w:sz w:val="24"/>
        </w:rPr>
        <w:t>投标单位如违背上述承诺事项，应无条件接受以下责任追究：</w:t>
      </w:r>
    </w:p>
    <w:p>
      <w:pPr>
        <w:widowControl w:val="0"/>
        <w:tabs>
          <w:tab w:val="left" w:pos="65"/>
        </w:tabs>
        <w:spacing w:line="380" w:lineRule="exact"/>
        <w:ind w:firstLine="480" w:firstLineChars="200"/>
        <w:textAlignment w:val="auto"/>
        <w:rPr>
          <w:rFonts w:ascii="宋体" w:hAnsi="宋体" w:cs="楷体_GB2312"/>
          <w:color w:val="auto"/>
          <w:sz w:val="24"/>
          <w:lang w:val="zh-CN"/>
        </w:rPr>
      </w:pPr>
      <w:r>
        <w:rPr>
          <w:rFonts w:hint="eastAsia" w:ascii="宋体" w:hAnsi="宋体" w:cs="楷体_GB2312"/>
          <w:color w:val="auto"/>
          <w:sz w:val="24"/>
        </w:rPr>
        <w:t>3.5.5.1</w:t>
      </w:r>
      <w:r>
        <w:rPr>
          <w:rFonts w:hint="eastAsia" w:ascii="宋体" w:hAnsi="宋体" w:cs="楷体_GB2312"/>
          <w:color w:val="auto"/>
          <w:sz w:val="24"/>
          <w:lang w:val="zh-CN"/>
        </w:rPr>
        <w:t>法定责任：</w:t>
      </w:r>
      <w:r>
        <w:rPr>
          <w:rFonts w:hint="eastAsia"/>
          <w:color w:val="auto"/>
          <w:sz w:val="24"/>
        </w:rPr>
        <w:t>按照政府采购相关法规，</w:t>
      </w:r>
      <w:r>
        <w:rPr>
          <w:rFonts w:ascii="宋体" w:hAnsi="宋体" w:cs="楷体_GB2312"/>
          <w:color w:val="auto"/>
          <w:sz w:val="24"/>
          <w:lang w:val="zh-CN"/>
        </w:rPr>
        <w:t>处以罚款，列入不良行为记录名单，在一至三年内禁止参加政府采购活动，有违法所得的，并处没收违法所得，情节严重的，由工商行政管理机关</w:t>
      </w:r>
      <w:r>
        <w:rPr>
          <w:rFonts w:hint="eastAsia" w:ascii="宋体" w:hAnsi="宋体" w:cs="楷体_GB2312"/>
          <w:color w:val="auto"/>
          <w:sz w:val="24"/>
          <w:lang w:val="zh-CN"/>
        </w:rPr>
        <w:t>（市场监督机关）</w:t>
      </w:r>
      <w:r>
        <w:rPr>
          <w:rFonts w:ascii="宋体" w:hAnsi="宋体" w:cs="楷体_GB2312"/>
          <w:color w:val="auto"/>
          <w:sz w:val="24"/>
          <w:lang w:val="zh-CN"/>
        </w:rPr>
        <w:t>吊销营业执照；构成犯罪的，依法追究刑事责任</w:t>
      </w:r>
      <w:r>
        <w:rPr>
          <w:rFonts w:hint="eastAsia" w:ascii="宋体" w:hAnsi="宋体" w:cs="楷体_GB2312"/>
          <w:color w:val="auto"/>
          <w:sz w:val="24"/>
          <w:lang w:val="zh-CN"/>
        </w:rPr>
        <w:t>。</w:t>
      </w:r>
    </w:p>
    <w:p>
      <w:pPr>
        <w:widowControl w:val="0"/>
        <w:tabs>
          <w:tab w:val="left" w:pos="65"/>
        </w:tabs>
        <w:spacing w:line="380" w:lineRule="exact"/>
        <w:ind w:firstLine="480" w:firstLineChars="200"/>
        <w:textAlignment w:val="auto"/>
        <w:rPr>
          <w:rFonts w:ascii="宋体" w:hAnsi="宋体" w:cs="楷体_GB2312"/>
          <w:color w:val="auto"/>
          <w:sz w:val="24"/>
          <w:lang w:val="zh-CN"/>
        </w:rPr>
      </w:pPr>
      <w:r>
        <w:rPr>
          <w:rFonts w:hint="eastAsia"/>
          <w:color w:val="auto"/>
          <w:sz w:val="24"/>
        </w:rPr>
        <w:t>给采购人及他人造成损失的，愿承担相应的赔偿责任。</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ascii="宋体" w:hAnsi="宋体" w:cs="楷体_GB2312"/>
          <w:color w:val="auto"/>
          <w:sz w:val="24"/>
          <w:lang w:val="zh-CN"/>
        </w:rPr>
        <w:t>违约责任：</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color w:val="auto"/>
          <w:sz w:val="24"/>
        </w:rPr>
        <w:t>1 已中标的，中标（</w:t>
      </w:r>
      <w:r>
        <w:rPr>
          <w:rFonts w:hint="eastAsia" w:ascii="宋体" w:hAnsi="宋体" w:cs="宋体"/>
          <w:color w:val="auto"/>
          <w:szCs w:val="21"/>
        </w:rPr>
        <w:t>成交</w:t>
      </w:r>
      <w:r>
        <w:rPr>
          <w:rFonts w:hint="eastAsia"/>
          <w:color w:val="auto"/>
          <w:sz w:val="24"/>
        </w:rPr>
        <w:t>）无效；</w:t>
      </w:r>
    </w:p>
    <w:p>
      <w:pPr>
        <w:widowControl w:val="0"/>
        <w:tabs>
          <w:tab w:val="left" w:pos="65"/>
        </w:tabs>
        <w:spacing w:line="380" w:lineRule="exact"/>
        <w:ind w:firstLine="480" w:firstLineChars="200"/>
        <w:textAlignment w:val="auto"/>
        <w:rPr>
          <w:color w:val="auto"/>
          <w:sz w:val="24"/>
        </w:rPr>
      </w:pPr>
      <w:r>
        <w:rPr>
          <w:rFonts w:hint="eastAsia" w:ascii="宋体" w:hAnsi="宋体" w:cs="楷体_GB2312"/>
          <w:color w:val="auto"/>
          <w:sz w:val="24"/>
        </w:rPr>
        <w:t>3.5.5.2.</w:t>
      </w:r>
      <w:r>
        <w:rPr>
          <w:rFonts w:hint="eastAsia"/>
          <w:color w:val="auto"/>
          <w:sz w:val="24"/>
        </w:rPr>
        <w:t>2 支付采购人违约标的预算金额2%的</w:t>
      </w:r>
      <w:r>
        <w:rPr>
          <w:rFonts w:hint="eastAsia" w:ascii="宋体" w:hAnsi="宋体" w:cs="楷体_GB2312"/>
          <w:color w:val="auto"/>
          <w:sz w:val="24"/>
          <w:lang w:val="zh-CN"/>
        </w:rPr>
        <w:t>违约金</w:t>
      </w:r>
      <w:r>
        <w:rPr>
          <w:rFonts w:hint="eastAsia"/>
          <w:color w:val="auto"/>
          <w:sz w:val="24"/>
        </w:rPr>
        <w:t>；</w:t>
      </w:r>
    </w:p>
    <w:p>
      <w:pPr>
        <w:topLinePunct/>
        <w:adjustRightInd w:val="0"/>
        <w:snapToGrid w:val="0"/>
        <w:spacing w:line="380" w:lineRule="exact"/>
        <w:ind w:firstLine="564" w:firstLineChars="235"/>
        <w:rPr>
          <w:rFonts w:ascii="黑体" w:hAnsi="黑体" w:eastAsia="黑体" w:cs="楷体_GB2312"/>
          <w:b/>
          <w:color w:val="auto"/>
          <w:sz w:val="24"/>
          <w:lang w:val="zh-CN"/>
        </w:rPr>
      </w:pPr>
      <w:r>
        <w:rPr>
          <w:rFonts w:hint="eastAsia" w:ascii="宋体" w:hAnsi="宋体" w:cs="楷体_GB2312"/>
          <w:color w:val="auto"/>
          <w:sz w:val="24"/>
          <w:szCs w:val="22"/>
        </w:rPr>
        <w:t>3.5.5.2.3</w:t>
      </w:r>
      <w:r>
        <w:rPr>
          <w:rFonts w:hint="eastAsia"/>
          <w:color w:val="auto"/>
          <w:sz w:val="24"/>
        </w:rPr>
        <w:t>中标后</w:t>
      </w:r>
      <w:r>
        <w:rPr>
          <w:rFonts w:hint="eastAsia" w:ascii="宋体" w:hAnsi="宋体"/>
          <w:color w:val="auto"/>
          <w:sz w:val="24"/>
          <w:szCs w:val="24"/>
        </w:rPr>
        <w:t>未缴</w:t>
      </w:r>
      <w:r>
        <w:rPr>
          <w:rFonts w:hint="eastAsia"/>
          <w:color w:val="auto"/>
          <w:sz w:val="24"/>
        </w:rPr>
        <w:t>中标服务费的，作为违约及违背</w:t>
      </w:r>
      <w:r>
        <w:fldChar w:fldCharType="begin"/>
      </w:r>
      <w:r>
        <w:instrText xml:space="preserve"> HYPERLINK "http://www.so.com/s?q=%E8%AF%9A%E5%AE%9E%E4%BF%A1%E7%94%A8&amp;ie=utf-8&amp;src=internal_wenda_recommend_textn" \t "https://wenda.so.com/q/_blank" </w:instrText>
      </w:r>
      <w:r>
        <w:fldChar w:fldCharType="separate"/>
      </w:r>
      <w:r>
        <w:rPr>
          <w:rFonts w:hint="eastAsia" w:ascii="宋体" w:hAnsi="宋体"/>
          <w:color w:val="auto"/>
          <w:sz w:val="24"/>
          <w:szCs w:val="24"/>
        </w:rPr>
        <w:t>诚实信用</w:t>
      </w:r>
      <w:r>
        <w:rPr>
          <w:rFonts w:hint="eastAsia" w:ascii="宋体" w:hAnsi="宋体"/>
          <w:color w:val="auto"/>
          <w:sz w:val="24"/>
          <w:szCs w:val="24"/>
        </w:rPr>
        <w:fldChar w:fldCharType="end"/>
      </w:r>
      <w:r>
        <w:rPr>
          <w:rFonts w:hint="eastAsia" w:ascii="宋体" w:hAnsi="宋体"/>
          <w:color w:val="auto"/>
          <w:sz w:val="24"/>
          <w:szCs w:val="24"/>
        </w:rPr>
        <w:t>原则，在履行承诺前，代理机构将视我单位为失信企业、不予办理其后相关业务</w:t>
      </w:r>
      <w:r>
        <w:rPr>
          <w:rFonts w:hint="eastAsia"/>
          <w:color w:val="auto"/>
          <w:sz w:val="24"/>
          <w:szCs w:val="24"/>
        </w:rPr>
        <w:t>。</w:t>
      </w:r>
    </w:p>
    <w:p>
      <w:pPr>
        <w:autoSpaceDE w:val="0"/>
        <w:autoSpaceDN w:val="0"/>
        <w:adjustRightInd w:val="0"/>
        <w:spacing w:line="380" w:lineRule="exact"/>
        <w:ind w:firstLine="539"/>
        <w:rPr>
          <w:rFonts w:ascii="黑体" w:hAnsi="黑体" w:eastAsia="黑体" w:cs="楷体_GB2312"/>
          <w:b/>
          <w:bCs/>
          <w:color w:val="auto"/>
          <w:sz w:val="28"/>
          <w:szCs w:val="28"/>
          <w:lang w:val="zh-CN"/>
        </w:rPr>
      </w:pPr>
      <w:r>
        <w:rPr>
          <w:rFonts w:ascii="黑体" w:hAnsi="黑体" w:eastAsia="黑体" w:cs="楷体_GB2312"/>
          <w:b/>
          <w:color w:val="auto"/>
          <w:sz w:val="24"/>
          <w:lang w:val="zh-CN"/>
        </w:rPr>
        <w:t xml:space="preserve">3.6 </w:t>
      </w:r>
      <w:r>
        <w:rPr>
          <w:rFonts w:hint="eastAsia" w:ascii="黑体" w:hAnsi="黑体" w:eastAsia="黑体" w:cs="楷体_GB2312"/>
          <w:b/>
          <w:color w:val="auto"/>
          <w:sz w:val="24"/>
          <w:lang w:val="zh-CN"/>
        </w:rPr>
        <w:t>投标资格文件：</w:t>
      </w:r>
      <w:r>
        <w:rPr>
          <w:rFonts w:hint="eastAsia" w:ascii="宋体" w:hAnsi="宋体" w:cs="楷体_GB2312"/>
          <w:color w:val="auto"/>
          <w:sz w:val="24"/>
          <w:lang w:val="zh-CN"/>
        </w:rPr>
        <w:t>要求见磋商公告</w:t>
      </w:r>
    </w:p>
    <w:p>
      <w:pPr>
        <w:topLinePunct/>
        <w:adjustRightInd w:val="0"/>
        <w:snapToGrid w:val="0"/>
        <w:spacing w:line="380" w:lineRule="exact"/>
        <w:ind w:firstLine="5" w:firstLineChars="2"/>
        <w:rPr>
          <w:rFonts w:ascii="黑体" w:hAnsi="黑体" w:eastAsia="黑体" w:cs="楷体_GB2312"/>
          <w:b/>
          <w:color w:val="auto"/>
          <w:sz w:val="24"/>
          <w:lang w:val="zh-CN"/>
        </w:rPr>
      </w:pPr>
      <w:r>
        <w:rPr>
          <w:rFonts w:ascii="黑体" w:hAnsi="黑体" w:eastAsia="黑体" w:cs="楷体_GB2312"/>
          <w:b/>
          <w:color w:val="auto"/>
          <w:sz w:val="24"/>
          <w:lang w:val="zh-CN"/>
        </w:rPr>
        <w:t>3.7</w:t>
      </w:r>
      <w:r>
        <w:rPr>
          <w:rFonts w:hint="eastAsia" w:ascii="黑体" w:hAnsi="黑体" w:eastAsia="黑体" w:cs="楷体_GB2312"/>
          <w:b/>
          <w:color w:val="auto"/>
          <w:sz w:val="24"/>
          <w:lang w:val="zh-CN"/>
        </w:rPr>
        <w:t>投标文件的编制</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3.7.1</w:t>
      </w:r>
      <w:r>
        <w:rPr>
          <w:rFonts w:hint="eastAsia" w:ascii="宋体" w:hAnsi="宋体" w:cs="楷体_GB2312"/>
          <w:color w:val="auto"/>
          <w:sz w:val="24"/>
          <w:lang w:val="zh-CN"/>
        </w:rPr>
        <w:t>投标文件（响应文件）应按第六章“投标文件格式”进行编写，如有必要，可以增加附页，作为投标文件（响应文件）的组成部分。磋商文件中未列明格式的，由投标人按一般通用格式自行设计编写。</w:t>
      </w:r>
    </w:p>
    <w:p>
      <w:pPr>
        <w:topLinePunct/>
        <w:adjustRightInd w:val="0"/>
        <w:snapToGrid w:val="0"/>
        <w:spacing w:line="380" w:lineRule="exact"/>
        <w:ind w:firstLine="566" w:firstLineChars="235"/>
        <w:rPr>
          <w:rFonts w:ascii="宋体" w:cs="楷体_GB2312"/>
          <w:b/>
          <w:color w:val="auto"/>
          <w:sz w:val="24"/>
          <w:lang w:val="zh-CN"/>
        </w:rPr>
      </w:pPr>
      <w:r>
        <w:rPr>
          <w:rFonts w:hint="eastAsia" w:ascii="宋体" w:hAnsi="宋体" w:cs="楷体_GB2312"/>
          <w:b/>
          <w:color w:val="auto"/>
          <w:sz w:val="24"/>
          <w:lang w:val="zh-CN"/>
        </w:rPr>
        <w:t>投标文件编制后，需录入导入磋商公告所述“安阳市政府采购投标文件编制系统</w:t>
      </w:r>
      <w:r>
        <w:rPr>
          <w:rFonts w:hint="eastAsia" w:ascii="宋体" w:cs="楷体_GB2312"/>
          <w:b/>
          <w:color w:val="auto"/>
          <w:sz w:val="24"/>
          <w:lang w:val="zh-CN"/>
        </w:rPr>
        <w:t>”</w:t>
      </w:r>
      <w:r>
        <w:rPr>
          <w:rFonts w:hint="eastAsia" w:ascii="宋体" w:hAnsi="宋体" w:cs="楷体_GB2312"/>
          <w:b/>
          <w:color w:val="auto"/>
          <w:sz w:val="24"/>
          <w:lang w:val="zh-CN"/>
        </w:rPr>
        <w:t>，经电子签名并加密后、在响应文件提交截止时间前，上传至磋商公告所述网上电子交易系统。</w:t>
      </w:r>
    </w:p>
    <w:p>
      <w:pPr>
        <w:topLinePunct/>
        <w:adjustRightInd w:val="0"/>
        <w:snapToGrid w:val="0"/>
        <w:spacing w:line="380" w:lineRule="exact"/>
        <w:ind w:firstLine="564" w:firstLineChars="235"/>
        <w:rPr>
          <w:rFonts w:ascii="宋体" w:cs="楷体_GB2312"/>
          <w:color w:val="auto"/>
          <w:sz w:val="24"/>
          <w:lang w:val="zh-CN"/>
        </w:rPr>
      </w:pPr>
      <w:r>
        <w:rPr>
          <w:rFonts w:ascii="宋体" w:hAnsi="宋体" w:cs="楷体_GB2312"/>
          <w:color w:val="auto"/>
          <w:sz w:val="24"/>
          <w:lang w:val="zh-CN"/>
        </w:rPr>
        <w:t xml:space="preserve">3.7.2 </w:t>
      </w:r>
      <w:r>
        <w:rPr>
          <w:rFonts w:hint="eastAsia" w:ascii="宋体" w:hAnsi="宋体" w:cs="楷体_GB2312"/>
          <w:color w:val="auto"/>
          <w:sz w:val="24"/>
          <w:lang w:val="zh-CN"/>
        </w:rPr>
        <w:t>“投标文件格式”仅为对投标文件（响应文件）部分内容的格式化规范，并非投标文件所应具备的全部内容。投标人应按本章“</w:t>
      </w:r>
      <w:r>
        <w:rPr>
          <w:rFonts w:ascii="宋体" w:hAnsi="宋体" w:cs="楷体_GB2312"/>
          <w:color w:val="auto"/>
          <w:sz w:val="24"/>
          <w:lang w:val="zh-CN"/>
        </w:rPr>
        <w:t>3.2</w:t>
      </w:r>
      <w:r>
        <w:rPr>
          <w:rFonts w:hint="eastAsia" w:ascii="宋体" w:hAnsi="宋体" w:cs="楷体_GB2312"/>
          <w:color w:val="auto"/>
          <w:sz w:val="24"/>
          <w:lang w:val="zh-CN"/>
        </w:rPr>
        <w:t>投标文件的组成”列示内容编制投标文件（响应文件）。</w:t>
      </w:r>
    </w:p>
    <w:p>
      <w:pPr>
        <w:adjustRightInd w:val="0"/>
        <w:snapToGrid w:val="0"/>
        <w:spacing w:line="380" w:lineRule="exact"/>
        <w:ind w:firstLine="480" w:firstLineChars="200"/>
        <w:rPr>
          <w:rFonts w:ascii="宋体" w:cs="楷体_GB2312"/>
          <w:color w:val="auto"/>
          <w:sz w:val="24"/>
          <w:lang w:val="zh-CN"/>
        </w:rPr>
      </w:pPr>
      <w:r>
        <w:rPr>
          <w:rFonts w:ascii="宋体" w:hAnsi="宋体" w:cs="楷体_GB2312"/>
          <w:color w:val="auto"/>
          <w:sz w:val="24"/>
          <w:lang w:val="zh-CN"/>
        </w:rPr>
        <w:t>3.7</w:t>
      </w:r>
      <w:r>
        <w:rPr>
          <w:rFonts w:ascii="宋体" w:cs="楷体_GB2312"/>
          <w:color w:val="auto"/>
          <w:sz w:val="24"/>
          <w:lang w:val="zh-CN"/>
        </w:rPr>
        <w:t>.</w:t>
      </w:r>
      <w:r>
        <w:rPr>
          <w:rFonts w:ascii="宋体" w:hAnsi="宋体" w:cs="楷体_GB2312"/>
          <w:color w:val="auto"/>
          <w:sz w:val="24"/>
          <w:lang w:val="zh-CN"/>
        </w:rPr>
        <w:t>3</w:t>
      </w:r>
      <w:r>
        <w:rPr>
          <w:rFonts w:hint="eastAsia" w:ascii="宋体" w:hAnsi="宋体" w:cs="楷体_GB2312"/>
          <w:color w:val="auto"/>
          <w:sz w:val="24"/>
          <w:lang w:val="zh-CN"/>
        </w:rPr>
        <w:t>投标文件（响应文件）应当对磋商文件有关标段内容（范围）、技术要求、售后服务、交验期、投标有效期等实质性内容作出响应。在满足磋商文件实质性要求的基础上，可以提出比磋商文件要求更有利于采购人的承诺。</w:t>
      </w:r>
    </w:p>
    <w:p>
      <w:pPr>
        <w:adjustRightInd w:val="0"/>
        <w:snapToGrid w:val="0"/>
        <w:spacing w:line="380" w:lineRule="exact"/>
        <w:ind w:firstLine="480" w:firstLineChars="200"/>
        <w:rPr>
          <w:rFonts w:ascii="宋体" w:cs="楷体_GB2312"/>
          <w:color w:val="auto"/>
          <w:sz w:val="24"/>
          <w:lang w:val="zh-CN"/>
        </w:rPr>
      </w:pPr>
      <w:r>
        <w:rPr>
          <w:rFonts w:hint="eastAsia" w:ascii="宋体" w:hAnsi="宋体" w:cs="楷体_GB2312"/>
          <w:color w:val="auto"/>
          <w:sz w:val="24"/>
          <w:lang w:val="zh-CN"/>
        </w:rPr>
        <w:t>投标文件（响应文件）的所有条款与磋商文件要求有任何不同之处，应按《技术偏差表》、《其他偏差表》格式逐一填列。投标文件（响应文件）与磋商文件所有要求存在偏差而未填列的，磋商小组有权按照实质性判断原则（实质性要求和实质性响应两因素）评定其为</w:t>
      </w:r>
      <w:r>
        <w:rPr>
          <w:rFonts w:hint="eastAsia" w:ascii="宋体" w:hAnsi="宋体" w:cs="楷体_GB2312"/>
          <w:b/>
          <w:color w:val="auto"/>
          <w:sz w:val="24"/>
          <w:lang w:val="zh-CN"/>
        </w:rPr>
        <w:t>无效投标</w:t>
      </w:r>
      <w:r>
        <w:rPr>
          <w:rFonts w:hint="eastAsia" w:ascii="宋体" w:hAnsi="宋体" w:cs="楷体_GB2312"/>
          <w:color w:val="auto"/>
          <w:sz w:val="24"/>
          <w:lang w:val="zh-CN"/>
        </w:rPr>
        <w:t>。投标人应认真编制投标文件（响应文件）并自负此项风险。</w:t>
      </w:r>
    </w:p>
    <w:p>
      <w:pPr>
        <w:autoSpaceDE w:val="0"/>
        <w:autoSpaceDN w:val="0"/>
        <w:adjustRightInd w:val="0"/>
        <w:snapToGrid w:val="0"/>
        <w:spacing w:line="380" w:lineRule="exact"/>
        <w:ind w:firstLine="539"/>
        <w:rPr>
          <w:rFonts w:ascii="宋体" w:cs="楷体_GB2312"/>
          <w:bCs/>
          <w:color w:val="auto"/>
          <w:sz w:val="24"/>
        </w:rPr>
      </w:pPr>
      <w:r>
        <w:rPr>
          <w:rFonts w:ascii="宋体" w:hAnsi="宋体" w:cs="楷体_GB2312"/>
          <w:bCs/>
          <w:color w:val="auto"/>
          <w:sz w:val="24"/>
          <w:lang w:val="zh-CN"/>
        </w:rPr>
        <w:t xml:space="preserve">3.7.4 </w:t>
      </w:r>
      <w:r>
        <w:rPr>
          <w:rFonts w:hint="eastAsia" w:ascii="宋体" w:hAnsi="宋体" w:cs="楷体_GB2312"/>
          <w:bCs/>
          <w:color w:val="auto"/>
          <w:sz w:val="24"/>
          <w:lang w:val="zh-CN"/>
        </w:rPr>
        <w:t>投标文件（响应文件）</w:t>
      </w:r>
      <w:r>
        <w:rPr>
          <w:rFonts w:hint="eastAsia" w:ascii="宋体" w:hAnsi="宋体" w:cs="楷体_GB2312"/>
          <w:bCs/>
          <w:color w:val="auto"/>
          <w:sz w:val="24"/>
        </w:rPr>
        <w:t>应</w:t>
      </w:r>
      <w:r>
        <w:rPr>
          <w:rFonts w:hint="eastAsia" w:ascii="宋体" w:hAnsi="宋体" w:cs="楷体_GB2312"/>
          <w:bCs/>
          <w:color w:val="auto"/>
          <w:sz w:val="24"/>
          <w:lang w:val="zh-CN"/>
        </w:rPr>
        <w:t>按磋商文件相关要求（含格式上标注的要求）、</w:t>
      </w:r>
      <w:r>
        <w:rPr>
          <w:rFonts w:hint="eastAsia" w:ascii="宋体" w:hAnsi="宋体" w:cs="楷体_GB2312"/>
          <w:bCs/>
          <w:color w:val="auto"/>
          <w:sz w:val="24"/>
        </w:rPr>
        <w:t>使用供应商企业数字证书进行电子签章和供应商法定代表人数字证书进行电子签名、并加密，没有使用供应商企业数字证书和供应商法定代表人数字证书进行电子签名并加密的响应文件，属于未按照磋商文件要求进行签署。</w:t>
      </w:r>
    </w:p>
    <w:p>
      <w:pPr>
        <w:autoSpaceDE w:val="0"/>
        <w:autoSpaceDN w:val="0"/>
        <w:adjustRightInd w:val="0"/>
        <w:snapToGrid w:val="0"/>
        <w:spacing w:line="380" w:lineRule="exact"/>
        <w:ind w:firstLine="539"/>
        <w:rPr>
          <w:rFonts w:ascii="宋体" w:cs="楷体_GB2312"/>
          <w:bCs/>
          <w:color w:val="auto"/>
          <w:sz w:val="24"/>
        </w:rPr>
      </w:pPr>
      <w:r>
        <w:rPr>
          <w:rFonts w:hint="eastAsia" w:ascii="宋体" w:hAnsi="宋体" w:cs="楷体_GB2312"/>
          <w:bCs/>
          <w:color w:val="auto"/>
          <w:sz w:val="24"/>
        </w:rPr>
        <w:t>根据《中华人民共和国电子签名法》规定，可靠的电子签名与手写签名或者盖章具有同等的法律效力。本次采购活动中，供应商使用有效的企业数字证书对响应文件进行电子签章与加盖投标人公章具有同等法律效力；供应商法定代表人使用有效的个人数字证书对响应文件进行签名与法人签章具有同等法律效力。</w:t>
      </w:r>
    </w:p>
    <w:p>
      <w:pPr>
        <w:adjustRightInd w:val="0"/>
        <w:snapToGrid w:val="0"/>
        <w:spacing w:line="380" w:lineRule="exact"/>
        <w:ind w:firstLine="480" w:firstLineChars="200"/>
        <w:rPr>
          <w:rFonts w:ascii="宋体" w:cs="楷体_GB2312"/>
          <w:color w:val="auto"/>
          <w:sz w:val="24"/>
          <w:lang w:val="zh-CN"/>
        </w:rPr>
      </w:pPr>
      <w:r>
        <w:rPr>
          <w:rFonts w:ascii="宋体" w:hAnsi="宋体" w:cs="楷体_GB2312"/>
          <w:color w:val="auto"/>
          <w:sz w:val="24"/>
          <w:lang w:val="zh-CN"/>
        </w:rPr>
        <w:t>3.7.5</w:t>
      </w:r>
      <w:r>
        <w:rPr>
          <w:rFonts w:hint="eastAsia" w:ascii="宋体" w:hAnsi="宋体" w:cs="楷体_GB2312"/>
          <w:color w:val="auto"/>
          <w:sz w:val="24"/>
          <w:lang w:val="zh-CN"/>
        </w:rPr>
        <w:t>投标人可对本磋商文件“标段一览表”中所列的所有标段进行分别投标，也可选择其中一个标段或几个标段投标，但不得将磋商文件规定的同一标段的内容拆开投标，否则将按</w:t>
      </w:r>
      <w:r>
        <w:rPr>
          <w:rFonts w:hint="eastAsia" w:ascii="宋体" w:hAnsi="宋体" w:cs="楷体_GB2312"/>
          <w:b/>
          <w:color w:val="auto"/>
          <w:sz w:val="24"/>
          <w:lang w:val="zh-CN"/>
        </w:rPr>
        <w:t>无效投标</w:t>
      </w:r>
      <w:r>
        <w:rPr>
          <w:rFonts w:hint="eastAsia" w:ascii="宋体" w:hAnsi="宋体" w:cs="楷体_GB2312"/>
          <w:color w:val="auto"/>
          <w:sz w:val="24"/>
          <w:lang w:val="zh-CN"/>
        </w:rPr>
        <w:t>处理。</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3.7.6 </w:t>
      </w:r>
      <w:r>
        <w:rPr>
          <w:rFonts w:hint="eastAsia" w:ascii="宋体" w:hAnsi="宋体" w:cs="楷体_GB2312"/>
          <w:color w:val="auto"/>
          <w:sz w:val="24"/>
          <w:lang w:val="zh-CN"/>
        </w:rPr>
        <w:t>投标文件（响应文件）因字迹或表述不清所引起的后果由投标人自行负责。</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3.7.7 </w:t>
      </w:r>
      <w:r>
        <w:rPr>
          <w:rFonts w:hint="eastAsia" w:ascii="宋体" w:hAnsi="宋体" w:cs="楷体_GB2312"/>
          <w:color w:val="auto"/>
          <w:sz w:val="24"/>
          <w:lang w:val="zh-CN"/>
        </w:rPr>
        <w:t>未按上述要求提供的投标文件（响应文件）将视为</w:t>
      </w:r>
      <w:r>
        <w:rPr>
          <w:rFonts w:hint="eastAsia" w:ascii="宋体" w:hAnsi="宋体" w:cs="楷体_GB2312"/>
          <w:b/>
          <w:color w:val="auto"/>
          <w:sz w:val="24"/>
          <w:lang w:val="zh-CN"/>
        </w:rPr>
        <w:t>无效投标。</w:t>
      </w: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21" w:name="_Toc26366092"/>
      <w:bookmarkStart w:id="22" w:name="_Toc30613"/>
      <w:r>
        <w:rPr>
          <w:rFonts w:ascii="黑体" w:hAnsi="黑体" w:eastAsia="黑体" w:cs="楷体_GB2312"/>
          <w:b/>
          <w:bCs/>
          <w:color w:val="auto"/>
          <w:sz w:val="28"/>
          <w:szCs w:val="28"/>
          <w:lang w:val="zh-CN"/>
        </w:rPr>
        <w:t xml:space="preserve">4. </w:t>
      </w:r>
      <w:r>
        <w:rPr>
          <w:rFonts w:hint="eastAsia" w:ascii="黑体" w:hAnsi="黑体" w:eastAsia="黑体" w:cs="楷体_GB2312"/>
          <w:b/>
          <w:bCs/>
          <w:color w:val="auto"/>
          <w:sz w:val="28"/>
          <w:szCs w:val="28"/>
          <w:lang w:val="zh-CN"/>
        </w:rPr>
        <w:t>投标（响应文件的递交）</w:t>
      </w:r>
      <w:bookmarkEnd w:id="21"/>
      <w:bookmarkEnd w:id="22"/>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4.1 </w:t>
      </w:r>
      <w:r>
        <w:rPr>
          <w:rFonts w:hint="eastAsia" w:ascii="黑体" w:hAnsi="黑体" w:eastAsia="黑体" w:cs="楷体_GB2312"/>
          <w:b/>
          <w:color w:val="auto"/>
          <w:sz w:val="24"/>
          <w:lang w:val="zh-CN"/>
        </w:rPr>
        <w:t>投标文件（响应文件）的加密和标记：</w:t>
      </w:r>
    </w:p>
    <w:p>
      <w:pPr>
        <w:autoSpaceDE w:val="0"/>
        <w:autoSpaceDN w:val="0"/>
        <w:adjustRightInd w:val="0"/>
        <w:snapToGrid w:val="0"/>
        <w:spacing w:line="380" w:lineRule="exact"/>
        <w:ind w:firstLine="539"/>
        <w:rPr>
          <w:rFonts w:ascii="宋体" w:cs="楷体_GB2312"/>
          <w:b/>
          <w:color w:val="auto"/>
          <w:sz w:val="24"/>
          <w:lang w:val="zh-CN"/>
        </w:rPr>
      </w:pPr>
      <w:bookmarkStart w:id="23" w:name="OLE_LINK2"/>
      <w:r>
        <w:rPr>
          <w:rFonts w:ascii="宋体" w:hAnsi="宋体" w:cs="楷体_GB2312"/>
          <w:b/>
          <w:color w:val="auto"/>
          <w:sz w:val="24"/>
          <w:lang w:val="zh-CN"/>
        </w:rPr>
        <w:t xml:space="preserve">4.1.1 </w:t>
      </w:r>
      <w:r>
        <w:rPr>
          <w:rFonts w:hint="eastAsia" w:ascii="宋体" w:hAnsi="宋体" w:cs="楷体_GB2312"/>
          <w:b/>
          <w:color w:val="auto"/>
          <w:sz w:val="24"/>
          <w:lang w:val="zh-CN"/>
        </w:rPr>
        <w:t>投标文件（响应文件）应当按网上电子交易系统要求进行加密和标记，在投标文件（响应文件）提交截止时间前，将加密的投标文件（响应文件）上传至磋商公告所述网上电子交易系统。</w:t>
      </w:r>
    </w:p>
    <w:p>
      <w:pPr>
        <w:autoSpaceDE w:val="0"/>
        <w:autoSpaceDN w:val="0"/>
        <w:adjustRightInd w:val="0"/>
        <w:snapToGrid w:val="0"/>
        <w:spacing w:line="380" w:lineRule="exact"/>
        <w:ind w:firstLine="539"/>
        <w:rPr>
          <w:rFonts w:ascii="宋体" w:cs="楷体_GB2312"/>
          <w:b/>
          <w:color w:val="auto"/>
          <w:sz w:val="24"/>
          <w:lang w:val="zh-CN"/>
        </w:rPr>
      </w:pPr>
      <w:bookmarkStart w:id="24" w:name="OLE_LINK1"/>
      <w:r>
        <w:rPr>
          <w:rFonts w:ascii="宋体" w:hAnsi="宋体" w:cs="楷体_GB2312"/>
          <w:b/>
          <w:color w:val="auto"/>
          <w:sz w:val="24"/>
          <w:lang w:val="zh-CN"/>
        </w:rPr>
        <w:t xml:space="preserve">4.1.2 </w:t>
      </w:r>
      <w:r>
        <w:rPr>
          <w:rFonts w:hint="eastAsia" w:ascii="宋体" w:hAnsi="宋体" w:cs="楷体_GB2312"/>
          <w:b/>
          <w:color w:val="auto"/>
          <w:sz w:val="24"/>
          <w:lang w:val="zh-CN"/>
        </w:rPr>
        <w:t>投标文件（响应文件）没有按照上述要求进行加密</w:t>
      </w:r>
      <w:r>
        <w:rPr>
          <w:rFonts w:hint="eastAsia" w:ascii="黑体" w:hAnsi="黑体" w:eastAsia="黑体" w:cs="楷体_GB2312"/>
          <w:b/>
          <w:color w:val="auto"/>
          <w:sz w:val="24"/>
          <w:lang w:val="zh-CN"/>
        </w:rPr>
        <w:t>和标记</w:t>
      </w:r>
      <w:r>
        <w:rPr>
          <w:rFonts w:hint="eastAsia" w:ascii="宋体" w:hAnsi="宋体" w:cs="楷体_GB2312"/>
          <w:b/>
          <w:color w:val="auto"/>
          <w:sz w:val="24"/>
          <w:lang w:val="zh-CN"/>
        </w:rPr>
        <w:t>的、网上电子交易系统将据系统设定拒收其投标文件（响应文件），投标人应自负该项风险，采购代理机构对可能产生的误投或提前启封概不负责。</w:t>
      </w:r>
      <w:bookmarkEnd w:id="23"/>
      <w:bookmarkEnd w:id="24"/>
      <w:bookmarkStart w:id="25" w:name="_Toc296602445"/>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4.2 </w:t>
      </w:r>
      <w:r>
        <w:rPr>
          <w:rFonts w:hint="eastAsia" w:ascii="黑体" w:hAnsi="黑体" w:eastAsia="黑体" w:cs="楷体_GB2312"/>
          <w:b/>
          <w:color w:val="auto"/>
          <w:sz w:val="24"/>
          <w:lang w:val="zh-CN"/>
        </w:rPr>
        <w:t>投标文件的递交</w:t>
      </w:r>
      <w:bookmarkEnd w:id="25"/>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4.2.1 </w:t>
      </w:r>
      <w:r>
        <w:rPr>
          <w:rFonts w:hint="eastAsia" w:ascii="宋体" w:hAnsi="宋体" w:cs="楷体_GB2312"/>
          <w:b/>
          <w:color w:val="auto"/>
          <w:sz w:val="24"/>
          <w:lang w:val="zh-CN"/>
        </w:rPr>
        <w:t>投标人须在投标文件（响应文件）提交截止时间前，将加密的投标文件（响应文件）上传至磋商公告所述网上电子交易系统（在网上电子交易系统，凭企业数字证书登录投标用户入口的“政府采购”系统上传）。投标人应在上传时认真检查上传投标文件是否完整、正确。</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4.2.2 </w:t>
      </w:r>
      <w:r>
        <w:rPr>
          <w:rFonts w:hint="eastAsia" w:ascii="宋体" w:hAnsi="宋体" w:cs="楷体_GB2312"/>
          <w:b/>
          <w:color w:val="auto"/>
          <w:sz w:val="24"/>
          <w:lang w:val="zh-CN"/>
        </w:rPr>
        <w:t>据网上电子交易系统设定，投标文件（响应文件）提交截止时间后，系统将自动锁定已经提交的电子投标文件（响应文件），拒绝再次提交。投标人将无法通过网上电子交易系统进行上传，采购代理机构将无法接受并拒绝接受投标截止时间以后提交的投标文件（响应文件）</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4.2.3 </w:t>
      </w:r>
      <w:r>
        <w:rPr>
          <w:rFonts w:hint="eastAsia" w:ascii="宋体" w:hAnsi="宋体" w:cs="楷体_GB2312"/>
          <w:color w:val="auto"/>
          <w:sz w:val="24"/>
          <w:lang w:val="zh-CN"/>
        </w:rPr>
        <w:t>由于不可抗拒的原因，代理机构对投标文件（响应文件）的遗失和损坏不负任何责任。</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4.2.4 </w:t>
      </w:r>
      <w:r>
        <w:rPr>
          <w:rFonts w:hint="eastAsia" w:ascii="宋体" w:hAnsi="宋体" w:cs="楷体_GB2312"/>
          <w:color w:val="auto"/>
          <w:sz w:val="24"/>
          <w:lang w:val="zh-CN"/>
        </w:rPr>
        <w:t>除投标人须知前附表另有规定外，投标人所递交的投标文件（响应文件）不予退还。</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4.2.5 </w:t>
      </w:r>
      <w:r>
        <w:rPr>
          <w:rFonts w:hint="eastAsia" w:ascii="宋体" w:hAnsi="宋体" w:cs="楷体_GB2312"/>
          <w:b/>
          <w:color w:val="auto"/>
          <w:sz w:val="24"/>
          <w:lang w:val="zh-CN"/>
        </w:rPr>
        <w:t>基于网上电子交易的系统要求及特点，只接受基于符合网上电子交易系统要求的投标，其他如纸制、送达、电报、电话、电子邮件等形式的投标概不接受。</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4.3 </w:t>
      </w:r>
      <w:r>
        <w:rPr>
          <w:rFonts w:hint="eastAsia" w:ascii="黑体" w:hAnsi="黑体" w:eastAsia="黑体" w:cs="楷体_GB2312"/>
          <w:b/>
          <w:color w:val="auto"/>
          <w:sz w:val="24"/>
          <w:lang w:val="zh-CN"/>
        </w:rPr>
        <w:t>投标文件（响应文件）的修改与撤回</w:t>
      </w:r>
      <w:r>
        <w:rPr>
          <w:rFonts w:hint="eastAsia" w:ascii="宋体" w:hAnsi="宋体" w:cs="楷体_GB2312"/>
          <w:color w:val="auto"/>
          <w:sz w:val="24"/>
          <w:lang w:val="zh-CN"/>
        </w:rPr>
        <w:t>：</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4.3.1 </w:t>
      </w:r>
      <w:r>
        <w:rPr>
          <w:rFonts w:hint="eastAsia" w:ascii="宋体" w:hAnsi="宋体" w:cs="楷体_GB2312"/>
          <w:b/>
          <w:color w:val="auto"/>
          <w:sz w:val="24"/>
          <w:lang w:val="zh-CN"/>
        </w:rPr>
        <w:t>投标人于提交投标文件（响应文件）截止时间前如对投标文件进行补充、修改，可以上传新的投标文件进行覆盖。投标人如撤回投标文件，应及时书面通知采购代理机构进行办理。</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4.3.2 </w:t>
      </w:r>
      <w:r>
        <w:rPr>
          <w:rFonts w:hint="eastAsia" w:ascii="宋体" w:hAnsi="宋体" w:cs="楷体_GB2312"/>
          <w:b/>
          <w:color w:val="auto"/>
          <w:sz w:val="24"/>
          <w:lang w:val="zh-CN"/>
        </w:rPr>
        <w:t>投标人在投标文件（响应文件）提交截止时间后不得自行修改或撤回其投标，否则其投标保证金不予退还。</w:t>
      </w:r>
    </w:p>
    <w:p>
      <w:pPr>
        <w:autoSpaceDE w:val="0"/>
        <w:autoSpaceDN w:val="0"/>
        <w:adjustRightInd w:val="0"/>
        <w:snapToGrid w:val="0"/>
        <w:spacing w:line="380" w:lineRule="exact"/>
        <w:ind w:firstLine="539"/>
        <w:outlineLvl w:val="1"/>
        <w:rPr>
          <w:rFonts w:ascii="宋体" w:cs="楷体_GB2312"/>
          <w:color w:val="auto"/>
          <w:sz w:val="24"/>
          <w:lang w:val="zh-CN"/>
        </w:rPr>
      </w:pPr>
      <w:bookmarkStart w:id="26" w:name="_Toc26366093"/>
      <w:bookmarkStart w:id="27" w:name="_Toc9451"/>
      <w:r>
        <w:rPr>
          <w:rFonts w:ascii="黑体" w:hAnsi="黑体" w:eastAsia="黑体" w:cs="楷体_GB2312"/>
          <w:b/>
          <w:bCs/>
          <w:color w:val="auto"/>
          <w:sz w:val="28"/>
          <w:szCs w:val="28"/>
          <w:lang w:val="zh-CN"/>
        </w:rPr>
        <w:t xml:space="preserve">5. </w:t>
      </w:r>
      <w:r>
        <w:rPr>
          <w:rFonts w:hint="eastAsia" w:ascii="黑体" w:hAnsi="黑体" w:eastAsia="黑体" w:cs="楷体_GB2312"/>
          <w:b/>
          <w:bCs/>
          <w:color w:val="auto"/>
          <w:sz w:val="28"/>
          <w:szCs w:val="28"/>
          <w:lang w:val="zh-CN"/>
        </w:rPr>
        <w:t>开标（响应文件的开启）</w:t>
      </w:r>
      <w:bookmarkEnd w:id="26"/>
      <w:bookmarkEnd w:id="27"/>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5.1 </w:t>
      </w:r>
      <w:r>
        <w:rPr>
          <w:rFonts w:hint="eastAsia" w:ascii="黑体" w:hAnsi="黑体" w:eastAsia="黑体" w:cs="楷体_GB2312"/>
          <w:b/>
          <w:color w:val="auto"/>
          <w:sz w:val="24"/>
          <w:lang w:val="zh-CN"/>
        </w:rPr>
        <w:t>开标时间和地点</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5.1.1 </w:t>
      </w:r>
      <w:r>
        <w:rPr>
          <w:rFonts w:hint="eastAsia" w:ascii="宋体" w:hAnsi="宋体" w:cs="楷体_GB2312"/>
          <w:b/>
          <w:color w:val="auto"/>
          <w:sz w:val="24"/>
          <w:lang w:val="zh-CN"/>
        </w:rPr>
        <w:t>采购人和采购代理机构按磋商公告规定的时间和地点于网上（磋商公告所述网上电子交易系统）公开开标。</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5.1.2 </w:t>
      </w:r>
      <w:r>
        <w:rPr>
          <w:rFonts w:hint="eastAsia" w:ascii="宋体" w:hAnsi="宋体" w:cs="楷体_GB2312"/>
          <w:b/>
          <w:color w:val="auto"/>
          <w:sz w:val="24"/>
          <w:lang w:val="zh-CN"/>
        </w:rPr>
        <w:t>投标人需在开标前打开磋商公告所述网上电子交易系统，凭企业数字证书登录投标用户入口的“政府采购”系统，并进入本项目相匹配的网上开标室。</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5.2 </w:t>
      </w:r>
      <w:r>
        <w:rPr>
          <w:rFonts w:hint="eastAsia" w:ascii="黑体" w:hAnsi="黑体" w:eastAsia="黑体" w:cs="楷体_GB2312"/>
          <w:b/>
          <w:color w:val="auto"/>
          <w:sz w:val="24"/>
          <w:lang w:val="zh-CN"/>
        </w:rPr>
        <w:t>开标程序</w:t>
      </w:r>
    </w:p>
    <w:p>
      <w:pPr>
        <w:autoSpaceDE w:val="0"/>
        <w:autoSpaceDN w:val="0"/>
        <w:adjustRightInd w:val="0"/>
        <w:snapToGrid w:val="0"/>
        <w:spacing w:line="380" w:lineRule="exact"/>
        <w:ind w:firstLine="539"/>
        <w:rPr>
          <w:rFonts w:ascii="宋体" w:cs="楷体_GB2312"/>
          <w:b/>
          <w:color w:val="auto"/>
          <w:sz w:val="24"/>
          <w:lang w:val="zh-CN"/>
        </w:rPr>
      </w:pPr>
      <w:r>
        <w:rPr>
          <w:rFonts w:ascii="宋体" w:hAnsi="宋体" w:cs="楷体_GB2312"/>
          <w:b/>
          <w:color w:val="auto"/>
          <w:sz w:val="24"/>
          <w:lang w:val="zh-CN"/>
        </w:rPr>
        <w:t xml:space="preserve">5.2.1 </w:t>
      </w:r>
      <w:r>
        <w:rPr>
          <w:rFonts w:hint="eastAsia" w:ascii="宋体" w:hAnsi="宋体" w:cs="楷体_GB2312"/>
          <w:b/>
          <w:color w:val="auto"/>
          <w:sz w:val="24"/>
          <w:lang w:val="zh-CN"/>
        </w:rPr>
        <w:t>本项目为网上电子交易方式，投标文件（响应文件）的开启方式为远程解密，为保证开标工作顺利进行，投标人需在开标阶段、在管理员下达解密指令后的指定时限内，完成对本单位的加密投标文件（响应文件）的远程解密。如投标人因自身原因、在指定时限内没有解密成功的，其投标将不能被接受，投标单位自行承担相应后果。解密完成后，投标人的报价将在系统界面上显示。</w:t>
      </w:r>
    </w:p>
    <w:p>
      <w:pPr>
        <w:autoSpaceDE w:val="0"/>
        <w:autoSpaceDN w:val="0"/>
        <w:adjustRightInd w:val="0"/>
        <w:snapToGrid w:val="0"/>
        <w:spacing w:line="380" w:lineRule="exact"/>
        <w:ind w:firstLine="539"/>
        <w:rPr>
          <w:rFonts w:ascii="宋体" w:cs="楷体_GB2312"/>
          <w:b/>
          <w:color w:val="auto"/>
          <w:sz w:val="24"/>
          <w:lang w:val="zh-CN"/>
        </w:rPr>
      </w:pPr>
      <w:r>
        <w:rPr>
          <w:rFonts w:hint="eastAsia" w:ascii="宋体" w:hAnsi="宋体" w:cs="楷体_GB2312"/>
          <w:b/>
          <w:color w:val="auto"/>
          <w:sz w:val="24"/>
          <w:lang w:val="zh-CN"/>
        </w:rPr>
        <w:t>鉴于网上电子交易方式的特点，管理员将根据系统情况下达解密指令。</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b/>
          <w:color w:val="auto"/>
          <w:sz w:val="24"/>
          <w:lang w:val="zh-CN"/>
        </w:rPr>
        <w:t xml:space="preserve">5.2.2 </w:t>
      </w:r>
      <w:r>
        <w:rPr>
          <w:rFonts w:hint="eastAsia" w:ascii="宋体" w:hAnsi="宋体" w:cs="楷体_GB2312"/>
          <w:b/>
          <w:color w:val="auto"/>
          <w:sz w:val="24"/>
          <w:lang w:val="zh-CN"/>
        </w:rPr>
        <w:t>投标人对开标过程和开标记录有疑义，以及认为采购人、采购代理机构相关工作人员有需要回避的情形的，应在系统中提出询问或者回避申请，否则，视为对开标无异议。</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5.2.3 </w:t>
      </w:r>
      <w:r>
        <w:rPr>
          <w:rFonts w:hint="eastAsia" w:ascii="宋体" w:hAnsi="宋体" w:cs="楷体_GB2312"/>
          <w:color w:val="auto"/>
          <w:sz w:val="24"/>
          <w:lang w:val="zh-CN"/>
        </w:rPr>
        <w:t>在开标或评审过程中，有效投标应在三家以上（包括三家）；有效投标不足三家的应予终止（废标）。</w:t>
      </w:r>
    </w:p>
    <w:p>
      <w:pPr>
        <w:autoSpaceDE w:val="0"/>
        <w:autoSpaceDN w:val="0"/>
        <w:adjustRightInd w:val="0"/>
        <w:snapToGrid w:val="0"/>
        <w:spacing w:line="380" w:lineRule="exact"/>
        <w:ind w:firstLine="539"/>
        <w:outlineLvl w:val="1"/>
        <w:rPr>
          <w:rFonts w:ascii="宋体" w:cs="楷体_GB2312"/>
          <w:color w:val="auto"/>
          <w:sz w:val="24"/>
          <w:lang w:val="zh-CN"/>
        </w:rPr>
      </w:pPr>
      <w:bookmarkStart w:id="28" w:name="_Toc26919"/>
      <w:bookmarkStart w:id="29" w:name="_Toc26366094"/>
      <w:r>
        <w:rPr>
          <w:rFonts w:ascii="黑体" w:hAnsi="黑体" w:eastAsia="黑体" w:cs="楷体_GB2312"/>
          <w:b/>
          <w:bCs/>
          <w:color w:val="auto"/>
          <w:sz w:val="28"/>
          <w:szCs w:val="28"/>
          <w:lang w:val="zh-CN"/>
        </w:rPr>
        <w:t xml:space="preserve">6. </w:t>
      </w:r>
      <w:r>
        <w:rPr>
          <w:rFonts w:hint="eastAsia" w:ascii="黑体" w:hAnsi="黑体" w:eastAsia="黑体" w:cs="楷体_GB2312"/>
          <w:b/>
          <w:bCs/>
          <w:color w:val="auto"/>
          <w:sz w:val="28"/>
          <w:szCs w:val="28"/>
          <w:lang w:val="zh-CN"/>
        </w:rPr>
        <w:t>评审</w:t>
      </w:r>
      <w:bookmarkEnd w:id="28"/>
      <w:bookmarkEnd w:id="29"/>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6.1 </w:t>
      </w:r>
      <w:r>
        <w:rPr>
          <w:rFonts w:hint="eastAsia" w:ascii="黑体" w:hAnsi="黑体" w:eastAsia="黑体" w:cs="楷体_GB2312"/>
          <w:b/>
          <w:color w:val="auto"/>
          <w:sz w:val="24"/>
          <w:lang w:val="zh-CN"/>
        </w:rPr>
        <w:t>磋商小组</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评审工作由依法组建的磋商小组负责。</w:t>
      </w:r>
      <w:r>
        <w:rPr>
          <w:rFonts w:hint="eastAsia" w:ascii="宋体" w:hAnsi="宋体" w:cs="楷体_GB2312"/>
          <w:color w:val="auto"/>
          <w:sz w:val="24"/>
          <w:highlight w:val="none"/>
          <w:lang w:val="zh-CN"/>
        </w:rPr>
        <w:t>磋商小组由采购人代表</w:t>
      </w:r>
      <w:r>
        <w:rPr>
          <w:rFonts w:hint="eastAsia" w:ascii="宋体" w:hAnsi="宋体" w:cs="楷体_GB2312"/>
          <w:color w:val="auto"/>
          <w:sz w:val="24"/>
          <w:lang w:val="zh-CN"/>
        </w:rPr>
        <w:t>和评审专家共</w:t>
      </w:r>
      <w:r>
        <w:rPr>
          <w:rFonts w:ascii="宋体" w:hAnsi="宋体" w:cs="楷体_GB2312"/>
          <w:color w:val="auto"/>
          <w:sz w:val="24"/>
          <w:lang w:val="zh-CN"/>
        </w:rPr>
        <w:t>3</w:t>
      </w:r>
      <w:r>
        <w:rPr>
          <w:rFonts w:hint="eastAsia" w:ascii="宋体" w:hAnsi="宋体" w:cs="楷体_GB2312"/>
          <w:color w:val="auto"/>
          <w:sz w:val="24"/>
          <w:lang w:val="zh-CN"/>
        </w:rPr>
        <w:t>人以上单数组成，其中评审专家人数不少于磋商小组成员总数的</w:t>
      </w:r>
      <w:r>
        <w:rPr>
          <w:rFonts w:ascii="宋体" w:hAnsi="宋体" w:cs="楷体_GB2312"/>
          <w:color w:val="auto"/>
          <w:sz w:val="24"/>
          <w:lang w:val="zh-CN"/>
        </w:rPr>
        <w:t>2/3</w:t>
      </w:r>
      <w:r>
        <w:rPr>
          <w:rFonts w:hint="eastAsia" w:ascii="宋体" w:hAnsi="宋体" w:cs="楷体_GB2312"/>
          <w:color w:val="auto"/>
          <w:sz w:val="24"/>
          <w:lang w:val="zh-CN"/>
        </w:rPr>
        <w:t>，评审专家是在监督部门监督下从政府采购专家库中随机抽取产生。</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6.2 </w:t>
      </w:r>
      <w:r>
        <w:rPr>
          <w:rFonts w:hint="eastAsia" w:ascii="黑体" w:hAnsi="黑体" w:eastAsia="黑体" w:cs="楷体_GB2312"/>
          <w:b/>
          <w:color w:val="auto"/>
          <w:sz w:val="24"/>
          <w:lang w:val="zh-CN"/>
        </w:rPr>
        <w:t>评审原则</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6.2.1 </w:t>
      </w:r>
      <w:r>
        <w:rPr>
          <w:rFonts w:hint="eastAsia" w:ascii="宋体" w:hAnsi="宋体" w:cs="楷体_GB2312"/>
          <w:color w:val="auto"/>
          <w:sz w:val="24"/>
          <w:lang w:val="zh-CN"/>
        </w:rPr>
        <w:t>坚持公开、公平、公正地对待所有投标人。</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6.2.2 </w:t>
      </w:r>
      <w:r>
        <w:rPr>
          <w:rFonts w:hint="eastAsia" w:ascii="宋体" w:hAnsi="宋体" w:cs="楷体_GB2312"/>
          <w:color w:val="auto"/>
          <w:sz w:val="24"/>
          <w:lang w:val="zh-CN"/>
        </w:rPr>
        <w:t>按照同一评审程序及方法审查所有投标人的投标文件。</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6.2.3 </w:t>
      </w:r>
      <w:r>
        <w:rPr>
          <w:rFonts w:hint="eastAsia" w:ascii="宋体" w:hAnsi="宋体" w:cs="楷体_GB2312"/>
          <w:color w:val="auto"/>
          <w:sz w:val="24"/>
          <w:lang w:val="zh-CN"/>
        </w:rPr>
        <w:t>反对不正当竞争</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6.3 </w:t>
      </w:r>
      <w:r>
        <w:rPr>
          <w:rFonts w:hint="eastAsia" w:ascii="黑体" w:hAnsi="黑体" w:eastAsia="黑体" w:cs="楷体_GB2312"/>
          <w:b/>
          <w:color w:val="auto"/>
          <w:sz w:val="24"/>
          <w:lang w:val="zh-CN"/>
        </w:rPr>
        <w:t>评审</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6.3.1 </w:t>
      </w:r>
      <w:r>
        <w:rPr>
          <w:rFonts w:hint="eastAsia" w:ascii="宋体" w:hAnsi="宋体" w:cs="楷体_GB2312"/>
          <w:color w:val="auto"/>
          <w:sz w:val="24"/>
          <w:lang w:val="zh-CN"/>
        </w:rPr>
        <w:t>评审工作在磋商小组内独立进行。磋商小组按照第四章“评审办法”规定的方法、评审因素、标准和程序对投标文件进行评审。第四章“评审办法”没有规定的方法、评审因素和标准，不作为评审依据。</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6.3.2 </w:t>
      </w:r>
      <w:r>
        <w:rPr>
          <w:rFonts w:hint="eastAsia" w:ascii="宋体" w:hAnsi="宋体" w:cs="楷体_GB2312"/>
          <w:color w:val="auto"/>
          <w:sz w:val="24"/>
          <w:lang w:val="zh-CN"/>
        </w:rPr>
        <w:t>在开标、评审期间，投标人不得向磋商小组成员询问情况，不得进行旨在影响评审结果的活动。</w:t>
      </w:r>
    </w:p>
    <w:p>
      <w:pPr>
        <w:autoSpaceDE w:val="0"/>
        <w:autoSpaceDN w:val="0"/>
        <w:adjustRightInd w:val="0"/>
        <w:snapToGrid w:val="0"/>
        <w:spacing w:line="380" w:lineRule="exact"/>
        <w:ind w:firstLine="539"/>
        <w:rPr>
          <w:rFonts w:ascii="宋体" w:cs="楷体_GB2312"/>
          <w:color w:val="auto"/>
          <w:sz w:val="24"/>
          <w:lang w:val="zh-CN"/>
        </w:rPr>
      </w:pPr>
      <w:r>
        <w:rPr>
          <w:rFonts w:ascii="黑体" w:hAnsi="黑体" w:eastAsia="黑体" w:cs="楷体_GB2312"/>
          <w:b/>
          <w:color w:val="auto"/>
          <w:sz w:val="24"/>
          <w:lang w:val="zh-CN"/>
        </w:rPr>
        <w:t xml:space="preserve">6.4  </w:t>
      </w:r>
      <w:r>
        <w:rPr>
          <w:rFonts w:hint="eastAsia" w:ascii="黑体" w:hAnsi="黑体" w:eastAsia="黑体" w:cs="楷体_GB2312"/>
          <w:b/>
          <w:color w:val="auto"/>
          <w:sz w:val="24"/>
          <w:lang w:val="zh-CN"/>
        </w:rPr>
        <w:t>磋商：</w:t>
      </w:r>
      <w:r>
        <w:rPr>
          <w:rFonts w:hint="eastAsia" w:ascii="宋体" w:hAnsi="宋体" w:cs="楷体_GB2312"/>
          <w:color w:val="auto"/>
          <w:sz w:val="24"/>
          <w:lang w:val="zh-CN"/>
        </w:rPr>
        <w:t>见第四章评审办法</w:t>
      </w:r>
      <w:r>
        <w:rPr>
          <w:rFonts w:ascii="宋体" w:hAnsi="宋体" w:cs="楷体_GB2312"/>
          <w:color w:val="auto"/>
          <w:sz w:val="24"/>
          <w:lang w:val="zh-CN"/>
        </w:rPr>
        <w:t>3.5</w:t>
      </w:r>
      <w:r>
        <w:rPr>
          <w:rFonts w:hint="eastAsia" w:ascii="宋体" w:hAnsi="宋体" w:cs="楷体_GB2312"/>
          <w:color w:val="auto"/>
          <w:sz w:val="24"/>
          <w:lang w:val="zh-CN"/>
        </w:rPr>
        <w:t>款磋商规则。</w:t>
      </w:r>
    </w:p>
    <w:p>
      <w:pPr>
        <w:autoSpaceDE w:val="0"/>
        <w:autoSpaceDN w:val="0"/>
        <w:adjustRightInd w:val="0"/>
        <w:snapToGrid w:val="0"/>
        <w:spacing w:line="380" w:lineRule="exact"/>
        <w:ind w:firstLine="539"/>
        <w:rPr>
          <w:rFonts w:ascii="宋体" w:cs="楷体_GB2312"/>
          <w:color w:val="auto"/>
          <w:sz w:val="24"/>
          <w:lang w:val="zh-CN"/>
        </w:rPr>
      </w:pPr>
    </w:p>
    <w:p>
      <w:pPr>
        <w:autoSpaceDE w:val="0"/>
        <w:autoSpaceDN w:val="0"/>
        <w:adjustRightInd w:val="0"/>
        <w:snapToGrid w:val="0"/>
        <w:spacing w:line="380" w:lineRule="exact"/>
        <w:ind w:firstLine="539"/>
        <w:outlineLvl w:val="1"/>
        <w:rPr>
          <w:rFonts w:ascii="黑体" w:hAnsi="黑体" w:eastAsia="黑体" w:cs="楷体_GB2312"/>
          <w:b/>
          <w:bCs/>
          <w:color w:val="auto"/>
          <w:sz w:val="28"/>
          <w:szCs w:val="28"/>
          <w:lang w:val="zh-CN"/>
        </w:rPr>
      </w:pPr>
      <w:bookmarkStart w:id="30" w:name="_Toc12902"/>
      <w:bookmarkStart w:id="31" w:name="_Toc26366095"/>
      <w:r>
        <w:rPr>
          <w:rFonts w:ascii="黑体" w:hAnsi="黑体" w:eastAsia="黑体" w:cs="楷体_GB2312"/>
          <w:b/>
          <w:bCs/>
          <w:color w:val="auto"/>
          <w:sz w:val="28"/>
          <w:szCs w:val="28"/>
          <w:lang w:val="zh-CN"/>
        </w:rPr>
        <w:t xml:space="preserve">7. </w:t>
      </w:r>
      <w:r>
        <w:rPr>
          <w:rFonts w:hint="eastAsia" w:ascii="黑体" w:hAnsi="黑体" w:eastAsia="黑体" w:cs="楷体_GB2312"/>
          <w:b/>
          <w:bCs/>
          <w:color w:val="auto"/>
          <w:sz w:val="28"/>
          <w:szCs w:val="28"/>
          <w:lang w:val="zh-CN"/>
        </w:rPr>
        <w:t>授予合同</w:t>
      </w:r>
      <w:bookmarkEnd w:id="30"/>
      <w:bookmarkEnd w:id="31"/>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7.1 </w:t>
      </w:r>
      <w:r>
        <w:rPr>
          <w:rFonts w:hint="eastAsia" w:ascii="黑体" w:hAnsi="黑体" w:eastAsia="黑体" w:cs="楷体_GB2312"/>
          <w:b/>
          <w:color w:val="auto"/>
          <w:sz w:val="24"/>
          <w:lang w:val="zh-CN"/>
        </w:rPr>
        <w:t>确定成交供应商方式</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除投标人须知前附表规定授权磋商小组直接确定成交供应商外，采购人应当自收到评审报告之日起</w:t>
      </w:r>
      <w:r>
        <w:rPr>
          <w:rFonts w:ascii="宋体" w:hAnsi="宋体" w:cs="楷体_GB2312"/>
          <w:color w:val="auto"/>
          <w:sz w:val="24"/>
          <w:lang w:val="zh-CN"/>
        </w:rPr>
        <w:t>5</w:t>
      </w:r>
      <w:r>
        <w:rPr>
          <w:rFonts w:hint="eastAsia" w:ascii="宋体" w:hAnsi="宋体" w:cs="楷体_GB2312"/>
          <w:color w:val="auto"/>
          <w:sz w:val="24"/>
          <w:lang w:val="zh-CN"/>
        </w:rPr>
        <w:t>个工作日内在评审报告推荐的成交候选人中按顺序确定成交供应商。若排名第一的成交候选人放弃中标（成交），或者因不可抗力不能履行合同，或者被查实存在影响成交结果的违法行为等情形、不符合成交条件的，采购人可以按照磋商小组提出的成交候选人名单排序依次确定其他成交候选人为成交供应商，也可以重新采购。</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7.2 </w:t>
      </w:r>
      <w:r>
        <w:rPr>
          <w:rFonts w:hint="eastAsia" w:ascii="黑体" w:hAnsi="黑体" w:eastAsia="黑体" w:cs="楷体_GB2312"/>
          <w:b/>
          <w:color w:val="auto"/>
          <w:sz w:val="24"/>
          <w:lang w:val="zh-CN"/>
        </w:rPr>
        <w:t>成交结果公告</w:t>
      </w:r>
    </w:p>
    <w:p>
      <w:pPr>
        <w:autoSpaceDE w:val="0"/>
        <w:autoSpaceDN w:val="0"/>
        <w:adjustRightInd w:val="0"/>
        <w:snapToGrid w:val="0"/>
        <w:spacing w:line="380" w:lineRule="exact"/>
        <w:ind w:firstLine="539"/>
        <w:rPr>
          <w:rFonts w:ascii="宋体" w:cs="楷体_GB2312"/>
          <w:color w:val="auto"/>
          <w:sz w:val="24"/>
          <w:lang w:val="zh-CN"/>
        </w:rPr>
      </w:pPr>
      <w:r>
        <w:rPr>
          <w:rFonts w:hint="eastAsia" w:ascii="宋体" w:hAnsi="宋体" w:cs="楷体_GB2312"/>
          <w:color w:val="auto"/>
          <w:sz w:val="24"/>
          <w:lang w:val="zh-CN"/>
        </w:rPr>
        <w:t>采购代理机构在成交供应商确定后</w:t>
      </w:r>
      <w:r>
        <w:rPr>
          <w:rFonts w:ascii="宋体" w:hAnsi="宋体" w:cs="楷体_GB2312"/>
          <w:color w:val="auto"/>
          <w:sz w:val="24"/>
          <w:lang w:val="zh-CN"/>
        </w:rPr>
        <w:t>2</w:t>
      </w:r>
      <w:r>
        <w:rPr>
          <w:rFonts w:hint="eastAsia" w:ascii="宋体" w:hAnsi="宋体" w:cs="楷体_GB2312"/>
          <w:color w:val="auto"/>
          <w:sz w:val="24"/>
          <w:lang w:val="zh-CN"/>
        </w:rPr>
        <w:t>个工作日内，在磋商公告所述媒体公告成交结果。同时向成交供应商发出成交通知书。成交结果公告期限为</w:t>
      </w:r>
      <w:r>
        <w:rPr>
          <w:rFonts w:ascii="宋体" w:hAnsi="宋体" w:cs="楷体_GB2312"/>
          <w:color w:val="auto"/>
          <w:sz w:val="24"/>
          <w:lang w:val="zh-CN"/>
        </w:rPr>
        <w:t>1</w:t>
      </w:r>
      <w:r>
        <w:rPr>
          <w:rFonts w:hint="eastAsia" w:ascii="宋体" w:hAnsi="宋体" w:cs="楷体_GB2312"/>
          <w:color w:val="auto"/>
          <w:sz w:val="24"/>
          <w:lang w:val="zh-CN"/>
        </w:rPr>
        <w:t>个工作日。</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7.3 </w:t>
      </w:r>
      <w:r>
        <w:rPr>
          <w:rFonts w:hint="eastAsia" w:ascii="黑体" w:hAnsi="黑体" w:eastAsia="黑体" w:cs="楷体_GB2312"/>
          <w:b/>
          <w:color w:val="auto"/>
          <w:sz w:val="24"/>
          <w:lang w:val="zh-CN"/>
        </w:rPr>
        <w:t>质疑、投诉：</w:t>
      </w:r>
    </w:p>
    <w:p>
      <w:pPr>
        <w:autoSpaceDE w:val="0"/>
        <w:autoSpaceDN w:val="0"/>
        <w:adjustRightInd w:val="0"/>
        <w:snapToGrid w:val="0"/>
        <w:spacing w:line="380" w:lineRule="exact"/>
        <w:ind w:firstLine="537" w:firstLineChars="224"/>
        <w:rPr>
          <w:rFonts w:ascii="宋体" w:cs="楷体_GB2312"/>
          <w:color w:val="auto"/>
          <w:sz w:val="24"/>
          <w:lang w:val="zh-CN"/>
        </w:rPr>
      </w:pPr>
      <w:r>
        <w:rPr>
          <w:rFonts w:ascii="宋体" w:hAnsi="宋体"/>
          <w:color w:val="auto"/>
          <w:sz w:val="24"/>
        </w:rPr>
        <w:t>7.3.1</w:t>
      </w:r>
      <w:r>
        <w:rPr>
          <w:rFonts w:hint="eastAsia" w:ascii="宋体" w:hAnsi="宋体" w:cs="楷体_GB2312"/>
          <w:color w:val="auto"/>
          <w:sz w:val="24"/>
          <w:lang w:val="zh-CN"/>
        </w:rPr>
        <w:t>见投标人须知前附表</w:t>
      </w:r>
    </w:p>
    <w:p>
      <w:pPr>
        <w:adjustRightInd w:val="0"/>
        <w:snapToGrid w:val="0"/>
        <w:spacing w:line="380" w:lineRule="exact"/>
        <w:ind w:firstLine="600" w:firstLineChars="250"/>
        <w:rPr>
          <w:rFonts w:ascii="宋体"/>
          <w:color w:val="auto"/>
          <w:sz w:val="24"/>
        </w:rPr>
      </w:pPr>
      <w:r>
        <w:rPr>
          <w:rFonts w:ascii="宋体" w:hAnsi="宋体"/>
          <w:color w:val="auto"/>
          <w:sz w:val="24"/>
        </w:rPr>
        <w:t>7.3.2</w:t>
      </w:r>
      <w:r>
        <w:rPr>
          <w:rFonts w:hint="eastAsia" w:ascii="宋体" w:hAnsi="宋体"/>
          <w:color w:val="auto"/>
          <w:sz w:val="24"/>
        </w:rPr>
        <w:t>询问或者质疑事项可能影响成交结果的，采购人应当暂停签订合同，已经签订合同的，应当中止履行合同。</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7.4 </w:t>
      </w:r>
      <w:r>
        <w:rPr>
          <w:rFonts w:hint="eastAsia" w:ascii="黑体" w:hAnsi="黑体" w:eastAsia="黑体" w:cs="楷体_GB2312"/>
          <w:b/>
          <w:color w:val="auto"/>
          <w:sz w:val="24"/>
          <w:lang w:val="zh-CN"/>
        </w:rPr>
        <w:t>成交通知：</w:t>
      </w:r>
      <w:r>
        <w:rPr>
          <w:rFonts w:hint="eastAsia" w:ascii="宋体" w:hAnsi="宋体" w:cs="楷体_GB2312"/>
          <w:color w:val="auto"/>
          <w:sz w:val="24"/>
          <w:lang w:val="zh-CN"/>
        </w:rPr>
        <w:t>见投标人须知前附表</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7.5 </w:t>
      </w:r>
      <w:r>
        <w:rPr>
          <w:rFonts w:hint="eastAsia" w:ascii="黑体" w:hAnsi="黑体" w:eastAsia="黑体" w:cs="楷体_GB2312"/>
          <w:b/>
          <w:color w:val="auto"/>
          <w:sz w:val="24"/>
          <w:lang w:val="zh-CN"/>
        </w:rPr>
        <w:t>履约保证金</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7.5.1 </w:t>
      </w:r>
      <w:r>
        <w:rPr>
          <w:rFonts w:hint="eastAsia" w:ascii="宋体" w:hAnsi="宋体" w:cs="楷体_GB2312"/>
          <w:color w:val="auto"/>
          <w:sz w:val="24"/>
          <w:lang w:val="zh-CN"/>
        </w:rPr>
        <w:t>在签订合同前，成交供应商应按投标人须知前附表规定向采购人提交履约保证金。</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s="楷体_GB2312"/>
          <w:color w:val="auto"/>
          <w:sz w:val="24"/>
          <w:lang w:val="zh-CN"/>
        </w:rPr>
        <w:t xml:space="preserve">7.5.2 </w:t>
      </w:r>
      <w:r>
        <w:rPr>
          <w:rFonts w:hint="eastAsia" w:ascii="宋体" w:hAnsi="宋体" w:cs="楷体_GB2312"/>
          <w:color w:val="auto"/>
          <w:sz w:val="24"/>
          <w:lang w:val="zh-CN"/>
        </w:rPr>
        <w:t>成交供应商不能按本章第</w:t>
      </w:r>
      <w:r>
        <w:rPr>
          <w:rFonts w:ascii="宋体" w:hAnsi="宋体" w:cs="楷体_GB2312"/>
          <w:color w:val="auto"/>
          <w:sz w:val="24"/>
          <w:lang w:val="zh-CN"/>
        </w:rPr>
        <w:t>7.5.1</w:t>
      </w:r>
      <w:r>
        <w:rPr>
          <w:rFonts w:hint="eastAsia" w:ascii="宋体" w:hAnsi="宋体" w:cs="楷体_GB2312"/>
          <w:color w:val="auto"/>
          <w:sz w:val="24"/>
          <w:lang w:val="zh-CN"/>
        </w:rPr>
        <w:t>项要求提交履约保证金的，视为放弃成交资格，其投标保证金不予退还，给采购人及采购代理机构造成的损失超过投标保证金数额的，成交供应商还应当对超过部分予以赔偿。</w:t>
      </w:r>
    </w:p>
    <w:p>
      <w:pPr>
        <w:autoSpaceDE w:val="0"/>
        <w:autoSpaceDN w:val="0"/>
        <w:adjustRightInd w:val="0"/>
        <w:snapToGrid w:val="0"/>
        <w:spacing w:line="380" w:lineRule="exact"/>
        <w:ind w:firstLine="539"/>
        <w:rPr>
          <w:rFonts w:ascii="黑体" w:hAnsi="黑体" w:eastAsia="黑体" w:cs="楷体_GB2312"/>
          <w:b/>
          <w:color w:val="auto"/>
          <w:sz w:val="24"/>
          <w:lang w:val="zh-CN"/>
        </w:rPr>
      </w:pPr>
      <w:r>
        <w:rPr>
          <w:rFonts w:ascii="黑体" w:hAnsi="黑体" w:eastAsia="黑体" w:cs="楷体_GB2312"/>
          <w:b/>
          <w:color w:val="auto"/>
          <w:sz w:val="24"/>
          <w:lang w:val="zh-CN"/>
        </w:rPr>
        <w:t xml:space="preserve">7.6 </w:t>
      </w:r>
      <w:r>
        <w:rPr>
          <w:rFonts w:hint="eastAsia" w:ascii="黑体" w:hAnsi="黑体" w:eastAsia="黑体" w:cs="楷体_GB2312"/>
          <w:b/>
          <w:color w:val="auto"/>
          <w:sz w:val="24"/>
          <w:lang w:val="zh-CN"/>
        </w:rPr>
        <w:t>签订合同</w:t>
      </w:r>
    </w:p>
    <w:p>
      <w:pPr>
        <w:autoSpaceDE w:val="0"/>
        <w:autoSpaceDN w:val="0"/>
        <w:adjustRightInd w:val="0"/>
        <w:snapToGrid w:val="0"/>
        <w:spacing w:line="380" w:lineRule="exact"/>
        <w:ind w:firstLine="539"/>
        <w:rPr>
          <w:rFonts w:ascii="宋体"/>
          <w:color w:val="auto"/>
          <w:sz w:val="24"/>
        </w:rPr>
      </w:pPr>
      <w:r>
        <w:rPr>
          <w:rFonts w:ascii="宋体" w:hAnsi="宋体"/>
          <w:color w:val="auto"/>
          <w:sz w:val="24"/>
        </w:rPr>
        <w:t xml:space="preserve">7.6.1 </w:t>
      </w:r>
      <w:r>
        <w:rPr>
          <w:rFonts w:hint="eastAsia" w:ascii="宋体" w:hAnsi="宋体"/>
          <w:color w:val="auto"/>
          <w:sz w:val="24"/>
        </w:rPr>
        <w:t>成交供应商应在《成交通知书》发出之日起</w:t>
      </w:r>
      <w:r>
        <w:rPr>
          <w:rFonts w:ascii="宋体" w:hAnsi="宋体"/>
          <w:color w:val="auto"/>
          <w:sz w:val="24"/>
        </w:rPr>
        <w:t>30</w:t>
      </w:r>
      <w:r>
        <w:rPr>
          <w:rFonts w:hint="eastAsia" w:ascii="宋体" w:hAnsi="宋体"/>
          <w:color w:val="auto"/>
          <w:sz w:val="24"/>
        </w:rPr>
        <w:t>日内，按照磋商文件确定的合同文本以及成交标的、技术和服务等事项与采购人签订</w:t>
      </w:r>
      <w:r>
        <w:rPr>
          <w:rFonts w:hint="eastAsia" w:ascii="宋体" w:hAnsi="宋体" w:cs="楷体_GB2312"/>
          <w:color w:val="auto"/>
          <w:sz w:val="24"/>
          <w:lang w:val="zh-CN"/>
        </w:rPr>
        <w:t>书面</w:t>
      </w:r>
      <w:r>
        <w:rPr>
          <w:rFonts w:hint="eastAsia" w:ascii="宋体" w:hAnsi="宋体"/>
          <w:color w:val="auto"/>
          <w:sz w:val="24"/>
        </w:rPr>
        <w:t>政府采购合同。</w:t>
      </w:r>
    </w:p>
    <w:p>
      <w:pPr>
        <w:autoSpaceDE w:val="0"/>
        <w:autoSpaceDN w:val="0"/>
        <w:adjustRightInd w:val="0"/>
        <w:snapToGrid w:val="0"/>
        <w:spacing w:line="380" w:lineRule="exact"/>
        <w:ind w:firstLine="539"/>
        <w:rPr>
          <w:rFonts w:ascii="宋体" w:cs="楷体_GB2312"/>
          <w:color w:val="auto"/>
          <w:sz w:val="24"/>
          <w:lang w:val="zh-CN"/>
        </w:rPr>
      </w:pPr>
      <w:r>
        <w:rPr>
          <w:rFonts w:ascii="宋体" w:hAnsi="宋体"/>
          <w:color w:val="auto"/>
          <w:sz w:val="24"/>
        </w:rPr>
        <w:t xml:space="preserve">7.6.2 </w:t>
      </w:r>
      <w:r>
        <w:rPr>
          <w:rFonts w:hint="eastAsia" w:ascii="宋体" w:hAnsi="宋体"/>
          <w:color w:val="auto"/>
          <w:sz w:val="24"/>
        </w:rPr>
        <w:t>如成交供应商不按时签订合同、</w:t>
      </w:r>
      <w:r>
        <w:rPr>
          <w:rFonts w:hint="eastAsia" w:ascii="宋体" w:hAnsi="宋体" w:cs="楷体_GB2312"/>
          <w:color w:val="auto"/>
          <w:sz w:val="24"/>
          <w:lang w:val="zh-CN"/>
        </w:rPr>
        <w:t>拒签合同的，取消其成交资格，其投标保证金不予退还；给采购人造成的损失超过投标保证金数额的，成交供应商还应当对超过部分予以赔偿。</w:t>
      </w:r>
    </w:p>
    <w:p>
      <w:pPr>
        <w:widowControl w:val="0"/>
        <w:adjustRightInd w:val="0"/>
        <w:snapToGrid w:val="0"/>
        <w:spacing w:line="380" w:lineRule="exact"/>
        <w:ind w:firstLine="566"/>
        <w:rPr>
          <w:rFonts w:ascii="宋体"/>
          <w:color w:val="auto"/>
          <w:sz w:val="24"/>
          <w:szCs w:val="24"/>
        </w:rPr>
      </w:pPr>
      <w:r>
        <w:rPr>
          <w:rFonts w:ascii="宋体" w:hAnsi="宋体"/>
          <w:color w:val="auto"/>
          <w:sz w:val="24"/>
          <w:szCs w:val="24"/>
        </w:rPr>
        <w:t xml:space="preserve">7.6.3 </w:t>
      </w:r>
      <w:r>
        <w:rPr>
          <w:rFonts w:hint="eastAsia" w:ascii="宋体" w:hAnsi="宋体"/>
          <w:color w:val="auto"/>
          <w:sz w:val="24"/>
          <w:szCs w:val="24"/>
        </w:rPr>
        <w:t>合同生效：成交供应商与采购人签订的合同，双方签字后盖章生效，并在</w:t>
      </w:r>
      <w:r>
        <w:rPr>
          <w:rFonts w:ascii="宋体" w:hAnsi="宋体"/>
          <w:color w:val="auto"/>
          <w:sz w:val="24"/>
          <w:szCs w:val="24"/>
        </w:rPr>
        <w:t>7</w:t>
      </w:r>
      <w:r>
        <w:rPr>
          <w:rFonts w:hint="eastAsia" w:ascii="宋体" w:hAnsi="宋体"/>
          <w:color w:val="auto"/>
          <w:sz w:val="24"/>
          <w:szCs w:val="24"/>
        </w:rPr>
        <w:t>个工作日内报同级政府采购监管部门备案。</w:t>
      </w:r>
    </w:p>
    <w:p>
      <w:pPr>
        <w:widowControl w:val="0"/>
        <w:adjustRightInd w:val="0"/>
        <w:snapToGrid w:val="0"/>
        <w:spacing w:line="380" w:lineRule="exact"/>
        <w:ind w:firstLine="549"/>
        <w:rPr>
          <w:rFonts w:ascii="宋体"/>
          <w:color w:val="auto"/>
          <w:sz w:val="24"/>
          <w:szCs w:val="24"/>
        </w:rPr>
      </w:pPr>
      <w:r>
        <w:rPr>
          <w:rFonts w:ascii="宋体" w:hAnsi="宋体"/>
          <w:color w:val="auto"/>
          <w:sz w:val="24"/>
          <w:szCs w:val="24"/>
        </w:rPr>
        <w:t>7.6.4</w:t>
      </w:r>
      <w:r>
        <w:rPr>
          <w:rFonts w:hint="eastAsia" w:ascii="宋体" w:hAnsi="宋体"/>
          <w:color w:val="auto"/>
          <w:sz w:val="24"/>
          <w:szCs w:val="24"/>
        </w:rPr>
        <w:t>《成交通知书》、磋商文件</w:t>
      </w:r>
      <w:r>
        <w:rPr>
          <w:rFonts w:hint="eastAsia" w:ascii="宋体" w:hAnsi="宋体"/>
          <w:color w:val="auto"/>
          <w:spacing w:val="20"/>
          <w:sz w:val="24"/>
          <w:szCs w:val="24"/>
        </w:rPr>
        <w:t>及其修改补充澄清</w:t>
      </w:r>
      <w:r>
        <w:rPr>
          <w:rFonts w:hint="eastAsia" w:ascii="宋体" w:hAnsi="宋体"/>
          <w:color w:val="auto"/>
          <w:sz w:val="24"/>
          <w:szCs w:val="24"/>
        </w:rPr>
        <w:t>、成交供应商的投标文件及</w:t>
      </w:r>
      <w:r>
        <w:rPr>
          <w:rFonts w:hint="eastAsia" w:ascii="宋体" w:hAnsi="宋体"/>
          <w:color w:val="auto"/>
          <w:spacing w:val="20"/>
          <w:sz w:val="24"/>
          <w:szCs w:val="24"/>
        </w:rPr>
        <w:t>及其修改补充澄清</w:t>
      </w:r>
      <w:r>
        <w:rPr>
          <w:rFonts w:hint="eastAsia" w:ascii="宋体" w:hAnsi="宋体"/>
          <w:color w:val="auto"/>
          <w:sz w:val="24"/>
          <w:szCs w:val="24"/>
        </w:rPr>
        <w:t>等，均为签订合同的依据。所定合同不得对磋商文件和成交供应商的投标文件作实质性修改，采购人和成交供应商不得私下订立背离合同实质性内容的协议。</w:t>
      </w:r>
    </w:p>
    <w:p>
      <w:pPr>
        <w:widowControl w:val="0"/>
        <w:adjustRightInd w:val="0"/>
        <w:snapToGrid w:val="0"/>
        <w:spacing w:line="380" w:lineRule="exact"/>
        <w:ind w:firstLine="549"/>
        <w:rPr>
          <w:rFonts w:ascii="宋体"/>
          <w:color w:val="auto"/>
          <w:sz w:val="24"/>
          <w:szCs w:val="24"/>
        </w:rPr>
      </w:pPr>
      <w:r>
        <w:rPr>
          <w:rFonts w:ascii="宋体" w:hAnsi="宋体"/>
          <w:color w:val="auto"/>
          <w:sz w:val="24"/>
          <w:szCs w:val="24"/>
        </w:rPr>
        <w:t xml:space="preserve">7.6.5 </w:t>
      </w:r>
      <w:r>
        <w:rPr>
          <w:rFonts w:hint="eastAsia" w:ascii="宋体" w:hAnsi="宋体"/>
          <w:color w:val="auto"/>
          <w:sz w:val="24"/>
          <w:szCs w:val="24"/>
        </w:rPr>
        <w:t>评审会后，成交供应商、采购人之间擅自私下磋商、变更中标（成交）标的、价格及磋商标文件实质性内容的，有关部门将按《中华人民共和国政府采购法》及相关法规的规定处理。</w:t>
      </w:r>
    </w:p>
    <w:p>
      <w:pPr>
        <w:widowControl w:val="0"/>
        <w:adjustRightInd w:val="0"/>
        <w:snapToGrid w:val="0"/>
        <w:spacing w:line="380" w:lineRule="exact"/>
        <w:ind w:firstLine="549"/>
        <w:rPr>
          <w:color w:val="auto"/>
          <w:sz w:val="24"/>
          <w:szCs w:val="24"/>
        </w:rPr>
      </w:pPr>
      <w:r>
        <w:rPr>
          <w:rFonts w:ascii="宋体" w:hAnsi="宋体"/>
          <w:color w:val="auto"/>
          <w:sz w:val="24"/>
          <w:szCs w:val="24"/>
        </w:rPr>
        <w:t xml:space="preserve">7.6.6 </w:t>
      </w:r>
      <w:r>
        <w:rPr>
          <w:rFonts w:hint="eastAsia" w:ascii="宋体" w:hAnsi="宋体"/>
          <w:color w:val="auto"/>
          <w:sz w:val="24"/>
          <w:szCs w:val="24"/>
        </w:rPr>
        <w:t>采购人与成交供应商签订《政府采购合同》后，合同履行中产生的纠纷、争议，由采购人与成交供应</w:t>
      </w:r>
      <w:r>
        <w:rPr>
          <w:rFonts w:hint="eastAsia"/>
          <w:color w:val="auto"/>
          <w:sz w:val="24"/>
          <w:szCs w:val="24"/>
        </w:rPr>
        <w:t>商按合同条款及《中华人民共和国民法典》处理。</w:t>
      </w:r>
    </w:p>
    <w:p>
      <w:pPr>
        <w:widowControl w:val="0"/>
        <w:adjustRightInd w:val="0"/>
        <w:snapToGrid w:val="0"/>
        <w:spacing w:line="380" w:lineRule="exact"/>
        <w:ind w:firstLine="555"/>
        <w:rPr>
          <w:rFonts w:ascii="黑体" w:hAnsi="黑体" w:eastAsia="黑体" w:cs="楷体_GB2312"/>
          <w:b/>
          <w:color w:val="auto"/>
          <w:sz w:val="24"/>
          <w:lang w:val="zh-CN"/>
        </w:rPr>
      </w:pPr>
      <w:r>
        <w:rPr>
          <w:rFonts w:ascii="黑体" w:hAnsi="黑体" w:eastAsia="黑体" w:cs="楷体_GB2312"/>
          <w:b/>
          <w:color w:val="auto"/>
          <w:sz w:val="24"/>
          <w:lang w:val="zh-CN"/>
        </w:rPr>
        <w:t xml:space="preserve">7.7 </w:t>
      </w:r>
      <w:r>
        <w:rPr>
          <w:rFonts w:hint="eastAsia" w:ascii="黑体" w:hAnsi="黑体" w:eastAsia="黑体" w:cs="楷体_GB2312"/>
          <w:b/>
          <w:color w:val="auto"/>
          <w:sz w:val="24"/>
          <w:lang w:val="zh-CN"/>
        </w:rPr>
        <w:t>合同补充变更</w:t>
      </w:r>
    </w:p>
    <w:p>
      <w:pPr>
        <w:widowControl w:val="0"/>
        <w:adjustRightInd w:val="0"/>
        <w:snapToGrid w:val="0"/>
        <w:spacing w:line="380" w:lineRule="exact"/>
        <w:ind w:firstLine="555"/>
        <w:rPr>
          <w:rFonts w:ascii="宋体"/>
          <w:color w:val="auto"/>
          <w:sz w:val="24"/>
          <w:szCs w:val="24"/>
        </w:rPr>
      </w:pPr>
      <w:r>
        <w:rPr>
          <w:rFonts w:ascii="宋体" w:hAnsi="宋体"/>
          <w:color w:val="auto"/>
          <w:sz w:val="24"/>
          <w:szCs w:val="24"/>
        </w:rPr>
        <w:t xml:space="preserve">7.7.1 </w:t>
      </w:r>
      <w:r>
        <w:rPr>
          <w:rFonts w:hint="eastAsia" w:ascii="宋体" w:hAnsi="宋体"/>
          <w:color w:val="auto"/>
          <w:sz w:val="24"/>
          <w:szCs w:val="24"/>
        </w:rPr>
        <w:t>政府采购合同履行中，采购人需追加或减少与合同标的相同的货物和服务的（即追加或减少原合同标的数量），在不改变合同条款（包括原合同单价）的前提下，双方可以协商签订补充合同，但所有补充合同总金额不得超过原合同采购金额的</w:t>
      </w:r>
      <w:r>
        <w:rPr>
          <w:rFonts w:ascii="宋体" w:hAnsi="宋体"/>
          <w:color w:val="auto"/>
          <w:sz w:val="24"/>
          <w:szCs w:val="24"/>
        </w:rPr>
        <w:t>10%</w:t>
      </w:r>
      <w:r>
        <w:rPr>
          <w:rFonts w:hint="eastAsia" w:ascii="宋体" w:hAnsi="宋体"/>
          <w:color w:val="auto"/>
          <w:sz w:val="24"/>
          <w:szCs w:val="24"/>
        </w:rPr>
        <w:t>，不得调增原合同单价，不得超出项目预算，超过原合同采购金额的</w:t>
      </w:r>
      <w:r>
        <w:rPr>
          <w:rFonts w:ascii="宋体" w:hAnsi="宋体"/>
          <w:color w:val="auto"/>
          <w:sz w:val="24"/>
          <w:szCs w:val="24"/>
        </w:rPr>
        <w:t>10%</w:t>
      </w:r>
      <w:r>
        <w:rPr>
          <w:rFonts w:hint="eastAsia" w:ascii="宋体" w:hAnsi="宋体"/>
          <w:color w:val="auto"/>
          <w:sz w:val="24"/>
          <w:szCs w:val="24"/>
        </w:rPr>
        <w:t>，应重新组织采购活动。</w:t>
      </w:r>
    </w:p>
    <w:p>
      <w:pPr>
        <w:widowControl w:val="0"/>
        <w:adjustRightInd w:val="0"/>
        <w:snapToGrid w:val="0"/>
        <w:spacing w:line="380" w:lineRule="exact"/>
        <w:ind w:firstLine="555"/>
        <w:rPr>
          <w:color w:val="auto"/>
          <w:sz w:val="24"/>
          <w:szCs w:val="24"/>
        </w:rPr>
      </w:pPr>
      <w:r>
        <w:rPr>
          <w:rFonts w:ascii="宋体" w:hAnsi="宋体"/>
          <w:b/>
          <w:color w:val="auto"/>
          <w:sz w:val="24"/>
          <w:szCs w:val="24"/>
        </w:rPr>
        <w:t>7.7.2</w:t>
      </w:r>
      <w:r>
        <w:rPr>
          <w:rFonts w:hint="eastAsia" w:ascii="宋体" w:hAnsi="宋体"/>
          <w:color w:val="auto"/>
          <w:sz w:val="24"/>
          <w:szCs w:val="24"/>
        </w:rPr>
        <w:t>采购人需追加或减少的货物和服务金额达到</w:t>
      </w:r>
      <w:r>
        <w:rPr>
          <w:rFonts w:hint="eastAsia"/>
          <w:color w:val="auto"/>
          <w:sz w:val="24"/>
          <w:szCs w:val="24"/>
        </w:rPr>
        <w:t>且超过中标（成交）价</w:t>
      </w:r>
      <w:r>
        <w:rPr>
          <w:color w:val="auto"/>
          <w:sz w:val="24"/>
          <w:szCs w:val="24"/>
        </w:rPr>
        <w:t>3%</w:t>
      </w:r>
      <w:r>
        <w:rPr>
          <w:rFonts w:hint="eastAsia"/>
          <w:color w:val="auto"/>
          <w:sz w:val="24"/>
          <w:szCs w:val="24"/>
        </w:rPr>
        <w:t>的，采购人应当自确定变更之日起</w:t>
      </w:r>
      <w:r>
        <w:rPr>
          <w:color w:val="auto"/>
          <w:sz w:val="24"/>
          <w:szCs w:val="24"/>
        </w:rPr>
        <w:t>5</w:t>
      </w:r>
      <w:r>
        <w:rPr>
          <w:rFonts w:hint="eastAsia"/>
          <w:color w:val="auto"/>
          <w:sz w:val="24"/>
          <w:szCs w:val="24"/>
        </w:rPr>
        <w:t>个工作日内将变更情况及事由报送同级监察机关。</w:t>
      </w:r>
    </w:p>
    <w:p>
      <w:pPr>
        <w:widowControl w:val="0"/>
        <w:adjustRightInd w:val="0"/>
        <w:snapToGrid w:val="0"/>
        <w:spacing w:line="380" w:lineRule="exact"/>
        <w:ind w:firstLine="555"/>
        <w:rPr>
          <w:color w:val="auto"/>
          <w:sz w:val="24"/>
          <w:szCs w:val="24"/>
        </w:rPr>
      </w:pPr>
      <w:r>
        <w:rPr>
          <w:rFonts w:hint="eastAsia"/>
          <w:color w:val="auto"/>
          <w:sz w:val="24"/>
          <w:szCs w:val="24"/>
        </w:rPr>
        <w:t>采购项目在中标（成交）后经有关行政机关批准变更的，批准的行政机关应当自批准之日起</w:t>
      </w:r>
      <w:r>
        <w:rPr>
          <w:color w:val="auto"/>
          <w:sz w:val="24"/>
          <w:szCs w:val="24"/>
        </w:rPr>
        <w:t>3</w:t>
      </w:r>
      <w:r>
        <w:rPr>
          <w:rFonts w:hint="eastAsia"/>
          <w:color w:val="auto"/>
          <w:sz w:val="24"/>
          <w:szCs w:val="24"/>
        </w:rPr>
        <w:t>个工作日内将批准文件抄送同级监察机关备案。</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2" w:name="_Toc25791"/>
      <w:bookmarkStart w:id="33" w:name="_Toc26366096"/>
      <w:r>
        <w:rPr>
          <w:rFonts w:ascii="黑体" w:hAnsi="黑体" w:eastAsia="黑体" w:cs="楷体_GB2312"/>
          <w:b/>
          <w:bCs/>
          <w:color w:val="auto"/>
          <w:sz w:val="28"/>
          <w:szCs w:val="28"/>
          <w:lang w:val="zh-CN"/>
        </w:rPr>
        <w:t xml:space="preserve">8. </w:t>
      </w:r>
      <w:r>
        <w:rPr>
          <w:rFonts w:hint="eastAsia" w:ascii="黑体" w:hAnsi="黑体" w:eastAsia="黑体" w:cs="楷体_GB2312"/>
          <w:b/>
          <w:bCs/>
          <w:color w:val="auto"/>
          <w:sz w:val="28"/>
          <w:szCs w:val="28"/>
          <w:lang w:val="zh-CN"/>
        </w:rPr>
        <w:t>验收</w:t>
      </w:r>
      <w:bookmarkEnd w:id="32"/>
      <w:bookmarkEnd w:id="33"/>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8.1 </w:t>
      </w:r>
      <w:r>
        <w:rPr>
          <w:rFonts w:hint="eastAsia" w:ascii="宋体" w:hAnsi="宋体" w:cs="楷体_GB2312"/>
          <w:color w:val="auto"/>
          <w:sz w:val="24"/>
          <w:lang w:val="zh-CN"/>
        </w:rPr>
        <w:t>验收时间：所供货物，具备正常使用及验收条件时，由采购人成立验收工作组根据招标文件参数逐一核对验收。</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8.2 </w:t>
      </w:r>
      <w:r>
        <w:rPr>
          <w:rFonts w:hint="eastAsia" w:ascii="宋体" w:hAnsi="宋体" w:cs="楷体_GB2312"/>
          <w:color w:val="auto"/>
          <w:sz w:val="24"/>
          <w:lang w:val="zh-CN"/>
        </w:rPr>
        <w:t>验收工作组：合同履约验收工作应成立验收工作组专门负责，直接参与该项目政府采购活动的主要负责人不得作为验收工作的主要负责人，验收工作组应不少于三人。验收工作应当邀请采购项目评审专家参加验收；验收工作由采购人组织，成员应由采购人代表、评审专家组成，采购人代表必须含采购人纪检人员。大型、复杂或者技术性很强的政府采购项目，应当邀请国家认可的质量检测机构参加验收工作；国家规定强制性检测的采购项目，采购人必须委托国家认可专业检测机构进行验收。</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8.3 </w:t>
      </w:r>
      <w:r>
        <w:rPr>
          <w:rFonts w:hint="eastAsia" w:ascii="宋体" w:hAnsi="宋体" w:cs="楷体_GB2312"/>
          <w:color w:val="auto"/>
          <w:sz w:val="24"/>
          <w:lang w:val="zh-CN"/>
        </w:rPr>
        <w:t>验收报告：验收后，由采购人及专家等出具检测验收报告，国家规定强制性检测的采购项目应附国家认可的专业检测机构出具的验收报告。</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8.4 </w:t>
      </w:r>
      <w:r>
        <w:rPr>
          <w:rFonts w:hint="eastAsia" w:ascii="宋体" w:hAnsi="宋体" w:cs="楷体_GB2312"/>
          <w:color w:val="auto"/>
          <w:sz w:val="24"/>
          <w:lang w:val="zh-CN"/>
        </w:rPr>
        <w:t>验收中发现成交供应商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8.5 </w:t>
      </w:r>
      <w:r>
        <w:rPr>
          <w:rFonts w:hint="eastAsia" w:ascii="宋体" w:hAnsi="宋体" w:cs="楷体_GB2312"/>
          <w:color w:val="auto"/>
          <w:sz w:val="24"/>
          <w:lang w:val="zh-CN"/>
        </w:rPr>
        <w:t>验收时需要进行破坏性试验的，供应商应进行充分的配合并提供备品备件。</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4" w:name="_Toc26366097"/>
      <w:bookmarkStart w:id="35" w:name="_Toc29601"/>
      <w:r>
        <w:rPr>
          <w:rFonts w:ascii="黑体" w:hAnsi="黑体" w:eastAsia="黑体" w:cs="楷体_GB2312"/>
          <w:b/>
          <w:bCs/>
          <w:color w:val="auto"/>
          <w:sz w:val="28"/>
          <w:szCs w:val="28"/>
          <w:lang w:val="zh-CN"/>
        </w:rPr>
        <w:t>9.</w:t>
      </w:r>
      <w:r>
        <w:rPr>
          <w:rFonts w:hint="eastAsia" w:ascii="黑体" w:hAnsi="黑体" w:eastAsia="黑体" w:cs="楷体_GB2312"/>
          <w:b/>
          <w:bCs/>
          <w:color w:val="auto"/>
          <w:sz w:val="28"/>
          <w:szCs w:val="28"/>
          <w:lang w:val="zh-CN"/>
        </w:rPr>
        <w:t>付款</w:t>
      </w:r>
      <w:bookmarkEnd w:id="34"/>
      <w:bookmarkEnd w:id="35"/>
    </w:p>
    <w:p>
      <w:pPr>
        <w:widowControl w:val="0"/>
        <w:adjustRightInd w:val="0"/>
        <w:snapToGrid w:val="0"/>
        <w:spacing w:line="380" w:lineRule="exact"/>
        <w:ind w:firstLine="561"/>
        <w:rPr>
          <w:rFonts w:ascii="宋体" w:cs="楷体_GB2312"/>
          <w:color w:val="auto"/>
          <w:sz w:val="24"/>
          <w:lang w:val="zh-CN"/>
        </w:rPr>
      </w:pPr>
      <w:r>
        <w:rPr>
          <w:rFonts w:hint="eastAsia" w:ascii="宋体" w:hAnsi="宋体" w:cs="楷体_GB2312"/>
          <w:color w:val="auto"/>
          <w:sz w:val="24"/>
          <w:lang w:val="zh-CN"/>
        </w:rPr>
        <w:t>见投标人须知前附表</w:t>
      </w:r>
    </w:p>
    <w:p>
      <w:pPr>
        <w:widowControl w:val="0"/>
        <w:adjustRightInd w:val="0"/>
        <w:snapToGrid w:val="0"/>
        <w:spacing w:line="380" w:lineRule="exact"/>
        <w:ind w:firstLine="561"/>
        <w:outlineLvl w:val="1"/>
        <w:rPr>
          <w:rFonts w:ascii="黑体" w:hAnsi="黑体" w:eastAsia="黑体" w:cs="楷体_GB2312"/>
          <w:b/>
          <w:bCs/>
          <w:color w:val="auto"/>
          <w:sz w:val="28"/>
          <w:szCs w:val="28"/>
          <w:lang w:val="zh-CN"/>
        </w:rPr>
      </w:pPr>
      <w:bookmarkStart w:id="36" w:name="_Toc9380"/>
      <w:bookmarkStart w:id="37" w:name="_Toc26366098"/>
      <w:r>
        <w:rPr>
          <w:rFonts w:ascii="黑体" w:hAnsi="黑体" w:eastAsia="黑体" w:cs="楷体_GB2312"/>
          <w:b/>
          <w:bCs/>
          <w:color w:val="auto"/>
          <w:sz w:val="28"/>
          <w:szCs w:val="28"/>
          <w:lang w:val="zh-CN"/>
        </w:rPr>
        <w:t xml:space="preserve">10. </w:t>
      </w:r>
      <w:r>
        <w:rPr>
          <w:rFonts w:hint="eastAsia" w:ascii="黑体" w:hAnsi="黑体" w:eastAsia="黑体" w:cs="楷体_GB2312"/>
          <w:b/>
          <w:bCs/>
          <w:color w:val="auto"/>
          <w:sz w:val="28"/>
          <w:szCs w:val="28"/>
          <w:lang w:val="zh-CN"/>
        </w:rPr>
        <w:t>其他</w:t>
      </w:r>
      <w:bookmarkEnd w:id="36"/>
      <w:bookmarkEnd w:id="37"/>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10.1 </w:t>
      </w:r>
      <w:r>
        <w:rPr>
          <w:rFonts w:hint="eastAsia" w:ascii="宋体" w:hAnsi="宋体" w:cs="楷体_GB2312"/>
          <w:color w:val="auto"/>
          <w:sz w:val="24"/>
          <w:lang w:val="zh-CN"/>
        </w:rPr>
        <w:t>中标（成交）服务费等：见投标人须知前附表</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10.2 </w:t>
      </w:r>
      <w:r>
        <w:rPr>
          <w:rFonts w:hint="eastAsia" w:ascii="宋体" w:hAnsi="宋体" w:cs="楷体_GB2312"/>
          <w:color w:val="auto"/>
          <w:sz w:val="24"/>
          <w:lang w:val="zh-CN"/>
        </w:rPr>
        <w:t>同义解释。磋商文件中：“投标”同义“提交响应文件”，“投标人”同义“提交响应文件的供应商”，“投标文件”同义“响应文件”，</w:t>
      </w:r>
      <w:r>
        <w:rPr>
          <w:rFonts w:hint="eastAsia" w:ascii="宋体" w:cs="楷体_GB2312"/>
          <w:color w:val="auto"/>
          <w:sz w:val="24"/>
          <w:lang w:val="zh-CN"/>
        </w:rPr>
        <w:t>“</w:t>
      </w:r>
      <w:r>
        <w:rPr>
          <w:rFonts w:hint="eastAsia" w:ascii="宋体" w:hAnsi="宋体" w:cs="楷体_GB2312"/>
          <w:color w:val="auto"/>
          <w:sz w:val="24"/>
          <w:lang w:val="zh-CN"/>
        </w:rPr>
        <w:t>开标”同义“响应文件的开启</w:t>
      </w:r>
      <w:r>
        <w:rPr>
          <w:rFonts w:hint="eastAsia" w:ascii="宋体" w:cs="楷体_GB2312"/>
          <w:color w:val="auto"/>
          <w:sz w:val="24"/>
          <w:lang w:val="zh-CN"/>
        </w:rPr>
        <w:t>”</w:t>
      </w:r>
      <w:r>
        <w:rPr>
          <w:rFonts w:hint="eastAsia" w:ascii="宋体" w:hAnsi="宋体" w:cs="楷体_GB2312"/>
          <w:color w:val="auto"/>
          <w:sz w:val="24"/>
          <w:lang w:val="zh-CN"/>
        </w:rPr>
        <w:t>，“中标”同义“成交”，“成交人”同义“成交供应商</w:t>
      </w:r>
      <w:r>
        <w:rPr>
          <w:rFonts w:hint="eastAsia" w:ascii="宋体" w:cs="楷体_GB2312"/>
          <w:color w:val="auto"/>
          <w:sz w:val="24"/>
          <w:lang w:val="zh-CN"/>
        </w:rPr>
        <w:t>”</w:t>
      </w:r>
      <w:r>
        <w:rPr>
          <w:rFonts w:hint="eastAsia" w:ascii="宋体" w:hAnsi="宋体" w:cs="楷体_GB2312"/>
          <w:color w:val="auto"/>
          <w:sz w:val="24"/>
          <w:lang w:val="zh-CN"/>
        </w:rPr>
        <w:t>。</w:t>
      </w:r>
    </w:p>
    <w:p>
      <w:pPr>
        <w:widowControl w:val="0"/>
        <w:adjustRightInd w:val="0"/>
        <w:snapToGrid w:val="0"/>
        <w:spacing w:line="380" w:lineRule="exact"/>
        <w:ind w:firstLine="561"/>
        <w:rPr>
          <w:rFonts w:ascii="宋体" w:cs="楷体_GB2312"/>
          <w:color w:val="auto"/>
          <w:sz w:val="24"/>
          <w:lang w:val="zh-CN"/>
        </w:rPr>
      </w:pPr>
      <w:r>
        <w:rPr>
          <w:rFonts w:ascii="宋体" w:hAnsi="宋体" w:cs="楷体_GB2312"/>
          <w:color w:val="auto"/>
          <w:sz w:val="24"/>
          <w:lang w:val="zh-CN"/>
        </w:rPr>
        <w:t xml:space="preserve">10.3 </w:t>
      </w:r>
      <w:r>
        <w:rPr>
          <w:rFonts w:hint="eastAsia" w:ascii="宋体" w:hAnsi="宋体" w:cs="楷体_GB2312"/>
          <w:color w:val="auto"/>
          <w:sz w:val="24"/>
          <w:lang w:val="zh-CN"/>
        </w:rPr>
        <w:t>投标人资格条件中包含非法人单位的，磋商文件中法定代表人一词相应包含表示证照标示的负责人；投标人资格条件中包含自然人的，磋商文件中法定代表人一词相应包含表示自然人，自然人应由其本人签署投标文件、参加投标，不应再授权他人。</w:t>
      </w:r>
    </w:p>
    <w:p>
      <w:pPr>
        <w:widowControl w:val="0"/>
        <w:autoSpaceDE w:val="0"/>
        <w:autoSpaceDN w:val="0"/>
        <w:adjustRightInd w:val="0"/>
        <w:spacing w:line="380" w:lineRule="exact"/>
        <w:ind w:firstLine="480" w:firstLineChars="200"/>
        <w:jc w:val="left"/>
        <w:textAlignment w:val="auto"/>
        <w:rPr>
          <w:rFonts w:ascii="宋体" w:hAnsi="宋体" w:cs="楷体_GB2312"/>
          <w:color w:val="auto"/>
          <w:sz w:val="24"/>
          <w:lang w:val="zh-CN"/>
        </w:rPr>
      </w:pPr>
      <w:r>
        <w:rPr>
          <w:rFonts w:ascii="宋体" w:hAnsi="宋体" w:cs="楷体_GB2312"/>
          <w:color w:val="auto"/>
          <w:sz w:val="24"/>
          <w:lang w:val="zh-CN"/>
        </w:rPr>
        <w:t xml:space="preserve">10.4  </w:t>
      </w:r>
      <w:r>
        <w:rPr>
          <w:rFonts w:hint="eastAsia" w:ascii="宋体" w:hAnsi="宋体" w:cs="楷体_GB2312"/>
          <w:color w:val="auto"/>
          <w:sz w:val="24"/>
          <w:lang w:val="zh-CN"/>
        </w:rPr>
        <w:t>磋商文件第一章至第四章各章中，用序号标示条、款、项、目，例如：</w:t>
      </w:r>
      <w:r>
        <w:rPr>
          <w:rFonts w:ascii="宋体" w:hAnsi="宋体" w:cs="楷体_GB2312"/>
          <w:color w:val="auto"/>
          <w:sz w:val="24"/>
          <w:lang w:val="zh-CN"/>
        </w:rPr>
        <w:t>1</w:t>
      </w:r>
      <w:r>
        <w:rPr>
          <w:rFonts w:hint="eastAsia" w:ascii="宋体" w:hAnsi="宋体" w:cs="楷体_GB2312"/>
          <w:color w:val="auto"/>
          <w:sz w:val="24"/>
          <w:lang w:val="zh-CN"/>
        </w:rPr>
        <w:t>为第</w:t>
      </w:r>
      <w:r>
        <w:rPr>
          <w:rFonts w:ascii="宋体" w:hAnsi="宋体" w:cs="楷体_GB2312"/>
          <w:color w:val="auto"/>
          <w:sz w:val="24"/>
          <w:lang w:val="zh-CN"/>
        </w:rPr>
        <w:t xml:space="preserve">1 </w:t>
      </w:r>
      <w:r>
        <w:rPr>
          <w:rFonts w:hint="eastAsia" w:ascii="宋体" w:hAnsi="宋体" w:cs="楷体_GB2312"/>
          <w:color w:val="auto"/>
          <w:sz w:val="24"/>
          <w:lang w:val="zh-CN"/>
        </w:rPr>
        <w:t>条，</w:t>
      </w:r>
      <w:r>
        <w:rPr>
          <w:rFonts w:ascii="宋体" w:hAnsi="宋体" w:cs="楷体_GB2312"/>
          <w:color w:val="auto"/>
          <w:sz w:val="24"/>
          <w:lang w:val="zh-CN"/>
        </w:rPr>
        <w:t>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款（简称</w:t>
      </w:r>
      <w:r>
        <w:rPr>
          <w:rFonts w:ascii="宋体" w:hAnsi="宋体" w:cs="楷体_GB2312"/>
          <w:color w:val="auto"/>
          <w:sz w:val="24"/>
          <w:lang w:val="zh-CN"/>
        </w:rPr>
        <w:t>1.1</w:t>
      </w:r>
      <w:r>
        <w:rPr>
          <w:rFonts w:hint="eastAsia" w:ascii="宋体" w:hAnsi="宋体" w:cs="楷体_GB2312"/>
          <w:color w:val="auto"/>
          <w:sz w:val="24"/>
          <w:lang w:val="zh-CN"/>
        </w:rPr>
        <w:t>款），</w:t>
      </w:r>
      <w:r>
        <w:rPr>
          <w:rFonts w:ascii="宋体" w:hAnsi="宋体" w:cs="楷体_GB2312"/>
          <w:color w:val="auto"/>
          <w:sz w:val="24"/>
          <w:lang w:val="zh-CN"/>
        </w:rPr>
        <w:t>1.1.1</w:t>
      </w:r>
      <w:r>
        <w:rPr>
          <w:rFonts w:hint="eastAsia" w:ascii="宋体" w:hAnsi="宋体" w:cs="楷体_GB2312"/>
          <w:color w:val="auto"/>
          <w:sz w:val="24"/>
          <w:lang w:val="zh-CN"/>
        </w:rPr>
        <w:t>为第</w:t>
      </w:r>
      <w:r>
        <w:rPr>
          <w:rFonts w:ascii="宋体" w:hAnsi="宋体" w:cs="楷体_GB2312"/>
          <w:color w:val="auto"/>
          <w:sz w:val="24"/>
          <w:lang w:val="zh-CN"/>
        </w:rPr>
        <w:t>1</w:t>
      </w:r>
      <w:r>
        <w:rPr>
          <w:rFonts w:hint="eastAsia" w:ascii="宋体" w:hAnsi="宋体" w:cs="楷体_GB2312"/>
          <w:color w:val="auto"/>
          <w:sz w:val="24"/>
          <w:lang w:val="zh-CN"/>
        </w:rPr>
        <w:t>条第</w:t>
      </w:r>
      <w:r>
        <w:rPr>
          <w:rFonts w:ascii="宋体" w:hAnsi="宋体" w:cs="楷体_GB2312"/>
          <w:color w:val="auto"/>
          <w:sz w:val="24"/>
          <w:lang w:val="zh-CN"/>
        </w:rPr>
        <w:t>1</w:t>
      </w:r>
      <w:r>
        <w:rPr>
          <w:rFonts w:hint="eastAsia" w:ascii="宋体" w:hAnsi="宋体" w:cs="楷体_GB2312"/>
          <w:color w:val="auto"/>
          <w:sz w:val="24"/>
          <w:lang w:val="zh-CN"/>
        </w:rPr>
        <w:t>款第</w:t>
      </w:r>
      <w:r>
        <w:rPr>
          <w:rFonts w:ascii="宋体" w:hAnsi="宋体" w:cs="楷体_GB2312"/>
          <w:color w:val="auto"/>
          <w:sz w:val="24"/>
          <w:lang w:val="zh-CN"/>
        </w:rPr>
        <w:t>1</w:t>
      </w:r>
      <w:r>
        <w:rPr>
          <w:rFonts w:hint="eastAsia" w:ascii="宋体" w:hAnsi="宋体" w:cs="楷体_GB2312"/>
          <w:color w:val="auto"/>
          <w:sz w:val="24"/>
          <w:lang w:val="zh-CN"/>
        </w:rPr>
        <w:t>项（简称</w:t>
      </w:r>
      <w:r>
        <w:rPr>
          <w:rFonts w:ascii="宋体" w:hAnsi="宋体" w:cs="楷体_GB2312"/>
          <w:color w:val="auto"/>
          <w:sz w:val="24"/>
          <w:lang w:val="zh-CN"/>
        </w:rPr>
        <w:t>1.1.1</w:t>
      </w:r>
      <w:r>
        <w:rPr>
          <w:rFonts w:hint="eastAsia" w:ascii="宋体" w:hAnsi="宋体" w:cs="楷体_GB2312"/>
          <w:color w:val="auto"/>
          <w:sz w:val="24"/>
          <w:lang w:val="zh-CN"/>
        </w:rPr>
        <w:t>项）。“条”包含款、项、目；“款”包含项、目；“项”包含目。</w:t>
      </w:r>
    </w:p>
    <w:p>
      <w:pPr>
        <w:widowControl w:val="0"/>
        <w:autoSpaceDE w:val="0"/>
        <w:autoSpaceDN w:val="0"/>
        <w:adjustRightInd w:val="0"/>
        <w:spacing w:line="380" w:lineRule="exact"/>
        <w:ind w:firstLine="480" w:firstLineChars="200"/>
        <w:jc w:val="left"/>
        <w:textAlignment w:val="auto"/>
        <w:rPr>
          <w:rFonts w:ascii="宋体" w:hAnsi="宋体" w:cs="楷体_GB2312"/>
          <w:color w:val="auto"/>
          <w:sz w:val="24"/>
          <w:szCs w:val="22"/>
        </w:rPr>
      </w:pPr>
      <w:r>
        <w:rPr>
          <w:rFonts w:hint="eastAsia" w:ascii="宋体" w:hAnsi="宋体" w:cs="楷体_GB2312"/>
          <w:color w:val="auto"/>
          <w:sz w:val="24"/>
          <w:szCs w:val="22"/>
        </w:rPr>
        <w:t xml:space="preserve">10.5 </w:t>
      </w:r>
      <w:r>
        <w:rPr>
          <w:rFonts w:hint="eastAsia" w:ascii="宋体" w:hAnsi="宋体" w:cs="楷体_GB2312"/>
          <w:b/>
          <w:bCs/>
          <w:color w:val="auto"/>
          <w:sz w:val="24"/>
          <w:szCs w:val="22"/>
          <w:lang w:val="zh-CN"/>
        </w:rPr>
        <w:t>代理服务费</w:t>
      </w:r>
      <w:r>
        <w:rPr>
          <w:rFonts w:hint="eastAsia" w:ascii="宋体" w:hAnsi="宋体" w:cs="楷体_GB2312"/>
          <w:b/>
          <w:bCs/>
          <w:color w:val="auto"/>
          <w:sz w:val="24"/>
          <w:szCs w:val="22"/>
        </w:rPr>
        <w:t>:</w:t>
      </w:r>
    </w:p>
    <w:p>
      <w:pPr>
        <w:widowControl w:val="0"/>
        <w:autoSpaceDE w:val="0"/>
        <w:autoSpaceDN w:val="0"/>
        <w:adjustRightInd w:val="0"/>
        <w:spacing w:line="380" w:lineRule="exact"/>
        <w:ind w:firstLine="480" w:firstLineChars="200"/>
        <w:jc w:val="left"/>
        <w:textAlignment w:val="auto"/>
        <w:rPr>
          <w:rFonts w:ascii="宋体" w:hAnsi="宋体"/>
          <w:color w:val="auto"/>
          <w:sz w:val="24"/>
        </w:rPr>
      </w:pPr>
      <w:r>
        <w:rPr>
          <w:rFonts w:hint="eastAsia" w:ascii="宋体" w:hAnsi="宋体"/>
          <w:color w:val="auto"/>
          <w:sz w:val="24"/>
        </w:rPr>
        <w:t>详见投标人须知。</w:t>
      </w:r>
    </w:p>
    <w:p>
      <w:pPr>
        <w:spacing w:line="380" w:lineRule="exact"/>
        <w:ind w:firstLine="281" w:firstLineChars="100"/>
      </w:pPr>
      <w:bookmarkStart w:id="38" w:name="_Toc423723402"/>
      <w:bookmarkStart w:id="39" w:name="_Toc26366099"/>
      <w:bookmarkStart w:id="40" w:name="_Toc19027"/>
      <w:r>
        <w:rPr>
          <w:rFonts w:ascii="黑体" w:hAnsi="宋体" w:eastAsia="黑体" w:cs="黑体"/>
          <w:b/>
          <w:bCs/>
          <w:sz w:val="28"/>
          <w:szCs w:val="28"/>
        </w:rPr>
        <w:t xml:space="preserve">11.河南省政府采购合同融资政策告知函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各供应商：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欢迎贵公司参与河南省政府采购活动！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 xml:space="preserve">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号），按照双方自愿的原则提供便捷、优惠的贷款服务。 </w:t>
      </w:r>
    </w:p>
    <w:p>
      <w:pPr>
        <w:widowControl w:val="0"/>
        <w:adjustRightInd w:val="0"/>
        <w:snapToGrid w:val="0"/>
        <w:spacing w:line="380" w:lineRule="exact"/>
        <w:ind w:firstLine="561"/>
        <w:rPr>
          <w:rFonts w:ascii="宋体" w:hAnsi="宋体" w:cs="楷体_GB2312"/>
          <w:color w:val="auto"/>
          <w:sz w:val="24"/>
          <w:lang w:val="zh-CN"/>
        </w:rPr>
      </w:pPr>
      <w:r>
        <w:rPr>
          <w:rFonts w:hint="eastAsia" w:ascii="宋体" w:hAnsi="宋体" w:cs="楷体_GB2312"/>
          <w:color w:val="auto"/>
          <w:sz w:val="24"/>
        </w:rPr>
        <w:t>贷款渠道和提供贷款的金融机构，可在河南省政府采购网“河南省政府采购合同融资平台”查询联系</w:t>
      </w:r>
    </w:p>
    <w:p>
      <w:pPr>
        <w:widowControl w:val="0"/>
        <w:snapToGrid w:val="0"/>
        <w:spacing w:line="360" w:lineRule="auto"/>
        <w:ind w:firstLine="567"/>
        <w:outlineLvl w:val="0"/>
        <w:rPr>
          <w:rFonts w:ascii="黑体" w:hAnsi="黑体" w:eastAsia="黑体"/>
          <w:b/>
          <w:color w:val="auto"/>
          <w:sz w:val="36"/>
          <w:szCs w:val="36"/>
          <w:lang w:val="zh-CN"/>
        </w:rPr>
      </w:pPr>
    </w:p>
    <w:p>
      <w:pPr>
        <w:spacing w:line="240" w:lineRule="auto"/>
        <w:jc w:val="left"/>
        <w:textAlignment w:val="auto"/>
        <w:rPr>
          <w:rFonts w:ascii="黑体" w:hAnsi="黑体" w:eastAsia="黑体"/>
          <w:b/>
          <w:color w:val="auto"/>
          <w:sz w:val="36"/>
          <w:szCs w:val="36"/>
          <w:lang w:val="zh-CN"/>
        </w:rPr>
      </w:pPr>
      <w:r>
        <w:rPr>
          <w:rFonts w:ascii="黑体" w:hAnsi="黑体" w:eastAsia="黑体"/>
          <w:b/>
          <w:color w:val="auto"/>
          <w:sz w:val="36"/>
          <w:szCs w:val="36"/>
          <w:lang w:val="zh-CN"/>
        </w:rPr>
        <w:br w:type="page"/>
      </w:r>
    </w:p>
    <w:p>
      <w:pPr>
        <w:widowControl w:val="0"/>
        <w:snapToGrid w:val="0"/>
        <w:spacing w:line="360" w:lineRule="auto"/>
        <w:ind w:firstLine="567"/>
        <w:jc w:val="center"/>
        <w:outlineLvl w:val="0"/>
        <w:rPr>
          <w:rFonts w:ascii="黑体" w:hAnsi="黑体" w:eastAsia="黑体"/>
          <w:b/>
          <w:color w:val="auto"/>
          <w:sz w:val="36"/>
          <w:szCs w:val="36"/>
          <w:lang w:val="zh-CN"/>
        </w:rPr>
      </w:pPr>
      <w:r>
        <w:rPr>
          <w:rFonts w:hint="eastAsia" w:ascii="黑体" w:hAnsi="黑体" w:eastAsia="黑体"/>
          <w:b/>
          <w:color w:val="auto"/>
          <w:sz w:val="36"/>
          <w:szCs w:val="36"/>
          <w:lang w:val="zh-CN"/>
        </w:rPr>
        <w:t>第四章</w:t>
      </w:r>
      <w:r>
        <w:rPr>
          <w:rFonts w:hint="eastAsia" w:ascii="黑体" w:hAnsi="黑体" w:eastAsia="黑体"/>
          <w:b/>
          <w:color w:val="auto"/>
          <w:sz w:val="36"/>
          <w:szCs w:val="36"/>
          <w:lang w:val="en-US" w:eastAsia="zh-CN"/>
        </w:rPr>
        <w:t xml:space="preserve">  </w:t>
      </w:r>
      <w:r>
        <w:rPr>
          <w:rFonts w:hint="eastAsia" w:ascii="黑体" w:hAnsi="黑体" w:eastAsia="黑体"/>
          <w:b/>
          <w:color w:val="auto"/>
          <w:sz w:val="36"/>
          <w:szCs w:val="36"/>
          <w:lang w:val="zh-CN"/>
        </w:rPr>
        <w:t>评审办法</w:t>
      </w:r>
      <w:bookmarkEnd w:id="38"/>
      <w:bookmarkEnd w:id="39"/>
      <w:bookmarkEnd w:id="40"/>
    </w:p>
    <w:p>
      <w:pPr>
        <w:widowControl w:val="0"/>
        <w:snapToGrid w:val="0"/>
        <w:spacing w:line="360" w:lineRule="auto"/>
        <w:ind w:firstLine="567"/>
        <w:jc w:val="center"/>
        <w:outlineLvl w:val="0"/>
        <w:rPr>
          <w:b/>
          <w:color w:val="auto"/>
          <w:sz w:val="24"/>
          <w:szCs w:val="24"/>
        </w:rPr>
      </w:pPr>
    </w:p>
    <w:p>
      <w:pPr>
        <w:spacing w:line="500" w:lineRule="exact"/>
        <w:jc w:val="left"/>
        <w:outlineLvl w:val="1"/>
        <w:rPr>
          <w:rFonts w:ascii="黑体" w:hAnsi="黑体" w:eastAsia="黑体"/>
          <w:b/>
          <w:color w:val="auto"/>
          <w:sz w:val="28"/>
          <w:szCs w:val="28"/>
          <w:lang w:val="zh-CN"/>
        </w:rPr>
      </w:pPr>
      <w:bookmarkStart w:id="41" w:name="_Toc31252"/>
      <w:bookmarkStart w:id="42" w:name="_Toc26366100"/>
      <w:r>
        <w:rPr>
          <w:rFonts w:hint="eastAsia" w:ascii="黑体" w:hAnsi="黑体" w:eastAsia="黑体"/>
          <w:b/>
          <w:color w:val="auto"/>
          <w:sz w:val="28"/>
          <w:szCs w:val="28"/>
        </w:rPr>
        <w:t>评审办法前附表</w:t>
      </w:r>
      <w:bookmarkEnd w:id="41"/>
      <w:bookmarkEnd w:id="42"/>
    </w:p>
    <w:tbl>
      <w:tblPr>
        <w:tblStyle w:val="24"/>
        <w:tblW w:w="10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560"/>
        <w:gridCol w:w="960"/>
        <w:gridCol w:w="2217"/>
        <w:gridCol w:w="5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24" w:type="dxa"/>
            <w:gridSpan w:val="2"/>
            <w:vAlign w:val="center"/>
          </w:tcPr>
          <w:p>
            <w:pPr>
              <w:pStyle w:val="32"/>
              <w:jc w:val="center"/>
              <w:rPr>
                <w:rFonts w:hAnsi="宋体"/>
                <w:b/>
                <w:color w:val="auto"/>
                <w:szCs w:val="24"/>
              </w:rPr>
            </w:pPr>
            <w:r>
              <w:rPr>
                <w:rFonts w:hint="eastAsia" w:hAnsi="宋体"/>
                <w:b/>
                <w:color w:val="auto"/>
                <w:szCs w:val="24"/>
              </w:rPr>
              <w:t>条款号</w:t>
            </w:r>
          </w:p>
        </w:tc>
        <w:tc>
          <w:tcPr>
            <w:tcW w:w="3177" w:type="dxa"/>
            <w:gridSpan w:val="2"/>
            <w:vAlign w:val="center"/>
          </w:tcPr>
          <w:p>
            <w:pPr>
              <w:pStyle w:val="32"/>
              <w:jc w:val="center"/>
              <w:rPr>
                <w:rFonts w:hAnsi="宋体"/>
                <w:b/>
                <w:color w:val="auto"/>
                <w:szCs w:val="24"/>
              </w:rPr>
            </w:pPr>
            <w:r>
              <w:rPr>
                <w:rFonts w:hint="eastAsia" w:hAnsi="宋体"/>
                <w:b/>
                <w:color w:val="auto"/>
                <w:szCs w:val="24"/>
              </w:rPr>
              <w:t>评审因素</w:t>
            </w:r>
          </w:p>
        </w:tc>
        <w:tc>
          <w:tcPr>
            <w:tcW w:w="5736" w:type="dxa"/>
            <w:vAlign w:val="center"/>
          </w:tcPr>
          <w:p>
            <w:pPr>
              <w:pStyle w:val="32"/>
              <w:jc w:val="center"/>
              <w:rPr>
                <w:rFonts w:hAnsi="宋体"/>
                <w:b/>
                <w:color w:val="auto"/>
                <w:szCs w:val="24"/>
              </w:rPr>
            </w:pPr>
            <w:r>
              <w:rPr>
                <w:rFonts w:hint="eastAsia" w:hAnsi="宋体"/>
                <w:b/>
                <w:color w:val="auto"/>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jc w:val="center"/>
        </w:trPr>
        <w:tc>
          <w:tcPr>
            <w:tcW w:w="564" w:type="dxa"/>
            <w:vMerge w:val="restart"/>
            <w:vAlign w:val="center"/>
          </w:tcPr>
          <w:p>
            <w:pPr>
              <w:pStyle w:val="32"/>
              <w:spacing w:line="360" w:lineRule="auto"/>
              <w:ind w:right="-101" w:rightChars="-48"/>
              <w:jc w:val="center"/>
              <w:rPr>
                <w:rFonts w:hAnsi="宋体"/>
                <w:color w:val="auto"/>
                <w:szCs w:val="24"/>
              </w:rPr>
            </w:pPr>
            <w:r>
              <w:rPr>
                <w:rFonts w:hAnsi="宋体"/>
                <w:color w:val="auto"/>
                <w:szCs w:val="24"/>
              </w:rPr>
              <w:t>2.1.1</w:t>
            </w:r>
          </w:p>
        </w:tc>
        <w:tc>
          <w:tcPr>
            <w:tcW w:w="560" w:type="dxa"/>
            <w:vMerge w:val="restart"/>
            <w:vAlign w:val="center"/>
          </w:tcPr>
          <w:p>
            <w:pPr>
              <w:pStyle w:val="32"/>
              <w:jc w:val="center"/>
              <w:rPr>
                <w:rFonts w:hAnsi="宋体"/>
                <w:color w:val="auto"/>
                <w:szCs w:val="24"/>
              </w:rPr>
            </w:pPr>
            <w:r>
              <w:rPr>
                <w:rFonts w:hint="eastAsia" w:hAnsi="宋体"/>
                <w:color w:val="auto"/>
                <w:szCs w:val="24"/>
              </w:rPr>
              <w:t>资</w:t>
            </w:r>
          </w:p>
          <w:p>
            <w:pPr>
              <w:pStyle w:val="32"/>
              <w:jc w:val="center"/>
              <w:rPr>
                <w:rFonts w:hAnsi="宋体"/>
                <w:color w:val="auto"/>
                <w:szCs w:val="24"/>
              </w:rPr>
            </w:pPr>
            <w:r>
              <w:rPr>
                <w:rFonts w:hint="eastAsia" w:hAnsi="宋体"/>
                <w:color w:val="auto"/>
                <w:szCs w:val="24"/>
              </w:rPr>
              <w:t>格</w:t>
            </w:r>
          </w:p>
          <w:p>
            <w:pPr>
              <w:pStyle w:val="32"/>
              <w:jc w:val="center"/>
              <w:rPr>
                <w:rFonts w:hAnsi="宋体"/>
                <w:color w:val="auto"/>
                <w:szCs w:val="24"/>
              </w:rPr>
            </w:pPr>
            <w:r>
              <w:rPr>
                <w:rFonts w:hint="eastAsia" w:hAnsi="宋体"/>
                <w:color w:val="auto"/>
                <w:szCs w:val="24"/>
              </w:rPr>
              <w:t>性</w:t>
            </w:r>
          </w:p>
          <w:p>
            <w:pPr>
              <w:pStyle w:val="32"/>
              <w:jc w:val="center"/>
              <w:rPr>
                <w:rFonts w:hAnsi="宋体"/>
                <w:color w:val="auto"/>
                <w:szCs w:val="24"/>
              </w:rPr>
            </w:pPr>
            <w:r>
              <w:rPr>
                <w:rFonts w:hint="eastAsia" w:hAnsi="宋体"/>
                <w:color w:val="auto"/>
                <w:szCs w:val="24"/>
              </w:rPr>
              <w:t>审</w:t>
            </w:r>
          </w:p>
          <w:p>
            <w:pPr>
              <w:pStyle w:val="32"/>
              <w:jc w:val="center"/>
              <w:rPr>
                <w:rFonts w:hAnsi="宋体"/>
                <w:color w:val="auto"/>
                <w:szCs w:val="24"/>
              </w:rPr>
            </w:pPr>
            <w:r>
              <w:rPr>
                <w:rFonts w:hint="eastAsia" w:hAnsi="宋体"/>
                <w:color w:val="auto"/>
                <w:szCs w:val="24"/>
              </w:rPr>
              <w:t>查</w:t>
            </w:r>
          </w:p>
        </w:tc>
        <w:tc>
          <w:tcPr>
            <w:tcW w:w="3177" w:type="dxa"/>
            <w:gridSpan w:val="2"/>
            <w:vAlign w:val="center"/>
          </w:tcPr>
          <w:p>
            <w:pPr>
              <w:widowControl w:val="0"/>
              <w:snapToGrid w:val="0"/>
              <w:spacing w:line="240" w:lineRule="auto"/>
              <w:rPr>
                <w:rFonts w:ascii="宋体"/>
                <w:color w:val="auto"/>
                <w:sz w:val="24"/>
                <w:szCs w:val="24"/>
              </w:rPr>
            </w:pPr>
            <w:r>
              <w:rPr>
                <w:rFonts w:hint="eastAsia"/>
                <w:color w:val="auto"/>
                <w:sz w:val="24"/>
                <w:szCs w:val="24"/>
              </w:rPr>
              <w:t>第一章“磋商公告”第</w:t>
            </w:r>
            <w:r>
              <w:rPr>
                <w:color w:val="auto"/>
                <w:sz w:val="24"/>
                <w:szCs w:val="24"/>
              </w:rPr>
              <w:t>2</w:t>
            </w:r>
            <w:r>
              <w:rPr>
                <w:rFonts w:hint="eastAsia"/>
                <w:color w:val="auto"/>
                <w:sz w:val="24"/>
                <w:szCs w:val="24"/>
              </w:rPr>
              <w:t>条各项资格要求</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符合第一章“磋商公告”第</w:t>
            </w:r>
            <w:r>
              <w:rPr>
                <w:rFonts w:ascii="宋体" w:hAnsi="宋体"/>
                <w:color w:val="auto"/>
                <w:sz w:val="24"/>
                <w:szCs w:val="24"/>
              </w:rPr>
              <w:t>2</w:t>
            </w:r>
            <w:r>
              <w:rPr>
                <w:rFonts w:hint="eastAsia" w:ascii="宋体" w:hAnsi="宋体"/>
                <w:color w:val="auto"/>
                <w:sz w:val="24"/>
                <w:szCs w:val="24"/>
              </w:rPr>
              <w:t>条各项</w:t>
            </w:r>
            <w:r>
              <w:rPr>
                <w:rFonts w:hint="eastAsia"/>
                <w:color w:val="auto"/>
                <w:sz w:val="24"/>
                <w:szCs w:val="24"/>
              </w:rPr>
              <w:t>资格要求所需证件材料及证明材料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联合体（如有）</w:t>
            </w:r>
          </w:p>
        </w:tc>
        <w:tc>
          <w:tcPr>
            <w:tcW w:w="5736" w:type="dxa"/>
            <w:vAlign w:val="center"/>
          </w:tcPr>
          <w:p>
            <w:pPr>
              <w:widowControl w:val="0"/>
              <w:snapToGrid w:val="0"/>
              <w:spacing w:line="240" w:lineRule="auto"/>
              <w:rPr>
                <w:rFonts w:ascii="宋体"/>
                <w:color w:val="auto"/>
                <w:sz w:val="24"/>
                <w:szCs w:val="24"/>
              </w:rPr>
            </w:pPr>
            <w:r>
              <w:rPr>
                <w:rFonts w:hint="eastAsia" w:ascii="宋体" w:hAnsi="宋体"/>
                <w:color w:val="auto"/>
                <w:sz w:val="24"/>
                <w:szCs w:val="24"/>
              </w:rPr>
              <w:t>符合第三章“投标人须知”</w:t>
            </w:r>
            <w:r>
              <w:rPr>
                <w:rFonts w:ascii="宋体" w:hAnsi="宋体"/>
                <w:color w:val="auto"/>
                <w:sz w:val="24"/>
                <w:szCs w:val="24"/>
              </w:rPr>
              <w:t>1.4</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3177" w:type="dxa"/>
            <w:gridSpan w:val="2"/>
            <w:vAlign w:val="center"/>
          </w:tcPr>
          <w:p>
            <w:pPr>
              <w:widowControl w:val="0"/>
              <w:snapToGrid w:val="0"/>
              <w:spacing w:line="240" w:lineRule="auto"/>
              <w:rPr>
                <w:color w:val="auto"/>
                <w:sz w:val="24"/>
                <w:szCs w:val="24"/>
              </w:rPr>
            </w:pPr>
            <w:r>
              <w:rPr>
                <w:rFonts w:hint="eastAsia"/>
                <w:color w:val="auto"/>
                <w:sz w:val="24"/>
                <w:szCs w:val="24"/>
              </w:rPr>
              <w:t>投标承诺函</w:t>
            </w:r>
          </w:p>
          <w:p>
            <w:pPr>
              <w:widowControl w:val="0"/>
              <w:snapToGrid w:val="0"/>
              <w:spacing w:line="240" w:lineRule="auto"/>
              <w:rPr>
                <w:color w:val="auto"/>
                <w:sz w:val="24"/>
                <w:szCs w:val="24"/>
              </w:rPr>
            </w:pPr>
            <w:r>
              <w:rPr>
                <w:rFonts w:hint="eastAsia"/>
                <w:color w:val="auto"/>
                <w:sz w:val="24"/>
                <w:szCs w:val="24"/>
              </w:rPr>
              <w:t>(替代投标保证金)</w:t>
            </w:r>
          </w:p>
        </w:tc>
        <w:tc>
          <w:tcPr>
            <w:tcW w:w="5736" w:type="dxa"/>
            <w:vAlign w:val="center"/>
          </w:tcPr>
          <w:p>
            <w:pPr>
              <w:widowControl w:val="0"/>
              <w:snapToGrid w:val="0"/>
              <w:spacing w:line="240" w:lineRule="auto"/>
              <w:rPr>
                <w:rFonts w:ascii="宋体" w:hAnsi="宋体"/>
                <w:color w:val="auto"/>
                <w:sz w:val="24"/>
                <w:szCs w:val="24"/>
              </w:rPr>
            </w:pPr>
            <w:r>
              <w:rPr>
                <w:rFonts w:hint="eastAsia" w:ascii="宋体" w:hAnsi="宋体"/>
                <w:color w:val="auto"/>
                <w:sz w:val="24"/>
                <w:szCs w:val="24"/>
              </w:rPr>
              <w:t>符合第三章“投标单位须知”</w:t>
            </w:r>
            <w:r>
              <w:rPr>
                <w:rFonts w:ascii="宋体" w:hAnsi="宋体"/>
                <w:color w:val="auto"/>
                <w:sz w:val="24"/>
                <w:szCs w:val="24"/>
              </w:rPr>
              <w:t>3.5</w:t>
            </w:r>
            <w:r>
              <w:rPr>
                <w:rFonts w:hint="eastAsia" w:ascii="宋体" w:hAnsi="宋体"/>
                <w:color w:val="auto"/>
                <w:sz w:val="24"/>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restart"/>
            <w:vAlign w:val="center"/>
          </w:tcPr>
          <w:p>
            <w:pPr>
              <w:pStyle w:val="32"/>
              <w:spacing w:line="360" w:lineRule="auto"/>
              <w:ind w:right="-160" w:rightChars="-76"/>
              <w:jc w:val="center"/>
              <w:rPr>
                <w:rFonts w:hAnsi="宋体"/>
                <w:color w:val="auto"/>
                <w:szCs w:val="24"/>
              </w:rPr>
            </w:pPr>
            <w:r>
              <w:rPr>
                <w:rFonts w:hAnsi="宋体"/>
                <w:color w:val="auto"/>
                <w:szCs w:val="24"/>
              </w:rPr>
              <w:t>2.1.2</w:t>
            </w:r>
          </w:p>
        </w:tc>
        <w:tc>
          <w:tcPr>
            <w:tcW w:w="560" w:type="dxa"/>
            <w:vMerge w:val="restart"/>
            <w:vAlign w:val="center"/>
          </w:tcPr>
          <w:p>
            <w:pPr>
              <w:pStyle w:val="32"/>
              <w:spacing w:line="360" w:lineRule="auto"/>
              <w:jc w:val="center"/>
              <w:rPr>
                <w:rFonts w:hAnsi="宋体"/>
                <w:color w:val="auto"/>
                <w:szCs w:val="24"/>
              </w:rPr>
            </w:pPr>
            <w:r>
              <w:rPr>
                <w:rFonts w:hint="eastAsia" w:hAnsi="宋体"/>
                <w:color w:val="auto"/>
                <w:szCs w:val="24"/>
              </w:rPr>
              <w:t>符</w:t>
            </w:r>
          </w:p>
          <w:p>
            <w:pPr>
              <w:pStyle w:val="32"/>
              <w:spacing w:line="360" w:lineRule="auto"/>
              <w:jc w:val="center"/>
              <w:rPr>
                <w:rFonts w:hAnsi="宋体"/>
                <w:color w:val="auto"/>
                <w:szCs w:val="24"/>
              </w:rPr>
            </w:pPr>
            <w:r>
              <w:rPr>
                <w:rFonts w:hint="eastAsia" w:hAnsi="宋体"/>
                <w:color w:val="auto"/>
                <w:szCs w:val="24"/>
              </w:rPr>
              <w:t>合</w:t>
            </w:r>
          </w:p>
          <w:p>
            <w:pPr>
              <w:pStyle w:val="32"/>
              <w:spacing w:line="360" w:lineRule="auto"/>
              <w:jc w:val="center"/>
              <w:rPr>
                <w:rFonts w:hAnsi="宋体"/>
                <w:color w:val="auto"/>
                <w:szCs w:val="24"/>
              </w:rPr>
            </w:pPr>
            <w:r>
              <w:rPr>
                <w:rFonts w:hint="eastAsia" w:hAnsi="宋体"/>
                <w:color w:val="auto"/>
                <w:szCs w:val="24"/>
              </w:rPr>
              <w:t>性</w:t>
            </w:r>
          </w:p>
          <w:p>
            <w:pPr>
              <w:pStyle w:val="32"/>
              <w:spacing w:line="360" w:lineRule="auto"/>
              <w:jc w:val="center"/>
              <w:rPr>
                <w:rFonts w:hAnsi="宋体"/>
                <w:color w:val="auto"/>
                <w:szCs w:val="24"/>
              </w:rPr>
            </w:pPr>
            <w:r>
              <w:rPr>
                <w:rFonts w:hint="eastAsia" w:hAnsi="宋体"/>
                <w:color w:val="auto"/>
                <w:szCs w:val="24"/>
              </w:rPr>
              <w:t>审</w:t>
            </w:r>
          </w:p>
          <w:p>
            <w:pPr>
              <w:pStyle w:val="32"/>
              <w:spacing w:line="360" w:lineRule="auto"/>
              <w:jc w:val="center"/>
              <w:rPr>
                <w:rFonts w:hAnsi="宋体"/>
                <w:color w:val="auto"/>
                <w:szCs w:val="24"/>
              </w:rPr>
            </w:pPr>
            <w:r>
              <w:rPr>
                <w:rFonts w:hint="eastAsia" w:hAnsi="宋体"/>
                <w:color w:val="auto"/>
                <w:szCs w:val="24"/>
              </w:rPr>
              <w:t>查</w:t>
            </w:r>
          </w:p>
        </w:tc>
        <w:tc>
          <w:tcPr>
            <w:tcW w:w="960" w:type="dxa"/>
            <w:vMerge w:val="restart"/>
            <w:vAlign w:val="center"/>
          </w:tcPr>
          <w:p>
            <w:pPr>
              <w:pStyle w:val="32"/>
              <w:adjustRightInd/>
              <w:snapToGrid w:val="0"/>
              <w:jc w:val="center"/>
              <w:rPr>
                <w:rFonts w:hAnsi="宋体"/>
                <w:color w:val="auto"/>
                <w:szCs w:val="24"/>
              </w:rPr>
            </w:pPr>
            <w:r>
              <w:rPr>
                <w:rFonts w:hint="eastAsia" w:hAnsi="宋体"/>
                <w:color w:val="auto"/>
                <w:szCs w:val="24"/>
              </w:rPr>
              <w:t>有效性</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投标人名称</w:t>
            </w:r>
          </w:p>
        </w:tc>
        <w:tc>
          <w:tcPr>
            <w:tcW w:w="5736" w:type="dxa"/>
            <w:vAlign w:val="center"/>
          </w:tcPr>
          <w:p>
            <w:pPr>
              <w:pStyle w:val="32"/>
              <w:adjustRightInd/>
              <w:snapToGrid w:val="0"/>
              <w:rPr>
                <w:rFonts w:hAnsi="宋体"/>
                <w:color w:val="auto"/>
                <w:szCs w:val="24"/>
              </w:rPr>
            </w:pPr>
            <w:r>
              <w:rPr>
                <w:rFonts w:hint="eastAsia" w:hAnsi="宋体"/>
                <w:color w:val="auto"/>
                <w:szCs w:val="24"/>
              </w:rPr>
              <w:t>与营业执照证等证照及签章一致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签字或盖章</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3.7.4</w:t>
            </w:r>
            <w:r>
              <w:rPr>
                <w:rFonts w:hint="eastAsia" w:hAnsi="宋体"/>
                <w:color w:val="auto"/>
                <w:szCs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Align w:val="center"/>
          </w:tcPr>
          <w:p>
            <w:pPr>
              <w:pStyle w:val="32"/>
              <w:adjustRightInd/>
              <w:snapToGrid w:val="0"/>
              <w:jc w:val="center"/>
              <w:rPr>
                <w:rFonts w:hAnsi="宋体"/>
                <w:color w:val="auto"/>
                <w:szCs w:val="24"/>
              </w:rPr>
            </w:pPr>
            <w:r>
              <w:rPr>
                <w:rFonts w:hint="eastAsia" w:hAnsi="宋体"/>
                <w:color w:val="auto"/>
                <w:szCs w:val="24"/>
              </w:rPr>
              <w:t>完整性</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投标文件组成</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符合第三章“投标人须知”</w:t>
            </w:r>
            <w:r>
              <w:rPr>
                <w:rFonts w:hAnsi="宋体"/>
                <w:color w:val="auto"/>
                <w:szCs w:val="24"/>
              </w:rPr>
              <w:t>3.2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restart"/>
            <w:vAlign w:val="center"/>
          </w:tcPr>
          <w:p>
            <w:pPr>
              <w:pStyle w:val="32"/>
              <w:snapToGrid w:val="0"/>
              <w:jc w:val="center"/>
              <w:rPr>
                <w:rFonts w:hAnsi="宋体"/>
                <w:color w:val="auto"/>
                <w:szCs w:val="24"/>
              </w:rPr>
            </w:pPr>
            <w:r>
              <w:rPr>
                <w:rFonts w:hint="eastAsia" w:hAnsi="宋体"/>
                <w:color w:val="auto"/>
                <w:szCs w:val="24"/>
              </w:rPr>
              <w:t>响应程度</w:t>
            </w: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投标报价</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1.3</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投标内容</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合同履行期限</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符合第二章“采购项目及技术服务要求”</w:t>
            </w:r>
            <w:r>
              <w:rPr>
                <w:rFonts w:hAnsi="宋体"/>
                <w:color w:val="auto"/>
                <w:szCs w:val="24"/>
              </w:rPr>
              <w:t>1.2</w:t>
            </w:r>
            <w:r>
              <w:rPr>
                <w:rFonts w:hint="eastAsia" w:hAnsi="宋体"/>
                <w:color w:val="auto"/>
                <w:szCs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技术要求</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符合第二章“采购项目及技术服务要求”第</w:t>
            </w:r>
            <w:r>
              <w:rPr>
                <w:rFonts w:hAnsi="宋体"/>
                <w:color w:val="auto"/>
                <w:szCs w:val="24"/>
              </w:rPr>
              <w:t>2</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售后服务</w:t>
            </w:r>
          </w:p>
        </w:tc>
        <w:tc>
          <w:tcPr>
            <w:tcW w:w="5736" w:type="dxa"/>
            <w:vAlign w:val="center"/>
          </w:tcPr>
          <w:p>
            <w:pPr>
              <w:pStyle w:val="32"/>
              <w:adjustRightInd/>
              <w:snapToGrid w:val="0"/>
              <w:rPr>
                <w:rFonts w:hAnsi="宋体"/>
                <w:color w:val="auto"/>
                <w:szCs w:val="24"/>
              </w:rPr>
            </w:pPr>
            <w:r>
              <w:rPr>
                <w:rFonts w:hint="eastAsia" w:hAnsi="宋体"/>
                <w:color w:val="auto"/>
                <w:szCs w:val="24"/>
              </w:rPr>
              <w:t>符合第二章“采购项目及技术服务要求”第</w:t>
            </w:r>
            <w:r>
              <w:rPr>
                <w:rFonts w:hAnsi="宋体"/>
                <w:color w:val="auto"/>
                <w:szCs w:val="24"/>
              </w:rPr>
              <w:t>3</w:t>
            </w:r>
            <w:r>
              <w:rPr>
                <w:rFonts w:hint="eastAsia" w:hAnsi="宋体"/>
                <w:color w:val="auto"/>
                <w:szCs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投标有效期</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3.4</w:t>
            </w:r>
            <w:r>
              <w:rPr>
                <w:rFonts w:hint="eastAsia" w:ascii="宋体" w:hAnsi="宋体"/>
                <w:color w:val="auto"/>
                <w:sz w:val="24"/>
              </w:rPr>
              <w:t>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szCs w:val="24"/>
              </w:rPr>
              <w:t>投标文件格式</w:t>
            </w:r>
          </w:p>
        </w:tc>
        <w:tc>
          <w:tcPr>
            <w:tcW w:w="5736" w:type="dxa"/>
            <w:vAlign w:val="center"/>
          </w:tcPr>
          <w:p>
            <w:pPr>
              <w:pStyle w:val="32"/>
              <w:adjustRightInd/>
              <w:snapToGrid w:val="0"/>
              <w:rPr>
                <w:rFonts w:hAnsi="宋体"/>
                <w:color w:val="auto"/>
                <w:szCs w:val="24"/>
              </w:rPr>
            </w:pPr>
            <w:r>
              <w:rPr>
                <w:rFonts w:hint="eastAsia" w:hAnsi="宋体"/>
                <w:color w:val="auto"/>
                <w:szCs w:val="24"/>
              </w:rPr>
              <w:t>符合第六章“投标文件格式”规定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szCs w:val="24"/>
              </w:rPr>
            </w:pPr>
            <w:r>
              <w:rPr>
                <w:rFonts w:hint="eastAsia" w:hAnsi="宋体"/>
                <w:color w:val="auto"/>
              </w:rPr>
              <w:t>付款</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符合第三章“投标人须知”第</w:t>
            </w:r>
            <w:r>
              <w:rPr>
                <w:rFonts w:ascii="宋体" w:hAnsi="宋体"/>
                <w:color w:val="auto"/>
                <w:sz w:val="24"/>
              </w:rPr>
              <w:t>9</w:t>
            </w:r>
            <w:r>
              <w:rPr>
                <w:rFonts w:hint="eastAsia" w:ascii="宋体" w:hAnsi="宋体"/>
                <w:color w:val="auto"/>
                <w:sz w:val="24"/>
              </w:rPr>
              <w:t>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pStyle w:val="32"/>
              <w:adjustRightInd/>
              <w:snapToGrid w:val="0"/>
              <w:jc w:val="center"/>
              <w:rPr>
                <w:rFonts w:hAnsi="宋体"/>
                <w:color w:val="auto"/>
                <w:szCs w:val="24"/>
              </w:rPr>
            </w:pPr>
          </w:p>
        </w:tc>
        <w:tc>
          <w:tcPr>
            <w:tcW w:w="2217" w:type="dxa"/>
            <w:vAlign w:val="center"/>
          </w:tcPr>
          <w:p>
            <w:pPr>
              <w:pStyle w:val="32"/>
              <w:adjustRightInd/>
              <w:snapToGrid w:val="0"/>
              <w:jc w:val="center"/>
              <w:rPr>
                <w:rFonts w:hAnsi="宋体"/>
                <w:color w:val="auto"/>
              </w:rPr>
            </w:pPr>
            <w:r>
              <w:rPr>
                <w:rFonts w:hint="eastAsia" w:hAnsi="宋体"/>
                <w:color w:val="auto"/>
              </w:rPr>
              <w:t>偏差描述</w:t>
            </w:r>
          </w:p>
        </w:tc>
        <w:tc>
          <w:tcPr>
            <w:tcW w:w="5736" w:type="dxa"/>
            <w:vAlign w:val="center"/>
          </w:tcPr>
          <w:p>
            <w:pPr>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3.7.3</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564" w:type="dxa"/>
            <w:vMerge w:val="continue"/>
            <w:vAlign w:val="center"/>
          </w:tcPr>
          <w:p>
            <w:pPr>
              <w:pStyle w:val="32"/>
              <w:spacing w:line="360" w:lineRule="auto"/>
              <w:jc w:val="center"/>
              <w:rPr>
                <w:rFonts w:hAnsi="宋体"/>
                <w:color w:val="auto"/>
                <w:szCs w:val="24"/>
              </w:rPr>
            </w:pPr>
          </w:p>
        </w:tc>
        <w:tc>
          <w:tcPr>
            <w:tcW w:w="560" w:type="dxa"/>
            <w:vMerge w:val="continue"/>
            <w:vAlign w:val="center"/>
          </w:tcPr>
          <w:p>
            <w:pPr>
              <w:pStyle w:val="32"/>
              <w:spacing w:line="360" w:lineRule="auto"/>
              <w:jc w:val="center"/>
              <w:rPr>
                <w:rFonts w:hAnsi="宋体"/>
                <w:color w:val="auto"/>
                <w:szCs w:val="24"/>
              </w:rPr>
            </w:pPr>
          </w:p>
        </w:tc>
        <w:tc>
          <w:tcPr>
            <w:tcW w:w="960" w:type="dxa"/>
            <w:vMerge w:val="continue"/>
            <w:vAlign w:val="center"/>
          </w:tcPr>
          <w:p>
            <w:pPr>
              <w:snapToGrid w:val="0"/>
              <w:spacing w:line="240" w:lineRule="auto"/>
              <w:jc w:val="center"/>
              <w:rPr>
                <w:rFonts w:ascii="宋体"/>
                <w:color w:val="auto"/>
                <w:sz w:val="24"/>
              </w:rPr>
            </w:pPr>
          </w:p>
        </w:tc>
        <w:tc>
          <w:tcPr>
            <w:tcW w:w="2217" w:type="dxa"/>
            <w:vAlign w:val="center"/>
          </w:tcPr>
          <w:p>
            <w:pPr>
              <w:snapToGrid w:val="0"/>
              <w:spacing w:line="240" w:lineRule="auto"/>
              <w:jc w:val="center"/>
              <w:rPr>
                <w:rFonts w:ascii="宋体"/>
                <w:color w:val="auto"/>
                <w:sz w:val="24"/>
              </w:rPr>
            </w:pPr>
            <w:r>
              <w:rPr>
                <w:rFonts w:hint="eastAsia" w:ascii="宋体" w:hAnsi="宋体"/>
                <w:color w:val="auto"/>
                <w:sz w:val="24"/>
              </w:rPr>
              <w:t>磋商文件总体响应</w:t>
            </w:r>
          </w:p>
        </w:tc>
        <w:tc>
          <w:tcPr>
            <w:tcW w:w="5736" w:type="dxa"/>
            <w:vAlign w:val="center"/>
          </w:tcPr>
          <w:p>
            <w:pPr>
              <w:autoSpaceDE w:val="0"/>
              <w:autoSpaceDN w:val="0"/>
              <w:snapToGrid w:val="0"/>
              <w:spacing w:line="240" w:lineRule="auto"/>
              <w:rPr>
                <w:rFonts w:ascii="宋体"/>
                <w:color w:val="auto"/>
                <w:sz w:val="24"/>
              </w:rPr>
            </w:pPr>
            <w:r>
              <w:rPr>
                <w:rFonts w:hint="eastAsia" w:ascii="宋体" w:hAnsi="宋体"/>
                <w:color w:val="auto"/>
                <w:sz w:val="24"/>
              </w:rPr>
              <w:t>符合第三章“投标人须知”</w:t>
            </w:r>
            <w:r>
              <w:rPr>
                <w:rFonts w:ascii="宋体" w:hAnsi="宋体"/>
                <w:color w:val="auto"/>
                <w:sz w:val="24"/>
              </w:rPr>
              <w:t>1.3.1</w:t>
            </w:r>
            <w:r>
              <w:rPr>
                <w:rFonts w:hint="eastAsia" w:ascii="宋体" w:hAnsi="宋体"/>
                <w:color w:val="auto"/>
                <w:sz w:val="24"/>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564" w:type="dxa"/>
            <w:vAlign w:val="center"/>
          </w:tcPr>
          <w:p>
            <w:pPr>
              <w:pStyle w:val="32"/>
              <w:spacing w:line="360" w:lineRule="auto"/>
              <w:ind w:right="-155" w:rightChars="-74"/>
              <w:jc w:val="center"/>
              <w:rPr>
                <w:rFonts w:hAnsi="宋体"/>
                <w:color w:val="auto"/>
                <w:szCs w:val="24"/>
              </w:rPr>
            </w:pPr>
            <w:r>
              <w:rPr>
                <w:rFonts w:hAnsi="宋体"/>
                <w:color w:val="auto"/>
                <w:szCs w:val="24"/>
              </w:rPr>
              <w:t>2.2</w:t>
            </w:r>
          </w:p>
        </w:tc>
        <w:tc>
          <w:tcPr>
            <w:tcW w:w="560" w:type="dxa"/>
            <w:vAlign w:val="center"/>
          </w:tcPr>
          <w:p>
            <w:pPr>
              <w:pStyle w:val="32"/>
              <w:jc w:val="center"/>
              <w:rPr>
                <w:rFonts w:hAnsi="宋体"/>
                <w:color w:val="auto"/>
                <w:szCs w:val="24"/>
              </w:rPr>
            </w:pPr>
            <w:r>
              <w:rPr>
                <w:rFonts w:hint="eastAsia" w:hAnsi="宋体"/>
                <w:color w:val="auto"/>
                <w:szCs w:val="24"/>
              </w:rPr>
              <w:t>详细评审</w:t>
            </w:r>
          </w:p>
        </w:tc>
        <w:tc>
          <w:tcPr>
            <w:tcW w:w="3177" w:type="dxa"/>
            <w:gridSpan w:val="2"/>
            <w:vAlign w:val="center"/>
          </w:tcPr>
          <w:p>
            <w:pPr>
              <w:pStyle w:val="32"/>
              <w:adjustRightInd/>
              <w:snapToGrid w:val="0"/>
              <w:jc w:val="center"/>
              <w:rPr>
                <w:rFonts w:hAnsi="宋体"/>
                <w:color w:val="auto"/>
                <w:szCs w:val="24"/>
              </w:rPr>
            </w:pPr>
            <w:r>
              <w:rPr>
                <w:rFonts w:hint="eastAsia" w:hAnsi="宋体"/>
                <w:color w:val="auto"/>
                <w:szCs w:val="24"/>
              </w:rPr>
              <w:t>小微企业价格扣除</w:t>
            </w:r>
          </w:p>
        </w:tc>
        <w:tc>
          <w:tcPr>
            <w:tcW w:w="5736" w:type="dxa"/>
            <w:vAlign w:val="center"/>
          </w:tcPr>
          <w:p>
            <w:pPr>
              <w:pStyle w:val="32"/>
              <w:adjustRightInd/>
              <w:snapToGrid w:val="0"/>
              <w:jc w:val="both"/>
              <w:rPr>
                <w:rFonts w:hAnsi="宋体"/>
                <w:color w:val="auto"/>
                <w:szCs w:val="24"/>
              </w:rPr>
            </w:pPr>
            <w:r>
              <w:rPr>
                <w:rFonts w:hint="eastAsia" w:hAnsi="宋体"/>
                <w:color w:val="auto"/>
                <w:szCs w:val="24"/>
              </w:rPr>
              <w:t>按照第四章“评审办法”第</w:t>
            </w:r>
            <w:r>
              <w:rPr>
                <w:rFonts w:hAnsi="宋体"/>
                <w:color w:val="auto"/>
                <w:szCs w:val="24"/>
              </w:rPr>
              <w:t>4</w:t>
            </w:r>
            <w:r>
              <w:rPr>
                <w:rFonts w:hint="eastAsia" w:hAnsi="宋体"/>
                <w:color w:val="auto"/>
                <w:szCs w:val="24"/>
              </w:rPr>
              <w:t>条规定</w:t>
            </w:r>
          </w:p>
        </w:tc>
      </w:tr>
    </w:tbl>
    <w:p>
      <w:pPr>
        <w:jc w:val="center"/>
      </w:pPr>
      <w:r>
        <w:rPr>
          <w:rFonts w:ascii="黑体" w:hAnsi="黑体" w:eastAsia="黑体" w:cs="楷体_GB2312"/>
          <w:b/>
          <w:bCs/>
          <w:color w:val="auto"/>
          <w:sz w:val="28"/>
          <w:szCs w:val="28"/>
          <w:lang w:val="zh-CN"/>
        </w:rPr>
        <w:br w:type="page"/>
      </w:r>
      <w:bookmarkStart w:id="43" w:name="_Toc26518"/>
      <w:bookmarkStart w:id="44" w:name="_Toc26366101"/>
      <w:r>
        <w:rPr>
          <w:rFonts w:hint="eastAsia" w:ascii="黑体" w:hAnsi="黑体" w:eastAsia="黑体"/>
          <w:b/>
          <w:color w:val="auto"/>
          <w:sz w:val="28"/>
          <w:szCs w:val="28"/>
        </w:rPr>
        <w:t>评审办法前附表-----分值构成与评分标准</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098"/>
        <w:gridCol w:w="1119"/>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739"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分值构成</w:t>
            </w:r>
          </w:p>
          <w:p>
            <w:pPr>
              <w:jc w:val="center"/>
              <w:rPr>
                <w:rFonts w:ascii="宋体" w:hAnsi="宋体" w:cs="宋体"/>
              </w:rPr>
            </w:pPr>
            <w:r>
              <w:rPr>
                <w:rFonts w:hint="eastAsia" w:ascii="宋体" w:hAnsi="宋体" w:cs="宋体"/>
              </w:rPr>
              <w:t>（总分100分）</w:t>
            </w:r>
          </w:p>
        </w:tc>
        <w:tc>
          <w:tcPr>
            <w:tcW w:w="326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 xml:space="preserve">报价部分：30 分 </w:t>
            </w:r>
          </w:p>
          <w:p>
            <w:pPr>
              <w:rPr>
                <w:rFonts w:ascii="宋体" w:hAnsi="宋体" w:cs="宋体"/>
              </w:rPr>
            </w:pPr>
            <w:r>
              <w:rPr>
                <w:rFonts w:hint="eastAsia" w:ascii="宋体" w:hAnsi="宋体" w:cs="宋体"/>
              </w:rPr>
              <w:t>技术部分：</w:t>
            </w:r>
            <w:r>
              <w:rPr>
                <w:rFonts w:hint="eastAsia" w:ascii="宋体" w:hAnsi="宋体" w:cs="宋体"/>
                <w:lang w:val="en-US" w:eastAsia="zh-CN"/>
              </w:rPr>
              <w:t>5</w:t>
            </w:r>
            <w:r>
              <w:rPr>
                <w:rFonts w:hint="eastAsia" w:ascii="宋体" w:hAnsi="宋体" w:cs="宋体"/>
              </w:rPr>
              <w:t xml:space="preserve">0分 </w:t>
            </w:r>
          </w:p>
          <w:p>
            <w:pPr>
              <w:rPr>
                <w:rFonts w:ascii="宋体" w:hAnsi="宋体" w:cs="宋体"/>
              </w:rPr>
            </w:pPr>
            <w:r>
              <w:rPr>
                <w:rFonts w:hint="eastAsia" w:ascii="宋体" w:hAnsi="宋体" w:cs="宋体"/>
                <w:lang w:eastAsia="zh-CN"/>
              </w:rPr>
              <w:t>综合</w:t>
            </w:r>
            <w:r>
              <w:rPr>
                <w:rFonts w:hint="eastAsia" w:ascii="宋体" w:hAnsi="宋体" w:cs="宋体"/>
              </w:rPr>
              <w:t>部分：</w:t>
            </w:r>
            <w:r>
              <w:rPr>
                <w:rFonts w:hint="eastAsia" w:ascii="宋体" w:hAnsi="宋体" w:cs="宋体"/>
                <w:lang w:val="en-US" w:eastAsia="zh-CN"/>
              </w:rPr>
              <w:t>2</w:t>
            </w:r>
            <w:r>
              <w:rPr>
                <w:rFonts w:hint="eastAsia" w:ascii="宋体" w:hAnsi="宋体" w:cs="宋体"/>
              </w:rPr>
              <w:t>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评审分项</w:t>
            </w:r>
          </w:p>
        </w:tc>
        <w:tc>
          <w:tcPr>
            <w:tcW w:w="115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评分因素</w:t>
            </w:r>
          </w:p>
        </w:tc>
        <w:tc>
          <w:tcPr>
            <w:tcW w:w="3260"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rPr>
            </w:pPr>
            <w:r>
              <w:rPr>
                <w:rFonts w:hint="eastAsia" w:ascii="宋体" w:hAnsi="宋体" w:cs="宋体"/>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58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报价</w:t>
            </w:r>
          </w:p>
          <w:p>
            <w:pPr>
              <w:jc w:val="center"/>
              <w:rPr>
                <w:rFonts w:ascii="宋体" w:hAnsi="宋体" w:cs="宋体"/>
              </w:rPr>
            </w:pPr>
            <w:r>
              <w:rPr>
                <w:rFonts w:hint="eastAsia" w:ascii="宋体" w:hAnsi="宋体" w:cs="宋体"/>
              </w:rPr>
              <w:t>部分</w:t>
            </w:r>
          </w:p>
          <w:p>
            <w:pPr>
              <w:jc w:val="center"/>
              <w:rPr>
                <w:rFonts w:ascii="宋体" w:hAnsi="宋体" w:cs="宋体"/>
              </w:rPr>
            </w:pPr>
            <w:r>
              <w:rPr>
                <w:rFonts w:hint="eastAsia" w:ascii="宋体" w:hAnsi="宋体" w:cs="宋体"/>
              </w:rPr>
              <w:t>（30分）</w:t>
            </w:r>
          </w:p>
        </w:tc>
        <w:tc>
          <w:tcPr>
            <w:tcW w:w="115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投标报价得分计算方法</w:t>
            </w:r>
          </w:p>
        </w:tc>
        <w:tc>
          <w:tcPr>
            <w:tcW w:w="3260" w:type="pct"/>
            <w:tcBorders>
              <w:top w:val="single" w:color="auto" w:sz="4" w:space="0"/>
              <w:left w:val="single" w:color="auto" w:sz="4" w:space="0"/>
              <w:bottom w:val="single" w:color="auto" w:sz="4" w:space="0"/>
              <w:right w:val="single" w:color="auto" w:sz="4" w:space="0"/>
            </w:tcBorders>
            <w:vAlign w:val="center"/>
          </w:tcPr>
          <w:p>
            <w:pPr>
              <w:outlineLvl w:val="0"/>
            </w:pPr>
            <w:r>
              <w:rPr>
                <w:rFonts w:hint="eastAsia"/>
              </w:rPr>
              <w:t>价格分应当采用低价优先法计算，即满足招标文件要求且投标价格最低的投标报价为评标基准价，其价格分为</w:t>
            </w:r>
            <w:r>
              <w:rPr>
                <w:rFonts w:hint="eastAsia"/>
                <w:lang w:val="en-US" w:eastAsia="zh-CN"/>
              </w:rPr>
              <w:t>30</w:t>
            </w:r>
            <w:r>
              <w:rPr>
                <w:rFonts w:hint="eastAsia"/>
              </w:rPr>
              <w:t>满分。其他投标人的价格分统一按照下列公式计算：</w:t>
            </w:r>
          </w:p>
          <w:p>
            <w:pPr>
              <w:outlineLvl w:val="0"/>
            </w:pPr>
            <w:r>
              <w:rPr>
                <w:rFonts w:hint="eastAsia"/>
              </w:rPr>
              <w:t>投标报价得分=(评标基准价／投标报价)×30</w:t>
            </w:r>
          </w:p>
          <w:p>
            <w:pPr>
              <w:ind w:firstLine="211" w:firstLineChars="100"/>
              <w:outlineLvl w:val="0"/>
              <w:rPr>
                <w:rFonts w:ascii="宋体" w:hAnsi="宋体"/>
              </w:rPr>
            </w:pPr>
            <w:r>
              <w:rPr>
                <w:rFonts w:hint="eastAsia"/>
                <w:b/>
                <w:bCs/>
              </w:rPr>
              <w:t>（如投标人中出现明显低价或不符合招标参数要求的服务市场价格的投标报价，评标委员会各成员需对此类报价进行综合审查及评定，如发现恶意竞标行为予以废标处理，上报主管部门进行相应处罚）</w:t>
            </w:r>
            <w:r>
              <w:rPr>
                <w:rFonts w:hint="eastAsia" w:ascii="宋体" w:hAnsi="宋体" w:cs="宋体"/>
                <w:b/>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584" w:type="pct"/>
            <w:vMerge w:val="restart"/>
            <w:tcBorders>
              <w:top w:val="single" w:color="auto" w:sz="4" w:space="0"/>
              <w:left w:val="single" w:color="auto" w:sz="4" w:space="0"/>
              <w:right w:val="single" w:color="auto" w:sz="4" w:space="0"/>
            </w:tcBorders>
            <w:vAlign w:val="center"/>
          </w:tcPr>
          <w:p>
            <w:pPr>
              <w:jc w:val="center"/>
              <w:rPr>
                <w:rFonts w:ascii="宋体" w:hAnsi="宋体" w:cs="宋体"/>
              </w:rPr>
            </w:pPr>
            <w:r>
              <w:rPr>
                <w:rFonts w:hint="eastAsia" w:ascii="宋体" w:hAnsi="宋体" w:cs="宋体"/>
              </w:rPr>
              <w:t>技术</w:t>
            </w:r>
          </w:p>
          <w:p>
            <w:pPr>
              <w:jc w:val="center"/>
              <w:rPr>
                <w:rFonts w:ascii="宋体" w:hAnsi="宋体" w:cs="宋体"/>
              </w:rPr>
            </w:pPr>
            <w:r>
              <w:rPr>
                <w:rFonts w:hint="eastAsia" w:ascii="宋体" w:hAnsi="宋体" w:cs="宋体"/>
              </w:rPr>
              <w:t>部分</w:t>
            </w:r>
          </w:p>
          <w:p>
            <w:pPr>
              <w:jc w:val="center"/>
              <w:rPr>
                <w:rFonts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0分）</w:t>
            </w:r>
          </w:p>
        </w:tc>
        <w:tc>
          <w:tcPr>
            <w:tcW w:w="115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与招标文件规定技术参数响应程度</w:t>
            </w:r>
          </w:p>
          <w:p>
            <w:pPr>
              <w:jc w:val="center"/>
              <w:rPr>
                <w:rFonts w:ascii="宋体" w:hAnsi="宋体" w:cs="宋体"/>
              </w:rPr>
            </w:pPr>
            <w:r>
              <w:rPr>
                <w:rFonts w:hint="eastAsia" w:ascii="宋体" w:hAnsi="宋体"/>
              </w:rPr>
              <w:t>（22分）</w:t>
            </w:r>
          </w:p>
        </w:tc>
        <w:tc>
          <w:tcPr>
            <w:tcW w:w="326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所投产品技术参数满足招标文件要求得22分；每有一项负偏差扣</w:t>
            </w:r>
            <w:r>
              <w:rPr>
                <w:rFonts w:hint="eastAsia" w:ascii="宋体" w:hAnsi="宋体" w:cs="宋体"/>
                <w:lang w:val="en-US" w:eastAsia="zh-CN"/>
              </w:rPr>
              <w:t>0.5</w:t>
            </w:r>
            <w:r>
              <w:rPr>
                <w:rFonts w:hint="eastAsia" w:ascii="宋体" w:hAnsi="宋体" w:cs="宋体"/>
              </w:rPr>
              <w:t>分，扣完为止</w:t>
            </w:r>
            <w:r>
              <w:rPr>
                <w:rFonts w:hint="eastAsia" w:ascii="宋体" w:hAnsi="宋体" w:cs="宋体"/>
                <w:lang w:val="en-US" w:eastAsia="zh-CN"/>
              </w:rPr>
              <w:t>,若此项得0分的投标单位视为未对招标文件作实质性响应，予以废标处理。</w:t>
            </w:r>
            <w:r>
              <w:rPr>
                <w:rFonts w:hint="eastAsia" w:ascii="宋体" w:hAnsi="宋体" w:cs="宋体"/>
              </w:rPr>
              <w:t>（技术指标需提供生产厂家技术支撑材料，以产品检验报告、NSCC认证具体数值为准）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584" w:type="pct"/>
            <w:vMerge w:val="continue"/>
            <w:tcBorders>
              <w:left w:val="single" w:color="auto" w:sz="4" w:space="0"/>
              <w:right w:val="single" w:color="auto" w:sz="4" w:space="0"/>
            </w:tcBorders>
            <w:vAlign w:val="center"/>
          </w:tcPr>
          <w:p>
            <w:pPr>
              <w:jc w:val="center"/>
              <w:rPr>
                <w:rFonts w:ascii="宋体" w:hAnsi="宋体" w:cs="宋体"/>
              </w:rPr>
            </w:pPr>
          </w:p>
        </w:tc>
        <w:tc>
          <w:tcPr>
            <w:tcW w:w="1154"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产品质量检测</w:t>
            </w:r>
          </w:p>
          <w:p>
            <w:pPr>
              <w:jc w:val="center"/>
              <w:rPr>
                <w:rFonts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分）</w:t>
            </w:r>
          </w:p>
        </w:tc>
        <w:tc>
          <w:tcPr>
            <w:tcW w:w="326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cs="宋体"/>
              </w:rPr>
              <w:t>1.健身器材喷塑钢管通过光老化试验-紫外辐射暴露360h试验后（检测方法GB/T23987-2009）灰标等级≥4级，提供具有相应资质检测机构出具的检测报告得</w:t>
            </w:r>
            <w:r>
              <w:rPr>
                <w:rFonts w:hint="eastAsia" w:ascii="宋体" w:hAnsi="宋体" w:cs="宋体"/>
                <w:lang w:val="en-US" w:eastAsia="zh-CN"/>
              </w:rPr>
              <w:t>1</w:t>
            </w:r>
            <w:r>
              <w:rPr>
                <w:rFonts w:hint="eastAsia" w:ascii="宋体" w:hAnsi="宋体" w:cs="宋体"/>
              </w:rPr>
              <w:t>分；</w:t>
            </w:r>
          </w:p>
          <w:p>
            <w:pPr>
              <w:rPr>
                <w:rFonts w:ascii="宋体" w:hAnsi="宋体" w:cs="宋体"/>
              </w:rPr>
            </w:pPr>
            <w:r>
              <w:rPr>
                <w:rFonts w:hint="eastAsia" w:ascii="宋体" w:hAnsi="宋体" w:cs="宋体"/>
              </w:rPr>
              <w:t>2.健身器材喷塑钢管通过中性盐雾720h试验后（检测方法GB/T1771-2007），试验综合评级为0级，提供具有相应资质检测机构出具的检测报告得</w:t>
            </w:r>
            <w:r>
              <w:rPr>
                <w:rFonts w:hint="eastAsia" w:ascii="宋体" w:hAnsi="宋体" w:cs="宋体"/>
                <w:lang w:val="en-US" w:eastAsia="zh-CN"/>
              </w:rPr>
              <w:t>1</w:t>
            </w:r>
            <w:r>
              <w:rPr>
                <w:rFonts w:hint="eastAsia" w:ascii="宋体" w:hAnsi="宋体" w:cs="宋体"/>
              </w:rPr>
              <w:t>分；</w:t>
            </w:r>
          </w:p>
          <w:p>
            <w:pPr>
              <w:rPr>
                <w:rFonts w:ascii="宋体" w:hAnsi="宋体" w:cs="宋体"/>
              </w:rPr>
            </w:pPr>
            <w:r>
              <w:rPr>
                <w:rFonts w:hint="eastAsia" w:ascii="宋体" w:hAnsi="宋体" w:cs="宋体"/>
              </w:rPr>
              <w:t>3.健身器材喷塑钢管经过5%酸性溶液耐酸性浸泡720h试验后（检测方法GB/T9274-1988)，试验综合评级为0级，提供具有相应资质检测机构出具的带有CNAS标志检测报告得</w:t>
            </w:r>
            <w:r>
              <w:rPr>
                <w:rFonts w:hint="eastAsia" w:ascii="宋体" w:hAnsi="宋体" w:cs="宋体"/>
                <w:lang w:val="en-US" w:eastAsia="zh-CN"/>
              </w:rPr>
              <w:t>1</w:t>
            </w:r>
            <w:r>
              <w:rPr>
                <w:rFonts w:hint="eastAsia" w:ascii="宋体" w:hAnsi="宋体" w:cs="宋体"/>
              </w:rPr>
              <w:t>分；</w:t>
            </w:r>
          </w:p>
          <w:p>
            <w:pPr>
              <w:rPr>
                <w:rFonts w:ascii="宋体" w:hAnsi="宋体" w:cs="宋体"/>
              </w:rPr>
            </w:pPr>
            <w:r>
              <w:rPr>
                <w:rFonts w:hint="eastAsia" w:ascii="宋体" w:hAnsi="宋体" w:cs="宋体"/>
              </w:rPr>
              <w:t>（投标文件内附以上证明材料原件扫描件，不提供不得分）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584" w:type="pct"/>
            <w:vMerge w:val="continue"/>
            <w:tcBorders>
              <w:left w:val="single" w:color="auto" w:sz="4" w:space="0"/>
              <w:right w:val="single" w:color="auto" w:sz="4" w:space="0"/>
            </w:tcBorders>
            <w:vAlign w:val="center"/>
          </w:tcPr>
          <w:p>
            <w:pPr>
              <w:jc w:val="center"/>
              <w:rPr>
                <w:rFonts w:ascii="宋体" w:hAnsi="宋体" w:cs="宋体"/>
              </w:rPr>
            </w:pPr>
          </w:p>
        </w:tc>
        <w:tc>
          <w:tcPr>
            <w:tcW w:w="572" w:type="pct"/>
            <w:vMerge w:val="restart"/>
            <w:tcBorders>
              <w:top w:val="single" w:color="auto" w:sz="4" w:space="0"/>
              <w:left w:val="single" w:color="auto" w:sz="4" w:space="0"/>
              <w:right w:val="single" w:color="auto" w:sz="4" w:space="0"/>
            </w:tcBorders>
            <w:vAlign w:val="center"/>
          </w:tcPr>
          <w:p>
            <w:pPr>
              <w:jc w:val="center"/>
              <w:rPr>
                <w:sz w:val="22"/>
              </w:rPr>
            </w:pPr>
            <w:r>
              <w:rPr>
                <w:rFonts w:hint="eastAsia"/>
                <w:sz w:val="22"/>
              </w:rPr>
              <w:t>技术方案</w:t>
            </w:r>
            <w:r>
              <w:rPr>
                <w:rFonts w:hint="eastAsia" w:ascii="宋体" w:hAnsi="宋体"/>
              </w:rPr>
              <w:t xml:space="preserve">（15分） </w:t>
            </w:r>
          </w:p>
        </w:tc>
        <w:tc>
          <w:tcPr>
            <w:tcW w:w="582"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2"/>
                <w:lang w:val="en-US" w:eastAsia="zh-CN"/>
              </w:rPr>
            </w:pPr>
            <w:r>
              <w:rPr>
                <w:rFonts w:hint="eastAsia"/>
                <w:sz w:val="22"/>
                <w:lang w:val="en-US" w:eastAsia="zh-CN"/>
              </w:rPr>
              <w:t>供货方案</w:t>
            </w:r>
          </w:p>
          <w:p>
            <w:pPr>
              <w:jc w:val="center"/>
              <w:rPr>
                <w:sz w:val="22"/>
              </w:rPr>
            </w:pPr>
            <w:r>
              <w:rPr>
                <w:rFonts w:hint="eastAsia"/>
                <w:sz w:val="22"/>
                <w:lang w:val="en-US" w:eastAsia="zh-CN"/>
              </w:rPr>
              <w:t>（5分）</w:t>
            </w:r>
          </w:p>
        </w:tc>
        <w:tc>
          <w:tcPr>
            <w:tcW w:w="3260"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highlight w:val="none"/>
              </w:rPr>
            </w:pPr>
            <w:r>
              <w:rPr>
                <w:rFonts w:hint="eastAsia" w:ascii="宋体" w:hAnsi="宋体" w:cs="宋体"/>
                <w:highlight w:val="none"/>
              </w:rPr>
              <w:t>（1）方案功能十分完善、提出了针对性的解决思路，方案整体完整度优秀和可行性高，得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ascii="宋体" w:hAnsi="宋体" w:cs="宋体"/>
                <w:highlight w:val="none"/>
              </w:rPr>
            </w:pPr>
            <w:r>
              <w:rPr>
                <w:rFonts w:hint="eastAsia" w:ascii="宋体" w:hAnsi="宋体" w:cs="宋体"/>
                <w:highlight w:val="none"/>
              </w:rPr>
              <w:t>（2）方案基本功能较为全面，方案整体和完整程度良好，得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（3）方案功能基本满足、方案整体完整度和可行性一般，得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p>
            <w:pPr>
              <w:pStyle w:val="8"/>
            </w:pPr>
            <w:r>
              <w:rPr>
                <w:rFonts w:hint="eastAsia"/>
              </w:rPr>
              <w:t>（4）没有方案，得0分。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84" w:type="pct"/>
            <w:vMerge w:val="continue"/>
            <w:tcBorders>
              <w:left w:val="single" w:color="auto" w:sz="4" w:space="0"/>
              <w:right w:val="single" w:color="auto" w:sz="4" w:space="0"/>
            </w:tcBorders>
            <w:vAlign w:val="center"/>
          </w:tcPr>
          <w:p>
            <w:pPr>
              <w:jc w:val="center"/>
              <w:rPr>
                <w:rFonts w:ascii="宋体" w:hAnsi="宋体" w:cs="宋体"/>
              </w:rPr>
            </w:pPr>
          </w:p>
        </w:tc>
        <w:tc>
          <w:tcPr>
            <w:tcW w:w="572" w:type="pct"/>
            <w:vMerge w:val="continue"/>
            <w:tcBorders>
              <w:left w:val="single" w:color="auto" w:sz="4" w:space="0"/>
              <w:bottom w:val="single" w:color="auto" w:sz="4" w:space="0"/>
              <w:right w:val="single" w:color="auto" w:sz="4" w:space="0"/>
            </w:tcBorders>
            <w:vAlign w:val="center"/>
          </w:tcPr>
          <w:p>
            <w:pPr>
              <w:jc w:val="center"/>
              <w:rPr>
                <w:sz w:val="22"/>
              </w:rPr>
            </w:pPr>
          </w:p>
        </w:tc>
        <w:tc>
          <w:tcPr>
            <w:tcW w:w="582"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2"/>
                <w:lang w:eastAsia="zh-CN"/>
              </w:rPr>
            </w:pPr>
            <w:r>
              <w:rPr>
                <w:rFonts w:hint="eastAsia"/>
                <w:sz w:val="22"/>
                <w:lang w:eastAsia="zh-CN"/>
              </w:rPr>
              <w:t>安装方案</w:t>
            </w:r>
          </w:p>
          <w:p>
            <w:pPr>
              <w:jc w:val="center"/>
              <w:rPr>
                <w:sz w:val="22"/>
              </w:rPr>
            </w:pPr>
            <w:r>
              <w:rPr>
                <w:rFonts w:hint="eastAsia"/>
                <w:sz w:val="22"/>
                <w:lang w:eastAsia="zh-CN"/>
              </w:rPr>
              <w:t>（5分）</w:t>
            </w:r>
          </w:p>
        </w:tc>
        <w:tc>
          <w:tcPr>
            <w:tcW w:w="326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（1）方案功能十分完善、提出了针对性的解决思路，方案整体完整度优秀和可行性高，得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（2）方案基本功能较为全面，方案整体和完整程度良好，得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（3）方案功能基本满足、方案整体完整度和可行性一般，得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p>
            <w:r>
              <w:rPr>
                <w:rFonts w:hint="eastAsia" w:ascii="宋体" w:hAnsi="宋体" w:cs="宋体"/>
                <w:highlight w:val="none"/>
              </w:rPr>
              <w:t>（4）没有方案，得0分。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84" w:type="pct"/>
            <w:vMerge w:val="continue"/>
            <w:tcBorders>
              <w:left w:val="single" w:color="auto" w:sz="4" w:space="0"/>
              <w:right w:val="single" w:color="auto" w:sz="4" w:space="0"/>
            </w:tcBorders>
            <w:vAlign w:val="center"/>
          </w:tcPr>
          <w:p>
            <w:pPr>
              <w:jc w:val="center"/>
              <w:rPr>
                <w:rFonts w:ascii="宋体" w:hAnsi="宋体" w:cs="宋体"/>
              </w:rPr>
            </w:pPr>
          </w:p>
        </w:tc>
        <w:tc>
          <w:tcPr>
            <w:tcW w:w="572" w:type="pct"/>
            <w:vMerge w:val="continue"/>
            <w:tcBorders>
              <w:left w:val="single" w:color="auto" w:sz="4" w:space="0"/>
              <w:bottom w:val="single" w:color="auto" w:sz="4" w:space="0"/>
              <w:right w:val="single" w:color="auto" w:sz="4" w:space="0"/>
            </w:tcBorders>
            <w:vAlign w:val="center"/>
          </w:tcPr>
          <w:p>
            <w:pPr>
              <w:jc w:val="center"/>
              <w:rPr>
                <w:sz w:val="22"/>
              </w:rPr>
            </w:pPr>
          </w:p>
        </w:tc>
        <w:tc>
          <w:tcPr>
            <w:tcW w:w="582" w:type="pct"/>
            <w:tcBorders>
              <w:top w:val="single" w:color="auto" w:sz="4" w:space="0"/>
              <w:left w:val="single" w:color="auto" w:sz="4" w:space="0"/>
              <w:bottom w:val="single" w:color="auto" w:sz="4" w:space="0"/>
              <w:right w:val="single" w:color="auto" w:sz="4" w:space="0"/>
            </w:tcBorders>
            <w:vAlign w:val="center"/>
          </w:tcPr>
          <w:p>
            <w:pPr>
              <w:jc w:val="center"/>
              <w:rPr>
                <w:rFonts w:hint="eastAsia"/>
                <w:sz w:val="22"/>
                <w:lang w:eastAsia="zh-CN"/>
              </w:rPr>
            </w:pPr>
            <w:r>
              <w:rPr>
                <w:rFonts w:hint="eastAsia"/>
                <w:sz w:val="22"/>
                <w:lang w:eastAsia="zh-CN"/>
              </w:rPr>
              <w:t>维护方案</w:t>
            </w:r>
          </w:p>
          <w:p>
            <w:pPr>
              <w:jc w:val="center"/>
              <w:rPr>
                <w:sz w:val="22"/>
              </w:rPr>
            </w:pPr>
            <w:r>
              <w:rPr>
                <w:rFonts w:hint="eastAsia"/>
                <w:sz w:val="22"/>
                <w:lang w:eastAsia="zh-CN"/>
              </w:rPr>
              <w:t>（5分）</w:t>
            </w:r>
          </w:p>
        </w:tc>
        <w:tc>
          <w:tcPr>
            <w:tcW w:w="3260" w:type="pct"/>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highlight w:val="none"/>
              </w:rPr>
            </w:pPr>
            <w:r>
              <w:rPr>
                <w:rFonts w:hint="eastAsia" w:ascii="宋体" w:hAnsi="宋体" w:cs="宋体"/>
                <w:highlight w:val="none"/>
              </w:rPr>
              <w:t>（1）方案功能十分完善、提出了针对性的解决思路，方案整体完整度优秀和可行性高，得</w:t>
            </w:r>
            <w:r>
              <w:rPr>
                <w:rFonts w:hint="eastAsia" w:ascii="宋体" w:hAnsi="宋体" w:cs="宋体"/>
                <w:highlight w:val="none"/>
                <w:lang w:val="en-US" w:eastAsia="zh-CN"/>
              </w:rPr>
              <w:t>5</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（2）方案基本功能较为全面，方案整体和完整程度良好，得</w:t>
            </w:r>
            <w:r>
              <w:rPr>
                <w:rFonts w:hint="eastAsia" w:ascii="宋体" w:hAnsi="宋体" w:cs="宋体"/>
                <w:highlight w:val="none"/>
                <w:lang w:val="en-US" w:eastAsia="zh-CN"/>
              </w:rPr>
              <w:t>3</w:t>
            </w:r>
            <w:r>
              <w:rPr>
                <w:rFonts w:hint="eastAsia" w:ascii="宋体" w:hAnsi="宋体" w:cs="宋体"/>
                <w:highlight w:val="none"/>
              </w:rPr>
              <w:t>分。</w:t>
            </w:r>
          </w:p>
          <w:p>
            <w:pPr>
              <w:rPr>
                <w:rFonts w:hint="eastAsia" w:ascii="宋体" w:hAnsi="宋体" w:cs="宋体"/>
                <w:highlight w:val="none"/>
              </w:rPr>
            </w:pPr>
            <w:r>
              <w:rPr>
                <w:rFonts w:hint="eastAsia" w:ascii="宋体" w:hAnsi="宋体" w:cs="宋体"/>
                <w:highlight w:val="none"/>
              </w:rPr>
              <w:t>（3）方案功能基本满足、方案整体完整度和可行性一般，得</w:t>
            </w:r>
            <w:r>
              <w:rPr>
                <w:rFonts w:hint="eastAsia" w:ascii="宋体" w:hAnsi="宋体" w:cs="宋体"/>
                <w:highlight w:val="none"/>
                <w:lang w:val="en-US" w:eastAsia="zh-CN"/>
              </w:rPr>
              <w:t>1</w:t>
            </w:r>
            <w:r>
              <w:rPr>
                <w:rFonts w:hint="eastAsia" w:ascii="宋体" w:hAnsi="宋体" w:cs="宋体"/>
                <w:highlight w:val="none"/>
              </w:rPr>
              <w:t>分。</w:t>
            </w:r>
          </w:p>
          <w:p>
            <w:r>
              <w:rPr>
                <w:rFonts w:hint="eastAsia" w:ascii="宋体" w:hAnsi="宋体" w:cs="宋体"/>
                <w:highlight w:val="none"/>
              </w:rPr>
              <w:t>（4）没有方案，得0分。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584" w:type="pct"/>
            <w:tcBorders>
              <w:left w:val="single" w:color="auto" w:sz="4" w:space="0"/>
              <w:right w:val="single" w:color="auto" w:sz="4" w:space="0"/>
            </w:tcBorders>
            <w:vAlign w:val="center"/>
          </w:tcPr>
          <w:p>
            <w:pPr>
              <w:jc w:val="center"/>
              <w:rPr>
                <w:rFonts w:ascii="宋体" w:hAnsi="宋体" w:cs="宋体"/>
              </w:rPr>
            </w:pPr>
          </w:p>
        </w:tc>
        <w:tc>
          <w:tcPr>
            <w:tcW w:w="1154" w:type="pct"/>
            <w:gridSpan w:val="2"/>
            <w:tcBorders>
              <w:top w:val="single" w:color="auto" w:sz="4" w:space="0"/>
              <w:left w:val="single" w:color="auto" w:sz="4" w:space="0"/>
              <w:bottom w:val="single" w:color="auto" w:sz="4" w:space="0"/>
              <w:right w:val="single" w:color="auto" w:sz="4" w:space="0"/>
            </w:tcBorders>
            <w:vAlign w:val="center"/>
          </w:tcPr>
          <w:p>
            <w:pPr>
              <w:jc w:val="center"/>
              <w:rPr>
                <w:sz w:val="22"/>
              </w:rPr>
            </w:pPr>
            <w:r>
              <w:rPr>
                <w:rFonts w:hint="eastAsia" w:ascii="宋体" w:hAnsi="宋体"/>
              </w:rPr>
              <w:t>投标产品保险(</w:t>
            </w:r>
            <w:r>
              <w:rPr>
                <w:rFonts w:hint="eastAsia" w:ascii="宋体" w:hAnsi="宋体"/>
                <w:lang w:val="en-US" w:eastAsia="zh-CN"/>
              </w:rPr>
              <w:t>10</w:t>
            </w:r>
            <w:r>
              <w:rPr>
                <w:rFonts w:hint="eastAsia" w:ascii="宋体" w:hAnsi="宋体"/>
              </w:rPr>
              <w:t>分)</w:t>
            </w:r>
          </w:p>
        </w:tc>
        <w:tc>
          <w:tcPr>
            <w:tcW w:w="3260" w:type="pct"/>
            <w:tcBorders>
              <w:top w:val="single" w:color="auto" w:sz="4" w:space="0"/>
              <w:left w:val="single" w:color="auto" w:sz="4" w:space="0"/>
              <w:bottom w:val="single" w:color="auto" w:sz="4" w:space="0"/>
              <w:right w:val="single" w:color="auto" w:sz="4" w:space="0"/>
            </w:tcBorders>
            <w:vAlign w:val="center"/>
          </w:tcPr>
          <w:p>
            <w:r>
              <w:rPr>
                <w:rFonts w:hint="eastAsia" w:ascii="宋体" w:hAnsi="宋体" w:cs="宋体"/>
              </w:rPr>
              <w:t>所投健身器材产品制造商投保产品质量险、产品责任险、公众责任险，每种险种累计赔偿限额均≥3000 万得</w:t>
            </w:r>
            <w:r>
              <w:rPr>
                <w:rFonts w:hint="eastAsia" w:ascii="宋体" w:hAnsi="宋体" w:cs="宋体"/>
                <w:lang w:val="en-US" w:eastAsia="zh-CN"/>
              </w:rPr>
              <w:t>10</w:t>
            </w:r>
            <w:r>
              <w:rPr>
                <w:rFonts w:hint="eastAsia" w:ascii="宋体" w:hAnsi="宋体" w:cs="宋体"/>
              </w:rPr>
              <w:t>分,每种险种累计赔偿限额均≥2000 万得</w:t>
            </w:r>
            <w:r>
              <w:rPr>
                <w:rFonts w:hint="eastAsia" w:ascii="宋体" w:hAnsi="宋体" w:cs="宋体"/>
                <w:lang w:val="en-US" w:eastAsia="zh-CN"/>
              </w:rPr>
              <w:t>6</w:t>
            </w:r>
            <w:r>
              <w:rPr>
                <w:rFonts w:hint="eastAsia" w:ascii="宋体" w:hAnsi="宋体" w:cs="宋体"/>
              </w:rPr>
              <w:t>分，每种险种累计赔偿限额均≥1000 万得</w:t>
            </w:r>
            <w:r>
              <w:rPr>
                <w:rFonts w:hint="eastAsia" w:ascii="宋体" w:hAnsi="宋体" w:cs="宋体"/>
                <w:lang w:val="en-US" w:eastAsia="zh-CN"/>
              </w:rPr>
              <w:t>4</w:t>
            </w:r>
            <w:r>
              <w:rPr>
                <w:rFonts w:hint="eastAsia" w:ascii="宋体" w:hAnsi="宋体" w:cs="宋体"/>
              </w:rPr>
              <w:t>分，其他不得分。（投标文件内附证明材料原件扫描件，缺项或不符不得分）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4" w:type="pct"/>
            <w:vMerge w:val="restart"/>
            <w:tcBorders>
              <w:left w:val="single" w:color="auto" w:sz="4" w:space="0"/>
              <w:right w:val="single" w:color="auto" w:sz="4" w:space="0"/>
            </w:tcBorders>
            <w:vAlign w:val="center"/>
          </w:tcPr>
          <w:p>
            <w:pPr>
              <w:jc w:val="center"/>
              <w:rPr>
                <w:rFonts w:ascii="宋体" w:hAnsi="宋体" w:cs="宋体"/>
              </w:rPr>
            </w:pPr>
            <w:r>
              <w:rPr>
                <w:rFonts w:hint="eastAsia" w:ascii="宋体" w:hAnsi="宋体" w:cs="宋体"/>
                <w:lang w:eastAsia="zh-CN"/>
              </w:rPr>
              <w:t>综合</w:t>
            </w:r>
            <w:r>
              <w:rPr>
                <w:rFonts w:hint="eastAsia" w:ascii="宋体" w:hAnsi="宋体" w:cs="宋体"/>
              </w:rPr>
              <w:t>部分（</w:t>
            </w:r>
            <w:r>
              <w:rPr>
                <w:rFonts w:hint="eastAsia" w:ascii="宋体" w:hAnsi="宋体" w:cs="宋体"/>
                <w:lang w:val="en-US" w:eastAsia="zh-CN"/>
              </w:rPr>
              <w:t>2</w:t>
            </w:r>
            <w:r>
              <w:rPr>
                <w:rFonts w:hint="eastAsia" w:ascii="宋体" w:hAnsi="宋体" w:cs="宋体"/>
              </w:rPr>
              <w:t>0分）</w:t>
            </w:r>
          </w:p>
        </w:tc>
        <w:tc>
          <w:tcPr>
            <w:tcW w:w="1154" w:type="pct"/>
            <w:gridSpan w:val="2"/>
            <w:tcBorders>
              <w:top w:val="single" w:color="auto" w:sz="4" w:space="0"/>
              <w:left w:val="single" w:color="auto" w:sz="4" w:space="0"/>
              <w:right w:val="single" w:color="auto" w:sz="6" w:space="0"/>
            </w:tcBorders>
            <w:vAlign w:val="center"/>
          </w:tcPr>
          <w:p>
            <w:pPr>
              <w:jc w:val="center"/>
              <w:rPr>
                <w:rFonts w:ascii="宋体" w:hAnsi="宋体"/>
              </w:rPr>
            </w:pPr>
            <w:r>
              <w:rPr>
                <w:rFonts w:hint="eastAsia"/>
              </w:rPr>
              <w:t>体系认证情况（</w:t>
            </w:r>
            <w:r>
              <w:t>6</w:t>
            </w:r>
            <w:r>
              <w:rPr>
                <w:rFonts w:hint="eastAsia"/>
              </w:rPr>
              <w:t>分）</w:t>
            </w:r>
          </w:p>
        </w:tc>
        <w:tc>
          <w:tcPr>
            <w:tcW w:w="3260" w:type="pct"/>
            <w:tcBorders>
              <w:top w:val="single" w:color="auto" w:sz="4" w:space="0"/>
              <w:left w:val="single" w:color="auto" w:sz="6" w:space="0"/>
              <w:bottom w:val="single" w:color="auto" w:sz="4" w:space="0"/>
              <w:right w:val="single" w:color="auto" w:sz="6" w:space="0"/>
            </w:tcBorders>
            <w:vAlign w:val="center"/>
          </w:tcPr>
          <w:p>
            <w:pPr>
              <w:pStyle w:val="8"/>
              <w:spacing w:after="0"/>
              <w:rPr>
                <w:rFonts w:ascii="宋体" w:hAnsi="宋体" w:cs="宋体"/>
              </w:rPr>
            </w:pPr>
            <w:r>
              <w:rPr>
                <w:rFonts w:hint="eastAsia" w:ascii="宋体" w:hAnsi="宋体" w:cs="宋体"/>
              </w:rPr>
              <w:t>所投健身器材产品制造商通过ISO9001:2015质量管理体系认证、ISO14001:2015环境管理体系认证、OHSAS18001：2007职业健康安全管理体系认证、ISO10015:1999培训管理体系认证齐全的得6分（投标文件内附证明材料原件扫描件，缺项或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84" w:type="pct"/>
            <w:vMerge w:val="continue"/>
            <w:tcBorders>
              <w:left w:val="single" w:color="auto" w:sz="4" w:space="0"/>
              <w:right w:val="single" w:color="auto" w:sz="4" w:space="0"/>
            </w:tcBorders>
            <w:vAlign w:val="center"/>
          </w:tcPr>
          <w:p>
            <w:pPr>
              <w:jc w:val="center"/>
              <w:rPr>
                <w:rFonts w:ascii="宋体" w:hAnsi="宋体" w:cs="宋体"/>
              </w:rPr>
            </w:pPr>
          </w:p>
        </w:tc>
        <w:tc>
          <w:tcPr>
            <w:tcW w:w="1154" w:type="pct"/>
            <w:gridSpan w:val="2"/>
            <w:tcBorders>
              <w:top w:val="single" w:color="auto" w:sz="4" w:space="0"/>
              <w:left w:val="single" w:color="auto" w:sz="4" w:space="0"/>
              <w:right w:val="single" w:color="auto" w:sz="6" w:space="0"/>
            </w:tcBorders>
            <w:vAlign w:val="center"/>
          </w:tcPr>
          <w:p>
            <w:pPr>
              <w:jc w:val="center"/>
            </w:pPr>
            <w:r>
              <w:rPr>
                <w:rFonts w:hint="eastAsia" w:ascii="宋体" w:hAnsi="宋体"/>
              </w:rPr>
              <w:t>企业业绩(</w:t>
            </w:r>
            <w:r>
              <w:rPr>
                <w:rFonts w:hint="eastAsia" w:ascii="宋体" w:hAnsi="宋体"/>
                <w:lang w:val="en-US" w:eastAsia="zh-CN"/>
              </w:rPr>
              <w:t>8</w:t>
            </w:r>
            <w:r>
              <w:rPr>
                <w:rFonts w:hint="eastAsia" w:ascii="宋体" w:hAnsi="宋体"/>
              </w:rPr>
              <w:t>分)</w:t>
            </w:r>
          </w:p>
        </w:tc>
        <w:tc>
          <w:tcPr>
            <w:tcW w:w="3260" w:type="pct"/>
            <w:tcBorders>
              <w:top w:val="single" w:color="auto" w:sz="4" w:space="0"/>
              <w:left w:val="single" w:color="auto" w:sz="6" w:space="0"/>
              <w:bottom w:val="single" w:color="auto" w:sz="4" w:space="0"/>
              <w:right w:val="single" w:color="auto" w:sz="6" w:space="0"/>
            </w:tcBorders>
            <w:vAlign w:val="center"/>
          </w:tcPr>
          <w:p>
            <w:pPr>
              <w:rPr>
                <w:rFonts w:ascii="宋体" w:hAnsi="宋体" w:cs="宋体"/>
              </w:rPr>
            </w:pPr>
            <w:r>
              <w:rPr>
                <w:rFonts w:hint="eastAsia" w:ascii="宋体" w:hAnsi="宋体" w:cs="宋体"/>
                <w:lang w:eastAsia="zh-CN"/>
              </w:rPr>
              <w:t>供应商或生产厂家</w:t>
            </w:r>
            <w:r>
              <w:rPr>
                <w:rFonts w:hint="eastAsia" w:ascii="宋体" w:hAnsi="宋体" w:cs="宋体"/>
              </w:rPr>
              <w:t>提供2020 年1月1</w:t>
            </w:r>
            <w:r>
              <w:rPr>
                <w:rFonts w:hint="eastAsia" w:ascii="宋体" w:hAnsi="宋体" w:cs="宋体"/>
                <w:lang w:eastAsia="zh-CN"/>
              </w:rPr>
              <w:t>日以来</w:t>
            </w:r>
            <w:r>
              <w:rPr>
                <w:rFonts w:hint="eastAsia" w:ascii="宋体" w:hAnsi="宋体" w:cs="宋体"/>
              </w:rPr>
              <w:t>同类业绩，每有一项（含中标通知书及合同）得</w:t>
            </w:r>
            <w:r>
              <w:rPr>
                <w:rFonts w:hint="eastAsia" w:ascii="宋体" w:hAnsi="宋体" w:cs="宋体"/>
                <w:lang w:val="en-US" w:eastAsia="zh-CN"/>
              </w:rPr>
              <w:t>4</w:t>
            </w:r>
            <w:r>
              <w:rPr>
                <w:rFonts w:hint="eastAsia" w:ascii="宋体" w:hAnsi="宋体" w:cs="宋体"/>
              </w:rPr>
              <w:t>分，缺项不得分，最高得</w:t>
            </w:r>
            <w:r>
              <w:rPr>
                <w:rFonts w:hint="eastAsia" w:ascii="宋体" w:hAnsi="宋体" w:cs="宋体"/>
                <w:lang w:val="en-US" w:eastAsia="zh-CN"/>
              </w:rPr>
              <w:t>8</w:t>
            </w:r>
            <w:r>
              <w:rPr>
                <w:rFonts w:hint="eastAsia" w:ascii="宋体" w:hAnsi="宋体" w:cs="宋体"/>
              </w:rPr>
              <w:t>分。（以合同签订时间为准，投标文件内附中标通知书及合同原件扫描件，不提供不得分）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584" w:type="pct"/>
            <w:vMerge w:val="continue"/>
            <w:tcBorders>
              <w:left w:val="single" w:color="auto" w:sz="4" w:space="0"/>
              <w:right w:val="single" w:color="auto" w:sz="4" w:space="0"/>
            </w:tcBorders>
            <w:vAlign w:val="center"/>
          </w:tcPr>
          <w:p>
            <w:pPr>
              <w:jc w:val="center"/>
              <w:rPr>
                <w:rFonts w:ascii="宋体" w:hAnsi="宋体" w:cs="宋体"/>
              </w:rPr>
            </w:pPr>
          </w:p>
        </w:tc>
        <w:tc>
          <w:tcPr>
            <w:tcW w:w="1154" w:type="pct"/>
            <w:gridSpan w:val="2"/>
            <w:tcBorders>
              <w:top w:val="single" w:color="auto" w:sz="4" w:space="0"/>
              <w:left w:val="single" w:color="auto" w:sz="4" w:space="0"/>
              <w:bottom w:val="single" w:color="auto" w:sz="4" w:space="0"/>
              <w:right w:val="single" w:color="auto" w:sz="6" w:space="0"/>
            </w:tcBorders>
            <w:vAlign w:val="center"/>
          </w:tcPr>
          <w:p>
            <w:pPr>
              <w:jc w:val="center"/>
              <w:rPr>
                <w:rFonts w:ascii="宋体" w:hAnsi="宋体"/>
              </w:rPr>
            </w:pPr>
            <w:r>
              <w:rPr>
                <w:rFonts w:hint="eastAsia" w:ascii="宋体" w:hAnsi="宋体"/>
              </w:rPr>
              <w:t>服务</w:t>
            </w:r>
            <w:r>
              <w:rPr>
                <w:rFonts w:hint="eastAsia" w:ascii="宋体" w:hAnsi="宋体"/>
                <w:lang w:eastAsia="zh-CN"/>
              </w:rPr>
              <w:t>承诺</w:t>
            </w:r>
            <w:r>
              <w:rPr>
                <w:rFonts w:hint="eastAsia" w:ascii="宋体" w:hAnsi="宋体"/>
              </w:rPr>
              <w:t>（</w:t>
            </w:r>
            <w:r>
              <w:rPr>
                <w:rFonts w:hint="eastAsia" w:ascii="宋体" w:hAnsi="宋体"/>
                <w:lang w:val="en-US" w:eastAsia="zh-CN"/>
              </w:rPr>
              <w:t>6</w:t>
            </w:r>
            <w:r>
              <w:rPr>
                <w:rFonts w:hint="eastAsia" w:ascii="宋体" w:hAnsi="宋体"/>
              </w:rPr>
              <w:t>分）</w:t>
            </w:r>
          </w:p>
        </w:tc>
        <w:tc>
          <w:tcPr>
            <w:tcW w:w="3260" w:type="pct"/>
            <w:tcBorders>
              <w:top w:val="single" w:color="auto" w:sz="4" w:space="0"/>
              <w:left w:val="single" w:color="auto" w:sz="6" w:space="0"/>
              <w:bottom w:val="single" w:color="auto" w:sz="4" w:space="0"/>
              <w:right w:val="single" w:color="auto" w:sz="6" w:space="0"/>
            </w:tcBorders>
            <w:vAlign w:val="center"/>
          </w:tcPr>
          <w:p>
            <w:pPr>
              <w:pStyle w:val="23"/>
              <w:spacing w:before="0" w:after="0" w:line="357" w:lineRule="atLeast"/>
              <w:ind w:left="0" w:leftChars="0" w:firstLine="0" w:firstLineChars="0"/>
              <w:rPr>
                <w:rFonts w:hint="eastAsia" w:ascii="宋体" w:hAnsi="宋体" w:cs="宋体"/>
              </w:rPr>
            </w:pPr>
            <w:r>
              <w:rPr>
                <w:rFonts w:hint="eastAsia" w:ascii="宋体" w:hAnsi="宋体" w:cs="宋体"/>
              </w:rPr>
              <w:t>优惠条款和内容能使招标人在经济上受益的，针对招标工程的特点和要求，结合自身的条件和潜力，为</w:t>
            </w:r>
            <w:r>
              <w:rPr>
                <w:rFonts w:hint="eastAsia" w:ascii="宋体" w:hAnsi="宋体" w:cs="宋体"/>
                <w:lang w:eastAsia="zh-CN"/>
              </w:rPr>
              <w:t>采购</w:t>
            </w:r>
            <w:r>
              <w:rPr>
                <w:rFonts w:hint="eastAsia" w:ascii="宋体" w:hAnsi="宋体" w:cs="宋体"/>
              </w:rPr>
              <w:t>人排忧解难，有利于提高工程质量，加快工程进度等方面的承诺：</w:t>
            </w:r>
          </w:p>
          <w:p>
            <w:pPr>
              <w:rPr>
                <w:rFonts w:hint="eastAsia"/>
              </w:rPr>
            </w:pPr>
            <w:r>
              <w:rPr>
                <w:rFonts w:hint="eastAsia"/>
              </w:rPr>
              <w:t>（1）服务承诺内容十分详细、方式具体并有切实可行，得</w:t>
            </w:r>
            <w:r>
              <w:rPr>
                <w:rFonts w:hint="eastAsia"/>
                <w:lang w:val="en-US" w:eastAsia="zh-CN"/>
              </w:rPr>
              <w:t>6</w:t>
            </w:r>
            <w:r>
              <w:rPr>
                <w:rFonts w:hint="eastAsia"/>
              </w:rPr>
              <w:t>分。</w:t>
            </w:r>
          </w:p>
          <w:p>
            <w:pPr>
              <w:rPr>
                <w:rFonts w:hint="eastAsia"/>
              </w:rPr>
            </w:pPr>
            <w:r>
              <w:rPr>
                <w:rFonts w:hint="eastAsia"/>
              </w:rPr>
              <w:t>（2）服务承诺内容详细、方式切实可行，得</w:t>
            </w:r>
            <w:r>
              <w:rPr>
                <w:rFonts w:hint="eastAsia"/>
                <w:lang w:val="en-US" w:eastAsia="zh-CN"/>
              </w:rPr>
              <w:t>4</w:t>
            </w:r>
            <w:r>
              <w:rPr>
                <w:rFonts w:hint="eastAsia"/>
              </w:rPr>
              <w:t>分。</w:t>
            </w:r>
          </w:p>
          <w:p>
            <w:pPr>
              <w:rPr>
                <w:rFonts w:ascii="宋体" w:hAnsi="宋体" w:cs="宋体"/>
              </w:rPr>
            </w:pPr>
            <w:r>
              <w:rPr>
                <w:rFonts w:hint="eastAsia"/>
              </w:rPr>
              <w:t>（3）服务承诺内容、方式</w:t>
            </w:r>
            <w:r>
              <w:rPr>
                <w:rFonts w:hint="eastAsia"/>
                <w:lang w:eastAsia="zh-CN"/>
              </w:rPr>
              <w:t>基本</w:t>
            </w:r>
            <w:r>
              <w:rPr>
                <w:rFonts w:hint="eastAsia"/>
              </w:rPr>
              <w:t>可行，得</w:t>
            </w:r>
            <w:r>
              <w:rPr>
                <w:rFonts w:hint="eastAsia"/>
                <w:lang w:val="en-US" w:eastAsia="zh-CN"/>
              </w:rPr>
              <w:t>2</w:t>
            </w:r>
            <w:r>
              <w:rPr>
                <w:rFonts w:hint="eastAsia"/>
              </w:rPr>
              <w:t>分。</w:t>
            </w:r>
          </w:p>
        </w:tc>
      </w:tr>
    </w:tbl>
    <w:p>
      <w:pPr>
        <w:spacing w:line="380" w:lineRule="exact"/>
        <w:jc w:val="left"/>
        <w:textAlignment w:val="auto"/>
        <w:rPr>
          <w:rFonts w:ascii="黑体" w:hAnsi="黑体" w:eastAsia="黑体" w:cs="楷体_GB2312"/>
          <w:b/>
          <w:bCs/>
          <w:color w:val="auto"/>
          <w:sz w:val="28"/>
          <w:szCs w:val="28"/>
        </w:rPr>
      </w:pPr>
    </w:p>
    <w:p>
      <w:pPr>
        <w:spacing w:line="380" w:lineRule="exact"/>
        <w:ind w:firstLine="281" w:firstLineChars="100"/>
        <w:jc w:val="left"/>
        <w:textAlignment w:val="auto"/>
        <w:rPr>
          <w:rFonts w:ascii="黑体" w:hAnsi="黑体" w:eastAsia="黑体" w:cs="楷体_GB2312"/>
          <w:b/>
          <w:bCs/>
          <w:color w:val="auto"/>
          <w:sz w:val="28"/>
          <w:szCs w:val="28"/>
          <w:lang w:val="zh-CN"/>
        </w:rPr>
      </w:pPr>
      <w:r>
        <w:rPr>
          <w:rFonts w:hint="eastAsia" w:ascii="黑体" w:hAnsi="黑体" w:eastAsia="黑体" w:cs="楷体_GB2312"/>
          <w:b/>
          <w:bCs/>
          <w:color w:val="auto"/>
          <w:sz w:val="28"/>
          <w:szCs w:val="28"/>
        </w:rPr>
        <w:t>1.</w:t>
      </w:r>
      <w:r>
        <w:rPr>
          <w:rFonts w:hint="eastAsia" w:ascii="黑体" w:hAnsi="黑体" w:eastAsia="黑体" w:cs="楷体_GB2312"/>
          <w:b/>
          <w:bCs/>
          <w:color w:val="auto"/>
          <w:sz w:val="28"/>
          <w:szCs w:val="28"/>
          <w:lang w:val="zh-CN"/>
        </w:rPr>
        <w:t>评审方法（评定成交的标准）</w:t>
      </w:r>
      <w:bookmarkEnd w:id="43"/>
      <w:bookmarkEnd w:id="44"/>
    </w:p>
    <w:p>
      <w:pPr>
        <w:autoSpaceDE w:val="0"/>
        <w:autoSpaceDN w:val="0"/>
        <w:adjustRightInd w:val="0"/>
        <w:snapToGrid w:val="0"/>
        <w:spacing w:line="380" w:lineRule="exact"/>
        <w:ind w:firstLine="482" w:firstLineChars="200"/>
        <w:jc w:val="left"/>
        <w:rPr>
          <w:rFonts w:hint="eastAsia" w:ascii="宋体" w:eastAsia="宋体"/>
          <w:b/>
          <w:color w:val="auto"/>
          <w:sz w:val="24"/>
          <w:lang w:eastAsia="zh-CN"/>
        </w:rPr>
      </w:pPr>
      <w:bookmarkStart w:id="45" w:name="OLE_LINK33"/>
      <w:r>
        <w:rPr>
          <w:rFonts w:hint="eastAsia"/>
          <w:b/>
          <w:color w:val="auto"/>
          <w:sz w:val="24"/>
          <w:szCs w:val="24"/>
        </w:rPr>
        <w:t>经磋商确定最终采购需求和提交最后报价的供应商后，由磋商小组采用综合评分法对提交最后报价的供应商的《响应文件》和最后报价进行综合评分。按照评审得分由高到低的顺序</w:t>
      </w:r>
      <w:r>
        <w:rPr>
          <w:rFonts w:hint="eastAsia"/>
          <w:b/>
          <w:color w:val="auto"/>
          <w:sz w:val="24"/>
          <w:szCs w:val="24"/>
          <w:lang w:eastAsia="zh-CN"/>
        </w:rPr>
        <w:t>推荐三名</w:t>
      </w:r>
      <w:r>
        <w:rPr>
          <w:rFonts w:hint="eastAsia"/>
          <w:b/>
          <w:color w:val="auto"/>
          <w:sz w:val="24"/>
          <w:szCs w:val="24"/>
        </w:rPr>
        <w:t>成交</w:t>
      </w:r>
      <w:r>
        <w:rPr>
          <w:rFonts w:hint="eastAsia"/>
          <w:b/>
          <w:color w:val="auto"/>
          <w:sz w:val="24"/>
          <w:szCs w:val="24"/>
          <w:lang w:eastAsia="zh-CN"/>
        </w:rPr>
        <w:t>候选人</w:t>
      </w:r>
      <w:bookmarkEnd w:id="45"/>
      <w:r>
        <w:rPr>
          <w:rFonts w:hint="eastAsia"/>
          <w:b/>
          <w:color w:val="auto"/>
          <w:sz w:val="24"/>
          <w:szCs w:val="24"/>
          <w:lang w:eastAsia="zh-CN"/>
        </w:rPr>
        <w:t>。</w:t>
      </w:r>
    </w:p>
    <w:p>
      <w:pPr>
        <w:pStyle w:val="32"/>
        <w:snapToGrid w:val="0"/>
        <w:spacing w:line="380" w:lineRule="exact"/>
        <w:ind w:firstLine="422" w:firstLineChars="150"/>
        <w:jc w:val="both"/>
        <w:outlineLvl w:val="1"/>
        <w:rPr>
          <w:rFonts w:ascii="黑体" w:hAnsi="黑体" w:eastAsia="黑体" w:cs="楷体_GB2312"/>
          <w:b/>
          <w:bCs/>
          <w:color w:val="auto"/>
          <w:sz w:val="28"/>
          <w:szCs w:val="28"/>
          <w:u w:color="000000"/>
          <w:lang w:val="zh-CN"/>
        </w:rPr>
      </w:pPr>
      <w:bookmarkStart w:id="46" w:name="_Toc423723403"/>
      <w:bookmarkStart w:id="47" w:name="_Toc26366102"/>
      <w:bookmarkStart w:id="48" w:name="_Toc19247"/>
      <w:r>
        <w:rPr>
          <w:rFonts w:ascii="黑体" w:hAnsi="黑体" w:eastAsia="黑体" w:cs="楷体_GB2312"/>
          <w:b/>
          <w:bCs/>
          <w:color w:val="auto"/>
          <w:sz w:val="28"/>
          <w:szCs w:val="28"/>
          <w:u w:color="000000"/>
          <w:lang w:val="zh-CN"/>
        </w:rPr>
        <w:t xml:space="preserve">2. </w:t>
      </w:r>
      <w:r>
        <w:rPr>
          <w:rFonts w:hint="eastAsia" w:ascii="黑体" w:hAnsi="黑体" w:eastAsia="黑体" w:cs="楷体_GB2312"/>
          <w:b/>
          <w:bCs/>
          <w:color w:val="auto"/>
          <w:sz w:val="28"/>
          <w:szCs w:val="28"/>
          <w:u w:color="000000"/>
          <w:lang w:val="zh-CN"/>
        </w:rPr>
        <w:t>评审标准</w:t>
      </w:r>
      <w:bookmarkEnd w:id="46"/>
      <w:bookmarkEnd w:id="47"/>
      <w:bookmarkEnd w:id="48"/>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2.1 </w:t>
      </w:r>
      <w:r>
        <w:rPr>
          <w:rFonts w:hint="eastAsia" w:ascii="黑体" w:hAnsi="黑体" w:eastAsia="黑体"/>
          <w:b/>
          <w:color w:val="auto"/>
          <w:sz w:val="24"/>
        </w:rPr>
        <w:t>初步评审标准</w:t>
      </w:r>
    </w:p>
    <w:p>
      <w:pPr>
        <w:autoSpaceDE w:val="0"/>
        <w:autoSpaceDN w:val="0"/>
        <w:adjustRightInd w:val="0"/>
        <w:snapToGrid w:val="0"/>
        <w:spacing w:line="380" w:lineRule="exact"/>
        <w:ind w:firstLine="480" w:firstLineChars="200"/>
        <w:jc w:val="left"/>
        <w:rPr>
          <w:rFonts w:ascii="宋体"/>
          <w:color w:val="auto"/>
          <w:sz w:val="24"/>
        </w:rPr>
      </w:pPr>
      <w:r>
        <w:rPr>
          <w:rFonts w:ascii="宋体" w:hAnsi="宋体"/>
          <w:color w:val="auto"/>
          <w:sz w:val="24"/>
        </w:rPr>
        <w:t xml:space="preserve">2.1.1 </w:t>
      </w:r>
      <w:r>
        <w:rPr>
          <w:rFonts w:hint="eastAsia" w:ascii="宋体" w:hAnsi="宋体"/>
          <w:color w:val="auto"/>
          <w:sz w:val="24"/>
        </w:rPr>
        <w:t>资格性审查标准：见评审办法前附表。</w:t>
      </w:r>
    </w:p>
    <w:p>
      <w:pPr>
        <w:autoSpaceDE w:val="0"/>
        <w:autoSpaceDN w:val="0"/>
        <w:adjustRightInd w:val="0"/>
        <w:snapToGrid w:val="0"/>
        <w:spacing w:line="380" w:lineRule="exact"/>
        <w:ind w:firstLine="480" w:firstLineChars="200"/>
        <w:jc w:val="left"/>
        <w:rPr>
          <w:rFonts w:ascii="宋体"/>
          <w:color w:val="auto"/>
          <w:sz w:val="24"/>
        </w:rPr>
      </w:pPr>
      <w:r>
        <w:rPr>
          <w:rFonts w:ascii="宋体" w:hAnsi="宋体"/>
          <w:color w:val="auto"/>
          <w:sz w:val="24"/>
        </w:rPr>
        <w:t xml:space="preserve">2.1.2 </w:t>
      </w:r>
      <w:r>
        <w:rPr>
          <w:rFonts w:hint="eastAsia" w:ascii="宋体" w:hAnsi="宋体"/>
          <w:color w:val="auto"/>
          <w:sz w:val="24"/>
        </w:rPr>
        <w:t>符合性审查标准：见评审办法前附表。</w:t>
      </w:r>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2.2 </w:t>
      </w:r>
      <w:r>
        <w:rPr>
          <w:rFonts w:hint="eastAsia" w:ascii="黑体" w:hAnsi="黑体" w:eastAsia="黑体"/>
          <w:b/>
          <w:color w:val="auto"/>
          <w:sz w:val="24"/>
        </w:rPr>
        <w:t>详细评审标准</w:t>
      </w:r>
      <w:r>
        <w:rPr>
          <w:rFonts w:hint="eastAsia" w:ascii="宋体" w:hAnsi="宋体"/>
          <w:color w:val="auto"/>
          <w:sz w:val="24"/>
        </w:rPr>
        <w:t>：见评审办法前附表</w:t>
      </w:r>
    </w:p>
    <w:p>
      <w:pPr>
        <w:pStyle w:val="32"/>
        <w:snapToGrid w:val="0"/>
        <w:spacing w:line="380" w:lineRule="exact"/>
        <w:ind w:firstLine="562" w:firstLineChars="200"/>
        <w:jc w:val="both"/>
        <w:outlineLvl w:val="1"/>
        <w:rPr>
          <w:rFonts w:ascii="黑体" w:hAnsi="黑体" w:eastAsia="黑体" w:cs="楷体_GB2312"/>
          <w:b/>
          <w:bCs/>
          <w:color w:val="auto"/>
          <w:sz w:val="28"/>
          <w:szCs w:val="28"/>
          <w:u w:color="000000"/>
          <w:lang w:val="zh-CN"/>
        </w:rPr>
      </w:pPr>
      <w:bookmarkStart w:id="49" w:name="_Toc26366103"/>
      <w:bookmarkStart w:id="50" w:name="_Toc29880"/>
      <w:bookmarkStart w:id="51" w:name="_Toc423723405"/>
      <w:r>
        <w:rPr>
          <w:rFonts w:ascii="黑体" w:hAnsi="黑体" w:eastAsia="黑体" w:cs="楷体_GB2312"/>
          <w:b/>
          <w:bCs/>
          <w:color w:val="auto"/>
          <w:sz w:val="28"/>
          <w:szCs w:val="28"/>
          <w:u w:color="000000"/>
          <w:lang w:val="zh-CN"/>
        </w:rPr>
        <w:t xml:space="preserve">3. </w:t>
      </w:r>
      <w:r>
        <w:rPr>
          <w:rFonts w:hint="eastAsia" w:ascii="黑体" w:hAnsi="黑体" w:eastAsia="黑体" w:cs="楷体_GB2312"/>
          <w:b/>
          <w:bCs/>
          <w:color w:val="auto"/>
          <w:sz w:val="28"/>
          <w:szCs w:val="28"/>
          <w:u w:color="000000"/>
          <w:lang w:val="zh-CN"/>
        </w:rPr>
        <w:t>评审程序</w:t>
      </w:r>
      <w:bookmarkEnd w:id="49"/>
      <w:bookmarkEnd w:id="50"/>
      <w:bookmarkEnd w:id="51"/>
    </w:p>
    <w:p>
      <w:pPr>
        <w:autoSpaceDE w:val="0"/>
        <w:autoSpaceDN w:val="0"/>
        <w:adjustRightInd w:val="0"/>
        <w:snapToGrid w:val="0"/>
        <w:spacing w:line="380" w:lineRule="exact"/>
        <w:ind w:firstLine="482" w:firstLineChars="200"/>
        <w:jc w:val="left"/>
        <w:rPr>
          <w:rFonts w:ascii="黑体" w:hAnsi="黑体" w:eastAsia="黑体"/>
          <w:b/>
          <w:color w:val="auto"/>
          <w:sz w:val="24"/>
          <w:szCs w:val="24"/>
        </w:rPr>
      </w:pPr>
      <w:r>
        <w:rPr>
          <w:rFonts w:hint="eastAsia" w:ascii="黑体" w:hAnsi="黑体" w:eastAsia="黑体"/>
          <w:b/>
          <w:color w:val="auto"/>
          <w:sz w:val="24"/>
          <w:szCs w:val="24"/>
        </w:rPr>
        <w:t>磋商小组按标段进行评审</w:t>
      </w:r>
    </w:p>
    <w:p>
      <w:pPr>
        <w:autoSpaceDE w:val="0"/>
        <w:autoSpaceDN w:val="0"/>
        <w:adjustRightInd w:val="0"/>
        <w:snapToGrid w:val="0"/>
        <w:spacing w:line="380" w:lineRule="exact"/>
        <w:ind w:firstLine="482" w:firstLineChars="200"/>
        <w:jc w:val="left"/>
        <w:rPr>
          <w:rFonts w:ascii="黑体" w:hAnsi="黑体" w:eastAsia="黑体"/>
          <w:b/>
          <w:color w:val="auto"/>
          <w:sz w:val="24"/>
        </w:rPr>
      </w:pPr>
      <w:r>
        <w:rPr>
          <w:rFonts w:ascii="黑体" w:hAnsi="黑体" w:eastAsia="黑体"/>
          <w:b/>
          <w:color w:val="auto"/>
          <w:sz w:val="24"/>
        </w:rPr>
        <w:t xml:space="preserve">3.1 </w:t>
      </w:r>
      <w:r>
        <w:rPr>
          <w:rFonts w:hint="eastAsia" w:ascii="黑体" w:hAnsi="黑体" w:eastAsia="黑体"/>
          <w:b/>
          <w:color w:val="auto"/>
          <w:sz w:val="24"/>
        </w:rPr>
        <w:t>确认磋商文件</w:t>
      </w:r>
    </w:p>
    <w:p>
      <w:pPr>
        <w:pStyle w:val="32"/>
        <w:snapToGrid w:val="0"/>
        <w:spacing w:line="380" w:lineRule="exact"/>
        <w:ind w:firstLine="480" w:firstLineChars="200"/>
        <w:jc w:val="both"/>
        <w:rPr>
          <w:rFonts w:hAnsi="宋体"/>
          <w:color w:val="auto"/>
        </w:rPr>
      </w:pPr>
      <w:r>
        <w:rPr>
          <w:rFonts w:hAnsi="宋体"/>
          <w:color w:val="auto"/>
        </w:rPr>
        <w:t xml:space="preserve">3.1.1 </w:t>
      </w:r>
      <w:r>
        <w:rPr>
          <w:rFonts w:hint="eastAsia" w:hAnsi="宋体"/>
          <w:color w:val="auto"/>
        </w:rPr>
        <w:t>磋商小组确认磋商文件，磋商文件内容违反国家有关强制性规定的，磋商小组应当停止评审并向采购人或者采购代理机构书面说明情况。</w:t>
      </w:r>
    </w:p>
    <w:p>
      <w:pPr>
        <w:pStyle w:val="32"/>
        <w:snapToGrid w:val="0"/>
        <w:spacing w:line="380" w:lineRule="exact"/>
        <w:ind w:firstLine="480" w:firstLineChars="200"/>
        <w:jc w:val="both"/>
        <w:rPr>
          <w:rFonts w:hAnsi="宋体"/>
          <w:color w:val="auto"/>
        </w:rPr>
      </w:pPr>
      <w:r>
        <w:rPr>
          <w:rFonts w:hAnsi="宋体"/>
          <w:color w:val="auto"/>
        </w:rPr>
        <w:t xml:space="preserve">3.1.2  </w:t>
      </w:r>
      <w:r>
        <w:rPr>
          <w:rFonts w:hint="eastAsia" w:hAnsi="宋体"/>
          <w:color w:val="auto"/>
        </w:rPr>
        <w:t>磋商小组</w:t>
      </w:r>
      <w:r>
        <w:rPr>
          <w:rFonts w:hint="eastAsia" w:ascii="??" w:hAnsi="??" w:cs="宋体"/>
          <w:color w:val="auto"/>
          <w:szCs w:val="21"/>
        </w:rPr>
        <w:t>要求解释</w:t>
      </w:r>
      <w:r>
        <w:rPr>
          <w:rFonts w:hint="eastAsia" w:hAnsi="宋体"/>
          <w:color w:val="auto"/>
        </w:rPr>
        <w:t>磋商文件的，书面提出需解释的相关磋商文件的具体内容后、由采购代理机构或者采购人进行书面解释。</w:t>
      </w:r>
    </w:p>
    <w:p>
      <w:pPr>
        <w:autoSpaceDE w:val="0"/>
        <w:autoSpaceDN w:val="0"/>
        <w:adjustRightInd w:val="0"/>
        <w:snapToGrid w:val="0"/>
        <w:spacing w:line="380" w:lineRule="exact"/>
        <w:ind w:firstLine="482" w:firstLineChars="200"/>
        <w:jc w:val="left"/>
        <w:rPr>
          <w:rFonts w:ascii="黑体" w:hAnsi="黑体" w:eastAsia="黑体"/>
          <w:b/>
          <w:color w:val="auto"/>
          <w:sz w:val="24"/>
        </w:rPr>
      </w:pPr>
      <w:bookmarkStart w:id="52" w:name="_Toc423723406"/>
      <w:r>
        <w:rPr>
          <w:rFonts w:ascii="黑体" w:hAnsi="黑体" w:eastAsia="黑体"/>
          <w:b/>
          <w:color w:val="auto"/>
          <w:sz w:val="24"/>
        </w:rPr>
        <w:t>3.2</w:t>
      </w:r>
      <w:bookmarkEnd w:id="52"/>
      <w:r>
        <w:rPr>
          <w:rFonts w:hint="eastAsia" w:ascii="黑体" w:hAnsi="黑体" w:eastAsia="黑体"/>
          <w:b/>
          <w:color w:val="auto"/>
          <w:sz w:val="24"/>
        </w:rPr>
        <w:t>初步评审</w:t>
      </w:r>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3.2.1</w:t>
      </w:r>
      <w:r>
        <w:rPr>
          <w:rFonts w:hint="eastAsia" w:ascii="宋体" w:hAnsi="宋体"/>
          <w:color w:val="auto"/>
          <w:sz w:val="24"/>
        </w:rPr>
        <w:t>磋商小组依据本章第</w:t>
      </w:r>
      <w:r>
        <w:rPr>
          <w:rFonts w:ascii="宋体" w:hAnsi="宋体"/>
          <w:color w:val="auto"/>
          <w:sz w:val="24"/>
        </w:rPr>
        <w:t>1.1</w:t>
      </w:r>
      <w:r>
        <w:rPr>
          <w:rFonts w:hint="eastAsia" w:ascii="宋体" w:hAnsi="宋体"/>
          <w:color w:val="auto"/>
          <w:sz w:val="24"/>
        </w:rPr>
        <w:t>、</w:t>
      </w:r>
      <w:r>
        <w:rPr>
          <w:rFonts w:ascii="宋体" w:hAnsi="宋体"/>
          <w:color w:val="auto"/>
          <w:sz w:val="24"/>
        </w:rPr>
        <w:t xml:space="preserve">1.2 </w:t>
      </w:r>
      <w:r>
        <w:rPr>
          <w:rFonts w:hint="eastAsia" w:ascii="宋体" w:hAnsi="宋体"/>
          <w:color w:val="auto"/>
          <w:sz w:val="24"/>
        </w:rPr>
        <w:t>款规定的标准对投标文件进行资格性、符合性评审。有一项不符合评审标准的，作无效投标处理。</w:t>
      </w:r>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 xml:space="preserve">3.2.2 </w:t>
      </w:r>
      <w:r>
        <w:rPr>
          <w:rFonts w:hint="eastAsia" w:ascii="宋体" w:hAnsi="宋体"/>
          <w:color w:val="auto"/>
          <w:sz w:val="24"/>
        </w:rPr>
        <w:t>投标人有以下情形之一的，其投标作无效投标处理：</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）投标人不符合国家或者磋商文件规定的资格条件；</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（2）投标联合体不符合磋商文件规定；</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（3）投标文件的签字盖章不符合磋商文件规定；</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（4）投标报价高于磋商公告公布的采购预算；</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（5）同一投标人提交两个以上不同的投标文件（响应文件）或者投标报价，投标文件（响应文件）的每种报价有两个报价或其他选择性报价的。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（6）投标文件（响应文件）没有对磋商文件的实质性要求和条件作出实质性响应，或不符合磋商文件的实质性要求和条件；</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（7）投标文件（响应文件）附有采购项目不能接受的条件或不符合国家强制性规定的；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（8）单位负责人为同一人或者存在控股、管理关系的不同单位，参加同一项目（标段）投标的；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（9）为采购项目提供整体设计、规范编制或者项目管理、监理、检测等服务的供应商，不得再参加该采购项目的其他采购活动。</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0）提供虚假材料谋取中标（成交）的；</w:t>
      </w:r>
    </w:p>
    <w:p>
      <w:pPr>
        <w:autoSpaceDE w:val="0"/>
        <w:autoSpaceDN w:val="0"/>
        <w:adjustRightInd w:val="0"/>
        <w:snapToGrid w:val="0"/>
        <w:spacing w:line="380" w:lineRule="exact"/>
        <w:ind w:firstLine="616" w:firstLineChars="257"/>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1）投标人有串通投标、行贿等违法行为。其中，有下列情形之一的，视为投标人相互串通投标：</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◆不同投标人的投标文件由同一单位或者个人编制；</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◆不同投标人委托同一单位或者个人办理投标事宜；</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◆不同投标人的投标文件载明的项目管理成员为同一人；</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◆不同投标人的投标文件异常一致或者投标报价呈规律性差异；</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◆不同投标人的投标文件相互混装；</w:t>
      </w:r>
    </w:p>
    <w:p>
      <w:pPr>
        <w:autoSpaceDE w:val="0"/>
        <w:autoSpaceDN w:val="0"/>
        <w:adjustRightInd w:val="0"/>
        <w:snapToGrid w:val="0"/>
        <w:spacing w:line="380" w:lineRule="exact"/>
        <w:ind w:firstLine="616" w:firstLineChars="257"/>
        <w:jc w:val="left"/>
        <w:rPr>
          <w:rFonts w:ascii="宋体"/>
          <w:color w:val="auto"/>
          <w:sz w:val="24"/>
        </w:rPr>
      </w:pPr>
      <w:r>
        <w:rPr>
          <w:rFonts w:ascii="宋体"/>
          <w:color w:val="auto"/>
          <w:sz w:val="24"/>
        </w:rPr>
        <w:t>    </w:t>
      </w:r>
      <w:r>
        <w:rPr>
          <w:rFonts w:hint="eastAsia" w:ascii="宋体" w:hAnsi="宋体"/>
          <w:color w:val="auto"/>
          <w:sz w:val="24"/>
        </w:rPr>
        <w:t>◆不同投标人的投标保证金从同一单位或者个人的账户转出。</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3.2.3 </w:t>
      </w:r>
      <w:r>
        <w:rPr>
          <w:rFonts w:hint="eastAsia" w:ascii="宋体" w:hAnsi="宋体"/>
          <w:b/>
          <w:color w:val="auto"/>
          <w:sz w:val="24"/>
        </w:rPr>
        <w:t>未实质性响应磋商文件的响应文件按无效处理，磋商小组应当通过评审界面的对话框告知有关供应商。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3.2</w:t>
      </w:r>
      <w:r>
        <w:rPr>
          <w:rFonts w:ascii="宋体"/>
          <w:color w:val="auto"/>
          <w:sz w:val="24"/>
        </w:rPr>
        <w:t>.</w:t>
      </w:r>
      <w:r>
        <w:rPr>
          <w:rFonts w:ascii="宋体" w:hAnsi="宋体"/>
          <w:color w:val="auto"/>
          <w:sz w:val="24"/>
        </w:rPr>
        <w:t xml:space="preserve">4 </w:t>
      </w:r>
      <w:r>
        <w:rPr>
          <w:rFonts w:hint="eastAsia" w:ascii="宋体" w:hAnsi="宋体"/>
          <w:color w:val="auto"/>
          <w:sz w:val="24"/>
        </w:rPr>
        <w:t>开标一览表与分项报价或报价明细表有差别时，以开标一览表为准；大写文字表示的数据与小写数字表示的有差别时，以大写文字表示的数据为准；单价与开标一览表总价不符时，以开标一览表总价为准。如投标人拒绝接受上述意见，其</w:t>
      </w:r>
      <w:r>
        <w:rPr>
          <w:rFonts w:hint="eastAsia" w:ascii="宋体" w:hAnsi="宋体"/>
          <w:b/>
          <w:color w:val="auto"/>
          <w:sz w:val="24"/>
        </w:rPr>
        <w:t>投标将被拒绝。</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3.2.5 </w:t>
      </w:r>
      <w:r>
        <w:rPr>
          <w:rFonts w:hint="eastAsia" w:ascii="宋体" w:hAnsi="宋体"/>
          <w:color w:val="auto"/>
          <w:sz w:val="24"/>
        </w:rPr>
        <w:t>磋商小组负责审查确定每一投标项目是否对磋商文件的实质性要求作出了实质性的响应，而没有重大偏离和保留。实质性响应的投标是指投标符合磋商文件的所有条款、条件和规定且没有重大偏离和保留（重大偏离和保留是指影响到磋商文件和投标人的义务的规定，而纠正这些偏离将影响到其他提交实质性响应投标人的公平竞争地位）。</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3.2.6 </w:t>
      </w:r>
      <w:r>
        <w:rPr>
          <w:rFonts w:hint="eastAsia" w:ascii="宋体" w:hAnsi="宋体"/>
          <w:color w:val="auto"/>
          <w:sz w:val="24"/>
        </w:rPr>
        <w:t>磋商小组判断投标文件（响应文件）的响应性仅基于投标文件（响应文件）本身而不靠外部证据。</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3.2.7 </w:t>
      </w:r>
      <w:r>
        <w:rPr>
          <w:rFonts w:hint="eastAsia" w:ascii="宋体" w:hAnsi="宋体"/>
          <w:color w:val="auto"/>
          <w:sz w:val="24"/>
        </w:rPr>
        <w:t>磋商小组拒绝被确定为非实质性响应的投标人，投标人不得通过修正或撤销不符之处而使其投标成为实质性响应的投标。</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3.2.8 </w:t>
      </w:r>
      <w:r>
        <w:rPr>
          <w:rFonts w:hint="eastAsia" w:ascii="宋体" w:hAnsi="宋体"/>
          <w:color w:val="auto"/>
          <w:sz w:val="24"/>
        </w:rPr>
        <w:t>允许投标人修改投标中不构成重大偏离的、微小的、非正规、不一致或不规则的地方。</w:t>
      </w:r>
    </w:p>
    <w:p>
      <w:pPr>
        <w:widowControl w:val="0"/>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3.3 </w:t>
      </w:r>
      <w:r>
        <w:rPr>
          <w:rFonts w:hint="eastAsia" w:ascii="黑体" w:hAnsi="黑体" w:eastAsia="黑体"/>
          <w:b/>
          <w:color w:val="auto"/>
          <w:sz w:val="24"/>
        </w:rPr>
        <w:t>详细评审</w:t>
      </w:r>
    </w:p>
    <w:p>
      <w:pPr>
        <w:widowControl w:val="0"/>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3.3.1 </w:t>
      </w:r>
      <w:r>
        <w:rPr>
          <w:rFonts w:hint="eastAsia" w:ascii="宋体" w:hAnsi="宋体"/>
          <w:color w:val="auto"/>
          <w:sz w:val="24"/>
        </w:rPr>
        <w:t>按本章第</w:t>
      </w:r>
      <w:r>
        <w:rPr>
          <w:rFonts w:ascii="宋体" w:hAnsi="宋体"/>
          <w:color w:val="auto"/>
          <w:sz w:val="24"/>
        </w:rPr>
        <w:t xml:space="preserve">4 </w:t>
      </w:r>
      <w:r>
        <w:rPr>
          <w:rFonts w:hint="eastAsia" w:ascii="宋体" w:hAnsi="宋体"/>
          <w:color w:val="auto"/>
          <w:sz w:val="24"/>
        </w:rPr>
        <w:t>条规定执行促进中小企业发展扶持政策，用扣除后的价格参与评审。</w:t>
      </w:r>
    </w:p>
    <w:p>
      <w:pPr>
        <w:widowControl w:val="0"/>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3.3.2 </w:t>
      </w:r>
      <w:r>
        <w:rPr>
          <w:rFonts w:hint="eastAsia" w:ascii="宋体" w:hAnsi="宋体"/>
          <w:color w:val="auto"/>
          <w:sz w:val="24"/>
        </w:rPr>
        <w:t>如磋商小组一致认为最低投标或某些分项报价明显不合理，有降低质量、不能诚信履约的可能时，磋商小组有权要求投标人作出解释。如投标人不能作出合理解释，磋商小组在取得多数一致意见后，可确定该投标人不能中标（成交）。</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3.4 </w:t>
      </w:r>
      <w:r>
        <w:rPr>
          <w:rFonts w:hint="eastAsia" w:ascii="黑体" w:hAnsi="黑体" w:eastAsia="黑体"/>
          <w:b/>
          <w:color w:val="auto"/>
          <w:sz w:val="24"/>
        </w:rPr>
        <w:t>投标文件（响应文件）的澄清</w:t>
      </w:r>
    </w:p>
    <w:p>
      <w:pPr>
        <w:autoSpaceDE w:val="0"/>
        <w:autoSpaceDN w:val="0"/>
        <w:adjustRightInd w:val="0"/>
        <w:snapToGrid w:val="0"/>
        <w:spacing w:line="380" w:lineRule="exact"/>
        <w:ind w:firstLine="569" w:firstLineChars="236"/>
        <w:jc w:val="left"/>
        <w:rPr>
          <w:rFonts w:ascii="宋体"/>
          <w:b/>
          <w:color w:val="auto"/>
          <w:sz w:val="24"/>
        </w:rPr>
      </w:pPr>
      <w:r>
        <w:rPr>
          <w:rFonts w:hint="eastAsia" w:ascii="宋体" w:hAnsi="宋体"/>
          <w:b/>
          <w:color w:val="auto"/>
          <w:sz w:val="24"/>
        </w:rPr>
        <w:t>投标文件（响应文件）的澄清在磋商公告所述网上电子交易系统进行。</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3.4.1 </w:t>
      </w:r>
      <w:r>
        <w:rPr>
          <w:rFonts w:hint="eastAsia" w:ascii="宋体" w:hAnsi="宋体"/>
          <w:b/>
          <w:color w:val="auto"/>
          <w:sz w:val="24"/>
        </w:rPr>
        <w:t>评审期间，投标人法定代表人须时刻关注电子开标室并保持通讯畅通。如因通讯不畅导致投标人无法及时澄清而被认定为无效响应等后果的，由投标人自行承担。</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3.4.2</w:t>
      </w:r>
      <w:r>
        <w:rPr>
          <w:rFonts w:hint="eastAsia" w:ascii="宋体" w:hAnsi="宋体"/>
          <w:color w:val="auto"/>
          <w:sz w:val="24"/>
        </w:rPr>
        <w:t>　为有助于对投标文件（响应文件）进行审查、评估和比较，磋商小组有权个别的向投标人提出质疑，请投标人澄清其投标内容。</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3.4.3</w:t>
      </w:r>
      <w:r>
        <w:rPr>
          <w:rFonts w:hint="eastAsia" w:ascii="宋体" w:hAnsi="宋体"/>
          <w:color w:val="auto"/>
          <w:sz w:val="24"/>
        </w:rPr>
        <w:t>　磋商小组可以要求投标人对投标文件（响应文件）中含义不明确、同类问题表述不一致或者有明显文字和计算错误的内容等作出必要的澄清、说明或者更正。投标人的澄清、说明或者更正不得超出投标文件（响应文件）的范围或者改变投标文件（响应文件）的实质性内容。</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3.4.4</w:t>
      </w:r>
      <w:r>
        <w:rPr>
          <w:rFonts w:hint="eastAsia" w:ascii="宋体" w:hAnsi="宋体"/>
          <w:b/>
          <w:color w:val="auto"/>
          <w:sz w:val="24"/>
        </w:rPr>
        <w:t>　投标人的澄清、说明或者更正应当采用书面形式，应加盖投标人电子签章或其法定代表人电子签名。并将澄清等内容作为附件上传至系统中。</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3.4.5</w:t>
      </w:r>
      <w:r>
        <w:rPr>
          <w:rFonts w:hint="eastAsia" w:ascii="宋体" w:hAnsi="宋体"/>
          <w:color w:val="auto"/>
          <w:sz w:val="24"/>
        </w:rPr>
        <w:t>　投标人的澄清文件是投标文件（响应文件）的组成部分，并取代投标文件（响应文件）中被澄清的部分。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3.4.6</w:t>
      </w:r>
      <w:r>
        <w:rPr>
          <w:rFonts w:hint="eastAsia" w:ascii="宋体" w:hAnsi="宋体"/>
          <w:color w:val="auto"/>
          <w:sz w:val="24"/>
        </w:rPr>
        <w:t>　澄清文件应按磋商小组规定的时间提交。</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3.5 </w:t>
      </w:r>
      <w:r>
        <w:rPr>
          <w:rFonts w:hint="eastAsia" w:ascii="黑体" w:hAnsi="黑体" w:eastAsia="黑体"/>
          <w:b/>
          <w:color w:val="auto"/>
          <w:sz w:val="24"/>
        </w:rPr>
        <w:t>磋商规则</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hint="eastAsia" w:ascii="宋体" w:hAnsi="宋体"/>
          <w:b/>
          <w:color w:val="auto"/>
          <w:sz w:val="24"/>
        </w:rPr>
        <w:t>评审磋商在磋商公告所述网上电子交易系统进行。</w:t>
      </w:r>
    </w:p>
    <w:p>
      <w:pPr>
        <w:autoSpaceDE w:val="0"/>
        <w:autoSpaceDN w:val="0"/>
        <w:adjustRightInd w:val="0"/>
        <w:snapToGrid w:val="0"/>
        <w:spacing w:line="380" w:lineRule="exact"/>
        <w:ind w:firstLine="566" w:firstLineChars="236"/>
        <w:rPr>
          <w:rFonts w:ascii="宋体"/>
          <w:color w:val="auto"/>
          <w:sz w:val="24"/>
        </w:rPr>
      </w:pPr>
      <w:r>
        <w:rPr>
          <w:rFonts w:ascii="宋体" w:hAnsi="宋体"/>
          <w:color w:val="auto"/>
          <w:sz w:val="24"/>
        </w:rPr>
        <w:t xml:space="preserve">3.5.1 </w:t>
      </w:r>
      <w:r>
        <w:rPr>
          <w:rFonts w:hint="eastAsia" w:ascii="宋体" w:hAnsi="宋体"/>
          <w:color w:val="auto"/>
          <w:sz w:val="24"/>
        </w:rPr>
        <w:t>本次政府采购采取竞争性磋商方式。磋商小组将据评审情况就所投货物的技术、服务、价格等事项与有关投标人分别进行磋商。磋商的任何一方不得将与磋商有关的技术资料、价格和其他信息透露给其他供应商。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3.5.2 </w:t>
      </w:r>
      <w:r>
        <w:rPr>
          <w:rFonts w:hint="eastAsia" w:ascii="宋体" w:hAnsi="宋体"/>
          <w:color w:val="auto"/>
          <w:sz w:val="24"/>
        </w:rPr>
        <w:t>磋商小组根据磋商文件规定的程序、评定成交的标准等事项与实质性响应磋商文件要求的投标人进行磋商。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3.5.3 </w:t>
      </w:r>
      <w:r>
        <w:rPr>
          <w:rFonts w:hint="eastAsia" w:ascii="宋体" w:hAnsi="宋体"/>
          <w:color w:val="auto"/>
          <w:sz w:val="24"/>
        </w:rPr>
        <w:t>磋商小组所有成员集中与单一投标人分别进行磋商，并给予所有参加磋商的投标人平等的磋商机会。</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3.5.4 </w:t>
      </w:r>
      <w:r>
        <w:rPr>
          <w:rFonts w:hint="eastAsia" w:ascii="宋体" w:hAnsi="宋体"/>
          <w:color w:val="auto"/>
          <w:sz w:val="24"/>
        </w:rPr>
        <w:t>在磋商过程中，磋商小组可以根据磋商文件和磋商情况实质性变动采购需求中的技术、服务要求以及合同草案条款，磋商文件中的其他内容将不再变动。实质性变动的内容，经采购人代表确认</w:t>
      </w:r>
      <w:r>
        <w:rPr>
          <w:rFonts w:hint="eastAsia" w:ascii="宋体" w:hAnsi="宋体"/>
          <w:bCs/>
          <w:color w:val="auto"/>
          <w:sz w:val="24"/>
        </w:rPr>
        <w:t>后</w:t>
      </w:r>
      <w:r>
        <w:rPr>
          <w:rFonts w:hint="eastAsia" w:ascii="宋体" w:hAnsi="宋体"/>
          <w:b/>
          <w:color w:val="auto"/>
          <w:sz w:val="24"/>
        </w:rPr>
        <w:t>，磋商小组将在评审界面的对话框及时通知所有参加磋商的供应商。评审期间，供应商可通过评审界面的对话框接受询问。磋商结束后，未实质性响应磋商文件的响应文件按无效处理，磋商小组应当通过评审界面的对话框告知有关供应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3.5.5 </w:t>
      </w:r>
      <w:r>
        <w:rPr>
          <w:rFonts w:hint="eastAsia" w:ascii="宋体" w:hAnsi="宋体"/>
          <w:color w:val="auto"/>
          <w:sz w:val="24"/>
        </w:rPr>
        <w:t>对磋商文件作出的实质性变动是磋商文件的有效组成部分，。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3.5.6 </w:t>
      </w:r>
      <w:r>
        <w:rPr>
          <w:rFonts w:hint="eastAsia" w:ascii="宋体" w:hAnsi="宋体"/>
          <w:color w:val="auto"/>
          <w:sz w:val="24"/>
        </w:rPr>
        <w:t>投标人应当按照磋商文件的变动情况和磋商小组的要求重新提交投标文件（响应文件）或修订投标文件相应条款，</w:t>
      </w:r>
      <w:r>
        <w:rPr>
          <w:rFonts w:hint="eastAsia" w:ascii="宋体" w:hAnsi="宋体"/>
          <w:b/>
          <w:color w:val="auto"/>
          <w:sz w:val="24"/>
        </w:rPr>
        <w:t>并应加盖投标人或其法定代表人的电子签名。</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 </w:t>
      </w:r>
      <w:r>
        <w:rPr>
          <w:rFonts w:hint="eastAsia" w:ascii="宋体" w:hAnsi="宋体"/>
          <w:color w:val="auto"/>
          <w:sz w:val="24"/>
        </w:rPr>
        <w:t>价格磋商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3.5.7.1 </w:t>
      </w:r>
      <w:r>
        <w:rPr>
          <w:rFonts w:hint="eastAsia" w:ascii="宋体" w:hAnsi="宋体"/>
          <w:color w:val="auto"/>
          <w:sz w:val="24"/>
        </w:rPr>
        <w:t>见第二章“采购项目及技术服务要求”</w:t>
      </w:r>
      <w:r>
        <w:rPr>
          <w:rFonts w:ascii="宋体" w:hAnsi="宋体"/>
          <w:color w:val="auto"/>
          <w:sz w:val="24"/>
        </w:rPr>
        <w:t>1.3.2</w:t>
      </w:r>
      <w:r>
        <w:rPr>
          <w:rFonts w:hint="eastAsia" w:ascii="宋体" w:hAnsi="宋体"/>
          <w:color w:val="auto"/>
          <w:sz w:val="24"/>
        </w:rPr>
        <w:t>项规定</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3.5.7.2 </w:t>
      </w:r>
      <w:r>
        <w:rPr>
          <w:rFonts w:hint="eastAsia" w:ascii="宋体" w:hAnsi="宋体"/>
          <w:color w:val="auto"/>
          <w:sz w:val="24"/>
        </w:rPr>
        <w:t>磋商小组应当要求所有继续参加磋商的供应商在规定时间内提交最后报价，提交最后报价的供应商不得少于</w:t>
      </w:r>
      <w:r>
        <w:rPr>
          <w:rFonts w:ascii="宋体" w:hAnsi="宋体"/>
          <w:color w:val="auto"/>
          <w:sz w:val="24"/>
        </w:rPr>
        <w:t>3</w:t>
      </w:r>
      <w:r>
        <w:rPr>
          <w:rFonts w:hint="eastAsia" w:ascii="宋体" w:hAnsi="宋体"/>
          <w:color w:val="auto"/>
          <w:sz w:val="24"/>
        </w:rPr>
        <w:t>家。最后报价是投标文件（响应文件）的有效组成部分。</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3.5.8 </w:t>
      </w:r>
      <w:r>
        <w:rPr>
          <w:rFonts w:hint="eastAsia" w:ascii="宋体" w:hAnsi="宋体"/>
          <w:color w:val="auto"/>
          <w:sz w:val="24"/>
        </w:rPr>
        <w:t>磋商文件的实质性变动影响到投标人因此无法继续参加磋商的，投标人可以在提交最后报价之前退出磋商。此情况的投标保证金将予以退还，其响应文件按无效处理的投标人，所提交的最后报价也按无效处理。</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3.5.9 </w:t>
      </w:r>
      <w:r>
        <w:rPr>
          <w:rFonts w:hint="eastAsia" w:ascii="宋体" w:hAnsi="宋体"/>
          <w:b/>
          <w:color w:val="auto"/>
          <w:sz w:val="24"/>
        </w:rPr>
        <w:t>投标人提交最后报价应在系统中填列分项报价，分项报价自动汇总价。</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3.5.10 </w:t>
      </w:r>
      <w:r>
        <w:rPr>
          <w:rFonts w:hint="eastAsia"/>
          <w:b/>
          <w:color w:val="auto"/>
          <w:sz w:val="24"/>
          <w:szCs w:val="24"/>
        </w:rPr>
        <w:t>本项目在开标后只进行一轮报价，即最后报价。网上交易系统中管理员发起最后报价后，</w:t>
      </w:r>
      <w:r>
        <w:rPr>
          <w:rFonts w:hint="eastAsia" w:ascii="宋体" w:hAnsi="宋体"/>
          <w:b/>
          <w:color w:val="auto"/>
          <w:sz w:val="24"/>
        </w:rPr>
        <w:t>如投标人未在指定时限内提交最后报价，视为该供应商根据磋商情况退出磋商。</w:t>
      </w:r>
    </w:p>
    <w:p>
      <w:pPr>
        <w:autoSpaceDE w:val="0"/>
        <w:autoSpaceDN w:val="0"/>
        <w:adjustRightInd w:val="0"/>
        <w:snapToGrid w:val="0"/>
        <w:spacing w:line="380" w:lineRule="exact"/>
        <w:ind w:firstLine="569" w:firstLineChars="236"/>
        <w:jc w:val="left"/>
        <w:rPr>
          <w:rFonts w:ascii="宋体"/>
          <w:b/>
          <w:color w:val="auto"/>
          <w:sz w:val="24"/>
        </w:rPr>
      </w:pPr>
      <w:r>
        <w:rPr>
          <w:rFonts w:ascii="宋体" w:hAnsi="宋体"/>
          <w:b/>
          <w:color w:val="auto"/>
          <w:sz w:val="24"/>
        </w:rPr>
        <w:t xml:space="preserve">3.5.11 </w:t>
      </w:r>
      <w:r>
        <w:rPr>
          <w:rFonts w:hint="eastAsia" w:ascii="宋体" w:hAnsi="宋体"/>
          <w:b/>
          <w:color w:val="auto"/>
          <w:sz w:val="24"/>
        </w:rPr>
        <w:t>投标人在网上报价过程中，如遇到网上投标系统的操作问题，可通过网上预留的咨询电话进行咨询。投标人因未按照要求进行操作、投标单位办理的数字证书失效等其他自身原因导致响应文件错误或无效的，磋商小组将认定其为无效投标。</w:t>
      </w:r>
    </w:p>
    <w:p>
      <w:pPr>
        <w:autoSpaceDE w:val="0"/>
        <w:autoSpaceDN w:val="0"/>
        <w:adjustRightInd w:val="0"/>
        <w:snapToGrid w:val="0"/>
        <w:spacing w:line="380" w:lineRule="exact"/>
        <w:ind w:firstLine="569" w:firstLineChars="236"/>
        <w:jc w:val="left"/>
        <w:rPr>
          <w:rFonts w:ascii="宋体"/>
          <w:color w:val="auto"/>
          <w:sz w:val="24"/>
        </w:rPr>
      </w:pPr>
      <w:r>
        <w:rPr>
          <w:rFonts w:ascii="黑体" w:hAnsi="黑体" w:eastAsia="黑体"/>
          <w:b/>
          <w:color w:val="auto"/>
          <w:sz w:val="24"/>
        </w:rPr>
        <w:t xml:space="preserve">3.6 </w:t>
      </w:r>
      <w:r>
        <w:rPr>
          <w:rFonts w:hint="eastAsia" w:ascii="黑体" w:hAnsi="黑体" w:eastAsia="黑体"/>
          <w:b/>
          <w:color w:val="auto"/>
          <w:sz w:val="24"/>
        </w:rPr>
        <w:t>复核</w:t>
      </w:r>
      <w:r>
        <w:rPr>
          <w:rFonts w:hint="eastAsia" w:ascii="宋体" w:hAnsi="宋体"/>
          <w:color w:val="auto"/>
          <w:sz w:val="24"/>
        </w:rPr>
        <w:t>：磋商小组对排名第一的、报价最低的、投标或相应文件被认定为无效的情形进行按磋商文件实质性要求重点复核。</w:t>
      </w:r>
    </w:p>
    <w:p>
      <w:pPr>
        <w:autoSpaceDE w:val="0"/>
        <w:autoSpaceDN w:val="0"/>
        <w:adjustRightInd w:val="0"/>
        <w:snapToGrid w:val="0"/>
        <w:spacing w:line="380" w:lineRule="exact"/>
        <w:ind w:firstLine="569" w:firstLineChars="236"/>
        <w:jc w:val="left"/>
        <w:rPr>
          <w:rFonts w:ascii="黑体" w:hAnsi="黑体" w:eastAsia="黑体"/>
          <w:b/>
          <w:color w:val="auto"/>
          <w:sz w:val="24"/>
        </w:rPr>
      </w:pPr>
      <w:bookmarkStart w:id="53" w:name="_Toc423723408"/>
      <w:r>
        <w:rPr>
          <w:rFonts w:ascii="黑体" w:hAnsi="黑体" w:eastAsia="黑体"/>
          <w:b/>
          <w:color w:val="auto"/>
          <w:sz w:val="24"/>
        </w:rPr>
        <w:t xml:space="preserve">3.7 </w:t>
      </w:r>
      <w:r>
        <w:rPr>
          <w:rFonts w:hint="eastAsia" w:ascii="黑体" w:hAnsi="黑体" w:eastAsia="黑体"/>
          <w:b/>
          <w:color w:val="auto"/>
          <w:sz w:val="24"/>
        </w:rPr>
        <w:t>评审结果</w:t>
      </w:r>
      <w:bookmarkEnd w:id="53"/>
    </w:p>
    <w:p>
      <w:pPr>
        <w:autoSpaceDE w:val="0"/>
        <w:autoSpaceDN w:val="0"/>
        <w:adjustRightInd w:val="0"/>
        <w:snapToGrid w:val="0"/>
        <w:spacing w:line="380" w:lineRule="exact"/>
        <w:ind w:firstLine="616" w:firstLineChars="257"/>
        <w:jc w:val="left"/>
        <w:rPr>
          <w:rFonts w:ascii="宋体"/>
          <w:color w:val="auto"/>
          <w:sz w:val="24"/>
        </w:rPr>
      </w:pPr>
      <w:r>
        <w:rPr>
          <w:rFonts w:ascii="宋体" w:hAnsi="宋体"/>
          <w:color w:val="auto"/>
          <w:sz w:val="24"/>
        </w:rPr>
        <w:t xml:space="preserve">3.7 .1 </w:t>
      </w:r>
      <w:r>
        <w:rPr>
          <w:rFonts w:hint="eastAsia" w:ascii="宋体" w:hAnsi="宋体"/>
          <w:color w:val="auto"/>
          <w:sz w:val="24"/>
        </w:rPr>
        <w:t>磋商小组从质量和服务均能满足磋商文件实质性响应要求的投标人中，按照报价（扣除经评审合格的“价格扣除”，见本章第</w:t>
      </w:r>
      <w:r>
        <w:rPr>
          <w:rFonts w:ascii="宋体" w:hAnsi="宋体"/>
          <w:color w:val="auto"/>
          <w:sz w:val="24"/>
        </w:rPr>
        <w:t>4</w:t>
      </w:r>
      <w:r>
        <w:rPr>
          <w:rFonts w:hint="eastAsia" w:ascii="宋体" w:hAnsi="宋体"/>
          <w:color w:val="auto"/>
          <w:sz w:val="24"/>
        </w:rPr>
        <w:t>条）由低到高的顺序提出</w:t>
      </w:r>
      <w:r>
        <w:rPr>
          <w:rFonts w:ascii="宋体" w:hAnsi="宋体"/>
          <w:color w:val="auto"/>
          <w:sz w:val="24"/>
        </w:rPr>
        <w:t>3</w:t>
      </w:r>
      <w:r>
        <w:rPr>
          <w:rFonts w:hint="eastAsia" w:ascii="宋体" w:hAnsi="宋体"/>
          <w:color w:val="auto"/>
          <w:sz w:val="24"/>
        </w:rPr>
        <w:t>名以上成交候选人，并编写书面评审报告。</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3.7.2 </w:t>
      </w:r>
      <w:r>
        <w:rPr>
          <w:rFonts w:hint="eastAsia" w:ascii="宋体" w:hAnsi="宋体"/>
          <w:color w:val="auto"/>
          <w:sz w:val="24"/>
        </w:rPr>
        <w:t>确定成交供应商：按第三章“投标人须知前”</w:t>
      </w:r>
      <w:r>
        <w:rPr>
          <w:rFonts w:ascii="宋体" w:hAnsi="宋体"/>
          <w:color w:val="auto"/>
          <w:sz w:val="24"/>
        </w:rPr>
        <w:t>7.1</w:t>
      </w:r>
      <w:r>
        <w:rPr>
          <w:rFonts w:hint="eastAsia" w:ascii="宋体" w:hAnsi="宋体"/>
          <w:color w:val="auto"/>
          <w:sz w:val="24"/>
        </w:rPr>
        <w:t>款规定及本章第</w:t>
      </w:r>
      <w:r>
        <w:rPr>
          <w:rFonts w:ascii="宋体" w:hAnsi="宋体"/>
          <w:color w:val="auto"/>
          <w:sz w:val="24"/>
        </w:rPr>
        <w:t>1</w:t>
      </w:r>
      <w:r>
        <w:rPr>
          <w:rFonts w:hint="eastAsia" w:ascii="宋体" w:hAnsi="宋体"/>
          <w:color w:val="auto"/>
          <w:sz w:val="24"/>
        </w:rPr>
        <w:t>条规定。</w:t>
      </w:r>
    </w:p>
    <w:p>
      <w:pPr>
        <w:autoSpaceDE w:val="0"/>
        <w:autoSpaceDN w:val="0"/>
        <w:adjustRightInd w:val="0"/>
        <w:snapToGrid w:val="0"/>
        <w:spacing w:line="380" w:lineRule="exact"/>
        <w:ind w:firstLine="569" w:firstLineChars="236"/>
        <w:jc w:val="left"/>
        <w:rPr>
          <w:rFonts w:ascii="黑体" w:hAnsi="黑体" w:eastAsia="黑体"/>
          <w:b/>
          <w:color w:val="auto"/>
          <w:sz w:val="24"/>
        </w:rPr>
      </w:pPr>
      <w:r>
        <w:rPr>
          <w:rFonts w:ascii="黑体" w:hAnsi="黑体" w:eastAsia="黑体"/>
          <w:b/>
          <w:color w:val="auto"/>
          <w:sz w:val="24"/>
        </w:rPr>
        <w:t xml:space="preserve">3.8 </w:t>
      </w:r>
      <w:r>
        <w:rPr>
          <w:rFonts w:hint="eastAsia" w:ascii="黑体" w:hAnsi="黑体" w:eastAsia="黑体"/>
          <w:b/>
          <w:color w:val="auto"/>
          <w:sz w:val="24"/>
        </w:rPr>
        <w:t>磋商终止</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3.8.1 </w:t>
      </w:r>
      <w:r>
        <w:rPr>
          <w:rFonts w:hint="eastAsia" w:ascii="宋体" w:hAnsi="宋体"/>
          <w:color w:val="auto"/>
          <w:sz w:val="24"/>
        </w:rPr>
        <w:t>出现下列情形之一的，终止竞争性磋商活动：</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）因情况变化，不再符合规定的竞争性磋商方式适用情形的；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）出现影响采购公正的违法、违规行为的；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3</w:t>
      </w:r>
      <w:r>
        <w:rPr>
          <w:rFonts w:hint="eastAsia" w:ascii="宋体" w:hAnsi="宋体"/>
          <w:color w:val="auto"/>
          <w:sz w:val="24"/>
        </w:rPr>
        <w:t>）在采购过程中符合竞争要求的供应商或者报价未超过采购预算的供应商不足</w:t>
      </w:r>
      <w:r>
        <w:rPr>
          <w:rFonts w:ascii="宋体" w:hAnsi="宋体"/>
          <w:color w:val="auto"/>
          <w:sz w:val="24"/>
        </w:rPr>
        <w:t>3</w:t>
      </w:r>
      <w:r>
        <w:rPr>
          <w:rFonts w:hint="eastAsia" w:ascii="宋体" w:hAnsi="宋体"/>
          <w:color w:val="auto"/>
          <w:sz w:val="24"/>
        </w:rPr>
        <w:t>家的。</w:t>
      </w:r>
    </w:p>
    <w:p>
      <w:pPr>
        <w:autoSpaceDE w:val="0"/>
        <w:autoSpaceDN w:val="0"/>
        <w:adjustRightInd w:val="0"/>
        <w:snapToGrid w:val="0"/>
        <w:spacing w:line="380" w:lineRule="exact"/>
        <w:ind w:firstLine="566" w:firstLineChars="236"/>
        <w:jc w:val="left"/>
        <w:rPr>
          <w:rFonts w:ascii="宋体"/>
          <w:color w:val="auto"/>
          <w:sz w:val="24"/>
        </w:rPr>
      </w:pPr>
      <w:r>
        <w:rPr>
          <w:rFonts w:hint="eastAsia" w:ascii="宋体" w:hAnsi="宋体"/>
          <w:color w:val="auto"/>
          <w:sz w:val="24"/>
        </w:rPr>
        <w:t>（</w:t>
      </w:r>
      <w:r>
        <w:rPr>
          <w:rFonts w:ascii="宋体" w:hAnsi="宋体"/>
          <w:color w:val="auto"/>
          <w:sz w:val="24"/>
        </w:rPr>
        <w:t>4</w:t>
      </w:r>
      <w:r>
        <w:rPr>
          <w:rFonts w:hint="eastAsia" w:ascii="宋体" w:hAnsi="宋体"/>
          <w:color w:val="auto"/>
          <w:sz w:val="24"/>
        </w:rPr>
        <w:t>）在采购活动中因重大变故，采购任务取消的</w:t>
      </w:r>
      <w:r>
        <w:rPr>
          <w:rFonts w:ascii="宋体"/>
          <w:color w:val="auto"/>
          <w:sz w:val="24"/>
        </w:rPr>
        <w:t>.</w:t>
      </w:r>
    </w:p>
    <w:p>
      <w:pPr>
        <w:autoSpaceDE w:val="0"/>
        <w:autoSpaceDN w:val="0"/>
        <w:adjustRightInd w:val="0"/>
        <w:snapToGrid w:val="0"/>
        <w:spacing w:line="380" w:lineRule="exact"/>
        <w:ind w:firstLine="566" w:firstLineChars="236"/>
        <w:jc w:val="left"/>
        <w:rPr>
          <w:rFonts w:ascii="宋体"/>
          <w:color w:val="auto"/>
          <w:sz w:val="24"/>
        </w:rPr>
      </w:pPr>
      <w:r>
        <w:rPr>
          <w:rFonts w:ascii="宋体" w:hAnsi="宋体"/>
          <w:color w:val="auto"/>
          <w:sz w:val="24"/>
        </w:rPr>
        <w:t xml:space="preserve">3.8.2 </w:t>
      </w:r>
      <w:r>
        <w:rPr>
          <w:rFonts w:hint="eastAsia" w:ascii="宋体" w:hAnsi="宋体"/>
          <w:color w:val="auto"/>
          <w:sz w:val="24"/>
        </w:rPr>
        <w:t>磋商小组要在采购项目（标段）磋商失败时，出具磋商文件是否存在不合理条款的论证意见，要协助采购人、采购代理机构、财政部门答复质疑或处理投诉事项。　</w:t>
      </w:r>
    </w:p>
    <w:p>
      <w:pPr>
        <w:autoSpaceDE w:val="0"/>
        <w:autoSpaceDN w:val="0"/>
        <w:adjustRightInd w:val="0"/>
        <w:snapToGrid w:val="0"/>
        <w:spacing w:line="380" w:lineRule="exact"/>
        <w:ind w:firstLine="566" w:firstLineChars="236"/>
        <w:jc w:val="left"/>
        <w:rPr>
          <w:rFonts w:ascii="宋体"/>
          <w:color w:val="auto"/>
          <w:sz w:val="24"/>
        </w:rPr>
      </w:pPr>
    </w:p>
    <w:p>
      <w:pPr>
        <w:widowControl w:val="0"/>
        <w:adjustRightInd w:val="0"/>
        <w:snapToGrid w:val="0"/>
        <w:spacing w:line="380" w:lineRule="exact"/>
        <w:ind w:firstLine="556"/>
        <w:jc w:val="left"/>
        <w:outlineLvl w:val="1"/>
        <w:rPr>
          <w:rFonts w:ascii="黑体" w:hAnsi="黑体" w:eastAsia="黑体" w:cs="楷体_GB2312"/>
          <w:b/>
          <w:bCs/>
          <w:color w:val="auto"/>
          <w:sz w:val="28"/>
          <w:szCs w:val="28"/>
          <w:highlight w:val="none"/>
          <w:lang w:val="zh-CN"/>
        </w:rPr>
      </w:pPr>
      <w:bookmarkStart w:id="54" w:name="_Toc12559"/>
      <w:bookmarkStart w:id="55" w:name="_Toc26366104"/>
      <w:r>
        <w:rPr>
          <w:rFonts w:ascii="黑体" w:hAnsi="黑体" w:eastAsia="黑体" w:cs="楷体_GB2312"/>
          <w:b/>
          <w:bCs/>
          <w:color w:val="auto"/>
          <w:sz w:val="28"/>
          <w:szCs w:val="28"/>
          <w:highlight w:val="none"/>
          <w:lang w:val="zh-CN"/>
        </w:rPr>
        <w:t xml:space="preserve">4. </w:t>
      </w:r>
      <w:r>
        <w:rPr>
          <w:rFonts w:hint="eastAsia" w:ascii="黑体" w:hAnsi="黑体" w:eastAsia="黑体" w:cs="楷体_GB2312"/>
          <w:b/>
          <w:bCs/>
          <w:color w:val="auto"/>
          <w:sz w:val="28"/>
          <w:szCs w:val="28"/>
          <w:highlight w:val="none"/>
          <w:lang w:val="zh-CN"/>
        </w:rPr>
        <w:t>政府采购促进中小企业发展扶持政策</w:t>
      </w:r>
      <w:bookmarkEnd w:id="54"/>
      <w:bookmarkEnd w:id="55"/>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lang w:val="en-US" w:eastAsia="zh-CN"/>
        </w:rPr>
        <w:t>本次政府采购项目专门面向中小企业，专门面向中小企业的采购项目无价格扣除</w:t>
      </w:r>
      <w:r>
        <w:rPr>
          <w:rFonts w:hint="eastAsia" w:ascii="宋体" w:hAnsi="宋体"/>
          <w:color w:val="auto"/>
          <w:sz w:val="24"/>
          <w:szCs w:val="24"/>
          <w:highlight w:val="none"/>
        </w:rPr>
        <w:t>。</w:t>
      </w:r>
    </w:p>
    <w:p>
      <w:pPr>
        <w:adjustRightInd w:val="0"/>
        <w:snapToGrid w:val="0"/>
        <w:spacing w:line="380" w:lineRule="exact"/>
        <w:ind w:firstLine="480" w:firstLineChars="200"/>
        <w:rPr>
          <w:rFonts w:asci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本次政府采购项目对小型和微型企业产品价格扣除的对象应当同时符合以下条件：</w:t>
      </w:r>
    </w:p>
    <w:p>
      <w:pPr>
        <w:adjustRightInd w:val="0"/>
        <w:snapToGrid w:val="0"/>
        <w:spacing w:line="380" w:lineRule="exact"/>
        <w:ind w:firstLine="600" w:firstLineChars="25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）投标人为小型和微型企业；</w:t>
      </w:r>
    </w:p>
    <w:p>
      <w:pPr>
        <w:adjustRightInd w:val="0"/>
        <w:snapToGrid w:val="0"/>
        <w:spacing w:line="380" w:lineRule="exact"/>
        <w:ind w:firstLine="600"/>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）提供本企业制造的货物、承担的工程或者服务，或者提供其他小型和微型企业制造的货物。本项所称货物不包括使用大型企业注册商标的货物。</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ascii="宋体" w:hAnsi="宋体"/>
          <w:color w:val="auto"/>
          <w:sz w:val="24"/>
          <w:szCs w:val="24"/>
          <w:highlight w:val="none"/>
        </w:rPr>
        <w:t>4.3</w:t>
      </w:r>
      <w:r>
        <w:rPr>
          <w:rFonts w:hint="eastAsia" w:ascii="宋体" w:hAnsi="宋体"/>
          <w:color w:val="auto"/>
          <w:sz w:val="24"/>
          <w:szCs w:val="24"/>
          <w:highlight w:val="none"/>
        </w:rPr>
        <w:t>本次政府采购项目对小型和微型企业产品的价格扣除的界定依据（未按要求提供相关资料的，不享受价格扣除扶持政策）：</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）参加本次政府采购活动的中小企业应按附件格式提供《中小企业声明函》；</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）提供其他小型和微型企业制造的货物的投标人，应同时提供产品制造企业《中小企业声明函》复印件（加盖投标人公章）</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注：产品制造企业《中小企业声明函》自开出之日起至投标截止日应在</w:t>
      </w:r>
      <w:r>
        <w:rPr>
          <w:rFonts w:ascii="宋体" w:hAnsi="宋体"/>
          <w:color w:val="auto"/>
          <w:sz w:val="24"/>
          <w:szCs w:val="24"/>
          <w:highlight w:val="none"/>
        </w:rPr>
        <w:t>1</w:t>
      </w:r>
      <w:r>
        <w:rPr>
          <w:rFonts w:hint="eastAsia" w:ascii="宋体" w:hAnsi="宋体"/>
          <w:color w:val="auto"/>
          <w:sz w:val="24"/>
          <w:szCs w:val="24"/>
          <w:highlight w:val="none"/>
        </w:rPr>
        <w:t>年内，超出期限的将不被认可。投标截止日产品制造企业规模发生变化的，应如实陈述，否则将视为提供虚假材料。</w:t>
      </w:r>
    </w:p>
    <w:p>
      <w:pPr>
        <w:widowControl w:val="0"/>
        <w:adjustRightInd w:val="0"/>
        <w:snapToGrid w:val="0"/>
        <w:spacing w:line="380" w:lineRule="exact"/>
        <w:ind w:firstLine="480" w:firstLineChars="200"/>
        <w:textAlignment w:val="auto"/>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）联合体各方均为小型、微型企业的，联合体视同为小型、微型企业，享受本次政府采购项目的扶持政策。联合体各方均应按附件格式提供《中小企业声明函》。</w:t>
      </w:r>
    </w:p>
    <w:p>
      <w:pPr>
        <w:widowControl w:val="0"/>
        <w:adjustRightInd w:val="0"/>
        <w:snapToGrid w:val="0"/>
        <w:spacing w:line="380" w:lineRule="exact"/>
        <w:ind w:firstLine="555"/>
        <w:rPr>
          <w:rFonts w:asci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）投标人对申报的小型和微型企业产品的价格扣除事项在报价表如实认真填列。</w:t>
      </w:r>
    </w:p>
    <w:p>
      <w:pPr>
        <w:widowControl w:val="0"/>
        <w:adjustRightInd w:val="0"/>
        <w:snapToGrid w:val="0"/>
        <w:spacing w:line="380" w:lineRule="exact"/>
        <w:ind w:firstLine="510"/>
        <w:rPr>
          <w:rFonts w:ascii="宋体"/>
          <w:color w:val="auto"/>
          <w:sz w:val="24"/>
          <w:szCs w:val="24"/>
          <w:highlight w:val="none"/>
        </w:rPr>
      </w:pPr>
      <w:r>
        <w:rPr>
          <w:rFonts w:ascii="宋体" w:hAnsi="宋体"/>
          <w:color w:val="auto"/>
          <w:sz w:val="24"/>
          <w:szCs w:val="24"/>
          <w:highlight w:val="none"/>
        </w:rPr>
        <w:t xml:space="preserve">4.4 </w:t>
      </w:r>
      <w:r>
        <w:rPr>
          <w:rFonts w:hint="eastAsia" w:ascii="宋体" w:hAnsi="宋体"/>
          <w:color w:val="auto"/>
          <w:sz w:val="24"/>
          <w:szCs w:val="24"/>
          <w:highlight w:val="none"/>
        </w:rPr>
        <w:t>磋商文件允许联合体投时，大中型企业和其他自然人、法人或者其他组织与小型、微型企业组成联合体共同参加非专门面向中小企业的政府采购活动的，联合协议中约定，小型、微型企业的协议合同金额占到联合体协议合同总金额</w:t>
      </w:r>
      <w:r>
        <w:rPr>
          <w:rFonts w:ascii="宋体" w:hAnsi="宋体"/>
          <w:color w:val="auto"/>
          <w:sz w:val="24"/>
          <w:szCs w:val="24"/>
          <w:highlight w:val="none"/>
        </w:rPr>
        <w:t>30%</w:t>
      </w:r>
      <w:r>
        <w:rPr>
          <w:rFonts w:hint="eastAsia" w:ascii="宋体" w:hAnsi="宋体"/>
          <w:color w:val="auto"/>
          <w:sz w:val="24"/>
          <w:szCs w:val="24"/>
          <w:highlight w:val="none"/>
        </w:rPr>
        <w:t>以上的，给予联合体</w:t>
      </w:r>
      <w:r>
        <w:rPr>
          <w:rFonts w:ascii="宋体" w:hAnsi="宋体"/>
          <w:color w:val="auto"/>
          <w:sz w:val="24"/>
          <w:szCs w:val="24"/>
          <w:highlight w:val="none"/>
        </w:rPr>
        <w:t>2%</w:t>
      </w:r>
      <w:r>
        <w:rPr>
          <w:rFonts w:hint="eastAsia" w:ascii="宋体" w:hAnsi="宋体"/>
          <w:color w:val="auto"/>
          <w:sz w:val="24"/>
          <w:szCs w:val="24"/>
          <w:highlight w:val="none"/>
        </w:rPr>
        <w:t>的价格扣除。</w:t>
      </w:r>
    </w:p>
    <w:p>
      <w:pPr>
        <w:widowControl w:val="0"/>
        <w:adjustRightInd w:val="0"/>
        <w:snapToGrid w:val="0"/>
        <w:spacing w:line="380" w:lineRule="exact"/>
        <w:ind w:firstLine="555"/>
        <w:rPr>
          <w:rFonts w:ascii="宋体" w:cs="宋体"/>
          <w:color w:val="auto"/>
          <w:sz w:val="24"/>
          <w:szCs w:val="24"/>
          <w:highlight w:val="none"/>
        </w:rPr>
      </w:pPr>
      <w:r>
        <w:rPr>
          <w:rFonts w:ascii="宋体" w:hAnsi="宋体"/>
          <w:color w:val="auto"/>
          <w:sz w:val="24"/>
          <w:szCs w:val="24"/>
          <w:highlight w:val="none"/>
        </w:rPr>
        <w:t>4.5</w:t>
      </w:r>
      <w:r>
        <w:rPr>
          <w:rFonts w:hint="eastAsia" w:ascii="宋体" w:hAnsi="宋体"/>
          <w:color w:val="auto"/>
          <w:sz w:val="24"/>
          <w:szCs w:val="24"/>
          <w:highlight w:val="none"/>
        </w:rPr>
        <w:t>监狱企业、</w:t>
      </w:r>
      <w:r>
        <w:rPr>
          <w:rFonts w:hint="eastAsia" w:ascii="宋体" w:hAnsi="宋体" w:cs="宋体"/>
          <w:color w:val="auto"/>
          <w:sz w:val="24"/>
          <w:szCs w:val="24"/>
          <w:highlight w:val="none"/>
        </w:rPr>
        <w:t>符合法定条件的残疾人福利性单位</w:t>
      </w:r>
      <w:r>
        <w:rPr>
          <w:rFonts w:hint="eastAsia" w:ascii="宋体" w:hAnsi="宋体"/>
          <w:color w:val="auto"/>
          <w:sz w:val="24"/>
          <w:szCs w:val="24"/>
          <w:highlight w:val="none"/>
        </w:rPr>
        <w:t>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color w:val="auto"/>
          <w:sz w:val="24"/>
          <w:szCs w:val="24"/>
          <w:highlight w:val="none"/>
        </w:rPr>
        <w:t>符合法定条件的残疾人福利性单位提供财库〔</w:t>
      </w:r>
      <w:r>
        <w:rPr>
          <w:rFonts w:ascii="宋体" w:hAnsi="宋体" w:cs="宋体"/>
          <w:color w:val="auto"/>
          <w:sz w:val="24"/>
          <w:szCs w:val="24"/>
          <w:highlight w:val="none"/>
        </w:rPr>
        <w:t>2017</w:t>
      </w:r>
      <w:r>
        <w:rPr>
          <w:rFonts w:hint="eastAsia" w:ascii="宋体" w:hAnsi="宋体" w:cs="宋体"/>
          <w:color w:val="auto"/>
          <w:sz w:val="24"/>
          <w:szCs w:val="24"/>
          <w:highlight w:val="none"/>
        </w:rPr>
        <w:t>〕</w:t>
      </w:r>
      <w:r>
        <w:rPr>
          <w:rFonts w:ascii="宋体" w:hAnsi="宋体" w:cs="宋体"/>
          <w:color w:val="auto"/>
          <w:sz w:val="24"/>
          <w:szCs w:val="24"/>
          <w:highlight w:val="none"/>
        </w:rPr>
        <w:t>141</w:t>
      </w:r>
      <w:r>
        <w:rPr>
          <w:rFonts w:hint="eastAsia" w:ascii="宋体" w:hAnsi="宋体" w:cs="宋体"/>
          <w:color w:val="auto"/>
          <w:sz w:val="24"/>
          <w:szCs w:val="24"/>
          <w:highlight w:val="none"/>
        </w:rPr>
        <w:t>号规定的《残疾人福利性单位声明函》，残疾人福利性单位属于小型、微型企业的，不重复享受政策。</w:t>
      </w:r>
    </w:p>
    <w:p>
      <w:pPr>
        <w:widowControl w:val="0"/>
        <w:adjustRightInd w:val="0"/>
        <w:snapToGrid w:val="0"/>
        <w:spacing w:line="380" w:lineRule="exact"/>
        <w:ind w:firstLine="555"/>
        <w:rPr>
          <w:rFonts w:ascii="宋体" w:cs="宋体"/>
          <w:color w:val="auto"/>
          <w:sz w:val="24"/>
          <w:szCs w:val="24"/>
          <w:highlight w:val="none"/>
        </w:rPr>
      </w:pPr>
      <w:r>
        <w:rPr>
          <w:rFonts w:ascii="宋体" w:hAnsi="宋体"/>
          <w:color w:val="auto"/>
          <w:sz w:val="24"/>
          <w:szCs w:val="24"/>
          <w:highlight w:val="none"/>
        </w:rPr>
        <w:t>4.5.1</w:t>
      </w:r>
      <w:r>
        <w:rPr>
          <w:rFonts w:hint="eastAsia" w:ascii="宋体" w:hAnsi="宋体" w:cs="宋体"/>
          <w:color w:val="auto"/>
          <w:sz w:val="24"/>
          <w:szCs w:val="24"/>
          <w:highlight w:val="none"/>
        </w:rPr>
        <w:t>享受政府采购支持政策的残疾人福利性单位应当同时满足以下条件：</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）安置的残疾人占本单位在职职工人数的比例不低于</w:t>
      </w:r>
      <w:r>
        <w:rPr>
          <w:rFonts w:ascii="宋体" w:hAnsi="宋体" w:cs="宋体"/>
          <w:color w:val="auto"/>
          <w:sz w:val="24"/>
          <w:szCs w:val="24"/>
          <w:highlight w:val="none"/>
        </w:rPr>
        <w:t>25%</w:t>
      </w:r>
      <w:r>
        <w:rPr>
          <w:rFonts w:hint="eastAsia" w:ascii="宋体" w:hAnsi="宋体" w:cs="宋体"/>
          <w:color w:val="auto"/>
          <w:sz w:val="24"/>
          <w:szCs w:val="24"/>
          <w:highlight w:val="none"/>
        </w:rPr>
        <w:t>（含</w:t>
      </w:r>
      <w:r>
        <w:rPr>
          <w:rFonts w:ascii="宋体" w:hAnsi="宋体" w:cs="宋体"/>
          <w:color w:val="auto"/>
          <w:sz w:val="24"/>
          <w:szCs w:val="24"/>
          <w:highlight w:val="none"/>
        </w:rPr>
        <w:t>25%</w:t>
      </w:r>
      <w:r>
        <w:rPr>
          <w:rFonts w:hint="eastAsia" w:ascii="宋体" w:hAnsi="宋体" w:cs="宋体"/>
          <w:color w:val="auto"/>
          <w:sz w:val="24"/>
          <w:szCs w:val="24"/>
          <w:highlight w:val="none"/>
        </w:rPr>
        <w:t>），并且安置的残疾人人数不少于</w:t>
      </w:r>
      <w:r>
        <w:rPr>
          <w:rFonts w:ascii="宋体" w:hAnsi="宋体" w:cs="宋体"/>
          <w:color w:val="auto"/>
          <w:sz w:val="24"/>
          <w:szCs w:val="24"/>
          <w:highlight w:val="none"/>
        </w:rPr>
        <w:t>10</w:t>
      </w:r>
      <w:r>
        <w:rPr>
          <w:rFonts w:hint="eastAsia" w:ascii="宋体" w:hAnsi="宋体" w:cs="宋体"/>
          <w:color w:val="auto"/>
          <w:sz w:val="24"/>
          <w:szCs w:val="24"/>
          <w:highlight w:val="none"/>
        </w:rPr>
        <w:t>人（含</w:t>
      </w:r>
      <w:r>
        <w:rPr>
          <w:rFonts w:ascii="宋体" w:hAnsi="宋体" w:cs="宋体"/>
          <w:color w:val="auto"/>
          <w:sz w:val="24"/>
          <w:szCs w:val="24"/>
          <w:highlight w:val="none"/>
        </w:rPr>
        <w:t>10</w:t>
      </w:r>
      <w:r>
        <w:rPr>
          <w:rFonts w:hint="eastAsia" w:ascii="宋体" w:hAnsi="宋体" w:cs="宋体"/>
          <w:color w:val="auto"/>
          <w:sz w:val="24"/>
          <w:szCs w:val="24"/>
          <w:highlight w:val="none"/>
        </w:rPr>
        <w:t>人）；</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）依法与安置的每位残疾人签订了一年以上（含一年）的劳动合同或服务协议；</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）为安置的每位残疾人按月足额缴纳了基本养老保险、基本医疗保险、失业保险、工伤保险和生育保险等社会保险费；</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）通过银行等金融机构向安置的每位残疾人，按月支付了不低于单位所在区县适用的经省级人民政府批准的月最低工资标准的工资；</w:t>
      </w:r>
    </w:p>
    <w:p>
      <w:pPr>
        <w:widowControl w:val="0"/>
        <w:adjustRightInd w:val="0"/>
        <w:snapToGrid w:val="0"/>
        <w:spacing w:line="380" w:lineRule="exact"/>
        <w:ind w:firstLine="555"/>
        <w:rPr>
          <w:rFonts w:asci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5</w:t>
      </w:r>
      <w:r>
        <w:rPr>
          <w:rFonts w:hint="eastAsia" w:ascii="宋体" w:hAnsi="宋体" w:cs="宋体"/>
          <w:color w:val="auto"/>
          <w:sz w:val="24"/>
          <w:szCs w:val="24"/>
          <w:highlight w:val="none"/>
        </w:rPr>
        <w:t>）提供本单位制造的货物、承担的工程或者服务（以下简称产品），或者提供其他残疾人福利性单位制造的货物（不包括使用非残疾人福利性单位注册商标的货物）。</w:t>
      </w:r>
    </w:p>
    <w:p>
      <w:pPr>
        <w:widowControl w:val="0"/>
        <w:adjustRightInd w:val="0"/>
        <w:snapToGrid w:val="0"/>
        <w:spacing w:line="380" w:lineRule="exact"/>
        <w:ind w:firstLine="555"/>
        <w:rPr>
          <w:rFonts w:hint="eastAsia" w:ascii="宋体" w:hAnsi="宋体" w:cs="宋体"/>
          <w:color w:val="auto"/>
          <w:sz w:val="24"/>
          <w:szCs w:val="24"/>
          <w:highlight w:val="none"/>
        </w:rPr>
      </w:pPr>
      <w:r>
        <w:rPr>
          <w:rFonts w:hint="eastAsia" w:ascii="宋体" w:hAnsi="宋体" w:cs="宋体"/>
          <w:color w:val="auto"/>
          <w:sz w:val="24"/>
          <w:szCs w:val="24"/>
          <w:highlight w:val="none"/>
        </w:rPr>
        <w:t>前款所称残疾人是指法定劳动年龄内，持有《中华人民共和国残疾人证》或者《中华人民共和国残疾军人证（</w:t>
      </w:r>
      <w:r>
        <w:rPr>
          <w:rFonts w:ascii="宋体" w:hAnsi="宋体" w:cs="宋体"/>
          <w:color w:val="auto"/>
          <w:sz w:val="24"/>
          <w:szCs w:val="24"/>
          <w:highlight w:val="none"/>
        </w:rPr>
        <w:t>1</w:t>
      </w:r>
      <w:r>
        <w:rPr>
          <w:rFonts w:hint="eastAsia" w:ascii="宋体" w:hAnsi="宋体" w:cs="宋体"/>
          <w:color w:val="auto"/>
          <w:sz w:val="24"/>
          <w:szCs w:val="24"/>
          <w:highlight w:val="none"/>
        </w:rPr>
        <w:t>至</w:t>
      </w:r>
      <w:r>
        <w:rPr>
          <w:rFonts w:ascii="宋体" w:hAnsi="宋体" w:cs="宋体"/>
          <w:color w:val="auto"/>
          <w:sz w:val="24"/>
          <w:szCs w:val="24"/>
          <w:highlight w:val="none"/>
        </w:rPr>
        <w:t>8</w:t>
      </w:r>
      <w:r>
        <w:rPr>
          <w:rFonts w:hint="eastAsia" w:ascii="宋体" w:hAnsi="宋体" w:cs="宋体"/>
          <w:color w:val="auto"/>
          <w:sz w:val="24"/>
          <w:szCs w:val="24"/>
          <w:highlight w:val="none"/>
        </w:rPr>
        <w:t>级）》的自然人，包括具有劳动条件和劳动意愿的精神残疾人。在职职工人数是指与残疾人福利性单位建立劳动关系并依法签订劳动合同或者服务协议的雇员人数。</w:t>
      </w:r>
    </w:p>
    <w:p>
      <w:pPr>
        <w:pStyle w:val="23"/>
        <w:keepNext w:val="0"/>
        <w:keepLines w:val="0"/>
        <w:pageBreakBefore w:val="0"/>
        <w:widowControl w:val="0"/>
        <w:kinsoku/>
        <w:wordWrap/>
        <w:overflowPunct/>
        <w:topLinePunct w:val="0"/>
        <w:autoSpaceDE/>
        <w:autoSpaceDN/>
        <w:bidi w:val="0"/>
        <w:adjustRightInd w:val="0"/>
        <w:snapToGrid w:val="0"/>
        <w:spacing w:before="0" w:after="0" w:line="380" w:lineRule="exact"/>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 根据财政部、工业和信息化部有关负责人就印发《政府采购促进中小企业发展管理办法》答记者问，为方便广大中小企业、政府部门和社会公众识别企业规模类型，工业和信息化部组织开发了中小企业规模类型自测小程序，并于2020年2月27日上线运行，在国务院客户端和工业和信息化部网站上均有链接，广大中小企业和各类社会机构填写企业所属的行业和指标数据自动生成企业规模类型测试结果。</w:t>
      </w:r>
    </w:p>
    <w:p>
      <w:pPr>
        <w:pStyle w:val="23"/>
        <w:keepNext w:val="0"/>
        <w:keepLines w:val="0"/>
        <w:pageBreakBefore w:val="0"/>
        <w:widowControl w:val="0"/>
        <w:kinsoku/>
        <w:wordWrap/>
        <w:overflowPunct/>
        <w:topLinePunct w:val="0"/>
        <w:autoSpaceDE/>
        <w:autoSpaceDN/>
        <w:bidi w:val="0"/>
        <w:adjustRightInd w:val="0"/>
        <w:snapToGrid w:val="0"/>
        <w:spacing w:before="0" w:after="0" w:line="380" w:lineRule="exact"/>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4.7中标、成交投标人享受中小企业扶持政策的，中标、成交投标人的《中小企业声明函》将随中标、成交结果公开。</w:t>
      </w:r>
    </w:p>
    <w:p>
      <w:pPr>
        <w:pStyle w:val="23"/>
        <w:keepNext w:val="0"/>
        <w:keepLines w:val="0"/>
        <w:pageBreakBefore w:val="0"/>
        <w:widowControl w:val="0"/>
        <w:kinsoku/>
        <w:wordWrap/>
        <w:overflowPunct/>
        <w:topLinePunct w:val="0"/>
        <w:autoSpaceDE/>
        <w:autoSpaceDN/>
        <w:bidi w:val="0"/>
        <w:adjustRightInd w:val="0"/>
        <w:snapToGrid w:val="0"/>
        <w:spacing w:before="0" w:after="0" w:line="380" w:lineRule="exact"/>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4.8政府采购监督检查、投诉处理及政府采购行政处罚中对中小企业的认定，由货物制造商或者工程、服务投标人注册登记所在地的县级以上人民政府中小企业主管部门负责。</w:t>
      </w:r>
    </w:p>
    <w:p>
      <w:pPr>
        <w:pStyle w:val="23"/>
        <w:keepNext w:val="0"/>
        <w:keepLines w:val="0"/>
        <w:pageBreakBefore w:val="0"/>
        <w:widowControl w:val="0"/>
        <w:kinsoku/>
        <w:wordWrap/>
        <w:overflowPunct/>
        <w:topLinePunct w:val="0"/>
        <w:autoSpaceDE/>
        <w:autoSpaceDN/>
        <w:bidi w:val="0"/>
        <w:adjustRightInd w:val="0"/>
        <w:snapToGrid w:val="0"/>
        <w:spacing w:before="0" w:after="0" w:line="380" w:lineRule="exact"/>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4.9供应商按照财库〔2020〕46号规定及谈判文件要求提供声明函内容不实的，属于提供虚假材料谋取中标、成交，依照《中华人民共和国政府采购法》等国家有关规定追究相应责任。</w:t>
      </w:r>
    </w:p>
    <w:p>
      <w:pPr>
        <w:widowControl w:val="0"/>
        <w:adjustRightInd w:val="0"/>
        <w:snapToGrid w:val="0"/>
        <w:spacing w:line="380" w:lineRule="exact"/>
        <w:ind w:firstLine="555"/>
        <w:rPr>
          <w:color w:val="000000" w:themeColor="text1"/>
          <w:sz w:val="24"/>
          <w:szCs w:val="24"/>
        </w:rPr>
      </w:pPr>
      <w:r>
        <w:rPr>
          <w:rFonts w:hint="eastAsia" w:ascii="宋体" w:hAnsi="宋体"/>
          <w:b/>
          <w:bCs/>
          <w:color w:val="auto"/>
          <w:sz w:val="24"/>
          <w:szCs w:val="24"/>
          <w:highlight w:val="none"/>
        </w:rPr>
        <w:t>本次采购项目中小企业所属行业分类为：</w:t>
      </w:r>
      <w:r>
        <w:rPr>
          <w:rFonts w:hint="eastAsia" w:ascii="宋体" w:hAnsi="宋体"/>
          <w:b/>
          <w:bCs/>
          <w:color w:val="auto"/>
          <w:sz w:val="24"/>
          <w:szCs w:val="24"/>
          <w:highlight w:val="none"/>
          <w:lang w:eastAsia="zh-CN"/>
        </w:rPr>
        <w:t>商务服务业</w:t>
      </w:r>
      <w:r>
        <w:rPr>
          <w:rFonts w:hint="eastAsia" w:ascii="宋体" w:hAnsi="宋体"/>
          <w:b/>
          <w:bCs/>
          <w:color w:val="auto"/>
          <w:sz w:val="24"/>
          <w:szCs w:val="24"/>
          <w:highlight w:val="none"/>
        </w:rPr>
        <w:t>。</w:t>
      </w:r>
      <w:r>
        <w:rPr>
          <w:color w:val="000000" w:themeColor="text1"/>
          <w:sz w:val="24"/>
          <w:szCs w:val="24"/>
        </w:rPr>
        <w:br w:type="page"/>
      </w:r>
    </w:p>
    <w:p>
      <w:pPr>
        <w:jc w:val="center"/>
        <w:rPr>
          <w:b/>
          <w:bCs/>
          <w:sz w:val="44"/>
          <w:szCs w:val="44"/>
        </w:rPr>
      </w:pPr>
      <w:r>
        <w:rPr>
          <w:rFonts w:hint="eastAsia"/>
          <w:b/>
          <w:bCs/>
          <w:sz w:val="44"/>
          <w:szCs w:val="44"/>
        </w:rPr>
        <w:t>第五章  合同条款及格式</w:t>
      </w:r>
    </w:p>
    <w:p>
      <w:pPr>
        <w:jc w:val="center"/>
      </w:pPr>
      <w:bookmarkStart w:id="56" w:name="_Toc16321"/>
      <w:bookmarkStart w:id="57" w:name="_Toc26366105"/>
      <w:r>
        <w:rPr>
          <w:rFonts w:ascii="黑体" w:hAnsi="宋体" w:eastAsia="黑体" w:cs="黑体"/>
          <w:b/>
          <w:bCs/>
          <w:sz w:val="30"/>
          <w:szCs w:val="30"/>
        </w:rPr>
        <w:t>服 务 合 同</w:t>
      </w:r>
    </w:p>
    <w:p>
      <w:pPr>
        <w:jc w:val="center"/>
      </w:pPr>
      <w:r>
        <w:rPr>
          <w:rFonts w:ascii="TimesNewRomanPS-BoldMT" w:hAnsi="TimesNewRomanPS-BoldMT" w:eastAsia="TimesNewRomanPS-BoldMT" w:cs="TimesNewRomanPS-BoldMT"/>
          <w:b/>
          <w:bCs/>
          <w:sz w:val="30"/>
          <w:szCs w:val="30"/>
        </w:rPr>
        <w:t>(</w:t>
      </w:r>
      <w:r>
        <w:rPr>
          <w:rFonts w:hint="eastAsia" w:ascii="黑体" w:hAnsi="宋体" w:eastAsia="黑体" w:cs="黑体"/>
          <w:b/>
          <w:bCs/>
          <w:sz w:val="30"/>
          <w:szCs w:val="30"/>
        </w:rPr>
        <w:t>仅供参考，具体以实际签订为准</w:t>
      </w:r>
      <w:r>
        <w:rPr>
          <w:rFonts w:ascii="TimesNewRomanPS-BoldMT" w:hAnsi="TimesNewRomanPS-BoldMT" w:eastAsia="TimesNewRomanPS-BoldMT" w:cs="TimesNewRomanPS-BoldMT"/>
          <w:b/>
          <w:bCs/>
          <w:sz w:val="30"/>
          <w:szCs w:val="30"/>
        </w:rPr>
        <w:t>)</w:t>
      </w:r>
    </w:p>
    <w:p>
      <w:pPr>
        <w:ind w:firstLine="480" w:firstLineChars="200"/>
        <w:jc w:val="left"/>
      </w:pPr>
      <w:r>
        <w:rPr>
          <w:rFonts w:hint="eastAsia" w:ascii="宋体" w:hAnsi="宋体" w:cs="宋体"/>
          <w:sz w:val="24"/>
          <w:szCs w:val="24"/>
        </w:rPr>
        <w:t xml:space="preserve">甲方：（采购人） </w:t>
      </w:r>
    </w:p>
    <w:p>
      <w:pPr>
        <w:ind w:firstLine="480" w:firstLineChars="200"/>
        <w:jc w:val="left"/>
      </w:pPr>
      <w:r>
        <w:rPr>
          <w:rFonts w:hint="eastAsia" w:ascii="宋体" w:hAnsi="宋体" w:cs="宋体"/>
          <w:sz w:val="24"/>
          <w:szCs w:val="24"/>
        </w:rPr>
        <w:t xml:space="preserve">乙方：（供应商） </w:t>
      </w:r>
    </w:p>
    <w:p>
      <w:pPr>
        <w:ind w:firstLine="480" w:firstLineChars="200"/>
        <w:jc w:val="left"/>
      </w:pPr>
      <w:r>
        <w:rPr>
          <w:rFonts w:hint="eastAsia" w:ascii="宋体" w:hAnsi="宋体" w:cs="宋体"/>
          <w:sz w:val="24"/>
          <w:szCs w:val="24"/>
        </w:rPr>
        <w:t xml:space="preserve">甲、乙双方持代理公司2023年 月 日签发的（采购人及项目名称）〔项目编号： 〕成交通知书，根据采购文件及其修改补充澄清、投标文件及其修改补充澄清的内容，经双方平等协商一致，达成以下合同条款 ： </w:t>
      </w:r>
    </w:p>
    <w:p>
      <w:pPr>
        <w:ind w:firstLine="480" w:firstLineChars="200"/>
        <w:jc w:val="left"/>
        <w:rPr>
          <w:rFonts w:ascii="宋体" w:hAnsi="宋体" w:cs="宋体"/>
          <w:sz w:val="24"/>
          <w:szCs w:val="24"/>
        </w:rPr>
      </w:pPr>
      <w:r>
        <w:rPr>
          <w:rFonts w:hint="eastAsia" w:ascii="宋体" w:hAnsi="宋体" w:cs="宋体"/>
          <w:sz w:val="24"/>
          <w:szCs w:val="24"/>
        </w:rPr>
        <w:t xml:space="preserve">一、本合同所指服务为此次竞争性磋商的服务，包括（详细注明内容），合同 </w:t>
      </w:r>
    </w:p>
    <w:p>
      <w:pPr>
        <w:ind w:firstLine="480" w:firstLineChars="200"/>
        <w:jc w:val="left"/>
        <w:rPr>
          <w:rFonts w:ascii="宋体" w:hAnsi="宋体" w:cs="宋体"/>
          <w:sz w:val="24"/>
          <w:szCs w:val="24"/>
        </w:rPr>
      </w:pPr>
      <w:r>
        <w:rPr>
          <w:rFonts w:hint="eastAsia" w:ascii="宋体" w:hAnsi="宋体" w:cs="宋体"/>
          <w:sz w:val="24"/>
          <w:szCs w:val="24"/>
        </w:rPr>
        <w:t xml:space="preserve">总价款为元（大写： ）。 </w:t>
      </w:r>
    </w:p>
    <w:p>
      <w:pPr>
        <w:ind w:firstLine="480" w:firstLineChars="200"/>
        <w:jc w:val="left"/>
        <w:rPr>
          <w:rFonts w:ascii="宋体" w:hAnsi="宋体" w:cs="宋体"/>
          <w:sz w:val="24"/>
          <w:szCs w:val="24"/>
        </w:rPr>
      </w:pPr>
      <w:r>
        <w:rPr>
          <w:rFonts w:hint="eastAsia" w:ascii="宋体" w:hAnsi="宋体" w:cs="宋体"/>
          <w:sz w:val="24"/>
          <w:szCs w:val="24"/>
        </w:rPr>
        <w:t>本合同为固定总价合同，不因人工、费用、材料和设备等价格的波动而影响合同价格。</w:t>
      </w:r>
    </w:p>
    <w:p>
      <w:pPr>
        <w:ind w:firstLine="480" w:firstLineChars="200"/>
        <w:jc w:val="left"/>
        <w:rPr>
          <w:rFonts w:ascii="宋体" w:hAnsi="宋体" w:cs="宋体"/>
          <w:sz w:val="24"/>
          <w:szCs w:val="24"/>
        </w:rPr>
      </w:pPr>
      <w:r>
        <w:rPr>
          <w:rFonts w:hint="eastAsia" w:ascii="宋体" w:hAnsi="宋体" w:cs="宋体"/>
          <w:sz w:val="24"/>
          <w:szCs w:val="24"/>
        </w:rPr>
        <w:t xml:space="preserve">二、服务质量要求及乙方对质量负责条件和期限： </w:t>
      </w:r>
    </w:p>
    <w:p>
      <w:pPr>
        <w:ind w:firstLine="480" w:firstLineChars="200"/>
        <w:jc w:val="left"/>
        <w:rPr>
          <w:rFonts w:ascii="宋体" w:hAnsi="宋体" w:cs="宋体"/>
          <w:sz w:val="24"/>
          <w:szCs w:val="24"/>
        </w:rPr>
      </w:pPr>
      <w:r>
        <w:rPr>
          <w:rFonts w:hint="eastAsia" w:ascii="宋体" w:hAnsi="宋体" w:cs="宋体"/>
          <w:sz w:val="24"/>
          <w:szCs w:val="24"/>
        </w:rPr>
        <w:t xml:space="preserve">按国家及行业标准、采购文件及响应文件等相应条款制订 </w:t>
      </w:r>
    </w:p>
    <w:p>
      <w:pPr>
        <w:ind w:firstLine="480" w:firstLineChars="200"/>
        <w:jc w:val="left"/>
        <w:rPr>
          <w:rFonts w:ascii="宋体" w:hAnsi="宋体" w:cs="宋体"/>
          <w:sz w:val="24"/>
          <w:szCs w:val="24"/>
        </w:rPr>
      </w:pPr>
      <w:r>
        <w:rPr>
          <w:rFonts w:hint="eastAsia" w:ascii="宋体" w:hAnsi="宋体" w:cs="宋体"/>
          <w:sz w:val="24"/>
          <w:szCs w:val="24"/>
        </w:rPr>
        <w:t xml:space="preserve">三、服务时间、地点、方式： </w:t>
      </w:r>
    </w:p>
    <w:p>
      <w:pPr>
        <w:ind w:firstLine="480" w:firstLineChars="200"/>
        <w:jc w:val="left"/>
        <w:rPr>
          <w:rFonts w:ascii="宋体" w:hAnsi="宋体" w:cs="宋体"/>
          <w:sz w:val="24"/>
          <w:szCs w:val="24"/>
        </w:rPr>
      </w:pPr>
      <w:r>
        <w:rPr>
          <w:rFonts w:hint="eastAsia" w:ascii="宋体" w:hAnsi="宋体" w:cs="宋体"/>
          <w:sz w:val="24"/>
          <w:szCs w:val="24"/>
        </w:rPr>
        <w:t xml:space="preserve">按国家及行业标准、采购文件及响应文件等相应条款制订 </w:t>
      </w:r>
    </w:p>
    <w:p>
      <w:pPr>
        <w:ind w:firstLine="480" w:firstLineChars="200"/>
        <w:jc w:val="left"/>
        <w:rPr>
          <w:rFonts w:ascii="宋体" w:hAnsi="宋体" w:cs="宋体"/>
          <w:sz w:val="24"/>
          <w:szCs w:val="24"/>
        </w:rPr>
      </w:pPr>
      <w:r>
        <w:rPr>
          <w:rFonts w:hint="eastAsia" w:ascii="宋体" w:hAnsi="宋体" w:cs="宋体"/>
          <w:sz w:val="24"/>
          <w:szCs w:val="24"/>
        </w:rPr>
        <w:t xml:space="preserve">四、验收程序和要求 </w:t>
      </w:r>
    </w:p>
    <w:p>
      <w:pPr>
        <w:ind w:firstLine="480" w:firstLineChars="200"/>
        <w:jc w:val="left"/>
        <w:rPr>
          <w:rFonts w:ascii="宋体" w:hAnsi="宋体" w:cs="宋体"/>
          <w:sz w:val="24"/>
          <w:szCs w:val="24"/>
        </w:rPr>
      </w:pPr>
      <w:r>
        <w:rPr>
          <w:rFonts w:hint="eastAsia" w:ascii="宋体" w:hAnsi="宋体" w:cs="宋体"/>
          <w:sz w:val="24"/>
          <w:szCs w:val="24"/>
        </w:rPr>
        <w:t xml:space="preserve">1、验收时间：项目具备验收条件时，由采购人成立验收工作组负责验收。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 </w:t>
      </w:r>
    </w:p>
    <w:p>
      <w:pPr>
        <w:ind w:firstLine="480" w:firstLineChars="200"/>
        <w:jc w:val="left"/>
        <w:rPr>
          <w:rFonts w:ascii="宋体" w:hAnsi="宋体" w:cs="宋体"/>
          <w:sz w:val="24"/>
          <w:szCs w:val="24"/>
        </w:rPr>
      </w:pPr>
      <w:r>
        <w:rPr>
          <w:rFonts w:hint="eastAsia" w:ascii="宋体" w:hAnsi="宋体" w:cs="宋体"/>
          <w:sz w:val="24"/>
          <w:szCs w:val="24"/>
        </w:rPr>
        <w:t xml:space="preserve">2、验收工作组：合同履约验收工作应成立验收工作组专门负责。 </w:t>
      </w:r>
    </w:p>
    <w:p>
      <w:pPr>
        <w:ind w:firstLine="480" w:firstLineChars="200"/>
        <w:jc w:val="left"/>
        <w:rPr>
          <w:rFonts w:ascii="宋体" w:hAnsi="宋体" w:cs="宋体"/>
          <w:sz w:val="24"/>
          <w:szCs w:val="24"/>
        </w:rPr>
      </w:pPr>
      <w:r>
        <w:rPr>
          <w:rFonts w:hint="eastAsia" w:ascii="宋体" w:hAnsi="宋体" w:cs="宋体"/>
          <w:sz w:val="24"/>
          <w:szCs w:val="24"/>
        </w:rPr>
        <w:t xml:space="preserve">直接参与该项目政府采购活动的主要负责人不得作为验收工作的主要负责人。对于采购人和使用人分离的采购项目，应当邀请实际使用人参与验收；政府向社会公众提供的公共服务项目，验收时应当邀请服务对象参与并出具意见，验收结果应当向社会公告。 </w:t>
      </w:r>
    </w:p>
    <w:p>
      <w:pPr>
        <w:ind w:firstLine="480" w:firstLineChars="200"/>
        <w:jc w:val="left"/>
        <w:rPr>
          <w:rFonts w:ascii="宋体" w:hAnsi="宋体" w:cs="宋体"/>
          <w:sz w:val="24"/>
          <w:szCs w:val="24"/>
        </w:rPr>
      </w:pPr>
      <w:r>
        <w:rPr>
          <w:rFonts w:hint="eastAsia" w:ascii="宋体" w:hAnsi="宋体" w:cs="宋体"/>
          <w:sz w:val="24"/>
          <w:szCs w:val="24"/>
        </w:rPr>
        <w:t>2.1、政府采购合同金额在 10 万元以下（含 10 万元）的项目，原则上可以不邀请评审专家参加，组织方成立验收小组自行验收。自行验收时，验收小组应仔细对照采购文件及合同，对标的物的数量、质量、规格、型号等参数逐一核对，并编制验收报告。组织方认为不能独立完成验收任务的，可以邀请评审专家参与验收。</w:t>
      </w:r>
    </w:p>
    <w:p>
      <w:pPr>
        <w:ind w:firstLine="480" w:firstLineChars="200"/>
        <w:jc w:val="left"/>
        <w:rPr>
          <w:rFonts w:ascii="宋体" w:hAnsi="宋体" w:cs="宋体"/>
          <w:sz w:val="24"/>
          <w:szCs w:val="24"/>
        </w:rPr>
      </w:pPr>
      <w:r>
        <w:rPr>
          <w:rFonts w:hint="eastAsia" w:ascii="宋体" w:hAnsi="宋体" w:cs="宋体"/>
          <w:sz w:val="24"/>
          <w:szCs w:val="24"/>
        </w:rPr>
        <w:t xml:space="preserve"> 2.2、政府采购合同金额 50 万元以下的（含 50 万元）的项目，验收工作组应不少于三人；政府采购合同金额 50 万元以上的项目，验收工作组应由采购人领导牵头，财务、审计、监察、资产管理、技术等部门人员参与，成员不少于五人。验收工作原则上应当邀请采购项目评审专家参加验收；大型、复杂或者技术性很强的政府采购项目，应当邀请国家认可的质量检测机构参加验收工作；国家规定强制性检测的采购项目，采购人必须委托国家认可专业检测机构进行验收。 </w:t>
      </w:r>
    </w:p>
    <w:p>
      <w:pPr>
        <w:ind w:firstLine="480" w:firstLineChars="200"/>
        <w:jc w:val="left"/>
        <w:rPr>
          <w:rFonts w:ascii="宋体" w:hAnsi="宋体" w:cs="宋体"/>
          <w:sz w:val="24"/>
          <w:szCs w:val="24"/>
        </w:rPr>
      </w:pPr>
      <w:r>
        <w:rPr>
          <w:rFonts w:hint="eastAsia" w:ascii="宋体" w:hAnsi="宋体" w:cs="宋体"/>
          <w:sz w:val="24"/>
          <w:szCs w:val="24"/>
        </w:rPr>
        <w:t xml:space="preserve">3、验收时，验收小组按照采购合同的约定对每一项技术、服务、安全标准的履约情况进行确认。验收时需要进行破坏性试验的，供应商应进行充分的配合并提供备品备件。 </w:t>
      </w:r>
    </w:p>
    <w:p>
      <w:pPr>
        <w:ind w:firstLine="480" w:firstLineChars="200"/>
        <w:jc w:val="left"/>
        <w:rPr>
          <w:rFonts w:ascii="宋体" w:hAnsi="宋体" w:cs="宋体"/>
          <w:sz w:val="24"/>
          <w:szCs w:val="24"/>
        </w:rPr>
      </w:pPr>
      <w:r>
        <w:rPr>
          <w:rFonts w:hint="eastAsia" w:ascii="宋体" w:hAnsi="宋体" w:cs="宋体"/>
          <w:sz w:val="24"/>
          <w:szCs w:val="24"/>
        </w:rPr>
        <w:t xml:space="preserve">4、验收报告：验收后，由采购人及专家等出具验收报告（自行验收的，由采购人出具），国家规定强制性检测的采购项目应附国家认可的专业检测机构出具的验收报告。 </w:t>
      </w:r>
    </w:p>
    <w:p>
      <w:pPr>
        <w:ind w:firstLine="480" w:firstLineChars="200"/>
        <w:jc w:val="left"/>
        <w:rPr>
          <w:rFonts w:ascii="宋体" w:hAnsi="宋体" w:cs="宋体"/>
          <w:sz w:val="24"/>
          <w:szCs w:val="24"/>
        </w:rPr>
      </w:pPr>
      <w:r>
        <w:rPr>
          <w:rFonts w:hint="eastAsia" w:ascii="宋体" w:hAnsi="宋体" w:cs="宋体"/>
          <w:sz w:val="24"/>
          <w:szCs w:val="24"/>
        </w:rPr>
        <w:t xml:space="preserve">5、验收中发现中标人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 </w:t>
      </w:r>
    </w:p>
    <w:p>
      <w:pPr>
        <w:ind w:firstLine="480" w:firstLineChars="200"/>
        <w:jc w:val="left"/>
        <w:rPr>
          <w:rFonts w:ascii="宋体" w:hAnsi="宋体" w:cs="宋体"/>
          <w:sz w:val="24"/>
          <w:szCs w:val="24"/>
        </w:rPr>
      </w:pPr>
      <w:r>
        <w:rPr>
          <w:rFonts w:hint="eastAsia" w:ascii="宋体" w:hAnsi="宋体" w:cs="宋体"/>
          <w:sz w:val="24"/>
          <w:szCs w:val="24"/>
        </w:rPr>
        <w:t xml:space="preserve">五、履约保证金： 。 </w:t>
      </w:r>
    </w:p>
    <w:p>
      <w:pPr>
        <w:ind w:firstLine="480" w:firstLineChars="200"/>
        <w:jc w:val="left"/>
        <w:rPr>
          <w:rFonts w:ascii="宋体" w:hAnsi="宋体" w:cs="宋体"/>
          <w:sz w:val="24"/>
          <w:szCs w:val="24"/>
        </w:rPr>
      </w:pPr>
      <w:r>
        <w:rPr>
          <w:rFonts w:hint="eastAsia" w:ascii="宋体" w:hAnsi="宋体" w:cs="宋体"/>
          <w:sz w:val="24"/>
          <w:szCs w:val="24"/>
        </w:rPr>
        <w:t xml:space="preserve">六、付款程序： </w:t>
      </w:r>
    </w:p>
    <w:p>
      <w:pPr>
        <w:pStyle w:val="8"/>
        <w:rPr>
          <w:rFonts w:hint="default" w:eastAsia="宋体"/>
          <w:highlight w:val="yellow"/>
          <w:lang w:val="en-US" w:eastAsia="zh-CN"/>
        </w:rPr>
      </w:pPr>
      <w:r>
        <w:rPr>
          <w:rFonts w:hint="eastAsia"/>
          <w:highlight w:val="none"/>
          <w:lang w:val="en-US" w:eastAsia="zh-CN"/>
        </w:rPr>
        <w:t xml:space="preserve">          验收合格后一次性付清。</w:t>
      </w:r>
    </w:p>
    <w:p>
      <w:pPr>
        <w:ind w:firstLine="480" w:firstLineChars="200"/>
        <w:jc w:val="left"/>
        <w:rPr>
          <w:rFonts w:ascii="宋体" w:hAnsi="宋体" w:cs="宋体"/>
          <w:sz w:val="24"/>
          <w:szCs w:val="24"/>
        </w:rPr>
      </w:pPr>
      <w:r>
        <w:rPr>
          <w:rFonts w:hint="eastAsia" w:ascii="宋体" w:hAnsi="宋体" w:cs="宋体"/>
          <w:sz w:val="24"/>
          <w:szCs w:val="24"/>
        </w:rPr>
        <w:t xml:space="preserve">七、合同遵行《保障中小企业款项支付条例》。 </w:t>
      </w:r>
    </w:p>
    <w:p>
      <w:pPr>
        <w:ind w:firstLine="480" w:firstLineChars="200"/>
        <w:jc w:val="left"/>
        <w:rPr>
          <w:rFonts w:ascii="宋体" w:hAnsi="宋体" w:cs="宋体"/>
          <w:sz w:val="24"/>
          <w:szCs w:val="24"/>
        </w:rPr>
      </w:pPr>
      <w:r>
        <w:rPr>
          <w:rFonts w:hint="eastAsia" w:ascii="宋体" w:hAnsi="宋体" w:cs="宋体"/>
          <w:sz w:val="24"/>
          <w:szCs w:val="24"/>
        </w:rPr>
        <w:t xml:space="preserve">八、责任和义务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1、甲方的责任和义务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（1）对乙方给予必要的协助。 </w:t>
      </w:r>
    </w:p>
    <w:p>
      <w:pPr>
        <w:ind w:firstLine="480" w:firstLineChars="200"/>
        <w:jc w:val="left"/>
        <w:rPr>
          <w:rFonts w:ascii="宋体" w:hAnsi="宋体" w:cs="宋体"/>
          <w:sz w:val="24"/>
          <w:szCs w:val="24"/>
        </w:rPr>
      </w:pPr>
      <w:r>
        <w:rPr>
          <w:rFonts w:hint="eastAsia" w:ascii="宋体" w:hAnsi="宋体" w:cs="宋体"/>
          <w:sz w:val="24"/>
          <w:szCs w:val="24"/>
        </w:rPr>
        <w:t xml:space="preserve">（2）按时验收、及时支付资金； </w:t>
      </w:r>
    </w:p>
    <w:p>
      <w:pPr>
        <w:ind w:firstLine="480" w:firstLineChars="200"/>
        <w:jc w:val="left"/>
        <w:rPr>
          <w:rFonts w:ascii="宋体" w:hAnsi="宋体" w:cs="宋体"/>
          <w:sz w:val="24"/>
          <w:szCs w:val="24"/>
        </w:rPr>
      </w:pPr>
      <w:r>
        <w:rPr>
          <w:rFonts w:hint="eastAsia" w:ascii="宋体" w:hAnsi="宋体" w:cs="宋体"/>
          <w:sz w:val="24"/>
          <w:szCs w:val="24"/>
        </w:rPr>
        <w:t xml:space="preserve">（3）遵守国家法律法规，不得要求乙方虚开发票，不得向乙方索要“好处”、“回扣”、“礼品”，或要求乙方提供合同以外的其他物品或服务； </w:t>
      </w:r>
    </w:p>
    <w:p>
      <w:pPr>
        <w:ind w:firstLine="480" w:firstLineChars="200"/>
        <w:jc w:val="left"/>
        <w:rPr>
          <w:rFonts w:ascii="宋体" w:hAnsi="宋体" w:cs="宋体"/>
          <w:sz w:val="24"/>
          <w:szCs w:val="24"/>
        </w:rPr>
      </w:pPr>
      <w:r>
        <w:rPr>
          <w:rFonts w:hint="eastAsia" w:ascii="宋体" w:hAnsi="宋体" w:cs="宋体"/>
          <w:sz w:val="24"/>
          <w:szCs w:val="24"/>
        </w:rPr>
        <w:t xml:space="preserve">（4）对乙方未按合同约定履约在验收报告中注明违约情形和事项，并应及时通知财政部门。违反相关法规的向相关行政执法部门举报。 </w:t>
      </w:r>
    </w:p>
    <w:p>
      <w:pPr>
        <w:ind w:firstLine="480" w:firstLineChars="200"/>
        <w:jc w:val="left"/>
        <w:rPr>
          <w:rFonts w:ascii="宋体" w:hAnsi="宋体" w:cs="宋体"/>
          <w:sz w:val="24"/>
          <w:szCs w:val="24"/>
        </w:rPr>
      </w:pPr>
      <w:r>
        <w:rPr>
          <w:rFonts w:hint="eastAsia" w:ascii="宋体" w:hAnsi="宋体" w:cs="宋体"/>
          <w:sz w:val="24"/>
          <w:szCs w:val="24"/>
        </w:rPr>
        <w:t xml:space="preserve">（5）其他法律法规规定应尽的义务。 </w:t>
      </w:r>
    </w:p>
    <w:p>
      <w:pPr>
        <w:ind w:firstLine="480" w:firstLineChars="200"/>
        <w:jc w:val="left"/>
        <w:rPr>
          <w:rFonts w:ascii="宋体" w:hAnsi="宋体" w:cs="宋体"/>
          <w:sz w:val="24"/>
          <w:szCs w:val="24"/>
        </w:rPr>
      </w:pPr>
      <w:r>
        <w:rPr>
          <w:rFonts w:hint="eastAsia" w:ascii="宋体" w:hAnsi="宋体" w:cs="宋体"/>
          <w:sz w:val="24"/>
          <w:szCs w:val="24"/>
        </w:rPr>
        <w:t xml:space="preserve">2、乙方的责任和义务 </w:t>
      </w:r>
    </w:p>
    <w:p>
      <w:pPr>
        <w:ind w:firstLine="480" w:firstLineChars="200"/>
        <w:jc w:val="left"/>
        <w:rPr>
          <w:rFonts w:ascii="宋体" w:hAnsi="宋体" w:cs="宋体"/>
          <w:sz w:val="24"/>
          <w:szCs w:val="24"/>
        </w:rPr>
      </w:pPr>
      <w:r>
        <w:rPr>
          <w:rFonts w:hint="eastAsia" w:ascii="宋体" w:hAnsi="宋体" w:cs="宋体"/>
          <w:sz w:val="24"/>
          <w:szCs w:val="24"/>
        </w:rPr>
        <w:t xml:space="preserve">（1）严格按采购文件要求与投标文件的质量及服务承诺执行，保质、按期履行。 </w:t>
      </w:r>
    </w:p>
    <w:p>
      <w:pPr>
        <w:ind w:firstLine="480" w:firstLineChars="200"/>
        <w:jc w:val="left"/>
        <w:rPr>
          <w:rFonts w:ascii="宋体" w:hAnsi="宋体" w:cs="宋体"/>
          <w:sz w:val="24"/>
          <w:szCs w:val="24"/>
        </w:rPr>
      </w:pPr>
      <w:r>
        <w:rPr>
          <w:rFonts w:hint="eastAsia" w:ascii="宋体" w:hAnsi="宋体" w:cs="宋体"/>
          <w:sz w:val="24"/>
          <w:szCs w:val="24"/>
        </w:rPr>
        <w:t xml:space="preserve">（2）不得将合同权利义务全部或部分转让给第三人。 </w:t>
      </w:r>
    </w:p>
    <w:p>
      <w:pPr>
        <w:ind w:firstLine="480" w:firstLineChars="200"/>
        <w:jc w:val="left"/>
        <w:rPr>
          <w:rFonts w:ascii="宋体" w:hAnsi="宋体" w:cs="宋体"/>
          <w:sz w:val="24"/>
          <w:szCs w:val="24"/>
        </w:rPr>
      </w:pPr>
      <w:r>
        <w:rPr>
          <w:rFonts w:hint="eastAsia" w:ascii="宋体" w:hAnsi="宋体" w:cs="宋体"/>
          <w:sz w:val="24"/>
          <w:szCs w:val="24"/>
        </w:rPr>
        <w:t xml:space="preserve">（3）验收合格前，对货物和人员的安全负责，应采取安全措施，确保人员、材料、设备和设施的安全，防止货物验收合格前的人身伤害和财产损失；应对其履行合同所雇佣的全部人员的工伤事故承担责任。 </w:t>
      </w:r>
    </w:p>
    <w:p>
      <w:pPr>
        <w:ind w:firstLine="480" w:firstLineChars="200"/>
        <w:jc w:val="left"/>
        <w:rPr>
          <w:rFonts w:ascii="宋体" w:hAnsi="宋体" w:cs="宋体"/>
          <w:sz w:val="24"/>
          <w:szCs w:val="24"/>
        </w:rPr>
      </w:pPr>
      <w:r>
        <w:rPr>
          <w:rFonts w:hint="eastAsia" w:ascii="宋体" w:hAnsi="宋体" w:cs="宋体"/>
          <w:sz w:val="24"/>
          <w:szCs w:val="24"/>
        </w:rPr>
        <w:t xml:space="preserve">（4）遵守法律、依法纳税 </w:t>
      </w:r>
    </w:p>
    <w:p>
      <w:pPr>
        <w:ind w:firstLine="480" w:firstLineChars="200"/>
        <w:jc w:val="left"/>
        <w:rPr>
          <w:rFonts w:ascii="宋体" w:hAnsi="宋体" w:cs="宋体"/>
          <w:sz w:val="24"/>
          <w:szCs w:val="24"/>
        </w:rPr>
      </w:pPr>
      <w:r>
        <w:rPr>
          <w:rFonts w:hint="eastAsia" w:ascii="宋体" w:hAnsi="宋体" w:cs="宋体"/>
          <w:sz w:val="24"/>
          <w:szCs w:val="24"/>
        </w:rPr>
        <w:t xml:space="preserve">（5）遵守职业道德和行业规范，坚决杜绝送礼、回扣、报销费用等一切不正当竞争行为和商业贿赂行为；对甲方索要回扣、礼品等违规行为，向同级财政局政府采购监督管理科及相关执法机关举报。 </w:t>
      </w:r>
    </w:p>
    <w:p>
      <w:pPr>
        <w:ind w:firstLine="480" w:firstLineChars="200"/>
        <w:jc w:val="left"/>
        <w:rPr>
          <w:rFonts w:ascii="宋体" w:hAnsi="宋体" w:cs="宋体"/>
          <w:sz w:val="24"/>
          <w:szCs w:val="24"/>
        </w:rPr>
      </w:pPr>
      <w:r>
        <w:rPr>
          <w:rFonts w:hint="eastAsia" w:ascii="宋体" w:hAnsi="宋体" w:cs="宋体"/>
          <w:sz w:val="24"/>
          <w:szCs w:val="24"/>
        </w:rPr>
        <w:t xml:space="preserve">（6）其他法律法规规定应尽的义务。 </w:t>
      </w:r>
    </w:p>
    <w:p>
      <w:pPr>
        <w:ind w:firstLine="480" w:firstLineChars="200"/>
        <w:jc w:val="left"/>
        <w:rPr>
          <w:rFonts w:ascii="宋体" w:hAnsi="宋体" w:cs="宋体"/>
          <w:sz w:val="24"/>
          <w:szCs w:val="24"/>
        </w:rPr>
      </w:pPr>
      <w:r>
        <w:rPr>
          <w:rFonts w:hint="eastAsia" w:ascii="宋体" w:hAnsi="宋体" w:cs="宋体"/>
          <w:sz w:val="24"/>
          <w:szCs w:val="24"/>
        </w:rPr>
        <w:t xml:space="preserve">九、违约责任： </w:t>
      </w:r>
    </w:p>
    <w:p>
      <w:pPr>
        <w:ind w:firstLine="480" w:firstLineChars="200"/>
        <w:jc w:val="left"/>
        <w:rPr>
          <w:rFonts w:ascii="宋体" w:hAnsi="宋体" w:cs="宋体"/>
          <w:sz w:val="24"/>
          <w:szCs w:val="24"/>
        </w:rPr>
      </w:pPr>
      <w:r>
        <w:rPr>
          <w:rFonts w:hint="eastAsia" w:ascii="宋体" w:hAnsi="宋体" w:cs="宋体"/>
          <w:sz w:val="24"/>
          <w:szCs w:val="24"/>
        </w:rPr>
        <w:t xml:space="preserve">1、甲方无正当理由拒付款项的，向乙方偿付拒收拒付部分款项总额 %的违约金。 </w:t>
      </w:r>
    </w:p>
    <w:p>
      <w:pPr>
        <w:ind w:firstLine="480" w:firstLineChars="200"/>
        <w:jc w:val="left"/>
        <w:rPr>
          <w:rFonts w:ascii="宋体" w:hAnsi="宋体" w:cs="宋体"/>
          <w:sz w:val="24"/>
          <w:szCs w:val="24"/>
        </w:rPr>
      </w:pPr>
      <w:r>
        <w:rPr>
          <w:rFonts w:hint="eastAsia" w:ascii="宋体" w:hAnsi="宋体" w:cs="宋体"/>
          <w:sz w:val="24"/>
          <w:szCs w:val="24"/>
        </w:rPr>
        <w:t xml:space="preserve">2、乙方提供服务不符合合同规定，甲方有权拒付相关款项。 </w:t>
      </w:r>
    </w:p>
    <w:p>
      <w:pPr>
        <w:ind w:firstLine="480" w:firstLineChars="200"/>
        <w:jc w:val="left"/>
        <w:rPr>
          <w:rFonts w:ascii="宋体" w:hAnsi="宋体" w:cs="宋体"/>
          <w:sz w:val="24"/>
          <w:szCs w:val="24"/>
        </w:rPr>
      </w:pPr>
      <w:r>
        <w:rPr>
          <w:rFonts w:hint="eastAsia" w:ascii="宋体" w:hAnsi="宋体" w:cs="宋体"/>
          <w:sz w:val="24"/>
          <w:szCs w:val="24"/>
        </w:rPr>
        <w:t xml:space="preserve">3、乙方逾期，乙方向甲方每日偿付 %赔偿费。 </w:t>
      </w:r>
    </w:p>
    <w:p>
      <w:pPr>
        <w:ind w:firstLine="480" w:firstLineChars="200"/>
        <w:jc w:val="left"/>
        <w:rPr>
          <w:rFonts w:ascii="宋体" w:hAnsi="宋体" w:cs="宋体"/>
          <w:sz w:val="24"/>
          <w:szCs w:val="24"/>
        </w:rPr>
      </w:pPr>
      <w:r>
        <w:rPr>
          <w:rFonts w:hint="eastAsia" w:ascii="宋体" w:hAnsi="宋体" w:cs="宋体"/>
          <w:sz w:val="24"/>
          <w:szCs w:val="24"/>
        </w:rPr>
        <w:t xml:space="preserve">十、《采购文件》及其修改补充、投标文件及其修改补充澄清均为本合同的组 </w:t>
      </w:r>
    </w:p>
    <w:p>
      <w:pPr>
        <w:ind w:firstLine="480" w:firstLineChars="200"/>
        <w:jc w:val="left"/>
        <w:rPr>
          <w:rFonts w:ascii="宋体" w:hAnsi="宋体" w:cs="宋体"/>
          <w:sz w:val="24"/>
          <w:szCs w:val="24"/>
        </w:rPr>
      </w:pPr>
      <w:r>
        <w:rPr>
          <w:rFonts w:hint="eastAsia" w:ascii="宋体" w:hAnsi="宋体" w:cs="宋体"/>
          <w:sz w:val="24"/>
          <w:szCs w:val="24"/>
        </w:rPr>
        <w:t xml:space="preserve">成部分。 </w:t>
      </w:r>
    </w:p>
    <w:p>
      <w:pPr>
        <w:ind w:firstLine="480" w:firstLineChars="200"/>
        <w:jc w:val="left"/>
        <w:rPr>
          <w:rFonts w:ascii="宋体" w:hAnsi="宋体" w:cs="宋体"/>
          <w:sz w:val="24"/>
          <w:szCs w:val="24"/>
        </w:rPr>
      </w:pPr>
      <w:r>
        <w:rPr>
          <w:rFonts w:hint="eastAsia" w:ascii="宋体" w:hAnsi="宋体" w:cs="宋体"/>
          <w:sz w:val="24"/>
          <w:szCs w:val="24"/>
        </w:rPr>
        <w:t xml:space="preserve">十一、本合同发生争议时双方应按合同条款协商解决。双方协商不成的，可以 </w:t>
      </w:r>
    </w:p>
    <w:p>
      <w:pPr>
        <w:ind w:firstLine="480" w:firstLineChars="200"/>
        <w:jc w:val="left"/>
        <w:rPr>
          <w:rFonts w:ascii="宋体" w:hAnsi="宋体" w:cs="宋体"/>
          <w:sz w:val="24"/>
          <w:szCs w:val="24"/>
        </w:rPr>
      </w:pPr>
      <w:r>
        <w:rPr>
          <w:rFonts w:hint="eastAsia" w:ascii="宋体" w:hAnsi="宋体" w:cs="宋体"/>
          <w:sz w:val="24"/>
          <w:szCs w:val="24"/>
        </w:rPr>
        <w:t xml:space="preserve">根据仲裁协议向当地仲裁机构申请仲裁。当事人没有订立仲裁协议或者仲裁协议无 </w:t>
      </w:r>
    </w:p>
    <w:p>
      <w:pPr>
        <w:ind w:firstLine="480" w:firstLineChars="200"/>
        <w:jc w:val="left"/>
        <w:rPr>
          <w:rFonts w:ascii="宋体" w:hAnsi="宋体" w:cs="宋体"/>
          <w:sz w:val="24"/>
          <w:szCs w:val="24"/>
        </w:rPr>
      </w:pPr>
      <w:r>
        <w:rPr>
          <w:rFonts w:hint="eastAsia" w:ascii="宋体" w:hAnsi="宋体" w:cs="宋体"/>
          <w:sz w:val="24"/>
          <w:szCs w:val="24"/>
        </w:rPr>
        <w:t xml:space="preserve">效的，可以向当地人民法院起诉。 </w:t>
      </w:r>
    </w:p>
    <w:p>
      <w:pPr>
        <w:ind w:firstLine="480" w:firstLineChars="200"/>
        <w:jc w:val="left"/>
        <w:rPr>
          <w:rFonts w:ascii="宋体" w:hAnsi="宋体" w:cs="宋体"/>
          <w:sz w:val="24"/>
          <w:szCs w:val="24"/>
        </w:rPr>
      </w:pPr>
      <w:r>
        <w:rPr>
          <w:rFonts w:hint="eastAsia" w:ascii="宋体" w:hAnsi="宋体" w:cs="宋体"/>
          <w:sz w:val="24"/>
          <w:szCs w:val="24"/>
        </w:rPr>
        <w:t xml:space="preserve">十二、合同生效及其它： </w:t>
      </w:r>
    </w:p>
    <w:p>
      <w:pPr>
        <w:ind w:firstLine="480" w:firstLineChars="200"/>
        <w:jc w:val="left"/>
        <w:rPr>
          <w:rFonts w:ascii="宋体" w:hAnsi="宋体" w:cs="宋体"/>
          <w:sz w:val="24"/>
          <w:szCs w:val="24"/>
        </w:rPr>
      </w:pPr>
      <w:r>
        <w:rPr>
          <w:rFonts w:hint="eastAsia" w:ascii="宋体" w:hAnsi="宋体" w:cs="宋体"/>
          <w:sz w:val="24"/>
          <w:szCs w:val="24"/>
        </w:rPr>
        <w:t xml:space="preserve">本合同经甲乙双方代表签字、加盖公章和骑缝章后生效。本合同一式 份， </w:t>
      </w:r>
    </w:p>
    <w:p>
      <w:pPr>
        <w:ind w:firstLine="480" w:firstLineChars="200"/>
        <w:jc w:val="left"/>
        <w:rPr>
          <w:rFonts w:ascii="宋体" w:hAnsi="宋体" w:cs="宋体"/>
          <w:sz w:val="24"/>
          <w:szCs w:val="24"/>
        </w:rPr>
      </w:pPr>
      <w:r>
        <w:rPr>
          <w:rFonts w:hint="eastAsia" w:ascii="宋体" w:hAnsi="宋体" w:cs="宋体"/>
          <w:sz w:val="24"/>
          <w:szCs w:val="24"/>
        </w:rPr>
        <w:t xml:space="preserve">甲乙双方各持 份。 </w:t>
      </w:r>
    </w:p>
    <w:p>
      <w:pPr>
        <w:ind w:firstLine="480" w:firstLineChars="200"/>
        <w:jc w:val="left"/>
        <w:rPr>
          <w:rFonts w:ascii="宋体" w:hAnsi="宋体" w:cs="宋体"/>
          <w:sz w:val="24"/>
          <w:szCs w:val="24"/>
        </w:rPr>
      </w:pPr>
      <w:r>
        <w:rPr>
          <w:rFonts w:hint="eastAsia" w:ascii="宋体" w:hAnsi="宋体" w:cs="宋体"/>
          <w:sz w:val="24"/>
          <w:szCs w:val="24"/>
        </w:rPr>
        <w:t xml:space="preserve">甲方应当自政府采购合同签订之日起 2 个工作日内进行合同公告及备案。合同 </w:t>
      </w:r>
    </w:p>
    <w:p>
      <w:pPr>
        <w:ind w:firstLine="480" w:firstLineChars="200"/>
        <w:jc w:val="left"/>
        <w:rPr>
          <w:rFonts w:ascii="宋体" w:hAnsi="宋体" w:cs="宋体"/>
          <w:sz w:val="24"/>
          <w:szCs w:val="24"/>
        </w:rPr>
      </w:pPr>
      <w:r>
        <w:rPr>
          <w:rFonts w:hint="eastAsia" w:ascii="宋体" w:hAnsi="宋体" w:cs="宋体"/>
          <w:sz w:val="24"/>
          <w:szCs w:val="24"/>
        </w:rPr>
        <w:t xml:space="preserve">《磋商文件》 50 公告需由甲方登陆“安阳市政府采购网”电子化政府采购系统，及时上传政府采购 </w:t>
      </w:r>
    </w:p>
    <w:p>
      <w:pPr>
        <w:ind w:firstLine="480" w:firstLineChars="200"/>
        <w:jc w:val="left"/>
        <w:rPr>
          <w:rFonts w:ascii="宋体" w:hAnsi="宋体" w:cs="宋体"/>
          <w:sz w:val="24"/>
          <w:szCs w:val="24"/>
        </w:rPr>
      </w:pPr>
      <w:r>
        <w:rPr>
          <w:rFonts w:hint="eastAsia" w:ascii="宋体" w:hAnsi="宋体" w:cs="宋体"/>
          <w:sz w:val="24"/>
          <w:szCs w:val="24"/>
        </w:rPr>
        <w:t xml:space="preserve">合同及附件进行合同备案，合同备案的同时系统将自动进行合同公告。 </w:t>
      </w:r>
    </w:p>
    <w:p>
      <w:pPr>
        <w:jc w:val="left"/>
      </w:pPr>
      <w:r>
        <w:rPr>
          <w:rFonts w:hint="eastAsia" w:ascii="宋体" w:hAnsi="宋体" w:cs="宋体"/>
          <w:sz w:val="24"/>
          <w:szCs w:val="24"/>
        </w:rPr>
        <w:t xml:space="preserve">甲方：                         乙方： </w:t>
      </w:r>
    </w:p>
    <w:p>
      <w:pPr>
        <w:jc w:val="left"/>
      </w:pPr>
      <w:r>
        <w:rPr>
          <w:rFonts w:hint="eastAsia" w:ascii="宋体" w:hAnsi="宋体" w:cs="宋体"/>
          <w:sz w:val="24"/>
          <w:szCs w:val="24"/>
        </w:rPr>
        <w:t xml:space="preserve">地址：                         地址： </w:t>
      </w:r>
    </w:p>
    <w:p>
      <w:pPr>
        <w:jc w:val="left"/>
      </w:pPr>
      <w:r>
        <w:rPr>
          <w:rFonts w:hint="eastAsia" w:ascii="宋体" w:hAnsi="宋体" w:cs="宋体"/>
          <w:sz w:val="24"/>
          <w:szCs w:val="24"/>
        </w:rPr>
        <w:t xml:space="preserve">法定代表人：                   法定代表人： </w:t>
      </w:r>
    </w:p>
    <w:p>
      <w:pPr>
        <w:jc w:val="left"/>
      </w:pPr>
      <w:r>
        <w:rPr>
          <w:rFonts w:hint="eastAsia" w:ascii="宋体" w:hAnsi="宋体" w:cs="宋体"/>
          <w:sz w:val="24"/>
          <w:szCs w:val="24"/>
        </w:rPr>
        <w:t xml:space="preserve">委托代理人：                   委托代理人： </w:t>
      </w:r>
    </w:p>
    <w:p>
      <w:pPr>
        <w:jc w:val="left"/>
      </w:pPr>
      <w:r>
        <w:rPr>
          <w:rFonts w:hint="eastAsia" w:ascii="宋体" w:hAnsi="宋体" w:cs="宋体"/>
          <w:sz w:val="24"/>
          <w:szCs w:val="24"/>
        </w:rPr>
        <w:t xml:space="preserve">电话：                         电话： </w:t>
      </w:r>
    </w:p>
    <w:p>
      <w:pPr>
        <w:jc w:val="left"/>
      </w:pPr>
      <w:r>
        <w:rPr>
          <w:rFonts w:hint="eastAsia" w:ascii="宋体" w:hAnsi="宋体" w:cs="宋体"/>
          <w:sz w:val="24"/>
          <w:szCs w:val="24"/>
        </w:rPr>
        <w:t xml:space="preserve">开户银行：                     开户银行： </w:t>
      </w:r>
    </w:p>
    <w:p>
      <w:pPr>
        <w:jc w:val="left"/>
      </w:pPr>
      <w:r>
        <w:rPr>
          <w:rFonts w:hint="eastAsia" w:ascii="宋体" w:hAnsi="宋体" w:cs="宋体"/>
          <w:sz w:val="24"/>
          <w:szCs w:val="24"/>
        </w:rPr>
        <w:t xml:space="preserve">银行账号：                     银行账号： </w:t>
      </w:r>
    </w:p>
    <w:p>
      <w:pPr>
        <w:jc w:val="left"/>
      </w:pPr>
      <w:r>
        <w:rPr>
          <w:rFonts w:hint="eastAsia" w:ascii="宋体" w:hAnsi="宋体" w:cs="宋体"/>
          <w:sz w:val="24"/>
          <w:szCs w:val="24"/>
        </w:rPr>
        <w:t>签约时间：                     签约地点</w:t>
      </w:r>
    </w:p>
    <w:p>
      <w:pPr>
        <w:spacing w:line="240" w:lineRule="auto"/>
        <w:jc w:val="left"/>
        <w:textAlignment w:val="auto"/>
        <w:rPr>
          <w:rFonts w:ascii="黑体" w:hAnsi="黑体" w:eastAsia="黑体"/>
          <w:b/>
          <w:color w:val="auto"/>
          <w:sz w:val="36"/>
          <w:szCs w:val="36"/>
          <w:lang w:val="zh-CN"/>
        </w:rPr>
      </w:pPr>
      <w:r>
        <w:rPr>
          <w:rFonts w:ascii="黑体" w:hAnsi="黑体" w:eastAsia="黑体"/>
          <w:b/>
          <w:color w:val="auto"/>
          <w:sz w:val="36"/>
          <w:szCs w:val="36"/>
          <w:lang w:val="zh-CN"/>
        </w:rPr>
        <w:br w:type="page"/>
      </w:r>
    </w:p>
    <w:p>
      <w:pPr>
        <w:autoSpaceDE w:val="0"/>
        <w:autoSpaceDN w:val="0"/>
        <w:adjustRightInd w:val="0"/>
        <w:spacing w:line="360" w:lineRule="auto"/>
        <w:jc w:val="center"/>
        <w:outlineLvl w:val="0"/>
        <w:rPr>
          <w:rFonts w:ascii="黑体" w:hAnsi="黑体" w:eastAsia="黑体"/>
          <w:b/>
          <w:color w:val="auto"/>
          <w:sz w:val="36"/>
          <w:szCs w:val="36"/>
          <w:lang w:val="zh-CN"/>
        </w:rPr>
      </w:pPr>
      <w:r>
        <w:rPr>
          <w:rFonts w:hint="eastAsia" w:ascii="黑体" w:hAnsi="黑体" w:eastAsia="黑体"/>
          <w:b/>
          <w:color w:val="auto"/>
          <w:sz w:val="36"/>
          <w:szCs w:val="36"/>
          <w:lang w:val="zh-CN"/>
        </w:rPr>
        <w:t>第六章</w:t>
      </w:r>
      <w:r>
        <w:rPr>
          <w:rFonts w:hint="eastAsia" w:ascii="黑体" w:hAnsi="黑体" w:eastAsia="黑体"/>
          <w:b/>
          <w:color w:val="auto"/>
          <w:sz w:val="36"/>
          <w:szCs w:val="36"/>
          <w:lang w:val="en-US" w:eastAsia="zh-CN"/>
        </w:rPr>
        <w:t xml:space="preserve">   </w:t>
      </w:r>
      <w:r>
        <w:rPr>
          <w:rFonts w:hint="eastAsia" w:ascii="黑体" w:hAnsi="黑体" w:eastAsia="黑体"/>
          <w:b/>
          <w:color w:val="auto"/>
          <w:sz w:val="36"/>
          <w:szCs w:val="36"/>
          <w:lang w:val="zh-CN"/>
        </w:rPr>
        <w:t>投标文件格式</w:t>
      </w:r>
      <w:bookmarkEnd w:id="56"/>
      <w:bookmarkEnd w:id="57"/>
    </w:p>
    <w:p>
      <w:pPr>
        <w:autoSpaceDE w:val="0"/>
        <w:autoSpaceDN w:val="0"/>
        <w:adjustRightInd w:val="0"/>
        <w:spacing w:line="276" w:lineRule="auto"/>
        <w:ind w:firstLine="514" w:firstLineChars="245"/>
        <w:jc w:val="left"/>
        <w:rPr>
          <w:rFonts w:ascii="宋体"/>
          <w:color w:val="auto"/>
          <w:sz w:val="36"/>
          <w:szCs w:val="36"/>
          <w:lang w:val="zh-CN"/>
        </w:rPr>
      </w:pPr>
      <w:r>
        <w:rPr>
          <w:rFonts w:hint="eastAsia" w:ascii="宋体" w:hAnsi="宋体"/>
          <w:color w:val="auto"/>
          <w:szCs w:val="21"/>
          <w:lang w:val="zh-CN"/>
        </w:rPr>
        <w:t>投标人应按“投标人须知</w:t>
      </w:r>
      <w:r>
        <w:rPr>
          <w:rFonts w:ascii="宋体"/>
          <w:color w:val="auto"/>
          <w:szCs w:val="21"/>
          <w:lang w:val="zh-CN"/>
        </w:rPr>
        <w:t>--</w:t>
      </w:r>
      <w:r>
        <w:rPr>
          <w:rFonts w:hint="eastAsia" w:ascii="宋体" w:hAnsi="宋体"/>
          <w:color w:val="auto"/>
          <w:szCs w:val="21"/>
          <w:lang w:val="zh-CN"/>
        </w:rPr>
        <w:t>投标文件的组成”列示内容编制投标文件，本章“投标文件格式”仅为对投标文件部分内容的格式化规范，并非投标文件所应具备的全部内容</w:t>
      </w:r>
      <w:r>
        <w:rPr>
          <w:rFonts w:hint="eastAsia" w:ascii="宋体" w:hAnsi="宋体"/>
          <w:color w:val="auto"/>
          <w:sz w:val="36"/>
          <w:szCs w:val="36"/>
          <w:lang w:val="zh-CN"/>
        </w:rPr>
        <w:t>。</w:t>
      </w:r>
    </w:p>
    <w:p>
      <w:pPr>
        <w:autoSpaceDE w:val="0"/>
        <w:autoSpaceDN w:val="0"/>
        <w:adjustRightInd w:val="0"/>
        <w:spacing w:line="276" w:lineRule="auto"/>
        <w:ind w:firstLine="882" w:firstLineChars="245"/>
        <w:jc w:val="left"/>
        <w:rPr>
          <w:rFonts w:ascii="宋体"/>
          <w:color w:val="auto"/>
          <w:sz w:val="36"/>
          <w:szCs w:val="36"/>
          <w:lang w:val="zh-CN"/>
        </w:rPr>
      </w:pPr>
    </w:p>
    <w:p>
      <w:pPr>
        <w:jc w:val="center"/>
      </w:pPr>
      <w:r>
        <w:rPr>
          <w:rFonts w:ascii="黑体" w:hAnsi="宋体" w:eastAsia="黑体" w:cs="黑体"/>
          <w:b/>
          <w:bCs/>
          <w:sz w:val="72"/>
          <w:szCs w:val="72"/>
        </w:rPr>
        <w:t>项 目</w:t>
      </w:r>
    </w:p>
    <w:p>
      <w:pPr>
        <w:jc w:val="center"/>
        <w:rPr>
          <w:rFonts w:ascii="黑体" w:hAnsi="宋体" w:eastAsia="黑体" w:cs="黑体"/>
          <w:b/>
          <w:bCs/>
          <w:sz w:val="72"/>
          <w:szCs w:val="72"/>
        </w:rPr>
      </w:pPr>
    </w:p>
    <w:p>
      <w:pPr>
        <w:jc w:val="center"/>
        <w:rPr>
          <w:rFonts w:ascii="黑体" w:hAnsi="宋体" w:eastAsia="黑体" w:cs="黑体"/>
          <w:b/>
          <w:bCs/>
          <w:sz w:val="72"/>
          <w:szCs w:val="72"/>
        </w:rPr>
      </w:pPr>
    </w:p>
    <w:p>
      <w:pPr>
        <w:jc w:val="center"/>
      </w:pPr>
      <w:r>
        <w:rPr>
          <w:rFonts w:hint="eastAsia" w:ascii="黑体" w:hAnsi="宋体" w:eastAsia="黑体" w:cs="黑体"/>
          <w:b/>
          <w:bCs/>
          <w:sz w:val="72"/>
          <w:szCs w:val="72"/>
        </w:rPr>
        <w:t>符合性响应文件</w:t>
      </w:r>
    </w:p>
    <w:p>
      <w:pPr>
        <w:ind w:firstLine="3200" w:firstLineChars="1000"/>
        <w:jc w:val="left"/>
      </w:pPr>
      <w:r>
        <w:rPr>
          <w:rFonts w:hint="eastAsia" w:ascii="宋体" w:hAnsi="宋体" w:cs="宋体"/>
          <w:sz w:val="32"/>
          <w:szCs w:val="32"/>
        </w:rPr>
        <w:t>项目编号：</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pPr>
      <w:r>
        <w:rPr>
          <w:rFonts w:hint="eastAsia" w:ascii="宋体" w:hAnsi="宋体" w:cs="宋体"/>
          <w:sz w:val="28"/>
          <w:szCs w:val="28"/>
        </w:rPr>
        <w:t xml:space="preserve">供应商：（加盖电子签章） </w:t>
      </w:r>
    </w:p>
    <w:p>
      <w:pPr>
        <w:jc w:val="left"/>
      </w:pPr>
      <w:r>
        <w:rPr>
          <w:rFonts w:hint="eastAsia" w:ascii="宋体" w:hAnsi="宋体" w:cs="宋体"/>
          <w:sz w:val="28"/>
          <w:szCs w:val="28"/>
        </w:rPr>
        <w:t xml:space="preserve">法定代表人：（加盖电子签名） </w:t>
      </w:r>
    </w:p>
    <w:p>
      <w:pPr>
        <w:jc w:val="left"/>
      </w:pPr>
      <w:r>
        <w:rPr>
          <w:rFonts w:hint="eastAsia" w:ascii="宋体" w:hAnsi="宋体" w:cs="宋体"/>
          <w:sz w:val="28"/>
          <w:szCs w:val="28"/>
        </w:rPr>
        <w:t xml:space="preserve">投标日期：年 月 日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1 、 投 标 书</w:t>
      </w:r>
    </w:p>
    <w:p>
      <w:pPr>
        <w:jc w:val="left"/>
      </w:pPr>
      <w:r>
        <w:rPr>
          <w:rFonts w:hint="eastAsia" w:ascii="宋体" w:hAnsi="宋体" w:cs="宋体"/>
          <w:sz w:val="24"/>
          <w:szCs w:val="24"/>
        </w:rPr>
        <w:t>致： （采购人）</w:t>
      </w:r>
    </w:p>
    <w:p>
      <w:pPr>
        <w:spacing w:line="500" w:lineRule="exact"/>
        <w:ind w:firstLine="480" w:firstLineChars="200"/>
        <w:jc w:val="left"/>
      </w:pPr>
      <w:r>
        <w:rPr>
          <w:rFonts w:hint="eastAsia" w:ascii="宋体" w:hAnsi="宋体" w:cs="宋体"/>
          <w:sz w:val="24"/>
          <w:szCs w:val="24"/>
        </w:rPr>
        <w:t xml:space="preserve">根据贵方竞争性磋商（项目名称） 的《磋商文件》（项目编号： ），经详细研究，我们决定参加该项目的采购活动并按要求提交《响应文件》。我们郑重声明对我单位提交的所有投标资料的真实准确完整承担完全责任、并对之负法律责任。 </w:t>
      </w:r>
    </w:p>
    <w:p>
      <w:pPr>
        <w:spacing w:line="500" w:lineRule="exact"/>
        <w:jc w:val="left"/>
      </w:pPr>
      <w:r>
        <w:rPr>
          <w:rFonts w:hint="eastAsia" w:ascii="宋体" w:hAnsi="宋体" w:cs="宋体"/>
          <w:sz w:val="24"/>
          <w:szCs w:val="24"/>
        </w:rPr>
        <w:t xml:space="preserve">（1）投标书。 </w:t>
      </w:r>
    </w:p>
    <w:p>
      <w:pPr>
        <w:spacing w:line="500" w:lineRule="exact"/>
        <w:jc w:val="left"/>
      </w:pPr>
      <w:r>
        <w:rPr>
          <w:rFonts w:hint="eastAsia" w:ascii="宋体" w:hAnsi="宋体" w:cs="宋体"/>
          <w:sz w:val="24"/>
          <w:szCs w:val="24"/>
        </w:rPr>
        <w:t xml:space="preserve">（2）开标一览表 </w:t>
      </w:r>
    </w:p>
    <w:p>
      <w:pPr>
        <w:spacing w:line="500" w:lineRule="exact"/>
        <w:jc w:val="left"/>
      </w:pPr>
      <w:r>
        <w:rPr>
          <w:rFonts w:hint="eastAsia" w:ascii="宋体" w:hAnsi="宋体" w:cs="宋体"/>
          <w:sz w:val="24"/>
          <w:szCs w:val="24"/>
        </w:rPr>
        <w:t xml:space="preserve">（3）分项报价 </w:t>
      </w:r>
    </w:p>
    <w:p>
      <w:pPr>
        <w:spacing w:line="500" w:lineRule="exact"/>
        <w:jc w:val="left"/>
        <w:rPr>
          <w:rFonts w:hint="eastAsia" w:ascii="宋体" w:hAnsi="宋体" w:cs="宋体"/>
          <w:sz w:val="24"/>
          <w:szCs w:val="24"/>
        </w:rPr>
      </w:pPr>
      <w:r>
        <w:rPr>
          <w:rFonts w:hint="eastAsia" w:ascii="宋体" w:hAnsi="宋体" w:cs="宋体"/>
          <w:sz w:val="24"/>
          <w:szCs w:val="24"/>
        </w:rPr>
        <w:t xml:space="preserve">（4）响应产品清单及具体技术参数 </w:t>
      </w:r>
    </w:p>
    <w:p>
      <w:pPr>
        <w:spacing w:line="500" w:lineRule="exact"/>
        <w:jc w:val="left"/>
        <w:rPr>
          <w:rFonts w:hint="eastAsia" w:ascii="宋体" w:hAnsi="宋体" w:cs="宋体"/>
          <w:sz w:val="24"/>
          <w:szCs w:val="24"/>
        </w:rPr>
      </w:pPr>
      <w:r>
        <w:rPr>
          <w:rFonts w:hint="eastAsia" w:ascii="宋体" w:hAnsi="宋体" w:cs="宋体"/>
          <w:sz w:val="24"/>
          <w:szCs w:val="24"/>
        </w:rPr>
        <w:t xml:space="preserve">（5）技术偏差表 </w:t>
      </w:r>
    </w:p>
    <w:p>
      <w:pPr>
        <w:spacing w:line="500" w:lineRule="exact"/>
        <w:jc w:val="left"/>
        <w:rPr>
          <w:rFonts w:hint="eastAsia" w:ascii="宋体" w:hAnsi="宋体" w:cs="宋体"/>
          <w:sz w:val="24"/>
          <w:szCs w:val="24"/>
        </w:rPr>
      </w:pPr>
      <w:r>
        <w:rPr>
          <w:rFonts w:hint="eastAsia" w:ascii="宋体" w:hAnsi="宋体" w:cs="宋体"/>
          <w:sz w:val="24"/>
          <w:szCs w:val="24"/>
        </w:rPr>
        <w:t xml:space="preserve">（6）其他偏差表 </w:t>
      </w:r>
    </w:p>
    <w:p>
      <w:pPr>
        <w:spacing w:line="500" w:lineRule="exact"/>
        <w:jc w:val="left"/>
        <w:rPr>
          <w:rFonts w:hint="eastAsia" w:ascii="宋体" w:hAnsi="宋体" w:cs="宋体"/>
          <w:sz w:val="24"/>
          <w:szCs w:val="24"/>
        </w:rPr>
      </w:pPr>
      <w:r>
        <w:rPr>
          <w:rFonts w:hint="eastAsia" w:ascii="宋体" w:hAnsi="宋体" w:cs="宋体"/>
          <w:sz w:val="24"/>
          <w:szCs w:val="24"/>
        </w:rPr>
        <w:t xml:space="preserve">（7）售后服务计划 </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（8）反商业贿赂承诺书</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（9） 履约承诺书</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（10）采购项目及技术服务要求所需的其他材料（按条款需要）</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（11）供应商人须知所需的其他材料（按条款需要）</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（12）评审办法所需的其他材料（按条款需要）</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（13）供应商认为有必要提交的其它材料</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（14）关于资格的声明函</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（15）法定代表人身份证明或法定代表人授权委托书</w:t>
      </w:r>
    </w:p>
    <w:p>
      <w:pPr>
        <w:spacing w:line="500" w:lineRule="exact"/>
        <w:jc w:val="left"/>
        <w:rPr>
          <w:rFonts w:hint="eastAsia" w:ascii="宋体" w:hAnsi="宋体" w:cs="宋体"/>
          <w:sz w:val="24"/>
          <w:szCs w:val="24"/>
          <w:lang w:val="zh-CN"/>
        </w:rPr>
      </w:pPr>
      <w:r>
        <w:rPr>
          <w:rFonts w:hint="eastAsia" w:ascii="宋体" w:hAnsi="宋体" w:cs="宋体"/>
          <w:sz w:val="24"/>
          <w:szCs w:val="24"/>
          <w:lang w:val="zh-CN"/>
        </w:rPr>
        <w:t>（16）投标承诺函（以投标承诺函形式替代投标保证金）</w:t>
      </w:r>
    </w:p>
    <w:p>
      <w:pPr>
        <w:spacing w:line="500" w:lineRule="exact"/>
        <w:jc w:val="left"/>
      </w:pPr>
      <w:r>
        <w:rPr>
          <w:rFonts w:hint="eastAsia" w:ascii="宋体" w:hAnsi="宋体" w:cs="宋体"/>
          <w:sz w:val="24"/>
          <w:szCs w:val="24"/>
          <w:lang w:val="zh-CN"/>
        </w:rPr>
        <w:t>（17）资格要求相关证明材料（文件）</w:t>
      </w:r>
      <w:r>
        <w:rPr>
          <w:rFonts w:hint="eastAsia" w:ascii="宋体" w:hAnsi="宋体" w:cs="宋体"/>
          <w:sz w:val="24"/>
          <w:szCs w:val="24"/>
        </w:rPr>
        <w:t xml:space="preserve"> </w:t>
      </w:r>
    </w:p>
    <w:p>
      <w:pPr>
        <w:spacing w:line="500" w:lineRule="exact"/>
        <w:jc w:val="left"/>
      </w:pPr>
      <w:r>
        <w:rPr>
          <w:rFonts w:hint="eastAsia" w:ascii="宋体" w:hAnsi="宋体" w:cs="宋体"/>
          <w:sz w:val="24"/>
          <w:szCs w:val="24"/>
        </w:rPr>
        <w:t xml:space="preserve">......... </w:t>
      </w:r>
    </w:p>
    <w:p>
      <w:pPr>
        <w:spacing w:line="500" w:lineRule="exact"/>
        <w:jc w:val="left"/>
      </w:pPr>
      <w:r>
        <w:rPr>
          <w:rFonts w:hint="eastAsia" w:ascii="宋体" w:hAnsi="宋体" w:cs="宋体"/>
          <w:sz w:val="24"/>
          <w:szCs w:val="24"/>
        </w:rPr>
        <w:t xml:space="preserve">据此函，签字代表宣布同意如下： </w:t>
      </w:r>
    </w:p>
    <w:p>
      <w:pPr>
        <w:spacing w:line="500" w:lineRule="exact"/>
        <w:jc w:val="left"/>
        <w:rPr>
          <w:rFonts w:ascii="宋体" w:hAnsi="宋体" w:cs="宋体"/>
          <w:sz w:val="24"/>
          <w:szCs w:val="24"/>
        </w:rPr>
      </w:pPr>
      <w:r>
        <w:rPr>
          <w:rFonts w:hint="eastAsia" w:ascii="宋体" w:hAnsi="宋体" w:cs="宋体"/>
          <w:sz w:val="24"/>
          <w:szCs w:val="24"/>
        </w:rPr>
        <w:t xml:space="preserve">1.所附“《响应文件》开标一览表”中规定的应提供和交付的投标总价为：元 ，即 （文字表述），合同履行期限（服务期限）： ，服务地点： 。 </w:t>
      </w:r>
    </w:p>
    <w:p>
      <w:pPr>
        <w:spacing w:line="500" w:lineRule="exact"/>
        <w:jc w:val="left"/>
      </w:pPr>
      <w:r>
        <w:rPr>
          <w:rFonts w:hint="eastAsia" w:ascii="宋体" w:hAnsi="宋体" w:cs="宋体"/>
          <w:sz w:val="24"/>
          <w:szCs w:val="24"/>
        </w:rPr>
        <w:t xml:space="preserve">2.如果我单位的投标书被接受，我单位将履行《磋商文件》中规定的每一项要求，按期、按质、按量履行合同。 </w:t>
      </w:r>
    </w:p>
    <w:p>
      <w:pPr>
        <w:spacing w:line="500" w:lineRule="exact"/>
        <w:jc w:val="left"/>
      </w:pPr>
      <w:r>
        <w:rPr>
          <w:rFonts w:hint="eastAsia" w:ascii="宋体" w:hAnsi="宋体" w:cs="宋体"/>
          <w:sz w:val="24"/>
          <w:szCs w:val="24"/>
        </w:rPr>
        <w:t xml:space="preserve">3. 我单位愿按《中华人民共和国民法典》履行我单位的全部责任。 </w:t>
      </w:r>
    </w:p>
    <w:p>
      <w:pPr>
        <w:spacing w:line="500" w:lineRule="exact"/>
        <w:jc w:val="left"/>
      </w:pPr>
      <w:r>
        <w:rPr>
          <w:rFonts w:hint="eastAsia" w:ascii="宋体" w:hAnsi="宋体" w:cs="宋体"/>
          <w:sz w:val="24"/>
          <w:szCs w:val="24"/>
        </w:rPr>
        <w:t xml:space="preserve">4. 我单位已详细阅读并完全理解、同意《磋商文件》的全部内容，包括澄清、修改、补充文件（竞争性磋商公告所述媒体公布）以及全部参考资料和有关附件；除我单位在《磋商文件》规定期间内书面提出的疑问外，我单位放弃对这方面有不明及误解的权力。 </w:t>
      </w:r>
    </w:p>
    <w:p>
      <w:pPr>
        <w:spacing w:line="500" w:lineRule="exact"/>
        <w:jc w:val="left"/>
        <w:rPr>
          <w:rFonts w:ascii="宋体" w:hAnsi="宋体" w:cs="宋体"/>
          <w:sz w:val="24"/>
          <w:szCs w:val="24"/>
        </w:rPr>
      </w:pPr>
      <w:r>
        <w:rPr>
          <w:rFonts w:hint="eastAsia" w:ascii="宋体" w:hAnsi="宋体" w:cs="宋体"/>
          <w:sz w:val="24"/>
          <w:szCs w:val="24"/>
        </w:rPr>
        <w:t xml:space="preserve">5.《响应文件》自开启日起有效期为 90 日历天。 </w:t>
      </w:r>
    </w:p>
    <w:p>
      <w:pPr>
        <w:spacing w:line="500" w:lineRule="exact"/>
        <w:jc w:val="left"/>
      </w:pPr>
      <w:r>
        <w:rPr>
          <w:rFonts w:hint="eastAsia" w:ascii="宋体" w:hAnsi="宋体" w:cs="宋体"/>
          <w:sz w:val="24"/>
          <w:szCs w:val="24"/>
        </w:rPr>
        <w:t xml:space="preserve">6.我单位承诺按照《磋商文件》规定的付款方式执行。 </w:t>
      </w:r>
    </w:p>
    <w:p>
      <w:pPr>
        <w:spacing w:line="500" w:lineRule="exact"/>
        <w:jc w:val="left"/>
      </w:pPr>
      <w:r>
        <w:rPr>
          <w:rFonts w:hint="eastAsia" w:ascii="宋体" w:hAnsi="宋体" w:cs="宋体"/>
          <w:sz w:val="24"/>
          <w:szCs w:val="24"/>
        </w:rPr>
        <w:t xml:space="preserve">7.如果在规定的开标时间后，我单位在投标有效期内撤回投标的，依据磋商文件“第三章 3.5.5 违背承诺的责任追究措施”，我单位承担相应法律责任及违约责任。 </w:t>
      </w:r>
    </w:p>
    <w:p>
      <w:pPr>
        <w:spacing w:line="500" w:lineRule="exact"/>
        <w:jc w:val="left"/>
      </w:pPr>
      <w:r>
        <w:rPr>
          <w:rFonts w:hint="eastAsia" w:ascii="宋体" w:hAnsi="宋体" w:cs="宋体"/>
          <w:sz w:val="24"/>
          <w:szCs w:val="24"/>
        </w:rPr>
        <w:t xml:space="preserve">8. 我单位同意提供按照贵方可能要求的与磋商有关的一切数据或资料，理解贵方不一定要接受最低价的投标或收到的任何投标。 </w:t>
      </w:r>
    </w:p>
    <w:p>
      <w:pPr>
        <w:spacing w:line="500" w:lineRule="exact"/>
        <w:jc w:val="left"/>
      </w:pPr>
      <w:r>
        <w:rPr>
          <w:rFonts w:hint="eastAsia" w:ascii="宋体" w:hAnsi="宋体" w:cs="宋体"/>
          <w:sz w:val="24"/>
          <w:szCs w:val="24"/>
        </w:rPr>
        <w:t xml:space="preserve">9.与本投标有关的一切正式往来请寄： </w:t>
      </w:r>
    </w:p>
    <w:p>
      <w:pPr>
        <w:spacing w:line="500" w:lineRule="exact"/>
        <w:jc w:val="left"/>
        <w:rPr>
          <w:rFonts w:ascii="宋体" w:hAnsi="宋体" w:cs="宋体"/>
          <w:sz w:val="24"/>
          <w:szCs w:val="24"/>
        </w:rPr>
      </w:pPr>
    </w:p>
    <w:p>
      <w:pPr>
        <w:spacing w:line="500" w:lineRule="exact"/>
        <w:jc w:val="left"/>
        <w:rPr>
          <w:rFonts w:ascii="宋体" w:hAnsi="宋体" w:cs="宋体"/>
          <w:sz w:val="24"/>
          <w:szCs w:val="24"/>
        </w:rPr>
      </w:pPr>
    </w:p>
    <w:p>
      <w:pPr>
        <w:spacing w:line="500" w:lineRule="exact"/>
        <w:jc w:val="left"/>
      </w:pPr>
      <w:r>
        <w:rPr>
          <w:rFonts w:hint="eastAsia" w:ascii="宋体" w:hAnsi="宋体" w:cs="宋体"/>
          <w:sz w:val="24"/>
          <w:szCs w:val="24"/>
        </w:rPr>
        <w:t xml:space="preserve">地址： 邮政编码： </w:t>
      </w:r>
    </w:p>
    <w:p>
      <w:pPr>
        <w:spacing w:line="500" w:lineRule="exact"/>
        <w:jc w:val="left"/>
      </w:pPr>
      <w:r>
        <w:rPr>
          <w:rFonts w:hint="eastAsia" w:ascii="宋体" w:hAnsi="宋体" w:cs="宋体"/>
          <w:sz w:val="24"/>
          <w:szCs w:val="24"/>
        </w:rPr>
        <w:t xml:space="preserve">电话： 传真： </w:t>
      </w:r>
    </w:p>
    <w:p>
      <w:pPr>
        <w:spacing w:line="500" w:lineRule="exact"/>
        <w:jc w:val="left"/>
      </w:pPr>
      <w:r>
        <w:rPr>
          <w:rFonts w:hint="eastAsia" w:ascii="宋体" w:hAnsi="宋体" w:cs="宋体"/>
          <w:sz w:val="24"/>
          <w:szCs w:val="24"/>
        </w:rPr>
        <w:t xml:space="preserve">供应商（电子签章）： </w:t>
      </w:r>
    </w:p>
    <w:p>
      <w:pPr>
        <w:spacing w:line="500" w:lineRule="exact"/>
        <w:jc w:val="left"/>
      </w:pPr>
      <w:r>
        <w:rPr>
          <w:rFonts w:hint="eastAsia" w:ascii="宋体" w:hAnsi="宋体" w:cs="宋体"/>
          <w:sz w:val="24"/>
          <w:szCs w:val="24"/>
        </w:rPr>
        <w:t xml:space="preserve">法定代表人（电子签名）： </w:t>
      </w:r>
    </w:p>
    <w:p>
      <w:pPr>
        <w:spacing w:line="500" w:lineRule="exact"/>
        <w:jc w:val="left"/>
      </w:pPr>
      <w:r>
        <w:rPr>
          <w:rFonts w:hint="eastAsia" w:ascii="宋体" w:hAnsi="宋体" w:cs="宋体"/>
          <w:sz w:val="24"/>
          <w:szCs w:val="24"/>
        </w:rPr>
        <w:t xml:space="preserve">日期： 年月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2、 开标一览表</w:t>
      </w:r>
    </w:p>
    <w:p>
      <w:pPr>
        <w:spacing w:line="600" w:lineRule="exact"/>
        <w:jc w:val="left"/>
      </w:pPr>
      <w:r>
        <w:rPr>
          <w:rFonts w:hint="eastAsia" w:ascii="宋体" w:hAnsi="宋体" w:cs="宋体"/>
          <w:b/>
          <w:bCs/>
          <w:sz w:val="24"/>
          <w:szCs w:val="24"/>
        </w:rPr>
        <w:t xml:space="preserve">注：供应商需在“安阳市政府采购投标文件编制系统”中、按系统要求填列开 </w:t>
      </w:r>
    </w:p>
    <w:p>
      <w:pPr>
        <w:spacing w:line="600" w:lineRule="exact"/>
        <w:jc w:val="left"/>
      </w:pPr>
      <w:r>
        <w:rPr>
          <w:rFonts w:hint="eastAsia" w:ascii="宋体" w:hAnsi="宋体" w:cs="宋体"/>
          <w:b/>
          <w:bCs/>
          <w:sz w:val="24"/>
          <w:szCs w:val="24"/>
        </w:rPr>
        <w:t xml:space="preserve">标一览表，系统中填列的开标一览表为供应商《投标文件》的一部分。 </w:t>
      </w:r>
    </w:p>
    <w:p>
      <w:pPr>
        <w:spacing w:line="600" w:lineRule="exact"/>
        <w:jc w:val="left"/>
        <w:rPr>
          <w:rFonts w:ascii="宋体" w:hAnsi="宋体" w:cs="宋体"/>
          <w:b/>
          <w:bCs/>
          <w:sz w:val="24"/>
          <w:szCs w:val="24"/>
        </w:rPr>
      </w:pPr>
    </w:p>
    <w:p>
      <w:pPr>
        <w:spacing w:line="600" w:lineRule="exact"/>
        <w:jc w:val="left"/>
      </w:pPr>
      <w:r>
        <w:rPr>
          <w:rFonts w:hint="eastAsia" w:ascii="宋体" w:hAnsi="宋体" w:cs="宋体"/>
          <w:b/>
          <w:bCs/>
          <w:sz w:val="24"/>
          <w:szCs w:val="24"/>
        </w:rPr>
        <w:t xml:space="preserve">基于电子化交易的特点，供应商上传解密后的《开标一览表》、《分项报价表》、 </w:t>
      </w:r>
    </w:p>
    <w:p>
      <w:pPr>
        <w:spacing w:line="600" w:lineRule="exact"/>
        <w:jc w:val="left"/>
      </w:pPr>
      <w:r>
        <w:rPr>
          <w:rFonts w:hint="eastAsia" w:ascii="宋体" w:hAnsi="宋体" w:cs="宋体"/>
          <w:b/>
          <w:bCs/>
          <w:sz w:val="24"/>
          <w:szCs w:val="24"/>
        </w:rPr>
        <w:t xml:space="preserve">《符合性响应文件》、《资格性证明文件》，构成《投标文件》的组成部分。 </w:t>
      </w:r>
    </w:p>
    <w:p>
      <w:pPr>
        <w:spacing w:line="600" w:lineRule="exact"/>
        <w:jc w:val="left"/>
        <w:rPr>
          <w:rFonts w:ascii="宋体" w:hAnsi="宋体" w:cs="宋体"/>
          <w:b/>
          <w:bCs/>
          <w:sz w:val="24"/>
          <w:szCs w:val="24"/>
        </w:rPr>
      </w:pPr>
    </w:p>
    <w:p>
      <w:pPr>
        <w:spacing w:line="600" w:lineRule="exact"/>
        <w:jc w:val="left"/>
      </w:pPr>
      <w:r>
        <w:rPr>
          <w:rFonts w:hint="eastAsia" w:ascii="宋体" w:hAnsi="宋体" w:cs="宋体"/>
          <w:b/>
          <w:bCs/>
          <w:sz w:val="24"/>
          <w:szCs w:val="24"/>
        </w:rPr>
        <w:t xml:space="preserve">《开标一览表》、《分项报价表》无需另行填列。 </w:t>
      </w:r>
    </w:p>
    <w:p>
      <w:pPr>
        <w:spacing w:line="600" w:lineRule="exact"/>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3、分项报价</w:t>
      </w:r>
    </w:p>
    <w:p>
      <w:pPr>
        <w:spacing w:line="600" w:lineRule="exact"/>
        <w:ind w:firstLine="482" w:firstLineChars="200"/>
        <w:jc w:val="left"/>
        <w:rPr>
          <w:rFonts w:ascii="宋体" w:hAnsi="宋体" w:cs="宋体"/>
          <w:b/>
          <w:bCs/>
          <w:sz w:val="24"/>
          <w:szCs w:val="24"/>
        </w:rPr>
      </w:pPr>
      <w:r>
        <w:rPr>
          <w:rFonts w:hint="eastAsia" w:ascii="宋体" w:hAnsi="宋体" w:cs="宋体"/>
          <w:b/>
          <w:bCs/>
          <w:sz w:val="24"/>
          <w:szCs w:val="24"/>
        </w:rPr>
        <w:t xml:space="preserve">注：1、供应商需在“安阳市政府采购投标文件编制系统”中、按系统要求填列分项报价，系统中填列的分项报价为供应商《投标文件》的一部分。 </w:t>
      </w:r>
    </w:p>
    <w:p>
      <w:pPr>
        <w:spacing w:line="600" w:lineRule="exact"/>
        <w:jc w:val="left"/>
        <w:rPr>
          <w:rFonts w:ascii="宋体" w:hAnsi="宋体" w:cs="宋体"/>
          <w:b/>
          <w:bCs/>
          <w:sz w:val="24"/>
          <w:szCs w:val="24"/>
        </w:rPr>
      </w:pPr>
    </w:p>
    <w:p>
      <w:pPr>
        <w:spacing w:line="600" w:lineRule="exact"/>
        <w:ind w:firstLine="482" w:firstLineChars="200"/>
        <w:jc w:val="left"/>
        <w:rPr>
          <w:rFonts w:ascii="宋体" w:hAnsi="宋体" w:cs="宋体"/>
          <w:b/>
          <w:bCs/>
          <w:sz w:val="24"/>
          <w:szCs w:val="24"/>
        </w:rPr>
      </w:pPr>
      <w:r>
        <w:rPr>
          <w:rFonts w:ascii="宋体" w:hAnsi="宋体" w:cs="宋体"/>
          <w:b/>
          <w:bCs/>
          <w:sz w:val="24"/>
          <w:szCs w:val="24"/>
        </w:rPr>
        <w:t>2</w:t>
      </w:r>
      <w:r>
        <w:rPr>
          <w:rFonts w:hint="eastAsia" w:ascii="宋体" w:hAnsi="宋体" w:cs="宋体"/>
          <w:b/>
          <w:bCs/>
          <w:sz w:val="24"/>
          <w:szCs w:val="24"/>
        </w:rPr>
        <w:t xml:space="preserve">、基于电子化交易的特点，供应商上传解密后的《开标一览表》、《分项报价表》、《符合性响应文件》、《资格性证明文件》，构成《投标文件》的组成部分。 </w:t>
      </w:r>
    </w:p>
    <w:p>
      <w:pPr>
        <w:spacing w:line="600" w:lineRule="exact"/>
        <w:jc w:val="left"/>
        <w:rPr>
          <w:rFonts w:ascii="宋体" w:hAnsi="宋体" w:cs="宋体"/>
          <w:b/>
          <w:bCs/>
          <w:sz w:val="24"/>
          <w:szCs w:val="24"/>
        </w:rPr>
      </w:pPr>
      <w:r>
        <w:rPr>
          <w:rFonts w:hint="eastAsia" w:ascii="宋体" w:hAnsi="宋体" w:cs="宋体"/>
          <w:b/>
          <w:bCs/>
          <w:sz w:val="24"/>
          <w:szCs w:val="24"/>
        </w:rPr>
        <w:t xml:space="preserve">《开标一览表》、《分项报价表》无需另行填列。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4、响应产品清单及具体技术参数</w:t>
      </w:r>
    </w:p>
    <w:p>
      <w:pPr>
        <w:jc w:val="center"/>
      </w:pPr>
      <w:r>
        <w:rPr>
          <w:rFonts w:hint="eastAsia" w:ascii="宋体" w:hAnsi="宋体" w:cs="宋体"/>
          <w:b/>
          <w:bCs/>
          <w:sz w:val="24"/>
          <w:szCs w:val="24"/>
        </w:rPr>
        <w:t>（格式自定）</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pStyle w:val="32"/>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center"/>
      </w:pPr>
      <w:r>
        <w:rPr>
          <w:rFonts w:hint="eastAsia" w:ascii="黑体" w:hAnsi="宋体" w:eastAsia="黑体" w:cs="黑体"/>
          <w:b/>
          <w:bCs/>
          <w:sz w:val="30"/>
          <w:szCs w:val="30"/>
        </w:rPr>
        <w:t>5、技术偏差表</w:t>
      </w:r>
    </w:p>
    <w:tbl>
      <w:tblPr>
        <w:tblStyle w:val="25"/>
        <w:tblW w:w="9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661"/>
        <w:gridCol w:w="1666"/>
        <w:gridCol w:w="1666"/>
        <w:gridCol w:w="1666"/>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266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产品名称</w:t>
            </w:r>
          </w:p>
        </w:tc>
        <w:tc>
          <w:tcPr>
            <w:tcW w:w="1666"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技术参数</w:t>
            </w:r>
          </w:p>
        </w:tc>
        <w:tc>
          <w:tcPr>
            <w:tcW w:w="1666"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单位</w:t>
            </w:r>
          </w:p>
        </w:tc>
        <w:tc>
          <w:tcPr>
            <w:tcW w:w="1666"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数量</w:t>
            </w:r>
          </w:p>
        </w:tc>
        <w:tc>
          <w:tcPr>
            <w:tcW w:w="1666"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是否响应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9</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671" w:type="dxa"/>
            <w:vAlign w:val="center"/>
          </w:tcPr>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2661"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c>
          <w:tcPr>
            <w:tcW w:w="1666" w:type="dxa"/>
            <w:vAlign w:val="center"/>
          </w:tcPr>
          <w:p>
            <w:pPr>
              <w:jc w:val="both"/>
              <w:rPr>
                <w:rFonts w:hint="eastAsia" w:ascii="宋体" w:hAnsi="宋体" w:eastAsia="宋体" w:cs="宋体"/>
                <w:b w:val="0"/>
                <w:bCs w:val="0"/>
                <w:sz w:val="24"/>
                <w:szCs w:val="24"/>
              </w:rPr>
            </w:pPr>
          </w:p>
        </w:tc>
      </w:tr>
    </w:tbl>
    <w:p>
      <w:pPr>
        <w:jc w:val="both"/>
        <w:rPr>
          <w:rFonts w:hint="eastAsia" w:ascii="黑体" w:hAnsi="宋体" w:eastAsia="黑体" w:cs="黑体"/>
          <w:b/>
          <w:bCs/>
          <w:sz w:val="30"/>
          <w:szCs w:val="30"/>
        </w:rPr>
      </w:pPr>
    </w:p>
    <w:p>
      <w:pPr>
        <w:jc w:val="both"/>
        <w:rPr>
          <w:rFonts w:hint="eastAsia" w:ascii="黑体" w:hAnsi="宋体" w:eastAsia="黑体" w:cs="黑体"/>
          <w:b/>
          <w:bCs/>
          <w:sz w:val="30"/>
          <w:szCs w:val="30"/>
        </w:rPr>
      </w:pP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供应商（电子签章）：</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法定代表人（电子签名）：</w:t>
      </w:r>
    </w:p>
    <w:p>
      <w:pPr>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日期：年 月 日</w:t>
      </w: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tbl>
      <w:tblPr>
        <w:tblStyle w:val="2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32"/>
        <w:gridCol w:w="3503"/>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序号</w:t>
            </w:r>
          </w:p>
        </w:tc>
        <w:tc>
          <w:tcPr>
            <w:tcW w:w="3032"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磋商文件要求条款</w:t>
            </w:r>
          </w:p>
        </w:tc>
        <w:tc>
          <w:tcPr>
            <w:tcW w:w="350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响应文件条款</w:t>
            </w:r>
          </w:p>
        </w:tc>
        <w:tc>
          <w:tcPr>
            <w:tcW w:w="2470"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1</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2</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3</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4</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5</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6</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7</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3" w:type="dxa"/>
            <w:vAlign w:val="center"/>
          </w:tcPr>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w:t>
            </w:r>
          </w:p>
        </w:tc>
        <w:tc>
          <w:tcPr>
            <w:tcW w:w="3032" w:type="dxa"/>
          </w:tcPr>
          <w:p>
            <w:pPr>
              <w:pStyle w:val="32"/>
              <w:rPr>
                <w:rFonts w:hint="eastAsia" w:ascii="宋体" w:hAnsi="宋体" w:eastAsia="宋体" w:cs="宋体"/>
                <w:b w:val="0"/>
                <w:bCs w:val="0"/>
                <w:sz w:val="24"/>
                <w:szCs w:val="24"/>
              </w:rPr>
            </w:pPr>
          </w:p>
        </w:tc>
        <w:tc>
          <w:tcPr>
            <w:tcW w:w="3503" w:type="dxa"/>
          </w:tcPr>
          <w:p>
            <w:pPr>
              <w:pStyle w:val="32"/>
              <w:rPr>
                <w:rFonts w:hint="eastAsia" w:ascii="宋体" w:hAnsi="宋体" w:eastAsia="宋体" w:cs="宋体"/>
                <w:b w:val="0"/>
                <w:bCs w:val="0"/>
                <w:sz w:val="24"/>
                <w:szCs w:val="24"/>
              </w:rPr>
            </w:pPr>
          </w:p>
        </w:tc>
        <w:tc>
          <w:tcPr>
            <w:tcW w:w="2470" w:type="dxa"/>
          </w:tcPr>
          <w:p>
            <w:pPr>
              <w:pStyle w:val="32"/>
              <w:rPr>
                <w:rFonts w:hint="eastAsia" w:ascii="宋体" w:hAnsi="宋体" w:eastAsia="宋体" w:cs="宋体"/>
                <w:b w:val="0"/>
                <w:bCs w:val="0"/>
                <w:sz w:val="24"/>
                <w:szCs w:val="24"/>
              </w:rPr>
            </w:pPr>
          </w:p>
        </w:tc>
      </w:tr>
    </w:tbl>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r>
        <w:rPr>
          <w:rFonts w:hint="eastAsia" w:ascii="宋体" w:hAnsi="宋体" w:eastAsia="宋体" w:cs="宋体"/>
          <w:b w:val="0"/>
          <w:bCs w:val="0"/>
          <w:sz w:val="24"/>
          <w:szCs w:val="24"/>
        </w:rPr>
        <w:t>注：1、“技术偏差表”应详细注明与《磋商文件》中各项技术要求有何不同，并说明其符合性（优于、或低于《磋商文件》要求）。</w:t>
      </w: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pStyle w:val="32"/>
        <w:rPr>
          <w:rFonts w:hint="eastAsia" w:ascii="宋体" w:hAnsi="宋体" w:eastAsia="宋体" w:cs="宋体"/>
          <w:b w:val="0"/>
          <w:bCs w:val="0"/>
          <w:sz w:val="24"/>
          <w:szCs w:val="24"/>
        </w:rPr>
      </w:pPr>
    </w:p>
    <w:p>
      <w:pPr>
        <w:jc w:val="center"/>
        <w:rPr>
          <w:rFonts w:hint="eastAsia" w:ascii="黑体" w:hAnsi="宋体" w:eastAsia="黑体" w:cs="黑体"/>
          <w:b/>
          <w:bCs/>
          <w:sz w:val="30"/>
          <w:szCs w:val="30"/>
        </w:rPr>
      </w:pPr>
    </w:p>
    <w:p>
      <w:pPr>
        <w:jc w:val="center"/>
        <w:rPr>
          <w:rFonts w:hint="eastAsia" w:ascii="黑体" w:hAnsi="宋体" w:eastAsia="黑体" w:cs="黑体"/>
          <w:b/>
          <w:bCs/>
          <w:sz w:val="30"/>
          <w:szCs w:val="30"/>
        </w:rPr>
      </w:pPr>
    </w:p>
    <w:p>
      <w:pPr>
        <w:jc w:val="center"/>
        <w:rPr>
          <w:rFonts w:hint="eastAsia" w:ascii="黑体" w:hAnsi="宋体" w:eastAsia="黑体" w:cs="黑体"/>
          <w:b/>
          <w:bCs/>
          <w:sz w:val="30"/>
          <w:szCs w:val="30"/>
        </w:rPr>
      </w:pPr>
    </w:p>
    <w:p>
      <w:pPr>
        <w:jc w:val="center"/>
        <w:rPr>
          <w:rFonts w:hint="eastAsia" w:ascii="黑体" w:hAnsi="宋体" w:eastAsia="黑体" w:cs="黑体"/>
          <w:b/>
          <w:bCs/>
          <w:sz w:val="30"/>
          <w:szCs w:val="30"/>
        </w:rPr>
      </w:pPr>
    </w:p>
    <w:p>
      <w:pPr>
        <w:jc w:val="center"/>
      </w:pPr>
      <w:r>
        <w:rPr>
          <w:rFonts w:hint="eastAsia" w:ascii="黑体" w:hAnsi="宋体" w:eastAsia="黑体" w:cs="黑体"/>
          <w:b/>
          <w:bCs/>
          <w:sz w:val="30"/>
          <w:szCs w:val="30"/>
          <w:lang w:val="en-US" w:eastAsia="zh-CN"/>
        </w:rPr>
        <w:t>6、</w:t>
      </w:r>
      <w:r>
        <w:rPr>
          <w:rFonts w:hint="eastAsia" w:ascii="黑体" w:hAnsi="宋体" w:eastAsia="黑体" w:cs="黑体"/>
          <w:b/>
          <w:bCs/>
          <w:sz w:val="30"/>
          <w:szCs w:val="30"/>
        </w:rPr>
        <w:t>技术偏差表</w:t>
      </w:r>
    </w:p>
    <w:tbl>
      <w:tblPr>
        <w:tblStyle w:val="25"/>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3032"/>
        <w:gridCol w:w="3503"/>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序号</w:t>
            </w:r>
          </w:p>
        </w:tc>
        <w:tc>
          <w:tcPr>
            <w:tcW w:w="3032" w:type="dxa"/>
          </w:tcPr>
          <w:p>
            <w:pPr>
              <w:jc w:val="center"/>
              <w:rPr>
                <w:rFonts w:ascii="宋体" w:hAnsi="宋体" w:cs="宋体"/>
                <w:sz w:val="24"/>
                <w:szCs w:val="24"/>
              </w:rPr>
            </w:pPr>
            <w:r>
              <w:rPr>
                <w:rFonts w:hint="eastAsia" w:ascii="宋体" w:hAnsi="宋体" w:cs="宋体"/>
                <w:sz w:val="24"/>
                <w:szCs w:val="24"/>
              </w:rPr>
              <w:t>磋商文件要求条款</w:t>
            </w:r>
          </w:p>
        </w:tc>
        <w:tc>
          <w:tcPr>
            <w:tcW w:w="3503" w:type="dxa"/>
          </w:tcPr>
          <w:p>
            <w:pPr>
              <w:jc w:val="center"/>
              <w:rPr>
                <w:rFonts w:ascii="宋体" w:hAnsi="宋体" w:cs="宋体"/>
                <w:sz w:val="24"/>
                <w:szCs w:val="24"/>
              </w:rPr>
            </w:pPr>
            <w:r>
              <w:rPr>
                <w:rFonts w:hint="eastAsia" w:ascii="宋体" w:hAnsi="宋体" w:cs="宋体"/>
                <w:sz w:val="24"/>
                <w:szCs w:val="24"/>
              </w:rPr>
              <w:t>响应文件条款</w:t>
            </w:r>
          </w:p>
        </w:tc>
        <w:tc>
          <w:tcPr>
            <w:tcW w:w="2470" w:type="dxa"/>
          </w:tcPr>
          <w:p>
            <w:pPr>
              <w:jc w:val="center"/>
              <w:rPr>
                <w:rFonts w:ascii="宋体" w:hAnsi="宋体" w:cs="宋体"/>
                <w:sz w:val="24"/>
                <w:szCs w:val="24"/>
              </w:rPr>
            </w:pPr>
            <w:r>
              <w:rPr>
                <w:rFonts w:hint="eastAsia" w:ascii="宋体" w:hAnsi="宋体" w:cs="宋体"/>
                <w:sz w:val="24"/>
                <w:szCs w:val="24"/>
              </w:rPr>
              <w:t>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1</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2</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3</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4</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5</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6</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7</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73" w:type="dxa"/>
          </w:tcPr>
          <w:p>
            <w:pPr>
              <w:jc w:val="center"/>
              <w:rPr>
                <w:rFonts w:ascii="宋体" w:hAnsi="宋体" w:cs="宋体"/>
                <w:sz w:val="24"/>
                <w:szCs w:val="24"/>
              </w:rPr>
            </w:pPr>
            <w:r>
              <w:rPr>
                <w:rFonts w:hint="eastAsia" w:ascii="宋体" w:hAnsi="宋体" w:cs="宋体"/>
                <w:sz w:val="24"/>
                <w:szCs w:val="24"/>
              </w:rPr>
              <w:t>8</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873" w:type="dxa"/>
          </w:tcPr>
          <w:p>
            <w:pPr>
              <w:jc w:val="center"/>
              <w:rPr>
                <w:rFonts w:ascii="宋体" w:hAnsi="宋体" w:cs="宋体"/>
                <w:sz w:val="24"/>
                <w:szCs w:val="24"/>
              </w:rPr>
            </w:pPr>
            <w:r>
              <w:rPr>
                <w:rFonts w:hint="eastAsia" w:ascii="宋体" w:hAnsi="宋体" w:cs="宋体"/>
                <w:sz w:val="24"/>
                <w:szCs w:val="24"/>
              </w:rPr>
              <w:t>....</w:t>
            </w:r>
          </w:p>
        </w:tc>
        <w:tc>
          <w:tcPr>
            <w:tcW w:w="3032" w:type="dxa"/>
          </w:tcPr>
          <w:p>
            <w:pPr>
              <w:jc w:val="center"/>
              <w:rPr>
                <w:rFonts w:ascii="宋体" w:hAnsi="宋体" w:cs="宋体"/>
                <w:sz w:val="24"/>
                <w:szCs w:val="24"/>
              </w:rPr>
            </w:pPr>
          </w:p>
        </w:tc>
        <w:tc>
          <w:tcPr>
            <w:tcW w:w="3503" w:type="dxa"/>
          </w:tcPr>
          <w:p>
            <w:pPr>
              <w:jc w:val="center"/>
              <w:rPr>
                <w:rFonts w:ascii="宋体" w:hAnsi="宋体" w:cs="宋体"/>
                <w:sz w:val="24"/>
                <w:szCs w:val="24"/>
              </w:rPr>
            </w:pPr>
          </w:p>
        </w:tc>
        <w:tc>
          <w:tcPr>
            <w:tcW w:w="2470" w:type="dxa"/>
          </w:tcPr>
          <w:p>
            <w:pPr>
              <w:jc w:val="center"/>
              <w:rPr>
                <w:rFonts w:ascii="宋体" w:hAnsi="宋体" w:cs="宋体"/>
                <w:sz w:val="24"/>
                <w:szCs w:val="24"/>
              </w:rPr>
            </w:pPr>
          </w:p>
        </w:tc>
      </w:tr>
    </w:tbl>
    <w:p>
      <w:pPr>
        <w:jc w:val="left"/>
        <w:rPr>
          <w:rFonts w:ascii="宋体" w:hAnsi="宋体" w:cs="宋体"/>
          <w:sz w:val="24"/>
          <w:szCs w:val="24"/>
        </w:rPr>
      </w:pPr>
    </w:p>
    <w:p>
      <w:pPr>
        <w:jc w:val="left"/>
      </w:pPr>
      <w:r>
        <w:rPr>
          <w:rFonts w:hint="eastAsia" w:ascii="宋体" w:hAnsi="宋体" w:cs="宋体"/>
          <w:sz w:val="24"/>
          <w:szCs w:val="24"/>
        </w:rPr>
        <w:t xml:space="preserve">注：如投标条款与《磋商文件》要求一致，仍需在本表填列“与《磋商文件》所有条款要求一致，无偏差”字样。 </w:t>
      </w:r>
    </w:p>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pPr>
      <w:r>
        <w:rPr>
          <w:rFonts w:hint="eastAsia" w:ascii="宋体" w:hAnsi="宋体" w:cs="宋体"/>
          <w:sz w:val="24"/>
          <w:szCs w:val="24"/>
        </w:rPr>
        <w:t>日期： 年 月 日</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lang w:val="en-US" w:eastAsia="zh-CN"/>
        </w:rPr>
        <w:t>7、售后服务计划</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default" w:ascii="宋体" w:hAnsi="宋体" w:cs="宋体"/>
          <w:sz w:val="24"/>
          <w:szCs w:val="24"/>
          <w:lang w:val="en-US" w:eastAsia="zh-CN"/>
        </w:rPr>
      </w:pPr>
      <w:r>
        <w:rPr>
          <w:rFonts w:hint="eastAsia" w:hAnsi="宋体" w:cs="宋体"/>
          <w:sz w:val="24"/>
          <w:szCs w:val="24"/>
          <w:lang w:val="en-US" w:eastAsia="zh-CN"/>
        </w:rPr>
        <w:t xml:space="preserve">                              </w:t>
      </w:r>
      <w:r>
        <w:rPr>
          <w:rFonts w:hint="eastAsia" w:hAnsi="宋体" w:cs="宋体"/>
          <w:b/>
          <w:bCs/>
          <w:sz w:val="24"/>
          <w:szCs w:val="24"/>
          <w:lang w:val="en-US" w:eastAsia="zh-CN"/>
        </w:rPr>
        <w:t>格式自拟</w:t>
      </w: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eastAsia" w:ascii="宋体" w:hAnsi="宋体" w:cs="宋体"/>
          <w:sz w:val="24"/>
          <w:szCs w:val="24"/>
          <w:lang w:val="en-US" w:eastAsia="zh-CN"/>
        </w:rPr>
      </w:pPr>
    </w:p>
    <w:p>
      <w:pPr>
        <w:pStyle w:val="32"/>
        <w:rPr>
          <w:rFonts w:hint="default" w:ascii="宋体" w:hAnsi="宋体" w:cs="宋体"/>
          <w:sz w:val="24"/>
          <w:szCs w:val="24"/>
          <w:lang w:val="en-US" w:eastAsia="zh-CN"/>
        </w:rPr>
      </w:pPr>
    </w:p>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rPr>
          <w:rFonts w:ascii="宋体" w:hAnsi="宋体" w:cs="宋体"/>
          <w:sz w:val="24"/>
          <w:szCs w:val="24"/>
        </w:rPr>
      </w:pPr>
      <w:r>
        <w:rPr>
          <w:rFonts w:hint="eastAsia" w:ascii="宋体" w:hAnsi="宋体" w:cs="宋体"/>
          <w:sz w:val="24"/>
          <w:szCs w:val="24"/>
        </w:rPr>
        <w:t>日期： 年 月 日</w:t>
      </w:r>
    </w:p>
    <w:p>
      <w:pPr>
        <w:rPr>
          <w:rFonts w:ascii="宋体" w:hAnsi="宋体" w:cs="宋体"/>
          <w:sz w:val="24"/>
          <w:szCs w:val="24"/>
        </w:rPr>
      </w:pPr>
      <w:r>
        <w:rPr>
          <w:rFonts w:hint="eastAsia" w:ascii="宋体" w:hAnsi="宋体" w:cs="宋体"/>
          <w:sz w:val="24"/>
          <w:szCs w:val="24"/>
        </w:rPr>
        <w:br w:type="page"/>
      </w:r>
    </w:p>
    <w:p>
      <w:pPr>
        <w:jc w:val="center"/>
      </w:pPr>
      <w:r>
        <w:rPr>
          <w:rFonts w:hint="eastAsia" w:ascii="黑体" w:hAnsi="宋体" w:eastAsia="黑体" w:cs="黑体"/>
          <w:b/>
          <w:bCs/>
          <w:sz w:val="30"/>
          <w:szCs w:val="30"/>
        </w:rPr>
        <w:t>8、反商业贿赂承诺书</w:t>
      </w:r>
    </w:p>
    <w:p>
      <w:pPr>
        <w:spacing w:line="700" w:lineRule="exact"/>
        <w:ind w:firstLine="480" w:firstLineChars="200"/>
        <w:jc w:val="left"/>
        <w:rPr>
          <w:sz w:val="24"/>
          <w:szCs w:val="24"/>
        </w:rPr>
      </w:pPr>
      <w:r>
        <w:rPr>
          <w:rFonts w:hint="eastAsia" w:ascii="宋体" w:hAnsi="宋体" w:cs="宋体"/>
          <w:sz w:val="24"/>
          <w:szCs w:val="24"/>
        </w:rPr>
        <w:t xml:space="preserve">我公司承诺： </w:t>
      </w:r>
    </w:p>
    <w:p>
      <w:pPr>
        <w:spacing w:line="700" w:lineRule="exact"/>
        <w:ind w:firstLine="480" w:firstLineChars="200"/>
        <w:jc w:val="left"/>
        <w:rPr>
          <w:sz w:val="24"/>
          <w:szCs w:val="24"/>
        </w:rPr>
      </w:pPr>
      <w:r>
        <w:rPr>
          <w:rFonts w:hint="eastAsia" w:ascii="宋体" w:hAnsi="宋体" w:cs="宋体"/>
          <w:sz w:val="24"/>
          <w:szCs w:val="24"/>
        </w:rPr>
        <w:t xml:space="preserve">在采购活动中，我公司保证做到： </w:t>
      </w:r>
    </w:p>
    <w:p>
      <w:pPr>
        <w:spacing w:line="700" w:lineRule="exact"/>
        <w:ind w:firstLine="480" w:firstLineChars="200"/>
        <w:jc w:val="left"/>
        <w:rPr>
          <w:sz w:val="24"/>
          <w:szCs w:val="24"/>
        </w:rPr>
      </w:pPr>
      <w:r>
        <w:rPr>
          <w:rFonts w:hint="eastAsia" w:ascii="宋体" w:hAnsi="宋体" w:cs="宋体"/>
          <w:sz w:val="24"/>
          <w:szCs w:val="24"/>
        </w:rPr>
        <w:t xml:space="preserve">一、公平竞争参加本次采购活动。 </w:t>
      </w:r>
    </w:p>
    <w:p>
      <w:pPr>
        <w:spacing w:line="700" w:lineRule="exact"/>
        <w:ind w:firstLine="480" w:firstLineChars="200"/>
        <w:jc w:val="left"/>
        <w:rPr>
          <w:sz w:val="24"/>
          <w:szCs w:val="24"/>
        </w:rPr>
      </w:pPr>
      <w:r>
        <w:rPr>
          <w:rFonts w:hint="eastAsia" w:ascii="宋体" w:hAnsi="宋体" w:cs="宋体"/>
          <w:sz w:val="24"/>
          <w:szCs w:val="24"/>
        </w:rPr>
        <w:t xml:space="preserve">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 </w:t>
      </w:r>
    </w:p>
    <w:p>
      <w:pPr>
        <w:spacing w:line="700" w:lineRule="exact"/>
        <w:ind w:firstLine="480" w:firstLineChars="200"/>
        <w:jc w:val="left"/>
        <w:rPr>
          <w:sz w:val="24"/>
          <w:szCs w:val="24"/>
        </w:rPr>
      </w:pPr>
      <w:r>
        <w:rPr>
          <w:rFonts w:hint="eastAsia" w:ascii="宋体" w:hAnsi="宋体" w:cs="宋体"/>
          <w:sz w:val="24"/>
          <w:szCs w:val="24"/>
        </w:rPr>
        <w:t xml:space="preserve">三、若出现上述行为，我公司及其参与投标的工作人员愿意接受按照国家法律法规等有关规定给予的处罚。 </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rPr>
          <w:sz w:val="24"/>
          <w:szCs w:val="24"/>
          <w:u w:val="single"/>
        </w:rPr>
      </w:pPr>
      <w:r>
        <w:rPr>
          <w:rFonts w:hint="eastAsia" w:ascii="宋体" w:hAnsi="宋体" w:cs="宋体"/>
          <w:sz w:val="24"/>
          <w:szCs w:val="24"/>
        </w:rPr>
        <w:t xml:space="preserve">供应商（电子签章）： </w:t>
      </w:r>
    </w:p>
    <w:p>
      <w:pPr>
        <w:jc w:val="left"/>
        <w:rPr>
          <w:sz w:val="24"/>
          <w:szCs w:val="24"/>
          <w:u w:val="single"/>
        </w:rPr>
      </w:pPr>
      <w:r>
        <w:rPr>
          <w:rFonts w:hint="eastAsia" w:ascii="宋体" w:hAnsi="宋体" w:cs="宋体"/>
          <w:sz w:val="24"/>
          <w:szCs w:val="24"/>
        </w:rPr>
        <w:t xml:space="preserve">法定代表人（电子签名）： </w:t>
      </w:r>
    </w:p>
    <w:p>
      <w:pPr>
        <w:jc w:val="left"/>
        <w:rPr>
          <w:sz w:val="24"/>
          <w:szCs w:val="24"/>
        </w:rPr>
      </w:pPr>
      <w:r>
        <w:rPr>
          <w:rFonts w:hint="eastAsia" w:ascii="宋体" w:hAnsi="宋体" w:cs="宋体"/>
          <w:sz w:val="24"/>
          <w:szCs w:val="24"/>
        </w:rPr>
        <w:t xml:space="preserve">日期 ： 年 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9、履约承诺书</w:t>
      </w:r>
    </w:p>
    <w:p>
      <w:pPr>
        <w:spacing w:line="560" w:lineRule="exact"/>
        <w:ind w:firstLine="480" w:firstLineChars="200"/>
        <w:jc w:val="left"/>
        <w:rPr>
          <w:sz w:val="24"/>
          <w:szCs w:val="24"/>
        </w:rPr>
      </w:pPr>
      <w:r>
        <w:rPr>
          <w:rFonts w:hint="eastAsia" w:ascii="宋体" w:hAnsi="宋体" w:cs="宋体"/>
          <w:sz w:val="24"/>
          <w:szCs w:val="24"/>
        </w:rPr>
        <w:t xml:space="preserve">一、我单位承诺： </w:t>
      </w:r>
    </w:p>
    <w:p>
      <w:pPr>
        <w:spacing w:line="560" w:lineRule="exact"/>
        <w:ind w:firstLine="480" w:firstLineChars="200"/>
        <w:jc w:val="left"/>
        <w:rPr>
          <w:sz w:val="24"/>
          <w:szCs w:val="24"/>
        </w:rPr>
      </w:pPr>
      <w:r>
        <w:rPr>
          <w:rFonts w:hint="eastAsia" w:ascii="宋体" w:hAnsi="宋体" w:cs="宋体"/>
          <w:sz w:val="24"/>
          <w:szCs w:val="24"/>
        </w:rPr>
        <w:t xml:space="preserve">（一）我单位已详细阅读并完全理解、同意《磋商文件》的全部内容，包括修改补充文件以及全部参考资料和有关附件；除我单位在《磋商文件》规定期间内书面提出的疑问外，我单位放弃对这方面不明及误解的权力，并严格按采购人确定的技术及商务要求等履行。 </w:t>
      </w:r>
    </w:p>
    <w:p>
      <w:pPr>
        <w:spacing w:line="560" w:lineRule="exact"/>
        <w:ind w:firstLine="480" w:firstLineChars="200"/>
        <w:jc w:val="left"/>
        <w:rPr>
          <w:sz w:val="24"/>
          <w:szCs w:val="24"/>
        </w:rPr>
      </w:pPr>
      <w:r>
        <w:rPr>
          <w:rFonts w:hint="eastAsia" w:ascii="宋体" w:hAnsi="宋体" w:cs="宋体"/>
          <w:sz w:val="24"/>
          <w:szCs w:val="24"/>
        </w:rPr>
        <w:t xml:space="preserve">（二）我单位《响应文件》开启前已详细勘察现场，并按采购人现场条件及采购要求编制响应报价；我单位的响应报价括《磋商文件》所述报价组成的所有内容、并包括《磋商文件》未列明而与采购项目相关的、必须的所有款项及费用等达到交付使用及验收条件的所有一切风险、责任和义务的费用。 </w:t>
      </w:r>
    </w:p>
    <w:p>
      <w:pPr>
        <w:spacing w:line="560" w:lineRule="exact"/>
        <w:jc w:val="left"/>
        <w:rPr>
          <w:sz w:val="24"/>
          <w:szCs w:val="24"/>
        </w:rPr>
      </w:pPr>
      <w:r>
        <w:rPr>
          <w:rFonts w:hint="eastAsia" w:ascii="宋体" w:hAnsi="宋体" w:cs="宋体"/>
          <w:sz w:val="24"/>
          <w:szCs w:val="24"/>
        </w:rPr>
        <w:t xml:space="preserve">我单位保证按《磋商文件》要求及投标承诺的质量诚信履约。 </w:t>
      </w:r>
    </w:p>
    <w:p>
      <w:pPr>
        <w:spacing w:line="560" w:lineRule="exact"/>
        <w:ind w:firstLine="480" w:firstLineChars="200"/>
        <w:jc w:val="left"/>
        <w:rPr>
          <w:sz w:val="24"/>
          <w:szCs w:val="24"/>
        </w:rPr>
      </w:pPr>
      <w:r>
        <w:rPr>
          <w:rFonts w:hint="eastAsia" w:ascii="宋体" w:hAnsi="宋体" w:cs="宋体"/>
          <w:sz w:val="24"/>
          <w:szCs w:val="24"/>
        </w:rPr>
        <w:t xml:space="preserve">（三）我单位保证在《磋商文件》要求的时间内按期、保质完成中标项目。我单位在推荐中标结果公示后，将积极、主动的与采购人联系合同签订事宜，合同签订中如有任何的问题，我单位保证及时书面反映情况，否则视为我单位责任、按违约处理。 </w:t>
      </w:r>
    </w:p>
    <w:p>
      <w:pPr>
        <w:spacing w:line="560" w:lineRule="exact"/>
        <w:ind w:firstLine="240" w:firstLineChars="100"/>
        <w:jc w:val="left"/>
        <w:rPr>
          <w:sz w:val="24"/>
          <w:szCs w:val="24"/>
        </w:rPr>
      </w:pPr>
      <w:r>
        <w:rPr>
          <w:rFonts w:hint="eastAsia" w:ascii="宋体" w:hAnsi="宋体" w:cs="宋体"/>
          <w:sz w:val="24"/>
          <w:szCs w:val="24"/>
        </w:rPr>
        <w:t xml:space="preserve">二、我单位承诺： </w:t>
      </w:r>
    </w:p>
    <w:p>
      <w:pPr>
        <w:spacing w:line="560" w:lineRule="exact"/>
        <w:ind w:firstLine="480" w:firstLineChars="200"/>
        <w:jc w:val="left"/>
        <w:rPr>
          <w:sz w:val="24"/>
          <w:szCs w:val="24"/>
        </w:rPr>
      </w:pPr>
      <w:r>
        <w:rPr>
          <w:rFonts w:hint="eastAsia" w:ascii="宋体" w:hAnsi="宋体" w:cs="宋体"/>
          <w:sz w:val="24"/>
          <w:szCs w:val="24"/>
        </w:rPr>
        <w:t xml:space="preserve">除法律规定的不可抗力因素外，我单位中标后以任何理由（包括违背上述承诺的事项）提出不能满足《磋商文件》技术、交验期等要求或不能实现投标承诺的或提出变更的，我单位将无条件接受违约处理、并放弃我单位中标资格。我单位知悉违约责任及其处理，并无条件接受：依据磋商文件“第三章 3.5.5 违背承诺的责任追究措施”，投标单位承担相应法律责任及违约责任；情节严重的，由财政部门列入不良行为记录名单，在一至三年内禁止参加政府采购活动，并予以通报，处以罚金，给采购人及他人造成损失的，承担相应的赔偿责任。 </w:t>
      </w:r>
    </w:p>
    <w:p>
      <w:pPr>
        <w:jc w:val="left"/>
        <w:rPr>
          <w:rFonts w:ascii="宋体" w:hAnsi="宋体" w:cs="宋体"/>
          <w:sz w:val="24"/>
          <w:szCs w:val="24"/>
        </w:rPr>
      </w:pPr>
    </w:p>
    <w:p>
      <w:pPr>
        <w:jc w:val="left"/>
        <w:rPr>
          <w:sz w:val="24"/>
          <w:szCs w:val="24"/>
        </w:rPr>
      </w:pPr>
      <w:r>
        <w:rPr>
          <w:rFonts w:hint="eastAsia" w:ascii="宋体" w:hAnsi="宋体" w:cs="宋体"/>
          <w:sz w:val="24"/>
          <w:szCs w:val="24"/>
        </w:rPr>
        <w:t>供应商（电子签章）：</w:t>
      </w:r>
    </w:p>
    <w:p>
      <w:pPr>
        <w:jc w:val="left"/>
        <w:rPr>
          <w:sz w:val="24"/>
          <w:szCs w:val="24"/>
          <w:u w:val="single"/>
        </w:rPr>
      </w:pPr>
      <w:r>
        <w:rPr>
          <w:rFonts w:hint="eastAsia" w:ascii="宋体" w:hAnsi="宋体" w:cs="宋体"/>
          <w:sz w:val="24"/>
          <w:szCs w:val="24"/>
        </w:rPr>
        <w:t xml:space="preserve">法定代表人（电子签名）： </w:t>
      </w:r>
    </w:p>
    <w:p>
      <w:pPr>
        <w:jc w:val="left"/>
        <w:rPr>
          <w:sz w:val="24"/>
          <w:szCs w:val="24"/>
        </w:rPr>
      </w:pPr>
      <w:r>
        <w:rPr>
          <w:rFonts w:hint="eastAsia" w:ascii="宋体" w:hAnsi="宋体" w:cs="宋体"/>
          <w:sz w:val="24"/>
          <w:szCs w:val="24"/>
        </w:rPr>
        <w:t xml:space="preserve">日期 ： 年 月 日 </w:t>
      </w:r>
    </w:p>
    <w:p>
      <w:pPr>
        <w:rPr>
          <w:rFonts w:ascii="黑体" w:hAnsi="宋体" w:eastAsia="黑体" w:cs="黑体"/>
          <w:b/>
          <w:bCs/>
          <w:sz w:val="24"/>
          <w:szCs w:val="24"/>
        </w:rPr>
      </w:pPr>
      <w:r>
        <w:rPr>
          <w:rFonts w:hint="eastAsia" w:ascii="黑体" w:hAnsi="宋体" w:eastAsia="黑体" w:cs="黑体"/>
          <w:b/>
          <w:bCs/>
          <w:sz w:val="24"/>
          <w:szCs w:val="24"/>
        </w:rPr>
        <w:br w:type="page"/>
      </w:r>
    </w:p>
    <w:p>
      <w:pPr>
        <w:jc w:val="center"/>
      </w:pPr>
      <w:r>
        <w:rPr>
          <w:rFonts w:hint="eastAsia" w:ascii="黑体" w:hAnsi="宋体" w:eastAsia="黑体" w:cs="黑体"/>
          <w:b/>
          <w:bCs/>
          <w:sz w:val="30"/>
          <w:szCs w:val="30"/>
        </w:rPr>
        <w:t>10、采购项目及服务要求所需的其他材料（按条款需要）</w:t>
      </w:r>
    </w:p>
    <w:p>
      <w:pPr>
        <w:jc w:val="left"/>
      </w:pPr>
      <w:r>
        <w:rPr>
          <w:rFonts w:hint="eastAsia" w:ascii="宋体" w:hAnsi="宋体" w:cs="宋体"/>
          <w:sz w:val="24"/>
          <w:szCs w:val="24"/>
        </w:rPr>
        <w:t>（按条款需要填列；并按条款要求电子签名&lt;签章&gt;。条款中对电子签名&lt;签章&gt;未作明确要求的，由法定代表人电子签名或供应商电子签章）</w:t>
      </w:r>
    </w:p>
    <w:p>
      <w:pPr>
        <w:rPr>
          <w:rFonts w:ascii="黑体" w:hAnsi="宋体" w:eastAsia="黑体" w:cs="黑体"/>
          <w:b/>
          <w:bCs/>
          <w:sz w:val="30"/>
          <w:szCs w:val="30"/>
        </w:rPr>
      </w:pPr>
      <w:r>
        <w:rPr>
          <w:rFonts w:hint="eastAsia" w:ascii="黑体" w:hAnsi="宋体" w:eastAsia="黑体" w:cs="黑体"/>
          <w:b/>
          <w:bCs/>
          <w:sz w:val="30"/>
          <w:szCs w:val="30"/>
        </w:rPr>
        <w:br w:type="page"/>
      </w:r>
    </w:p>
    <w:p>
      <w:pPr>
        <w:jc w:val="left"/>
      </w:pPr>
      <w:r>
        <w:rPr>
          <w:rFonts w:hint="eastAsia" w:ascii="黑体" w:hAnsi="宋体" w:eastAsia="黑体" w:cs="黑体"/>
          <w:b/>
          <w:bCs/>
          <w:sz w:val="30"/>
          <w:szCs w:val="30"/>
        </w:rPr>
        <w:t xml:space="preserve">11、供应商须知所需的其他材料（按条款需要） </w:t>
      </w:r>
    </w:p>
    <w:p>
      <w:pPr>
        <w:jc w:val="left"/>
        <w:rPr>
          <w:sz w:val="24"/>
          <w:szCs w:val="24"/>
        </w:rPr>
      </w:pPr>
      <w:r>
        <w:rPr>
          <w:rFonts w:hint="eastAsia" w:ascii="宋体" w:hAnsi="宋体" w:cs="宋体"/>
          <w:sz w:val="24"/>
          <w:szCs w:val="24"/>
        </w:rPr>
        <w:t xml:space="preserve">（按条款需要填列；并按条款要求电子签名&lt;签章&gt;。条款中对电子签名&lt;签章&gt;未作明确要求的，由法定代表人电子签名或供应商电子签章）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left"/>
      </w:pPr>
      <w:r>
        <w:rPr>
          <w:rFonts w:hint="eastAsia" w:ascii="黑体" w:hAnsi="宋体" w:eastAsia="黑体" w:cs="黑体"/>
          <w:b/>
          <w:bCs/>
          <w:sz w:val="30"/>
          <w:szCs w:val="30"/>
        </w:rPr>
        <w:t xml:space="preserve">12、评审办法所需的其他材料（按条款需要） </w:t>
      </w:r>
    </w:p>
    <w:p>
      <w:pPr>
        <w:jc w:val="left"/>
        <w:rPr>
          <w:sz w:val="24"/>
          <w:szCs w:val="24"/>
        </w:rPr>
      </w:pPr>
      <w:r>
        <w:rPr>
          <w:rFonts w:hint="eastAsia" w:ascii="宋体" w:hAnsi="宋体" w:cs="宋体"/>
          <w:sz w:val="24"/>
          <w:szCs w:val="24"/>
        </w:rPr>
        <w:t xml:space="preserve">（按条款需要填列；并按条款要求电子签名&lt;签章&gt;。条款中对电子签名&lt;签章&gt;未作明确要求的，由法定代表人电子签名或供应商电子签章）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left"/>
      </w:pPr>
      <w:r>
        <w:rPr>
          <w:rFonts w:hint="eastAsia" w:ascii="黑体" w:hAnsi="宋体" w:eastAsia="黑体" w:cs="黑体"/>
          <w:b/>
          <w:bCs/>
          <w:sz w:val="30"/>
          <w:szCs w:val="30"/>
        </w:rPr>
        <w:t xml:space="preserve">13、供应商认为有必要提交的其它材料 </w:t>
      </w:r>
    </w:p>
    <w:p>
      <w:pPr>
        <w:jc w:val="left"/>
        <w:rPr>
          <w:sz w:val="24"/>
          <w:szCs w:val="24"/>
        </w:rPr>
      </w:pPr>
      <w:r>
        <w:rPr>
          <w:rFonts w:hint="eastAsia" w:ascii="宋体" w:hAnsi="宋体" w:cs="宋体"/>
          <w:sz w:val="24"/>
          <w:szCs w:val="24"/>
        </w:rPr>
        <w:t xml:space="preserve">（按条款需要填列；并按条款要求电子签名&lt;签章&gt;。条款中对电子签名&lt;签章&gt;未作明确要求的，由法定代表人电子签名或供应商电子签章） </w:t>
      </w:r>
    </w:p>
    <w:p>
      <w:pPr>
        <w:rPr>
          <w:rFonts w:ascii="黑体" w:hAnsi="宋体" w:eastAsia="黑体" w:cs="黑体"/>
          <w:b/>
          <w:bCs/>
          <w:sz w:val="72"/>
          <w:szCs w:val="72"/>
        </w:rPr>
      </w:pPr>
      <w:r>
        <w:rPr>
          <w:rFonts w:hint="eastAsia" w:ascii="黑体" w:hAnsi="宋体" w:eastAsia="黑体" w:cs="黑体"/>
          <w:b/>
          <w:bCs/>
          <w:sz w:val="72"/>
          <w:szCs w:val="72"/>
        </w:rPr>
        <w:br w:type="page"/>
      </w:r>
    </w:p>
    <w:p>
      <w:pPr>
        <w:jc w:val="center"/>
        <w:rPr>
          <w:rFonts w:hint="eastAsia" w:ascii="黑体" w:hAnsi="宋体" w:eastAsia="黑体" w:cs="黑体"/>
          <w:b/>
          <w:bCs/>
          <w:sz w:val="72"/>
          <w:szCs w:val="72"/>
        </w:rPr>
      </w:pPr>
    </w:p>
    <w:p>
      <w:pPr>
        <w:jc w:val="center"/>
        <w:rPr>
          <w:rFonts w:hint="eastAsia" w:ascii="黑体" w:hAnsi="宋体" w:eastAsia="黑体" w:cs="黑体"/>
          <w:b/>
          <w:bCs/>
          <w:sz w:val="72"/>
          <w:szCs w:val="72"/>
        </w:rPr>
      </w:pPr>
    </w:p>
    <w:p>
      <w:pPr>
        <w:jc w:val="center"/>
      </w:pPr>
      <w:r>
        <w:rPr>
          <w:rFonts w:hint="eastAsia" w:ascii="黑体" w:hAnsi="宋体" w:eastAsia="黑体" w:cs="黑体"/>
          <w:b/>
          <w:bCs/>
          <w:sz w:val="72"/>
          <w:szCs w:val="72"/>
        </w:rPr>
        <w:t>项 目</w:t>
      </w:r>
    </w:p>
    <w:p>
      <w:pPr>
        <w:jc w:val="center"/>
        <w:rPr>
          <w:rFonts w:ascii="黑体" w:hAnsi="宋体" w:eastAsia="黑体" w:cs="黑体"/>
          <w:b/>
          <w:bCs/>
          <w:sz w:val="96"/>
          <w:szCs w:val="96"/>
        </w:rPr>
      </w:pPr>
    </w:p>
    <w:p>
      <w:pPr>
        <w:jc w:val="center"/>
        <w:rPr>
          <w:rFonts w:ascii="黑体" w:hAnsi="宋体" w:eastAsia="黑体" w:cs="黑体"/>
          <w:b/>
          <w:bCs/>
          <w:sz w:val="96"/>
          <w:szCs w:val="96"/>
        </w:rPr>
      </w:pPr>
    </w:p>
    <w:p>
      <w:pPr>
        <w:jc w:val="center"/>
      </w:pPr>
      <w:r>
        <w:rPr>
          <w:rFonts w:hint="eastAsia" w:ascii="黑体" w:hAnsi="宋体" w:eastAsia="黑体" w:cs="黑体"/>
          <w:b/>
          <w:bCs/>
          <w:sz w:val="56"/>
          <w:szCs w:val="56"/>
        </w:rPr>
        <w:t>资格性证明文件</w:t>
      </w:r>
    </w:p>
    <w:p>
      <w:pPr>
        <w:ind w:firstLine="3534" w:firstLineChars="1100"/>
        <w:jc w:val="left"/>
      </w:pPr>
      <w:r>
        <w:rPr>
          <w:rFonts w:hint="eastAsia" w:ascii="宋体" w:hAnsi="宋体" w:cs="宋体"/>
          <w:b/>
          <w:bCs/>
          <w:sz w:val="32"/>
          <w:szCs w:val="32"/>
        </w:rPr>
        <w:t xml:space="preserve">项目编号： </w:t>
      </w: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rPr>
          <w:rFonts w:ascii="宋体" w:hAnsi="宋体" w:cs="宋体"/>
          <w:sz w:val="28"/>
          <w:szCs w:val="28"/>
        </w:rPr>
      </w:pPr>
    </w:p>
    <w:p>
      <w:pPr>
        <w:jc w:val="left"/>
      </w:pPr>
      <w:r>
        <w:rPr>
          <w:rFonts w:hint="eastAsia" w:ascii="宋体" w:hAnsi="宋体" w:cs="宋体"/>
          <w:sz w:val="28"/>
          <w:szCs w:val="28"/>
        </w:rPr>
        <w:t xml:space="preserve">供应商： （加盖电子签章） </w:t>
      </w:r>
    </w:p>
    <w:p>
      <w:pPr>
        <w:jc w:val="left"/>
      </w:pPr>
      <w:r>
        <w:rPr>
          <w:rFonts w:hint="eastAsia" w:ascii="宋体" w:hAnsi="宋体" w:cs="宋体"/>
          <w:sz w:val="28"/>
          <w:szCs w:val="28"/>
        </w:rPr>
        <w:t xml:space="preserve">法定代表人： （加盖电子签名） </w:t>
      </w:r>
    </w:p>
    <w:p>
      <w:pPr>
        <w:jc w:val="left"/>
      </w:pPr>
      <w:r>
        <w:rPr>
          <w:rFonts w:hint="eastAsia" w:ascii="宋体" w:hAnsi="宋体" w:cs="宋体"/>
          <w:sz w:val="28"/>
          <w:szCs w:val="28"/>
        </w:rPr>
        <w:t xml:space="preserve">投标日期： 年 月 日 </w:t>
      </w:r>
    </w:p>
    <w:p>
      <w:pPr>
        <w:rPr>
          <w:rFonts w:ascii="黑体" w:hAnsi="宋体" w:eastAsia="黑体" w:cs="黑体"/>
          <w:b/>
          <w:bCs/>
          <w:sz w:val="36"/>
          <w:szCs w:val="36"/>
        </w:rPr>
      </w:pPr>
      <w:r>
        <w:rPr>
          <w:rFonts w:hint="eastAsia" w:ascii="黑体" w:hAnsi="宋体" w:eastAsia="黑体" w:cs="黑体"/>
          <w:b/>
          <w:bCs/>
          <w:sz w:val="36"/>
          <w:szCs w:val="36"/>
        </w:rPr>
        <w:br w:type="page"/>
      </w:r>
    </w:p>
    <w:p>
      <w:pPr>
        <w:jc w:val="center"/>
      </w:pPr>
      <w:r>
        <w:rPr>
          <w:rFonts w:hint="eastAsia" w:ascii="黑体" w:hAnsi="宋体" w:eastAsia="黑体" w:cs="黑体"/>
          <w:b/>
          <w:bCs/>
          <w:sz w:val="36"/>
          <w:szCs w:val="36"/>
        </w:rPr>
        <w:t>目 录</w:t>
      </w:r>
    </w:p>
    <w:p>
      <w:pPr>
        <w:jc w:val="left"/>
      </w:pPr>
      <w:r>
        <w:rPr>
          <w:rFonts w:hint="eastAsia" w:ascii="宋体" w:hAnsi="宋体" w:cs="宋体"/>
          <w:sz w:val="24"/>
          <w:szCs w:val="24"/>
        </w:rPr>
        <w:t xml:space="preserve">14、关于资格的声明函 </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15、法定代表人身份证明或法定代表人授权委托书 </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16、投标承诺函（以投标承诺函形式，替代投标保证金的相关承诺事项）</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17、资格要求相关证明材料（文件）</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17-1、《中小企业声明函》； </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17-2、小微企业产品价格扣除明细表（如符合条件时填写*） </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17-3 残疾人福利性单位声明函（如符合条件时填写*） </w:t>
      </w:r>
    </w:p>
    <w:p>
      <w:pPr>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17-4、供应商负责人控股、设计等相关承诺书 </w:t>
      </w:r>
    </w:p>
    <w:p>
      <w:pPr>
        <w:jc w:val="left"/>
      </w:pPr>
      <w:r>
        <w:rPr>
          <w:rFonts w:hint="eastAsia" w:ascii="宋体" w:hAnsi="宋体" w:cs="宋体"/>
          <w:sz w:val="24"/>
          <w:szCs w:val="24"/>
          <w:lang w:val="en-US" w:eastAsia="zh-CN"/>
        </w:rPr>
        <w:t>17-5、其他资格证明材料</w:t>
      </w:r>
      <w:r>
        <w:rPr>
          <w:rFonts w:hint="eastAsia" w:ascii="宋体" w:hAnsi="宋体" w:cs="宋体"/>
          <w:sz w:val="24"/>
          <w:szCs w:val="24"/>
        </w:rPr>
        <w:t xml:space="preserve"> </w:t>
      </w:r>
    </w:p>
    <w:p>
      <w:pPr>
        <w:rPr>
          <w:rFonts w:ascii="宋体" w:hAnsi="宋体" w:cs="宋体"/>
          <w:szCs w:val="21"/>
        </w:rPr>
      </w:pPr>
      <w:r>
        <w:rPr>
          <w:rFonts w:hint="eastAsia" w:ascii="宋体" w:hAnsi="宋体" w:cs="宋体"/>
          <w:szCs w:val="21"/>
        </w:rPr>
        <w:br w:type="page"/>
      </w:r>
    </w:p>
    <w:p>
      <w:pPr>
        <w:jc w:val="center"/>
      </w:pPr>
      <w:r>
        <w:rPr>
          <w:rFonts w:hint="eastAsia" w:ascii="黑体" w:hAnsi="宋体" w:eastAsia="黑体" w:cs="黑体"/>
          <w:b/>
          <w:bCs/>
          <w:sz w:val="30"/>
          <w:szCs w:val="30"/>
        </w:rPr>
        <w:t>14、关于资格的声明函</w:t>
      </w:r>
    </w:p>
    <w:p>
      <w:pPr>
        <w:spacing w:line="800" w:lineRule="exact"/>
        <w:jc w:val="left"/>
      </w:pPr>
      <w:r>
        <w:rPr>
          <w:rFonts w:hint="eastAsia" w:ascii="宋体" w:hAnsi="宋体" w:cs="宋体"/>
          <w:sz w:val="24"/>
          <w:szCs w:val="24"/>
        </w:rPr>
        <w:t xml:space="preserve">河南求实工程造价咨询有限公司： </w:t>
      </w:r>
    </w:p>
    <w:p>
      <w:pPr>
        <w:spacing w:line="800" w:lineRule="exact"/>
        <w:ind w:firstLine="480" w:firstLineChars="200"/>
        <w:jc w:val="left"/>
      </w:pPr>
      <w:r>
        <w:rPr>
          <w:rFonts w:hint="eastAsia" w:ascii="宋体" w:hAnsi="宋体" w:cs="宋体"/>
          <w:sz w:val="24"/>
          <w:szCs w:val="24"/>
        </w:rPr>
        <w:t xml:space="preserve">关于贵方项目编号为 的磋商公告，本签字人愿意参加投标，提供磋商文件中规定的产品及服务，并声明提交下列文件是准确的、真实的和有效的。 </w:t>
      </w:r>
    </w:p>
    <w:p>
      <w:pPr>
        <w:spacing w:line="800" w:lineRule="exact"/>
        <w:jc w:val="left"/>
      </w:pPr>
      <w:r>
        <w:rPr>
          <w:rFonts w:hint="eastAsia" w:ascii="宋体" w:hAnsi="宋体" w:cs="宋体"/>
          <w:sz w:val="24"/>
          <w:szCs w:val="24"/>
        </w:rPr>
        <w:t xml:space="preserve">1. 《磋商文件》第一章“磋商公告”第二条所要求的资格性证明文件（证件或证明资 </w:t>
      </w:r>
    </w:p>
    <w:p>
      <w:pPr>
        <w:spacing w:line="800" w:lineRule="exact"/>
        <w:jc w:val="left"/>
      </w:pPr>
      <w:r>
        <w:rPr>
          <w:rFonts w:hint="eastAsia" w:ascii="宋体" w:hAnsi="宋体" w:cs="宋体"/>
          <w:sz w:val="24"/>
          <w:szCs w:val="24"/>
        </w:rPr>
        <w:t xml:space="preserve">料或承诺） </w:t>
      </w:r>
    </w:p>
    <w:p>
      <w:pPr>
        <w:spacing w:line="800" w:lineRule="exact"/>
        <w:jc w:val="left"/>
      </w:pPr>
      <w:r>
        <w:rPr>
          <w:rFonts w:hint="eastAsia" w:ascii="宋体" w:hAnsi="宋体" w:cs="宋体"/>
          <w:sz w:val="24"/>
          <w:szCs w:val="24"/>
        </w:rPr>
        <w:t xml:space="preserve">2. 采购项目中必须的其他证件。 </w:t>
      </w:r>
    </w:p>
    <w:p>
      <w:pPr>
        <w:spacing w:line="800" w:lineRule="exact"/>
        <w:jc w:val="left"/>
      </w:pPr>
      <w:r>
        <w:rPr>
          <w:rFonts w:hint="eastAsia" w:ascii="宋体" w:hAnsi="宋体" w:cs="宋体"/>
          <w:sz w:val="24"/>
          <w:szCs w:val="24"/>
        </w:rPr>
        <w:t xml:space="preserve">3. 本签字人确认资格文件中的说明是真实的、准确的。 </w:t>
      </w:r>
    </w:p>
    <w:p>
      <w:pPr>
        <w:jc w:val="left"/>
        <w:rPr>
          <w:rFonts w:ascii="宋体" w:hAnsi="宋体" w:cs="宋体"/>
          <w:sz w:val="24"/>
          <w:szCs w:val="24"/>
        </w:rPr>
      </w:pPr>
    </w:p>
    <w:p>
      <w:pPr>
        <w:jc w:val="left"/>
        <w:rPr>
          <w:rFonts w:ascii="宋体" w:hAnsi="宋体" w:cs="宋体"/>
          <w:sz w:val="24"/>
          <w:szCs w:val="24"/>
        </w:rPr>
      </w:pPr>
    </w:p>
    <w:p>
      <w:pPr>
        <w:jc w:val="left"/>
        <w:rPr>
          <w:rFonts w:ascii="宋体" w:hAnsi="宋体" w:cs="宋体"/>
          <w:sz w:val="24"/>
          <w:szCs w:val="24"/>
        </w:rPr>
      </w:pPr>
    </w:p>
    <w:p>
      <w:pPr>
        <w:jc w:val="left"/>
      </w:pPr>
      <w:r>
        <w:rPr>
          <w:rFonts w:hint="eastAsia" w:ascii="宋体" w:hAnsi="宋体" w:cs="宋体"/>
          <w:sz w:val="24"/>
          <w:szCs w:val="24"/>
        </w:rPr>
        <w:t>供应商（电子签章）：</w:t>
      </w:r>
    </w:p>
    <w:p>
      <w:pPr>
        <w:jc w:val="left"/>
      </w:pPr>
      <w:r>
        <w:rPr>
          <w:rFonts w:hint="eastAsia" w:ascii="宋体" w:hAnsi="宋体" w:cs="宋体"/>
          <w:sz w:val="24"/>
          <w:szCs w:val="24"/>
        </w:rPr>
        <w:t>法定代表人（电子签名）：</w:t>
      </w:r>
    </w:p>
    <w:p>
      <w:pPr>
        <w:jc w:val="left"/>
      </w:pPr>
      <w:r>
        <w:rPr>
          <w:rFonts w:hint="eastAsia" w:ascii="宋体" w:hAnsi="宋体" w:cs="宋体"/>
          <w:sz w:val="24"/>
          <w:szCs w:val="24"/>
        </w:rPr>
        <w:t xml:space="preserve">日期 ： 年 月 日 </w:t>
      </w:r>
    </w:p>
    <w:p>
      <w:pPr>
        <w:rPr>
          <w:rFonts w:ascii="黑体" w:hAnsi="宋体" w:eastAsia="黑体" w:cs="黑体"/>
          <w:b/>
          <w:bCs/>
          <w:sz w:val="30"/>
          <w:szCs w:val="30"/>
        </w:rPr>
      </w:pPr>
      <w:r>
        <w:rPr>
          <w:rFonts w:hint="eastAsia" w:ascii="黑体" w:hAnsi="宋体" w:eastAsia="黑体" w:cs="黑体"/>
          <w:b/>
          <w:bCs/>
          <w:sz w:val="30"/>
          <w:szCs w:val="30"/>
        </w:rPr>
        <w:br w:type="page"/>
      </w:r>
    </w:p>
    <w:p>
      <w:pPr>
        <w:jc w:val="center"/>
      </w:pPr>
      <w:r>
        <w:rPr>
          <w:rFonts w:hint="eastAsia" w:ascii="黑体" w:hAnsi="宋体" w:eastAsia="黑体" w:cs="黑体"/>
          <w:b/>
          <w:bCs/>
          <w:sz w:val="30"/>
          <w:szCs w:val="30"/>
        </w:rPr>
        <w:t>15、</w:t>
      </w:r>
      <w:r>
        <w:rPr>
          <w:rFonts w:hint="eastAsia" w:ascii="黑体" w:hAnsi="宋体" w:eastAsia="黑体" w:cs="黑体"/>
          <w:b/>
          <w:bCs/>
          <w:sz w:val="30"/>
          <w:szCs w:val="30"/>
          <w:lang w:val="en-US" w:eastAsia="zh-CN"/>
        </w:rPr>
        <w:t>法定代表人身份证明或法定代表人授权委托书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本授权书声明：注册于</w:t>
      </w:r>
      <w:r>
        <w:rPr>
          <w:rFonts w:hint="eastAsia" w:ascii="宋体" w:hAnsi="宋体" w:cs="宋体"/>
          <w:sz w:val="24"/>
          <w:szCs w:val="24"/>
          <w:u w:val="single" w:color="auto"/>
          <w:lang w:val="en-US" w:eastAsia="zh-CN"/>
        </w:rPr>
        <w:t>　　　　　　　</w:t>
      </w:r>
      <w:r>
        <w:rPr>
          <w:rFonts w:hint="eastAsia" w:ascii="宋体" w:hAnsi="宋体" w:cs="宋体"/>
          <w:sz w:val="24"/>
          <w:szCs w:val="24"/>
          <w:lang w:val="en-US" w:eastAsia="zh-CN"/>
        </w:rPr>
        <w:t>（注册地址）的</w:t>
      </w:r>
      <w:r>
        <w:rPr>
          <w:rFonts w:hint="eastAsia" w:ascii="宋体" w:hAnsi="宋体" w:cs="宋体"/>
          <w:sz w:val="24"/>
          <w:szCs w:val="24"/>
          <w:u w:val="single" w:color="auto"/>
          <w:lang w:val="en-US" w:eastAsia="zh-CN"/>
        </w:rPr>
        <w:t>　　　　　　</w:t>
      </w:r>
      <w:r>
        <w:rPr>
          <w:rFonts w:hint="eastAsia" w:ascii="宋体" w:hAnsi="宋体" w:cs="宋体"/>
          <w:sz w:val="24"/>
          <w:szCs w:val="24"/>
          <w:lang w:val="en-US" w:eastAsia="zh-CN"/>
        </w:rPr>
        <w:t>公司的在下面签字的</w:t>
      </w:r>
      <w:r>
        <w:rPr>
          <w:rFonts w:hint="eastAsia" w:ascii="宋体" w:hAnsi="宋体" w:cs="宋体"/>
          <w:sz w:val="24"/>
          <w:szCs w:val="24"/>
          <w:u w:val="single" w:color="auto"/>
          <w:lang w:val="en-US" w:eastAsia="zh-CN"/>
        </w:rPr>
        <w:t xml:space="preserve">       </w:t>
      </w:r>
      <w:r>
        <w:rPr>
          <w:rFonts w:hint="eastAsia" w:ascii="宋体" w:hAnsi="宋体" w:cs="宋体"/>
          <w:sz w:val="24"/>
          <w:szCs w:val="24"/>
          <w:lang w:val="en-US" w:eastAsia="zh-CN"/>
        </w:rPr>
        <w:t>（企业法定代表人姓名、职务）代表本公司授权</w:t>
      </w:r>
      <w:r>
        <w:rPr>
          <w:rFonts w:hint="eastAsia" w:ascii="宋体" w:hAnsi="宋体" w:cs="宋体"/>
          <w:sz w:val="24"/>
          <w:szCs w:val="24"/>
          <w:u w:val="single" w:color="auto"/>
          <w:lang w:val="en-US" w:eastAsia="zh-CN"/>
        </w:rPr>
        <w:t>　　　　　　　　　</w:t>
      </w:r>
      <w:r>
        <w:rPr>
          <w:rFonts w:hint="eastAsia" w:ascii="宋体" w:hAnsi="宋体" w:cs="宋体"/>
          <w:sz w:val="24"/>
          <w:szCs w:val="24"/>
          <w:lang w:val="en-US" w:eastAsia="zh-CN"/>
        </w:rPr>
        <w:t>（单位）的在下面签字的</w:t>
      </w:r>
      <w:r>
        <w:rPr>
          <w:rFonts w:hint="eastAsia" w:ascii="宋体" w:hAnsi="宋体" w:cs="宋体"/>
          <w:sz w:val="24"/>
          <w:szCs w:val="24"/>
          <w:u w:val="single" w:color="auto"/>
          <w:lang w:val="en-US" w:eastAsia="zh-CN"/>
        </w:rPr>
        <w:tab/>
      </w:r>
      <w:r>
        <w:rPr>
          <w:rFonts w:hint="eastAsia" w:ascii="宋体" w:hAnsi="宋体" w:cs="宋体"/>
          <w:sz w:val="24"/>
          <w:szCs w:val="24"/>
          <w:u w:val="single" w:color="auto"/>
          <w:lang w:val="en-US" w:eastAsia="zh-CN"/>
        </w:rPr>
        <w:tab/>
      </w:r>
      <w:r>
        <w:rPr>
          <w:rFonts w:hint="eastAsia" w:ascii="宋体" w:hAnsi="宋体" w:cs="宋体"/>
          <w:sz w:val="24"/>
          <w:szCs w:val="24"/>
          <w:lang w:val="en-US" w:eastAsia="zh-CN"/>
        </w:rPr>
        <w:t>（被授权人的姓名、职务）为本公司的合法代理人，就项目编号为 的</w:t>
      </w:r>
      <w:r>
        <w:rPr>
          <w:rFonts w:hint="eastAsia" w:ascii="宋体" w:hAnsi="宋体" w:cs="宋体"/>
          <w:sz w:val="24"/>
          <w:szCs w:val="24"/>
          <w:u w:val="single" w:color="auto"/>
          <w:lang w:val="en-US" w:eastAsia="zh-CN"/>
        </w:rPr>
        <w:t xml:space="preserve">    （项目名称）  </w:t>
      </w:r>
      <w:r>
        <w:rPr>
          <w:rFonts w:hint="eastAsia" w:ascii="宋体" w:hAnsi="宋体" w:cs="宋体"/>
          <w:sz w:val="24"/>
          <w:szCs w:val="24"/>
          <w:lang w:val="en-US" w:eastAsia="zh-CN"/>
        </w:rPr>
        <w:t>的投标及合同的执行、完成和售后服务，以本公司名义处理一切与之有关的事务。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本授权书于</w:t>
      </w:r>
      <w:r>
        <w:rPr>
          <w:rFonts w:hint="eastAsia" w:ascii="宋体" w:hAnsi="宋体" w:cs="宋体"/>
          <w:sz w:val="24"/>
          <w:szCs w:val="24"/>
          <w:u w:val="single" w:color="auto"/>
          <w:lang w:val="en-US" w:eastAsia="zh-CN"/>
        </w:rPr>
        <w:t xml:space="preserve">  </w:t>
      </w:r>
      <w:r>
        <w:rPr>
          <w:rFonts w:hint="eastAsia" w:ascii="宋体" w:hAnsi="宋体" w:cs="宋体"/>
          <w:sz w:val="24"/>
          <w:szCs w:val="24"/>
          <w:u w:val="single" w:color="auto"/>
          <w:lang w:val="en-US" w:eastAsia="zh-CN"/>
        </w:rPr>
        <w:tab/>
      </w:r>
      <w:r>
        <w:rPr>
          <w:rFonts w:hint="eastAsia" w:ascii="宋体" w:hAnsi="宋体" w:cs="宋体"/>
          <w:sz w:val="24"/>
          <w:szCs w:val="24"/>
          <w:lang w:val="en-US" w:eastAsia="zh-CN"/>
        </w:rPr>
        <w:t>年</w:t>
      </w:r>
      <w:r>
        <w:rPr>
          <w:rFonts w:hint="eastAsia" w:ascii="宋体" w:hAnsi="宋体" w:cs="宋体"/>
          <w:sz w:val="24"/>
          <w:szCs w:val="24"/>
          <w:u w:val="single" w:color="auto"/>
          <w:lang w:val="en-US" w:eastAsia="zh-CN"/>
        </w:rPr>
        <w:tab/>
      </w:r>
      <w:r>
        <w:rPr>
          <w:rFonts w:hint="eastAsia" w:ascii="宋体" w:hAnsi="宋体" w:cs="宋体"/>
          <w:sz w:val="24"/>
          <w:szCs w:val="24"/>
          <w:lang w:val="en-US" w:eastAsia="zh-CN"/>
        </w:rPr>
        <w:t>月</w:t>
      </w:r>
      <w:r>
        <w:rPr>
          <w:rFonts w:hint="eastAsia" w:ascii="宋体" w:hAnsi="宋体" w:cs="宋体"/>
          <w:sz w:val="24"/>
          <w:szCs w:val="24"/>
          <w:u w:val="single" w:color="auto"/>
          <w:lang w:val="en-US" w:eastAsia="zh-CN"/>
        </w:rPr>
        <w:tab/>
      </w:r>
      <w:r>
        <w:rPr>
          <w:rFonts w:hint="eastAsia" w:ascii="宋体" w:hAnsi="宋体" w:cs="宋体"/>
          <w:sz w:val="24"/>
          <w:szCs w:val="24"/>
          <w:u w:val="single" w:color="auto"/>
          <w:lang w:val="en-US" w:eastAsia="zh-CN"/>
        </w:rPr>
        <w:t xml:space="preserve"> </w:t>
      </w:r>
      <w:r>
        <w:rPr>
          <w:rFonts w:hint="eastAsia" w:ascii="宋体" w:hAnsi="宋体" w:cs="宋体"/>
          <w:sz w:val="24"/>
          <w:szCs w:val="24"/>
          <w:lang w:val="en-US" w:eastAsia="zh-CN"/>
        </w:rPr>
        <w:t>日签字生效，特此声明。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单位名称（公章）：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法定代表人签字：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代理人（被授权人）签字：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s="宋体"/>
          <w:sz w:val="24"/>
          <w:szCs w:val="24"/>
          <w:lang w:val="en-US" w:eastAsia="zh-CN"/>
        </w:rPr>
      </w:pPr>
      <w:r>
        <w:rPr>
          <w:rFonts w:hint="eastAsia" w:ascii="宋体" w:hAnsi="宋体" w:cs="宋体"/>
          <w:sz w:val="24"/>
          <w:szCs w:val="24"/>
          <w:lang w:val="en-US" w:eastAsia="zh-CN"/>
        </w:rPr>
        <w:t>联系电话：</w:t>
      </w: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tbl>
      <w:tblPr>
        <w:tblStyle w:val="24"/>
        <w:tblW w:w="922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5" w:hRule="atLeast"/>
        </w:trPr>
        <w:tc>
          <w:tcPr>
            <w:tcW w:w="9225" w:type="dxa"/>
            <w:tcBorders>
              <w:top w:val="single" w:color="000000" w:sz="8" w:space="0"/>
              <w:left w:val="single" w:color="000000" w:sz="8" w:space="0"/>
              <w:bottom w:val="single" w:color="000000" w:sz="8" w:space="0"/>
              <w:right w:val="single" w:color="000000" w:sz="8" w:space="0"/>
            </w:tcBorders>
          </w:tcPr>
          <w:p>
            <w:pPr>
              <w:rPr>
                <w:rFonts w:hint="eastAsia" w:ascii="宋体" w:hAnsi="宋体" w:cs="宋体"/>
                <w:sz w:val="24"/>
                <w:szCs w:val="24"/>
                <w:lang w:val="en-US" w:eastAsia="zh-CN"/>
              </w:rPr>
            </w:pPr>
            <w:r>
              <w:rPr>
                <w:rFonts w:hint="eastAsia" w:ascii="宋体" w:hAnsi="宋体" w:cs="宋体"/>
                <w:sz w:val="24"/>
                <w:szCs w:val="24"/>
                <w:lang w:val="en-US" w:eastAsia="zh-CN"/>
              </w:rPr>
              <w:t>法定代表人及被授权人身份证复印件</w:t>
            </w:r>
          </w:p>
        </w:tc>
      </w:tr>
    </w:tbl>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rPr>
          <w:rFonts w:hint="eastAsia" w:ascii="宋体" w:hAnsi="宋体" w:cs="宋体"/>
          <w:sz w:val="24"/>
          <w:szCs w:val="24"/>
          <w:lang w:val="en-US" w:eastAsia="zh-CN"/>
        </w:rPr>
      </w:pPr>
    </w:p>
    <w:p>
      <w:pPr>
        <w:pStyle w:val="32"/>
        <w:rPr>
          <w:rFonts w:hint="eastAsia" w:ascii="黑体" w:hAnsi="宋体" w:eastAsia="黑体" w:cs="黑体"/>
          <w:b/>
          <w:bCs/>
          <w:sz w:val="30"/>
          <w:szCs w:val="30"/>
          <w:lang w:val="en-US" w:eastAsia="zh-CN"/>
        </w:rPr>
      </w:pPr>
      <w:r>
        <w:rPr>
          <w:rFonts w:hint="eastAsia" w:ascii="黑体" w:hAnsi="宋体" w:eastAsia="黑体" w:cs="黑体"/>
          <w:b/>
          <w:bCs/>
          <w:sz w:val="30"/>
          <w:szCs w:val="30"/>
        </w:rPr>
        <w:br w:type="page"/>
      </w:r>
      <w:r>
        <w:rPr>
          <w:rFonts w:hint="eastAsia" w:ascii="黑体" w:hAnsi="宋体" w:eastAsia="黑体" w:cs="黑体"/>
          <w:b/>
          <w:bCs/>
          <w:sz w:val="30"/>
          <w:szCs w:val="30"/>
          <w:lang w:val="en-US" w:eastAsia="zh-CN"/>
        </w:rPr>
        <w:t>16、投标承诺函（以投标承诺函形式，替代投标保证金的相关承诺事项）</w:t>
      </w:r>
    </w:p>
    <w:p>
      <w:pPr>
        <w:pStyle w:val="32"/>
        <w:rPr>
          <w:rFonts w:hint="eastAsia" w:ascii="黑体" w:hAnsi="宋体" w:eastAsia="黑体" w:cs="黑体"/>
          <w:b/>
          <w:bCs/>
          <w:sz w:val="30"/>
          <w:szCs w:val="30"/>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致</w:t>
      </w:r>
      <w:r>
        <w:rPr>
          <w:rFonts w:hint="eastAsia" w:ascii="宋体" w:hAnsi="宋体" w:eastAsia="宋体" w:cs="宋体"/>
          <w:b w:val="0"/>
          <w:bCs w:val="0"/>
          <w:sz w:val="24"/>
          <w:szCs w:val="24"/>
          <w:u w:val="single"/>
          <w:lang w:val="en-US" w:eastAsia="zh-CN"/>
        </w:rPr>
        <w:t>： (采购人名称）</w:t>
      </w:r>
      <w:r>
        <w:rPr>
          <w:rFonts w:hint="eastAsia" w:ascii="宋体" w:hAnsi="宋体" w:eastAsia="宋体" w:cs="宋体"/>
          <w:b w:val="0"/>
          <w:bCs w:val="0"/>
          <w:sz w:val="24"/>
          <w:szCs w:val="24"/>
          <w:lang w:val="en-US" w:eastAsia="zh-CN"/>
        </w:rPr>
        <w:t xml:space="preserve"> 、河南求实工程造价咨询有限公司</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在项目编号为的</w:t>
      </w:r>
      <w:r>
        <w:rPr>
          <w:rFonts w:hint="eastAsia" w:ascii="宋体" w:hAnsi="宋体" w:eastAsia="宋体" w:cs="宋体"/>
          <w:b w:val="0"/>
          <w:bCs w:val="0"/>
          <w:sz w:val="24"/>
          <w:szCs w:val="24"/>
          <w:u w:val="single"/>
          <w:lang w:val="en-US" w:eastAsia="zh-CN"/>
        </w:rPr>
        <w:t xml:space="preserve"> （项目名称） </w:t>
      </w:r>
      <w:r>
        <w:rPr>
          <w:rFonts w:hint="eastAsia" w:ascii="宋体" w:hAnsi="宋体" w:eastAsia="宋体" w:cs="宋体"/>
          <w:b w:val="0"/>
          <w:bCs w:val="0"/>
          <w:sz w:val="24"/>
          <w:szCs w:val="24"/>
          <w:lang w:val="en-US" w:eastAsia="zh-CN"/>
        </w:rPr>
        <w:t xml:space="preserve">采购活动中，我单位承诺：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一、遵循公开、公平、公正和诚实信用的原则自愿参加本项目投标；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二、在政府采购活动中提供真实、准确、有效、合法的材料，不提供虚假材料；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三、按照招标文件规定，在提交投标文件截止时间后，在招标文件规定的投标有效期限内不撤回投标文件；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四、不与其他供应商、采购人或采购代理机构串通或恶意串通。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五、如我单位中标，除不可抗拒力或招标文件认可的情形外，我单位承诺及时领取中标通知书，在成交通知书规定时间、地点与采购人签订合同；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六、遵守法律法规及招标文件规定的其他情况；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七、按招标文件规定及时缴纳中标服务费。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八、违背上述承诺事项的，我单位无条件接受以下责任追究：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（一）法定责任：按照政府采购相关法规，处以罚款，列入不良行为记录名单，在一 至三年内禁止参加政府采购活动，有违法所得的，并处没收违法所得，情节严重的，由工商行政管理机关（市场监督机关）吊销营业执照；构成犯罪的，依法追究刑事责任。给采购人及他人造成损失的，愿承担相应的赔偿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（二）违约责任：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1、已中标的，中标（成交）无效；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2、支付采购人违约标的预算金额 2%的违约金；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3、中标后未缴中标服务费的，作为违约及违背诚实信用原则，在履行承诺前，代理机构将视我单位为失信企业、不予办理其后相关业务。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供应商（电子签章）：</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法定代表人（电子签名）：</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日期：年月日 </w:t>
      </w:r>
    </w:p>
    <w:p>
      <w:pPr>
        <w:pStyle w:val="32"/>
        <w:rPr>
          <w:rFonts w:hint="eastAsia" w:ascii="宋体" w:hAnsi="宋体" w:eastAsia="宋体" w:cs="宋体"/>
          <w:b/>
          <w:bCs/>
          <w:sz w:val="24"/>
          <w:szCs w:val="24"/>
          <w:lang w:val="en-US" w:eastAsia="zh-CN"/>
        </w:rPr>
      </w:pPr>
    </w:p>
    <w:p>
      <w:pPr>
        <w:pStyle w:val="32"/>
        <w:rPr>
          <w:rFonts w:hint="eastAsia" w:ascii="宋体" w:hAnsi="宋体" w:eastAsia="宋体" w:cs="宋体"/>
          <w:b/>
          <w:bCs/>
          <w:sz w:val="24"/>
          <w:szCs w:val="24"/>
          <w:lang w:val="en-US" w:eastAsia="zh-CN"/>
        </w:rPr>
      </w:pPr>
    </w:p>
    <w:p>
      <w:pPr>
        <w:pStyle w:val="32"/>
        <w:rPr>
          <w:rFonts w:hint="eastAsia" w:ascii="宋体" w:hAnsi="宋体" w:eastAsia="宋体" w:cs="宋体"/>
          <w:b/>
          <w:bCs/>
          <w:sz w:val="24"/>
          <w:szCs w:val="24"/>
          <w:lang w:val="en-US" w:eastAsia="zh-CN"/>
        </w:rPr>
      </w:pPr>
    </w:p>
    <w:p>
      <w:pPr>
        <w:pStyle w:val="32"/>
        <w:rPr>
          <w:rFonts w:hint="eastAsia" w:ascii="宋体" w:hAnsi="宋体" w:eastAsia="宋体" w:cs="宋体"/>
          <w:b/>
          <w:bCs/>
          <w:sz w:val="24"/>
          <w:szCs w:val="24"/>
          <w:lang w:val="en-US" w:eastAsia="zh-CN"/>
        </w:rPr>
      </w:pPr>
    </w:p>
    <w:p>
      <w:pPr>
        <w:pStyle w:val="32"/>
        <w:rPr>
          <w:rFonts w:hint="eastAsia" w:ascii="宋体" w:hAnsi="宋体" w:eastAsia="宋体" w:cs="宋体"/>
          <w:b/>
          <w:bCs/>
          <w:sz w:val="24"/>
          <w:szCs w:val="24"/>
          <w:lang w:val="en-US" w:eastAsia="zh-CN"/>
        </w:rPr>
      </w:pPr>
    </w:p>
    <w:p>
      <w:pPr>
        <w:pStyle w:val="32"/>
        <w:rPr>
          <w:rFonts w:hint="eastAsia" w:ascii="黑体" w:hAnsi="宋体" w:eastAsia="黑体" w:cs="黑体"/>
          <w:b/>
          <w:bCs/>
          <w:sz w:val="30"/>
          <w:szCs w:val="30"/>
          <w:lang w:val="en-US" w:eastAsia="zh-CN"/>
        </w:rPr>
      </w:pPr>
      <w:r>
        <w:rPr>
          <w:rFonts w:hint="eastAsia" w:ascii="黑体" w:hAnsi="宋体" w:eastAsia="黑体" w:cs="黑体"/>
          <w:b/>
          <w:bCs/>
          <w:sz w:val="30"/>
          <w:szCs w:val="30"/>
          <w:lang w:val="en-US" w:eastAsia="zh-CN"/>
        </w:rPr>
        <w:t>17、资格要求相关证明材料（文件）</w:t>
      </w:r>
    </w:p>
    <w:p>
      <w:pPr>
        <w:pStyle w:val="32"/>
        <w:rPr>
          <w:rFonts w:hint="eastAsia" w:ascii="黑体" w:hAnsi="宋体" w:eastAsia="黑体" w:cs="黑体"/>
          <w:b/>
          <w:bCs/>
          <w:sz w:val="24"/>
          <w:szCs w:val="24"/>
          <w:lang w:val="en-US" w:eastAsia="zh-CN"/>
        </w:rPr>
      </w:pPr>
      <w:r>
        <w:rPr>
          <w:rFonts w:hint="eastAsia" w:ascii="黑体" w:hAnsi="宋体" w:eastAsia="黑体" w:cs="黑体"/>
          <w:b/>
          <w:bCs/>
          <w:sz w:val="24"/>
          <w:szCs w:val="24"/>
          <w:lang w:val="en-US" w:eastAsia="zh-CN"/>
        </w:rPr>
        <w:t>★★★【请注意：未按公告要求逐一提交资格证明资料的将导致无效投标，为近期常见的</w:t>
      </w:r>
    </w:p>
    <w:p>
      <w:pPr>
        <w:pStyle w:val="32"/>
        <w:rPr>
          <w:rFonts w:hint="eastAsia" w:ascii="黑体" w:hAnsi="宋体" w:eastAsia="黑体" w:cs="黑体"/>
          <w:b/>
          <w:bCs/>
          <w:sz w:val="24"/>
          <w:szCs w:val="24"/>
          <w:lang w:val="en-US" w:eastAsia="zh-CN"/>
        </w:rPr>
      </w:pPr>
      <w:r>
        <w:rPr>
          <w:rFonts w:hint="eastAsia" w:ascii="黑体" w:hAnsi="宋体" w:eastAsia="黑体" w:cs="黑体"/>
          <w:b/>
          <w:bCs/>
          <w:sz w:val="24"/>
          <w:szCs w:val="24"/>
          <w:lang w:val="en-US" w:eastAsia="zh-CN"/>
        </w:rPr>
        <w:t>因不仔细而缺少某一资格证明资料、导致无效，特此提醒】</w:t>
      </w:r>
    </w:p>
    <w:p>
      <w:pPr>
        <w:pStyle w:val="32"/>
        <w:rPr>
          <w:rFonts w:hint="eastAsia" w:ascii="黑体" w:hAnsi="宋体" w:eastAsia="黑体" w:cs="黑体"/>
          <w:b/>
          <w:bCs/>
          <w:sz w:val="24"/>
          <w:szCs w:val="24"/>
          <w:lang w:val="en-US" w:eastAsia="zh-CN"/>
        </w:rPr>
      </w:pPr>
      <w:r>
        <w:rPr>
          <w:rFonts w:hint="eastAsia" w:ascii="黑体" w:hAnsi="宋体" w:eastAsia="黑体" w:cs="黑体"/>
          <w:b/>
          <w:bCs/>
          <w:sz w:val="24"/>
          <w:szCs w:val="24"/>
          <w:lang w:val="en-US" w:eastAsia="zh-CN"/>
        </w:rPr>
        <w:t>★★★【请注意：未按竞争性磋商公告要求电子签名&lt;签章&gt;的将导致无效投标，特此提醒】</w:t>
      </w: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r>
        <w:rPr>
          <w:rFonts w:hint="eastAsia" w:ascii="黑体" w:hAnsi="宋体" w:eastAsia="黑体" w:cs="黑体"/>
          <w:b/>
          <w:bCs/>
          <w:sz w:val="30"/>
          <w:szCs w:val="30"/>
          <w:lang w:val="en-US" w:eastAsia="zh-CN"/>
        </w:rPr>
        <w:t>17-1 中小企业声明函（如符合条件时填写*）</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 (含联合体中的中小企业、签订分包意向协议的中小企业）的具体情况如下：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1.(标的名称)，属于（采购文件中明确的所属行业)行业， 制造商为（企业名称)，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从业人员 人，营业收入为_ 万元，资产总额为 _万元 1，属于（中型企业、小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型企业、微型企业）；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2. (标的名称)，属于（采购文件中明确的所属行业)行业， 制造商为（企业名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称)，从业人员 人，营业收入为_ 万元，资产总额为 _万元，属于（中型企业、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小 型企业、微型企业）；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以上企业，不属于大企业的分支机构，不存在控股股东为大企业的情形，也不存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在与大企业的负责人为同一人的情形。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本企业对上述声明内容的真实性负责。如有虚假，将依法承担相应责任。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企 业 名 称 （ 盖 章 ）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日期：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20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 xml:space="preserve">注：1、从业人员、营业收入、资产总额填报上一年度数据，无上一年度数据的新成立企业可不填报。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360" w:firstLineChars="200"/>
        <w:textAlignment w:val="auto"/>
        <w:rPr>
          <w:rFonts w:hint="eastAsia" w:ascii="宋体" w:hAnsi="宋体" w:eastAsia="宋体" w:cs="宋体"/>
          <w:b w:val="0"/>
          <w:bCs w:val="0"/>
          <w:sz w:val="18"/>
          <w:szCs w:val="18"/>
          <w:lang w:val="en-US" w:eastAsia="zh-CN"/>
        </w:rPr>
      </w:pPr>
      <w:r>
        <w:rPr>
          <w:rFonts w:hint="eastAsia" w:ascii="宋体" w:hAnsi="宋体" w:eastAsia="宋体" w:cs="宋体"/>
          <w:b w:val="0"/>
          <w:bCs w:val="0"/>
          <w:sz w:val="18"/>
          <w:szCs w:val="18"/>
          <w:lang w:val="en-US" w:eastAsia="zh-CN"/>
        </w:rPr>
        <w:t xml:space="preserve">2、“专门面向中小企业采购”项目必须提供《中小企业声明函》。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黑体" w:hAnsi="宋体" w:eastAsia="黑体" w:cs="黑体"/>
          <w:b/>
          <w:bCs/>
          <w:sz w:val="30"/>
          <w:szCs w:val="30"/>
          <w:lang w:val="en-US" w:eastAsia="zh-CN"/>
        </w:rPr>
      </w:pPr>
      <w:r>
        <w:rPr>
          <w:rFonts w:hint="eastAsia" w:ascii="宋体" w:hAnsi="宋体" w:eastAsia="宋体" w:cs="宋体"/>
          <w:b w:val="0"/>
          <w:bCs w:val="0"/>
          <w:sz w:val="24"/>
          <w:szCs w:val="24"/>
          <w:lang w:val="en-US" w:eastAsia="zh-CN"/>
        </w:rPr>
        <w:br w:type="page"/>
      </w:r>
      <w:r>
        <w:rPr>
          <w:rFonts w:hint="eastAsia" w:ascii="黑体" w:hAnsi="宋体" w:eastAsia="黑体" w:cs="黑体"/>
          <w:b/>
          <w:bCs/>
          <w:sz w:val="30"/>
          <w:szCs w:val="30"/>
          <w:lang w:val="en-US" w:eastAsia="zh-CN"/>
        </w:rPr>
        <w:t>17-2 小微企业产品价格扣除明细表（如符合条件时填写*）</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供应商名称： </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项目名称： </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项目编号： 单位：元/人民币 </w:t>
      </w:r>
    </w:p>
    <w:tbl>
      <w:tblPr>
        <w:tblStyle w:val="25"/>
        <w:tblW w:w="10595"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050"/>
        <w:gridCol w:w="2113"/>
        <w:gridCol w:w="1028"/>
        <w:gridCol w:w="797"/>
        <w:gridCol w:w="818"/>
        <w:gridCol w:w="17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729"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序号</w:t>
            </w:r>
          </w:p>
        </w:tc>
        <w:tc>
          <w:tcPr>
            <w:tcW w:w="2050"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价格扣除货物（服务、工程）名称</w:t>
            </w:r>
          </w:p>
        </w:tc>
        <w:tc>
          <w:tcPr>
            <w:tcW w:w="2113"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价格扣除货物（服</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务、工程）制造企</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业（承担企业）</w:t>
            </w:r>
          </w:p>
        </w:tc>
        <w:tc>
          <w:tcPr>
            <w:tcW w:w="1028"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数量</w:t>
            </w:r>
          </w:p>
        </w:tc>
        <w:tc>
          <w:tcPr>
            <w:tcW w:w="797"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单价</w:t>
            </w:r>
          </w:p>
        </w:tc>
        <w:tc>
          <w:tcPr>
            <w:tcW w:w="818"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小计</w:t>
            </w:r>
          </w:p>
        </w:tc>
        <w:tc>
          <w:tcPr>
            <w:tcW w:w="1749"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价格扣除金</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额（小计×10%）</w:t>
            </w:r>
          </w:p>
        </w:tc>
        <w:tc>
          <w:tcPr>
            <w:tcW w:w="1311" w:type="dxa"/>
            <w:vAlign w:val="center"/>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声明函页码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729" w:type="dxa"/>
          </w:tcPr>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w:t>
            </w:r>
          </w:p>
        </w:tc>
        <w:tc>
          <w:tcPr>
            <w:tcW w:w="2050" w:type="dxa"/>
          </w:tcPr>
          <w:p>
            <w:pPr>
              <w:pStyle w:val="32"/>
              <w:rPr>
                <w:rFonts w:hint="eastAsia" w:ascii="宋体" w:hAnsi="宋体" w:eastAsia="宋体" w:cs="宋体"/>
                <w:b w:val="0"/>
                <w:bCs w:val="0"/>
                <w:sz w:val="24"/>
                <w:szCs w:val="24"/>
                <w:lang w:val="en-US" w:eastAsia="zh-CN"/>
              </w:rPr>
            </w:pPr>
          </w:p>
        </w:tc>
        <w:tc>
          <w:tcPr>
            <w:tcW w:w="2113" w:type="dxa"/>
          </w:tcPr>
          <w:p>
            <w:pPr>
              <w:pStyle w:val="32"/>
              <w:rPr>
                <w:rFonts w:hint="eastAsia" w:ascii="宋体" w:hAnsi="宋体" w:eastAsia="宋体" w:cs="宋体"/>
                <w:b w:val="0"/>
                <w:bCs w:val="0"/>
                <w:sz w:val="24"/>
                <w:szCs w:val="24"/>
                <w:lang w:val="en-US" w:eastAsia="zh-CN"/>
              </w:rPr>
            </w:pPr>
          </w:p>
        </w:tc>
        <w:tc>
          <w:tcPr>
            <w:tcW w:w="1028" w:type="dxa"/>
          </w:tcPr>
          <w:p>
            <w:pPr>
              <w:pStyle w:val="32"/>
              <w:rPr>
                <w:rFonts w:hint="eastAsia" w:ascii="宋体" w:hAnsi="宋体" w:eastAsia="宋体" w:cs="宋体"/>
                <w:b w:val="0"/>
                <w:bCs w:val="0"/>
                <w:sz w:val="24"/>
                <w:szCs w:val="24"/>
                <w:lang w:val="en-US" w:eastAsia="zh-CN"/>
              </w:rPr>
            </w:pPr>
          </w:p>
        </w:tc>
        <w:tc>
          <w:tcPr>
            <w:tcW w:w="797" w:type="dxa"/>
          </w:tcPr>
          <w:p>
            <w:pPr>
              <w:pStyle w:val="32"/>
              <w:rPr>
                <w:rFonts w:hint="eastAsia" w:ascii="宋体" w:hAnsi="宋体" w:eastAsia="宋体" w:cs="宋体"/>
                <w:b w:val="0"/>
                <w:bCs w:val="0"/>
                <w:sz w:val="24"/>
                <w:szCs w:val="24"/>
                <w:lang w:val="en-US" w:eastAsia="zh-CN"/>
              </w:rPr>
            </w:pPr>
          </w:p>
        </w:tc>
        <w:tc>
          <w:tcPr>
            <w:tcW w:w="818" w:type="dxa"/>
          </w:tcPr>
          <w:p>
            <w:pPr>
              <w:pStyle w:val="32"/>
              <w:rPr>
                <w:rFonts w:hint="eastAsia" w:ascii="宋体" w:hAnsi="宋体" w:eastAsia="宋体" w:cs="宋体"/>
                <w:b w:val="0"/>
                <w:bCs w:val="0"/>
                <w:sz w:val="24"/>
                <w:szCs w:val="24"/>
                <w:lang w:val="en-US" w:eastAsia="zh-CN"/>
              </w:rPr>
            </w:pPr>
          </w:p>
        </w:tc>
        <w:tc>
          <w:tcPr>
            <w:tcW w:w="1749" w:type="dxa"/>
          </w:tcPr>
          <w:p>
            <w:pPr>
              <w:pStyle w:val="32"/>
              <w:rPr>
                <w:rFonts w:hint="eastAsia" w:ascii="宋体" w:hAnsi="宋体" w:eastAsia="宋体" w:cs="宋体"/>
                <w:b w:val="0"/>
                <w:bCs w:val="0"/>
                <w:sz w:val="24"/>
                <w:szCs w:val="24"/>
                <w:lang w:val="en-US" w:eastAsia="zh-CN"/>
              </w:rPr>
            </w:pPr>
          </w:p>
        </w:tc>
        <w:tc>
          <w:tcPr>
            <w:tcW w:w="1311" w:type="dxa"/>
          </w:tcPr>
          <w:p>
            <w:pPr>
              <w:pStyle w:val="32"/>
              <w:rPr>
                <w:rFonts w:hint="eastAsia" w:ascii="宋体" w:hAnsi="宋体" w:eastAsia="宋体" w:cs="宋体"/>
                <w:b w:val="0"/>
                <w:bCs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595" w:type="dxa"/>
            <w:gridSpan w:val="8"/>
          </w:tcPr>
          <w:p>
            <w:pPr>
              <w:pStyle w:val="32"/>
              <w:rPr>
                <w:rFonts w:hint="eastAsia" w:ascii="宋体" w:hAnsi="宋体" w:eastAsia="宋体" w:cs="宋体"/>
                <w:b w:val="0"/>
                <w:bCs w:val="0"/>
                <w:sz w:val="24"/>
                <w:szCs w:val="24"/>
                <w:lang w:val="en-US" w:eastAsia="zh-CN"/>
              </w:rPr>
            </w:pPr>
          </w:p>
        </w:tc>
      </w:tr>
    </w:tbl>
    <w:p>
      <w:pPr>
        <w:pStyle w:val="32"/>
        <w:rPr>
          <w:rFonts w:hint="eastAsia" w:ascii="宋体" w:hAnsi="宋体" w:eastAsia="宋体" w:cs="宋体"/>
          <w:b w:val="0"/>
          <w:bCs w:val="0"/>
          <w:sz w:val="24"/>
          <w:szCs w:val="24"/>
          <w:lang w:val="en-US" w:eastAsia="zh-CN"/>
        </w:rPr>
      </w:pP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备注：小型、微型企业的协议合同金额占到联合体协议合同总金额 30%以上的，给予联 </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合体的价格扣除比例为 4%。 </w:t>
      </w:r>
    </w:p>
    <w:p>
      <w:pPr>
        <w:pStyle w:val="32"/>
        <w:rPr>
          <w:rFonts w:hint="eastAsia" w:ascii="宋体" w:hAnsi="宋体" w:eastAsia="宋体" w:cs="宋体"/>
          <w:b w:val="0"/>
          <w:bCs w:val="0"/>
          <w:sz w:val="24"/>
          <w:szCs w:val="24"/>
          <w:lang w:val="en-US" w:eastAsia="zh-CN"/>
        </w:rPr>
      </w:pP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法定代表人（电子签名）：</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投标单位（电子签章）：</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日 期： </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32"/>
        <w:rPr>
          <w:rFonts w:hint="eastAsia" w:ascii="黑体" w:hAnsi="宋体" w:eastAsia="黑体" w:cs="黑体"/>
          <w:b/>
          <w:bCs/>
          <w:sz w:val="30"/>
          <w:szCs w:val="30"/>
          <w:lang w:val="en-US" w:eastAsia="zh-CN"/>
        </w:rPr>
      </w:pPr>
      <w:r>
        <w:rPr>
          <w:rFonts w:hint="eastAsia" w:ascii="黑体" w:hAnsi="宋体" w:eastAsia="黑体" w:cs="黑体"/>
          <w:b/>
          <w:bCs/>
          <w:sz w:val="30"/>
          <w:szCs w:val="30"/>
          <w:lang w:val="en-US" w:eastAsia="zh-CN"/>
        </w:rPr>
        <w:t>17-3 残疾人福利性单位声明函（如符合条件时填写*）</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本单位郑重声明，根据《财政部 民政部 中国残疾人联合会关于促进残疾人就业政</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府采购政策的通知》（财库〔2017〕141 号）的规定，本单位为符合条件的残疾人福利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性单位，且本单位参加______单位的______项目采购活动提供本单位制造的货物（由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本单位承担工程/提供服务），或者提供其他残疾人福利性单位制造的货物（不包括使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用非残疾人福利性单位注册商标的货物）。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本单位对上述声明的真实性负责。如有虚假，将依法承担相应责任。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单位名称（盖章）：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日期： </w:t>
      </w: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注：1、按政策规定：符合条件的残疾人福利性单位视同小型、微型企业。残疾人福利性单位属于小型、微型企业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的，不重复享受政策。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2、*本格式由符合促进残疾人就业政府采购政策条件的残疾人福利性单位填写，非残疾人福利性单位无需填写。本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项目（专门面向中小企业采购）中，残疾人福利性单位属于中型企业、小型、微型企业的，可只填写“ 中小企业声明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函”，不再填写“残疾人福利性单位声明函”。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3、残疾人福利性单位填写“残疾人福利性单位声明函”后，仍需同时填写“中小企业声明函”、可在“中小企业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 xml:space="preserve">声明函”注明“属于符合条件的残疾人福利性单位、视同小型、微型企业”。 </w:t>
      </w:r>
    </w:p>
    <w:p>
      <w:pPr>
        <w:pStyle w:val="32"/>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br w:type="page"/>
      </w:r>
    </w:p>
    <w:p>
      <w:pPr>
        <w:pStyle w:val="32"/>
        <w:rPr>
          <w:rFonts w:hint="eastAsia" w:ascii="黑体" w:hAnsi="宋体" w:eastAsia="黑体" w:cs="黑体"/>
          <w:b/>
          <w:bCs/>
          <w:sz w:val="30"/>
          <w:szCs w:val="30"/>
          <w:lang w:val="en-US" w:eastAsia="zh-CN"/>
        </w:rPr>
      </w:pPr>
      <w:r>
        <w:rPr>
          <w:rFonts w:hint="eastAsia" w:ascii="黑体" w:hAnsi="宋体" w:eastAsia="黑体" w:cs="黑体"/>
          <w:b/>
          <w:bCs/>
          <w:sz w:val="30"/>
          <w:szCs w:val="30"/>
          <w:lang w:val="en-US" w:eastAsia="zh-CN"/>
        </w:rPr>
        <w:t>17-4、供应商负责人控股、设计等相关承诺书</w:t>
      </w:r>
    </w:p>
    <w:p>
      <w:pPr>
        <w:pStyle w:val="32"/>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致： (采购人名称）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在项目编号为的</w:t>
      </w:r>
      <w:r>
        <w:rPr>
          <w:rFonts w:hint="eastAsia" w:ascii="宋体" w:hAnsi="宋体" w:eastAsia="宋体" w:cs="宋体"/>
          <w:b w:val="0"/>
          <w:bCs w:val="0"/>
          <w:sz w:val="24"/>
          <w:szCs w:val="24"/>
          <w:u w:val="single"/>
          <w:lang w:val="en-US" w:eastAsia="zh-CN"/>
        </w:rPr>
        <w:t xml:space="preserve"> （项目名称） </w:t>
      </w:r>
      <w:r>
        <w:rPr>
          <w:rFonts w:hint="eastAsia" w:ascii="宋体" w:hAnsi="宋体" w:eastAsia="宋体" w:cs="宋体"/>
          <w:b w:val="0"/>
          <w:bCs w:val="0"/>
          <w:sz w:val="24"/>
          <w:szCs w:val="24"/>
          <w:lang w:val="en-US" w:eastAsia="zh-CN"/>
        </w:rPr>
        <w:t xml:space="preserve">招标活动中，我单位承诺满足以下要求：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一、单位负责人为同一人或者存在直接控股、管理关系的不同供应商，不参加同一合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同项下的政府采购活动。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二、没有为本项目提供整体设计、规范编制或者项目管理、监理、检测等服务。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三、若出现上述行为，我单位确认投标无效、承诺书虚假，接受相关部门按照国家法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律法规等有关规定对我单位虚假承诺所给予的处理。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供应商（电子签章）：</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法定代表人（电子签名）：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日期： 年 月 日 </w:t>
      </w:r>
    </w:p>
    <w:p>
      <w:pPr>
        <w:pStyle w:val="32"/>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br w:type="page"/>
      </w:r>
    </w:p>
    <w:p>
      <w:pPr>
        <w:pStyle w:val="32"/>
        <w:rPr>
          <w:rFonts w:hint="eastAsia" w:ascii="黑体" w:hAnsi="宋体" w:eastAsia="黑体" w:cs="黑体"/>
          <w:b/>
          <w:bCs/>
          <w:sz w:val="30"/>
          <w:szCs w:val="30"/>
          <w:lang w:val="en-US" w:eastAsia="zh-CN"/>
        </w:rPr>
      </w:pPr>
      <w:r>
        <w:rPr>
          <w:rFonts w:hint="eastAsia" w:ascii="黑体" w:hAnsi="宋体" w:eastAsia="黑体" w:cs="黑体"/>
          <w:b/>
          <w:bCs/>
          <w:sz w:val="30"/>
          <w:szCs w:val="30"/>
          <w:lang w:val="en-US" w:eastAsia="zh-CN"/>
        </w:rPr>
        <w:t>17-5、其他资格证明材料</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按磋商文件要求提供的其他资格证明材料或供应商认为有必要提供的其他证明材料。</w:t>
      </w:r>
    </w:p>
    <w:p>
      <w:pPr>
        <w:pStyle w:val="32"/>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（按磋商文件要求电子签名&lt;签章&gt;。）</w:t>
      </w: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rPr>
          <w:rFonts w:hint="eastAsia" w:ascii="黑体" w:hAnsi="宋体" w:eastAsia="黑体" w:cs="黑体"/>
          <w:b/>
          <w:bCs/>
          <w:sz w:val="30"/>
          <w:szCs w:val="30"/>
          <w:lang w:val="en-US" w:eastAsia="zh-CN"/>
        </w:rPr>
      </w:pPr>
    </w:p>
    <w:p>
      <w:pPr>
        <w:pStyle w:val="32"/>
      </w:pPr>
    </w:p>
    <w:sectPr>
      <w:footerReference r:id="rId12" w:type="default"/>
      <w:pgSz w:w="11905" w:h="16837"/>
      <w:pgMar w:top="1091" w:right="1106" w:bottom="993" w:left="1418" w:header="567" w:footer="567"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087" w:usb1="28AF4000" w:usb2="00000016" w:usb3="00000000" w:csb0="00100009"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TimesNewRomanPS-BoldM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ind w:right="21"/>
      <w:jc w:val="center"/>
      <w:rPr>
        <w:rFonts w:ascii="宋体"/>
        <w:szCs w:val="21"/>
      </w:rPr>
    </w:pPr>
    <w:r>
      <w:pict>
        <v:shape id="Text Box 1026" o:spid="_x0000_s4097" o:spt="202" type="#_x0000_t202" style="position:absolute;left:0pt;margin-left:70.85pt;margin-top:799.35pt;height:14.15pt;width:453.5pt;mso-position-horizontal-relative:page;mso-position-vertical-relative:page;z-index:-251657216;mso-width-relative:page;mso-height-relative:page;" filled="f" stroked="f" coordsize="21600,21600" o:allowincell="f">
          <v:path/>
          <v:fill on="f" focussize="0,0"/>
          <v:stroke on="f" joinstyle="miter"/>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1"/>
      <w:rPr>
        <w:rStyle w:val="28"/>
      </w:rPr>
    </w:pPr>
    <w:r>
      <w:rPr>
        <w:rStyle w:val="28"/>
      </w:rPr>
      <w:fldChar w:fldCharType="begin"/>
    </w:r>
    <w:r>
      <w:rPr>
        <w:rStyle w:val="28"/>
      </w:rPr>
      <w:instrText xml:space="preserve">PAGE  </w:instrText>
    </w:r>
    <w:r>
      <w:rPr>
        <w:rStyle w:val="28"/>
      </w:rPr>
      <w:fldChar w:fldCharType="end"/>
    </w:r>
  </w:p>
  <w:p>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4946"/>
        <w:tab w:val="left" w:pos="5794"/>
        <w:tab w:val="clear" w:pos="4153"/>
        <w:tab w:val="clear" w:pos="8306"/>
      </w:tabs>
      <w:ind w:right="360"/>
    </w:pP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27598"/>
    </w:sdtPr>
    <w:sdtContent>
      <w:p>
        <w:pPr>
          <w:pStyle w:val="15"/>
          <w:jc w:val="center"/>
        </w:pPr>
        <w:r>
          <w:fldChar w:fldCharType="begin"/>
        </w:r>
        <w:r>
          <w:instrText xml:space="preserve"> PAGE   \* MERGEFORMAT </w:instrText>
        </w:r>
        <w:r>
          <w:fldChar w:fldCharType="separate"/>
        </w:r>
        <w:r>
          <w:rPr>
            <w:lang w:val="zh-CN"/>
          </w:rPr>
          <w:t>7</w:t>
        </w:r>
        <w:r>
          <w:rPr>
            <w:lang w:val="zh-CN"/>
          </w:rPr>
          <w:fldChar w:fldCharType="end"/>
        </w:r>
      </w:p>
    </w:sdtContent>
  </w:sdt>
  <w:p>
    <w:pPr>
      <w:widowControl w:val="0"/>
      <w:snapToGrid w:val="0"/>
      <w:spacing w:line="240" w:lineRule="atLeast"/>
      <w:ind w:right="21"/>
      <w:jc w:val="center"/>
      <w:rPr>
        <w:rFonts w:ascii="宋体"/>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4946"/>
        <w:tab w:val="clear" w:pos="4153"/>
      </w:tabs>
      <w:ind w:right="360"/>
    </w:pP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w:t>
    </w:r>
    <w:r>
      <w:t xml:space="preserve"> 27 -</w:t>
    </w:r>
    <w:r>
      <w:fldChar w:fldCharType="end"/>
    </w:r>
  </w:p>
  <w:p>
    <w:pPr>
      <w:widowControl w:val="0"/>
      <w:snapToGrid w:val="0"/>
      <w:spacing w:line="240" w:lineRule="atLeast"/>
      <w:ind w:right="21"/>
      <w:jc w:val="center"/>
      <w:rPr>
        <w:rFonts w:ascii="宋体"/>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240" w:lineRule="atLeast"/>
      <w:rPr>
        <w:rFonts w:ascii="宋体"/>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DRiOGRlYWU4NTNjNmYzYjVlYzU2ODA4MDYwMmU3ODQifQ=="/>
  </w:docVars>
  <w:rsids>
    <w:rsidRoot w:val="00172A27"/>
    <w:rsid w:val="00001D7A"/>
    <w:rsid w:val="00003844"/>
    <w:rsid w:val="00004B3A"/>
    <w:rsid w:val="00007CD8"/>
    <w:rsid w:val="00007E7D"/>
    <w:rsid w:val="0001069F"/>
    <w:rsid w:val="00013814"/>
    <w:rsid w:val="00013DB2"/>
    <w:rsid w:val="000146ED"/>
    <w:rsid w:val="0001616C"/>
    <w:rsid w:val="00017E1E"/>
    <w:rsid w:val="0002046F"/>
    <w:rsid w:val="00023676"/>
    <w:rsid w:val="00024608"/>
    <w:rsid w:val="00025F1E"/>
    <w:rsid w:val="0002701F"/>
    <w:rsid w:val="0002739B"/>
    <w:rsid w:val="0003351F"/>
    <w:rsid w:val="000339BC"/>
    <w:rsid w:val="00033BB5"/>
    <w:rsid w:val="00035118"/>
    <w:rsid w:val="0003567F"/>
    <w:rsid w:val="00035BA8"/>
    <w:rsid w:val="00036AA4"/>
    <w:rsid w:val="00037098"/>
    <w:rsid w:val="00037F43"/>
    <w:rsid w:val="000403D8"/>
    <w:rsid w:val="00040BE7"/>
    <w:rsid w:val="00041891"/>
    <w:rsid w:val="00042CA8"/>
    <w:rsid w:val="00042E06"/>
    <w:rsid w:val="00043821"/>
    <w:rsid w:val="00043CBA"/>
    <w:rsid w:val="0004440A"/>
    <w:rsid w:val="00044F84"/>
    <w:rsid w:val="00046A4B"/>
    <w:rsid w:val="00046D8E"/>
    <w:rsid w:val="00054E34"/>
    <w:rsid w:val="00055755"/>
    <w:rsid w:val="00057F78"/>
    <w:rsid w:val="00057F79"/>
    <w:rsid w:val="000602CF"/>
    <w:rsid w:val="0006134B"/>
    <w:rsid w:val="00061CB6"/>
    <w:rsid w:val="00062821"/>
    <w:rsid w:val="00067307"/>
    <w:rsid w:val="0007078A"/>
    <w:rsid w:val="00070FA8"/>
    <w:rsid w:val="00072488"/>
    <w:rsid w:val="00072834"/>
    <w:rsid w:val="000733DD"/>
    <w:rsid w:val="0007390E"/>
    <w:rsid w:val="00073A45"/>
    <w:rsid w:val="00073DBF"/>
    <w:rsid w:val="00074766"/>
    <w:rsid w:val="00075AA6"/>
    <w:rsid w:val="00077629"/>
    <w:rsid w:val="00077B71"/>
    <w:rsid w:val="00080AE9"/>
    <w:rsid w:val="00081801"/>
    <w:rsid w:val="00081C6C"/>
    <w:rsid w:val="000823AD"/>
    <w:rsid w:val="000829A8"/>
    <w:rsid w:val="00084330"/>
    <w:rsid w:val="00086B70"/>
    <w:rsid w:val="00086B8A"/>
    <w:rsid w:val="00087C16"/>
    <w:rsid w:val="0009004F"/>
    <w:rsid w:val="00090D6B"/>
    <w:rsid w:val="00090EB6"/>
    <w:rsid w:val="00091C5E"/>
    <w:rsid w:val="0009268E"/>
    <w:rsid w:val="00093A6B"/>
    <w:rsid w:val="00095619"/>
    <w:rsid w:val="000956CE"/>
    <w:rsid w:val="000A0EA2"/>
    <w:rsid w:val="000A152E"/>
    <w:rsid w:val="000A1C72"/>
    <w:rsid w:val="000A3FE8"/>
    <w:rsid w:val="000A4640"/>
    <w:rsid w:val="000A55EE"/>
    <w:rsid w:val="000A6CD3"/>
    <w:rsid w:val="000A7CCE"/>
    <w:rsid w:val="000B0EC6"/>
    <w:rsid w:val="000B1334"/>
    <w:rsid w:val="000B4758"/>
    <w:rsid w:val="000B53BD"/>
    <w:rsid w:val="000B5412"/>
    <w:rsid w:val="000B6571"/>
    <w:rsid w:val="000B6FC6"/>
    <w:rsid w:val="000C132C"/>
    <w:rsid w:val="000C1882"/>
    <w:rsid w:val="000C2342"/>
    <w:rsid w:val="000C2AA6"/>
    <w:rsid w:val="000C4BA5"/>
    <w:rsid w:val="000C540C"/>
    <w:rsid w:val="000D052A"/>
    <w:rsid w:val="000D1860"/>
    <w:rsid w:val="000D2631"/>
    <w:rsid w:val="000D493A"/>
    <w:rsid w:val="000D4B81"/>
    <w:rsid w:val="000D590C"/>
    <w:rsid w:val="000D69FD"/>
    <w:rsid w:val="000E02FC"/>
    <w:rsid w:val="000E0493"/>
    <w:rsid w:val="000E23D7"/>
    <w:rsid w:val="000E54A0"/>
    <w:rsid w:val="000E6D5E"/>
    <w:rsid w:val="000E7A7A"/>
    <w:rsid w:val="000F01A2"/>
    <w:rsid w:val="000F06AC"/>
    <w:rsid w:val="000F108C"/>
    <w:rsid w:val="000F1C87"/>
    <w:rsid w:val="000F2CAE"/>
    <w:rsid w:val="000F3188"/>
    <w:rsid w:val="000F3D46"/>
    <w:rsid w:val="000F4146"/>
    <w:rsid w:val="000F71A3"/>
    <w:rsid w:val="000F7917"/>
    <w:rsid w:val="001017C0"/>
    <w:rsid w:val="00101EAB"/>
    <w:rsid w:val="00104BD4"/>
    <w:rsid w:val="001071F0"/>
    <w:rsid w:val="00107435"/>
    <w:rsid w:val="00110434"/>
    <w:rsid w:val="001118D4"/>
    <w:rsid w:val="00112E02"/>
    <w:rsid w:val="001145B0"/>
    <w:rsid w:val="001158BB"/>
    <w:rsid w:val="001163D8"/>
    <w:rsid w:val="00117877"/>
    <w:rsid w:val="001215D2"/>
    <w:rsid w:val="00123128"/>
    <w:rsid w:val="001231C8"/>
    <w:rsid w:val="001234C9"/>
    <w:rsid w:val="00124FC4"/>
    <w:rsid w:val="00126132"/>
    <w:rsid w:val="001263CF"/>
    <w:rsid w:val="00131B13"/>
    <w:rsid w:val="00131CCB"/>
    <w:rsid w:val="00132364"/>
    <w:rsid w:val="001342A5"/>
    <w:rsid w:val="00135227"/>
    <w:rsid w:val="00137865"/>
    <w:rsid w:val="001378C9"/>
    <w:rsid w:val="001401E4"/>
    <w:rsid w:val="00142F99"/>
    <w:rsid w:val="001439BF"/>
    <w:rsid w:val="001443E8"/>
    <w:rsid w:val="001449BF"/>
    <w:rsid w:val="00144E92"/>
    <w:rsid w:val="001529BC"/>
    <w:rsid w:val="001532B2"/>
    <w:rsid w:val="001537D5"/>
    <w:rsid w:val="00153A06"/>
    <w:rsid w:val="00157D29"/>
    <w:rsid w:val="001641D5"/>
    <w:rsid w:val="00166170"/>
    <w:rsid w:val="001667B4"/>
    <w:rsid w:val="00166938"/>
    <w:rsid w:val="0016693E"/>
    <w:rsid w:val="0016783C"/>
    <w:rsid w:val="001678FA"/>
    <w:rsid w:val="001708C3"/>
    <w:rsid w:val="00170AE1"/>
    <w:rsid w:val="00170E55"/>
    <w:rsid w:val="001719D7"/>
    <w:rsid w:val="00171CF7"/>
    <w:rsid w:val="00172A27"/>
    <w:rsid w:val="00172A7E"/>
    <w:rsid w:val="0017374F"/>
    <w:rsid w:val="00175E3A"/>
    <w:rsid w:val="00180570"/>
    <w:rsid w:val="0018338A"/>
    <w:rsid w:val="00183C38"/>
    <w:rsid w:val="00183E58"/>
    <w:rsid w:val="001850F0"/>
    <w:rsid w:val="00185487"/>
    <w:rsid w:val="00186168"/>
    <w:rsid w:val="001863F6"/>
    <w:rsid w:val="00194451"/>
    <w:rsid w:val="0019697C"/>
    <w:rsid w:val="001A1BB5"/>
    <w:rsid w:val="001A1D5B"/>
    <w:rsid w:val="001A5320"/>
    <w:rsid w:val="001A6EC8"/>
    <w:rsid w:val="001A733E"/>
    <w:rsid w:val="001B2A9F"/>
    <w:rsid w:val="001B37F5"/>
    <w:rsid w:val="001B4914"/>
    <w:rsid w:val="001B5626"/>
    <w:rsid w:val="001B5F64"/>
    <w:rsid w:val="001B6072"/>
    <w:rsid w:val="001B7C99"/>
    <w:rsid w:val="001C050D"/>
    <w:rsid w:val="001C0CCA"/>
    <w:rsid w:val="001C29F2"/>
    <w:rsid w:val="001C2D34"/>
    <w:rsid w:val="001C2E7C"/>
    <w:rsid w:val="001C397C"/>
    <w:rsid w:val="001C3DAF"/>
    <w:rsid w:val="001C528B"/>
    <w:rsid w:val="001C6505"/>
    <w:rsid w:val="001D0DA4"/>
    <w:rsid w:val="001D14A1"/>
    <w:rsid w:val="001D17A7"/>
    <w:rsid w:val="001D22C4"/>
    <w:rsid w:val="001D2F63"/>
    <w:rsid w:val="001D3921"/>
    <w:rsid w:val="001D3B0B"/>
    <w:rsid w:val="001D4345"/>
    <w:rsid w:val="001D6398"/>
    <w:rsid w:val="001D6420"/>
    <w:rsid w:val="001E04F2"/>
    <w:rsid w:val="001E0705"/>
    <w:rsid w:val="001E0A3F"/>
    <w:rsid w:val="001E136C"/>
    <w:rsid w:val="001E1A46"/>
    <w:rsid w:val="001E1FAC"/>
    <w:rsid w:val="001E30AE"/>
    <w:rsid w:val="001E45BE"/>
    <w:rsid w:val="001E55A2"/>
    <w:rsid w:val="001E60A9"/>
    <w:rsid w:val="001E6216"/>
    <w:rsid w:val="001F1D57"/>
    <w:rsid w:val="001F4C70"/>
    <w:rsid w:val="001F6308"/>
    <w:rsid w:val="001F6921"/>
    <w:rsid w:val="001F730F"/>
    <w:rsid w:val="001F7F37"/>
    <w:rsid w:val="00200253"/>
    <w:rsid w:val="00203A8F"/>
    <w:rsid w:val="00203DFD"/>
    <w:rsid w:val="002052BF"/>
    <w:rsid w:val="00205670"/>
    <w:rsid w:val="00205DC9"/>
    <w:rsid w:val="0020635B"/>
    <w:rsid w:val="002064E1"/>
    <w:rsid w:val="00210346"/>
    <w:rsid w:val="002107F2"/>
    <w:rsid w:val="00212022"/>
    <w:rsid w:val="002146E7"/>
    <w:rsid w:val="00214BF5"/>
    <w:rsid w:val="00214DD7"/>
    <w:rsid w:val="00214F54"/>
    <w:rsid w:val="002155C5"/>
    <w:rsid w:val="00215EE7"/>
    <w:rsid w:val="00216FC6"/>
    <w:rsid w:val="00221964"/>
    <w:rsid w:val="002228C6"/>
    <w:rsid w:val="002238AE"/>
    <w:rsid w:val="00225A8A"/>
    <w:rsid w:val="002276F4"/>
    <w:rsid w:val="0023012A"/>
    <w:rsid w:val="00231508"/>
    <w:rsid w:val="00231D21"/>
    <w:rsid w:val="0023255F"/>
    <w:rsid w:val="002341A2"/>
    <w:rsid w:val="00234AE5"/>
    <w:rsid w:val="0023609F"/>
    <w:rsid w:val="00237A15"/>
    <w:rsid w:val="00240733"/>
    <w:rsid w:val="00241D3A"/>
    <w:rsid w:val="0024269B"/>
    <w:rsid w:val="00244532"/>
    <w:rsid w:val="0024502A"/>
    <w:rsid w:val="0024541C"/>
    <w:rsid w:val="00247523"/>
    <w:rsid w:val="00247993"/>
    <w:rsid w:val="002511FE"/>
    <w:rsid w:val="00251E2D"/>
    <w:rsid w:val="00254F6E"/>
    <w:rsid w:val="00255866"/>
    <w:rsid w:val="002574D7"/>
    <w:rsid w:val="002579EC"/>
    <w:rsid w:val="00257B22"/>
    <w:rsid w:val="002602F6"/>
    <w:rsid w:val="00261CA5"/>
    <w:rsid w:val="00262D1F"/>
    <w:rsid w:val="00264999"/>
    <w:rsid w:val="002665E4"/>
    <w:rsid w:val="002672A0"/>
    <w:rsid w:val="002673AF"/>
    <w:rsid w:val="0027067C"/>
    <w:rsid w:val="00270FE1"/>
    <w:rsid w:val="00271ABB"/>
    <w:rsid w:val="00271BB2"/>
    <w:rsid w:val="00272B6B"/>
    <w:rsid w:val="00272DEC"/>
    <w:rsid w:val="002734AE"/>
    <w:rsid w:val="00273FB6"/>
    <w:rsid w:val="00275945"/>
    <w:rsid w:val="002759A2"/>
    <w:rsid w:val="00276204"/>
    <w:rsid w:val="00276B43"/>
    <w:rsid w:val="00280E45"/>
    <w:rsid w:val="002810F8"/>
    <w:rsid w:val="0028181D"/>
    <w:rsid w:val="00281F3D"/>
    <w:rsid w:val="0028291D"/>
    <w:rsid w:val="00290D50"/>
    <w:rsid w:val="0029442F"/>
    <w:rsid w:val="00294947"/>
    <w:rsid w:val="0029595B"/>
    <w:rsid w:val="00295A34"/>
    <w:rsid w:val="00296060"/>
    <w:rsid w:val="00296501"/>
    <w:rsid w:val="002968C0"/>
    <w:rsid w:val="002975BF"/>
    <w:rsid w:val="002A0696"/>
    <w:rsid w:val="002A1E2B"/>
    <w:rsid w:val="002A2037"/>
    <w:rsid w:val="002A2B5C"/>
    <w:rsid w:val="002A35F6"/>
    <w:rsid w:val="002A4898"/>
    <w:rsid w:val="002A4F6F"/>
    <w:rsid w:val="002A5411"/>
    <w:rsid w:val="002A56EF"/>
    <w:rsid w:val="002A6D86"/>
    <w:rsid w:val="002A7073"/>
    <w:rsid w:val="002A7814"/>
    <w:rsid w:val="002B1A64"/>
    <w:rsid w:val="002B3090"/>
    <w:rsid w:val="002B5E0D"/>
    <w:rsid w:val="002C00FF"/>
    <w:rsid w:val="002C11FF"/>
    <w:rsid w:val="002C3082"/>
    <w:rsid w:val="002C3330"/>
    <w:rsid w:val="002C5287"/>
    <w:rsid w:val="002C7276"/>
    <w:rsid w:val="002D057C"/>
    <w:rsid w:val="002D0C0C"/>
    <w:rsid w:val="002D1708"/>
    <w:rsid w:val="002D1EC7"/>
    <w:rsid w:val="002D2579"/>
    <w:rsid w:val="002D40A9"/>
    <w:rsid w:val="002D6349"/>
    <w:rsid w:val="002D6B6F"/>
    <w:rsid w:val="002D7628"/>
    <w:rsid w:val="002D7A77"/>
    <w:rsid w:val="002D7BE8"/>
    <w:rsid w:val="002E098C"/>
    <w:rsid w:val="002E3E40"/>
    <w:rsid w:val="002E5D24"/>
    <w:rsid w:val="002E76EF"/>
    <w:rsid w:val="002E7E70"/>
    <w:rsid w:val="002F08C6"/>
    <w:rsid w:val="002F24F3"/>
    <w:rsid w:val="002F2754"/>
    <w:rsid w:val="002F37CB"/>
    <w:rsid w:val="002F4ADA"/>
    <w:rsid w:val="002F5465"/>
    <w:rsid w:val="002F7AD0"/>
    <w:rsid w:val="002F7EF3"/>
    <w:rsid w:val="002F7F3A"/>
    <w:rsid w:val="0030169A"/>
    <w:rsid w:val="00306123"/>
    <w:rsid w:val="00307CF1"/>
    <w:rsid w:val="0031007D"/>
    <w:rsid w:val="003110D4"/>
    <w:rsid w:val="00311B9B"/>
    <w:rsid w:val="003157D1"/>
    <w:rsid w:val="00316A48"/>
    <w:rsid w:val="00317222"/>
    <w:rsid w:val="00320497"/>
    <w:rsid w:val="00320DF9"/>
    <w:rsid w:val="003214B1"/>
    <w:rsid w:val="00322799"/>
    <w:rsid w:val="003241F1"/>
    <w:rsid w:val="0032468A"/>
    <w:rsid w:val="003253CE"/>
    <w:rsid w:val="0032576C"/>
    <w:rsid w:val="00331D60"/>
    <w:rsid w:val="00332C6F"/>
    <w:rsid w:val="00334316"/>
    <w:rsid w:val="00334CC7"/>
    <w:rsid w:val="003355B7"/>
    <w:rsid w:val="00336AAB"/>
    <w:rsid w:val="00342477"/>
    <w:rsid w:val="00342500"/>
    <w:rsid w:val="0034283D"/>
    <w:rsid w:val="00343634"/>
    <w:rsid w:val="00343968"/>
    <w:rsid w:val="00343A1D"/>
    <w:rsid w:val="00343D9C"/>
    <w:rsid w:val="00343E09"/>
    <w:rsid w:val="0035121B"/>
    <w:rsid w:val="003521AC"/>
    <w:rsid w:val="00352BA3"/>
    <w:rsid w:val="00352D4E"/>
    <w:rsid w:val="00354452"/>
    <w:rsid w:val="00356193"/>
    <w:rsid w:val="00356631"/>
    <w:rsid w:val="00356A9C"/>
    <w:rsid w:val="00357F64"/>
    <w:rsid w:val="0036067C"/>
    <w:rsid w:val="0036276F"/>
    <w:rsid w:val="003634F4"/>
    <w:rsid w:val="00363B02"/>
    <w:rsid w:val="003642B6"/>
    <w:rsid w:val="003655E9"/>
    <w:rsid w:val="00365BD8"/>
    <w:rsid w:val="003677A5"/>
    <w:rsid w:val="00367D22"/>
    <w:rsid w:val="00371760"/>
    <w:rsid w:val="00371CE6"/>
    <w:rsid w:val="00371DF2"/>
    <w:rsid w:val="00371F82"/>
    <w:rsid w:val="00376869"/>
    <w:rsid w:val="00377AE0"/>
    <w:rsid w:val="00380598"/>
    <w:rsid w:val="00381B01"/>
    <w:rsid w:val="003829D9"/>
    <w:rsid w:val="00383B17"/>
    <w:rsid w:val="00384A92"/>
    <w:rsid w:val="003854F3"/>
    <w:rsid w:val="00386518"/>
    <w:rsid w:val="003875CD"/>
    <w:rsid w:val="00387FBB"/>
    <w:rsid w:val="00391A61"/>
    <w:rsid w:val="00397B1C"/>
    <w:rsid w:val="00397E86"/>
    <w:rsid w:val="003A0C28"/>
    <w:rsid w:val="003A1388"/>
    <w:rsid w:val="003A1D20"/>
    <w:rsid w:val="003A258C"/>
    <w:rsid w:val="003A2BE3"/>
    <w:rsid w:val="003A37AB"/>
    <w:rsid w:val="003A40E7"/>
    <w:rsid w:val="003A4472"/>
    <w:rsid w:val="003A4DCD"/>
    <w:rsid w:val="003A67F1"/>
    <w:rsid w:val="003A78B7"/>
    <w:rsid w:val="003B0410"/>
    <w:rsid w:val="003B120C"/>
    <w:rsid w:val="003B2BDE"/>
    <w:rsid w:val="003B4A06"/>
    <w:rsid w:val="003B5D7B"/>
    <w:rsid w:val="003B5F19"/>
    <w:rsid w:val="003B600A"/>
    <w:rsid w:val="003B67A0"/>
    <w:rsid w:val="003B72E5"/>
    <w:rsid w:val="003C0BB3"/>
    <w:rsid w:val="003C0CDC"/>
    <w:rsid w:val="003C0E0B"/>
    <w:rsid w:val="003C1220"/>
    <w:rsid w:val="003C1D99"/>
    <w:rsid w:val="003C2C73"/>
    <w:rsid w:val="003C5626"/>
    <w:rsid w:val="003C6339"/>
    <w:rsid w:val="003C6B76"/>
    <w:rsid w:val="003C73F0"/>
    <w:rsid w:val="003D3B92"/>
    <w:rsid w:val="003D3B9C"/>
    <w:rsid w:val="003D4056"/>
    <w:rsid w:val="003D415D"/>
    <w:rsid w:val="003D46D1"/>
    <w:rsid w:val="003D5C3E"/>
    <w:rsid w:val="003D7EC2"/>
    <w:rsid w:val="003E10E4"/>
    <w:rsid w:val="003E1BD5"/>
    <w:rsid w:val="003E3AC3"/>
    <w:rsid w:val="003E58E5"/>
    <w:rsid w:val="003E58FF"/>
    <w:rsid w:val="003E5EE1"/>
    <w:rsid w:val="003E7C9B"/>
    <w:rsid w:val="003E7D25"/>
    <w:rsid w:val="003F0417"/>
    <w:rsid w:val="003F5953"/>
    <w:rsid w:val="003F65B6"/>
    <w:rsid w:val="003F688C"/>
    <w:rsid w:val="00400DD3"/>
    <w:rsid w:val="00403806"/>
    <w:rsid w:val="00403958"/>
    <w:rsid w:val="004073DB"/>
    <w:rsid w:val="0041074D"/>
    <w:rsid w:val="0041164C"/>
    <w:rsid w:val="004137F3"/>
    <w:rsid w:val="00414930"/>
    <w:rsid w:val="00414F84"/>
    <w:rsid w:val="00415470"/>
    <w:rsid w:val="00415CFA"/>
    <w:rsid w:val="00416388"/>
    <w:rsid w:val="00416486"/>
    <w:rsid w:val="00417D4F"/>
    <w:rsid w:val="0042046F"/>
    <w:rsid w:val="00421975"/>
    <w:rsid w:val="004223F4"/>
    <w:rsid w:val="004223F7"/>
    <w:rsid w:val="004237AF"/>
    <w:rsid w:val="00423A29"/>
    <w:rsid w:val="004266AA"/>
    <w:rsid w:val="00426990"/>
    <w:rsid w:val="004300B5"/>
    <w:rsid w:val="004342C9"/>
    <w:rsid w:val="004361FB"/>
    <w:rsid w:val="00440412"/>
    <w:rsid w:val="00440804"/>
    <w:rsid w:val="00441962"/>
    <w:rsid w:val="00443597"/>
    <w:rsid w:val="00443935"/>
    <w:rsid w:val="00443963"/>
    <w:rsid w:val="004439D6"/>
    <w:rsid w:val="004442B3"/>
    <w:rsid w:val="00444D59"/>
    <w:rsid w:val="00445E8D"/>
    <w:rsid w:val="00446551"/>
    <w:rsid w:val="00447654"/>
    <w:rsid w:val="00447C43"/>
    <w:rsid w:val="004513F9"/>
    <w:rsid w:val="00451DAE"/>
    <w:rsid w:val="00452F36"/>
    <w:rsid w:val="00453130"/>
    <w:rsid w:val="0045394E"/>
    <w:rsid w:val="00454535"/>
    <w:rsid w:val="00454B5D"/>
    <w:rsid w:val="00455B44"/>
    <w:rsid w:val="00456FA3"/>
    <w:rsid w:val="0045754E"/>
    <w:rsid w:val="00460E98"/>
    <w:rsid w:val="00461294"/>
    <w:rsid w:val="00461626"/>
    <w:rsid w:val="00462A9E"/>
    <w:rsid w:val="004640E1"/>
    <w:rsid w:val="00464905"/>
    <w:rsid w:val="00465462"/>
    <w:rsid w:val="00467D68"/>
    <w:rsid w:val="00471684"/>
    <w:rsid w:val="0047305B"/>
    <w:rsid w:val="0047493D"/>
    <w:rsid w:val="00475968"/>
    <w:rsid w:val="00475A0F"/>
    <w:rsid w:val="004771A7"/>
    <w:rsid w:val="00477DF1"/>
    <w:rsid w:val="004805E1"/>
    <w:rsid w:val="0048194E"/>
    <w:rsid w:val="00481D33"/>
    <w:rsid w:val="00481EFC"/>
    <w:rsid w:val="0048481A"/>
    <w:rsid w:val="00486D4E"/>
    <w:rsid w:val="0048733D"/>
    <w:rsid w:val="00487A10"/>
    <w:rsid w:val="00487F50"/>
    <w:rsid w:val="00492A68"/>
    <w:rsid w:val="0049352F"/>
    <w:rsid w:val="00494FF8"/>
    <w:rsid w:val="00496BBF"/>
    <w:rsid w:val="00497B97"/>
    <w:rsid w:val="00497E3B"/>
    <w:rsid w:val="004A0E42"/>
    <w:rsid w:val="004A28E9"/>
    <w:rsid w:val="004A4443"/>
    <w:rsid w:val="004A465C"/>
    <w:rsid w:val="004A5A5E"/>
    <w:rsid w:val="004A647D"/>
    <w:rsid w:val="004A6BB2"/>
    <w:rsid w:val="004A7816"/>
    <w:rsid w:val="004A791C"/>
    <w:rsid w:val="004B0A0E"/>
    <w:rsid w:val="004B10CD"/>
    <w:rsid w:val="004B2765"/>
    <w:rsid w:val="004B6984"/>
    <w:rsid w:val="004C0028"/>
    <w:rsid w:val="004C05F2"/>
    <w:rsid w:val="004C1E04"/>
    <w:rsid w:val="004C1EBB"/>
    <w:rsid w:val="004C407E"/>
    <w:rsid w:val="004C506F"/>
    <w:rsid w:val="004C7A15"/>
    <w:rsid w:val="004D113A"/>
    <w:rsid w:val="004D11B7"/>
    <w:rsid w:val="004D2B82"/>
    <w:rsid w:val="004D57A0"/>
    <w:rsid w:val="004D5F36"/>
    <w:rsid w:val="004E0791"/>
    <w:rsid w:val="004E26E0"/>
    <w:rsid w:val="004E4340"/>
    <w:rsid w:val="004E44CC"/>
    <w:rsid w:val="004E50CC"/>
    <w:rsid w:val="004E587A"/>
    <w:rsid w:val="004E5CA5"/>
    <w:rsid w:val="004E6F0E"/>
    <w:rsid w:val="004F02F2"/>
    <w:rsid w:val="004F16A1"/>
    <w:rsid w:val="004F1918"/>
    <w:rsid w:val="004F2DDA"/>
    <w:rsid w:val="004F4B65"/>
    <w:rsid w:val="00502DF4"/>
    <w:rsid w:val="005034FC"/>
    <w:rsid w:val="00503F67"/>
    <w:rsid w:val="005044B9"/>
    <w:rsid w:val="005055E2"/>
    <w:rsid w:val="00506637"/>
    <w:rsid w:val="00507AFA"/>
    <w:rsid w:val="00507EF7"/>
    <w:rsid w:val="005106D5"/>
    <w:rsid w:val="005112F3"/>
    <w:rsid w:val="00517BF1"/>
    <w:rsid w:val="00517EF8"/>
    <w:rsid w:val="00520645"/>
    <w:rsid w:val="00520920"/>
    <w:rsid w:val="00520FCF"/>
    <w:rsid w:val="0052426A"/>
    <w:rsid w:val="00524C98"/>
    <w:rsid w:val="00524D6D"/>
    <w:rsid w:val="005252C0"/>
    <w:rsid w:val="00530143"/>
    <w:rsid w:val="00530857"/>
    <w:rsid w:val="00530CE7"/>
    <w:rsid w:val="00530DA1"/>
    <w:rsid w:val="005316A8"/>
    <w:rsid w:val="00535C65"/>
    <w:rsid w:val="0053682D"/>
    <w:rsid w:val="00540FEC"/>
    <w:rsid w:val="005414D6"/>
    <w:rsid w:val="00541F83"/>
    <w:rsid w:val="00542596"/>
    <w:rsid w:val="00542766"/>
    <w:rsid w:val="005430C7"/>
    <w:rsid w:val="005436C0"/>
    <w:rsid w:val="00543809"/>
    <w:rsid w:val="00543CB6"/>
    <w:rsid w:val="00543EC9"/>
    <w:rsid w:val="005444D4"/>
    <w:rsid w:val="005446B0"/>
    <w:rsid w:val="005475A9"/>
    <w:rsid w:val="00547E4F"/>
    <w:rsid w:val="00551DFC"/>
    <w:rsid w:val="0055211A"/>
    <w:rsid w:val="00554187"/>
    <w:rsid w:val="005544A0"/>
    <w:rsid w:val="00555958"/>
    <w:rsid w:val="005600E9"/>
    <w:rsid w:val="005605F8"/>
    <w:rsid w:val="005615D4"/>
    <w:rsid w:val="00563264"/>
    <w:rsid w:val="005650C2"/>
    <w:rsid w:val="00565A8C"/>
    <w:rsid w:val="0057294D"/>
    <w:rsid w:val="00573012"/>
    <w:rsid w:val="005731AA"/>
    <w:rsid w:val="00574068"/>
    <w:rsid w:val="00575709"/>
    <w:rsid w:val="00575BD3"/>
    <w:rsid w:val="005773BE"/>
    <w:rsid w:val="005804F3"/>
    <w:rsid w:val="00580954"/>
    <w:rsid w:val="005824F8"/>
    <w:rsid w:val="0058359D"/>
    <w:rsid w:val="00583A14"/>
    <w:rsid w:val="00583A5C"/>
    <w:rsid w:val="00583CA8"/>
    <w:rsid w:val="00584C19"/>
    <w:rsid w:val="005850D6"/>
    <w:rsid w:val="005858E3"/>
    <w:rsid w:val="0058643C"/>
    <w:rsid w:val="00586EDA"/>
    <w:rsid w:val="005927CD"/>
    <w:rsid w:val="0059343A"/>
    <w:rsid w:val="005964EC"/>
    <w:rsid w:val="005A0661"/>
    <w:rsid w:val="005A1FDF"/>
    <w:rsid w:val="005A225C"/>
    <w:rsid w:val="005A2BEB"/>
    <w:rsid w:val="005A39AF"/>
    <w:rsid w:val="005A4F1F"/>
    <w:rsid w:val="005A61BC"/>
    <w:rsid w:val="005A6732"/>
    <w:rsid w:val="005A7272"/>
    <w:rsid w:val="005A7EC2"/>
    <w:rsid w:val="005A7ECD"/>
    <w:rsid w:val="005B19C2"/>
    <w:rsid w:val="005B334E"/>
    <w:rsid w:val="005B3938"/>
    <w:rsid w:val="005B3FB5"/>
    <w:rsid w:val="005B6F4B"/>
    <w:rsid w:val="005B7E36"/>
    <w:rsid w:val="005C0EA7"/>
    <w:rsid w:val="005C2B60"/>
    <w:rsid w:val="005C3B65"/>
    <w:rsid w:val="005C3CA1"/>
    <w:rsid w:val="005C5A71"/>
    <w:rsid w:val="005C71EA"/>
    <w:rsid w:val="005D0B54"/>
    <w:rsid w:val="005D1546"/>
    <w:rsid w:val="005D168F"/>
    <w:rsid w:val="005D248A"/>
    <w:rsid w:val="005D2C74"/>
    <w:rsid w:val="005D2CB5"/>
    <w:rsid w:val="005D3412"/>
    <w:rsid w:val="005D3766"/>
    <w:rsid w:val="005D386F"/>
    <w:rsid w:val="005D4542"/>
    <w:rsid w:val="005D511D"/>
    <w:rsid w:val="005D5B94"/>
    <w:rsid w:val="005D72C1"/>
    <w:rsid w:val="005E1F1C"/>
    <w:rsid w:val="005E3DC5"/>
    <w:rsid w:val="005E4813"/>
    <w:rsid w:val="005E6935"/>
    <w:rsid w:val="005E6E82"/>
    <w:rsid w:val="005F0BC7"/>
    <w:rsid w:val="005F5CA4"/>
    <w:rsid w:val="005F6167"/>
    <w:rsid w:val="006031DC"/>
    <w:rsid w:val="0060336D"/>
    <w:rsid w:val="006035CB"/>
    <w:rsid w:val="00604122"/>
    <w:rsid w:val="0060535C"/>
    <w:rsid w:val="00606709"/>
    <w:rsid w:val="00613D71"/>
    <w:rsid w:val="00615523"/>
    <w:rsid w:val="00615DBE"/>
    <w:rsid w:val="006161C5"/>
    <w:rsid w:val="00625C51"/>
    <w:rsid w:val="00626E6E"/>
    <w:rsid w:val="006313EC"/>
    <w:rsid w:val="00633300"/>
    <w:rsid w:val="00633872"/>
    <w:rsid w:val="0063507E"/>
    <w:rsid w:val="006369CC"/>
    <w:rsid w:val="006374EF"/>
    <w:rsid w:val="00643CAC"/>
    <w:rsid w:val="00643E16"/>
    <w:rsid w:val="00645B00"/>
    <w:rsid w:val="00646631"/>
    <w:rsid w:val="00647F26"/>
    <w:rsid w:val="006536D6"/>
    <w:rsid w:val="00654B00"/>
    <w:rsid w:val="00655415"/>
    <w:rsid w:val="006555FF"/>
    <w:rsid w:val="006560FF"/>
    <w:rsid w:val="00657569"/>
    <w:rsid w:val="00662875"/>
    <w:rsid w:val="00663399"/>
    <w:rsid w:val="006635A7"/>
    <w:rsid w:val="006649C6"/>
    <w:rsid w:val="00665634"/>
    <w:rsid w:val="006656A2"/>
    <w:rsid w:val="00665738"/>
    <w:rsid w:val="00666247"/>
    <w:rsid w:val="006679EB"/>
    <w:rsid w:val="00671EF7"/>
    <w:rsid w:val="0067360D"/>
    <w:rsid w:val="00674F5E"/>
    <w:rsid w:val="006763B3"/>
    <w:rsid w:val="006829A4"/>
    <w:rsid w:val="00682F0F"/>
    <w:rsid w:val="00683222"/>
    <w:rsid w:val="00685F1B"/>
    <w:rsid w:val="00686A7A"/>
    <w:rsid w:val="00686F46"/>
    <w:rsid w:val="00687B51"/>
    <w:rsid w:val="006900BC"/>
    <w:rsid w:val="006907CD"/>
    <w:rsid w:val="00692DDF"/>
    <w:rsid w:val="00692F23"/>
    <w:rsid w:val="00693530"/>
    <w:rsid w:val="0069376A"/>
    <w:rsid w:val="00694554"/>
    <w:rsid w:val="00695074"/>
    <w:rsid w:val="006A077D"/>
    <w:rsid w:val="006A1725"/>
    <w:rsid w:val="006A211F"/>
    <w:rsid w:val="006A4311"/>
    <w:rsid w:val="006A5EAE"/>
    <w:rsid w:val="006A76FE"/>
    <w:rsid w:val="006B46DC"/>
    <w:rsid w:val="006B666A"/>
    <w:rsid w:val="006B7F89"/>
    <w:rsid w:val="006C3846"/>
    <w:rsid w:val="006C3BF0"/>
    <w:rsid w:val="006C4725"/>
    <w:rsid w:val="006D221B"/>
    <w:rsid w:val="006D2A8C"/>
    <w:rsid w:val="006D441C"/>
    <w:rsid w:val="006D4845"/>
    <w:rsid w:val="006D4A35"/>
    <w:rsid w:val="006D7235"/>
    <w:rsid w:val="006D7839"/>
    <w:rsid w:val="006D7B10"/>
    <w:rsid w:val="006E02B1"/>
    <w:rsid w:val="006E157D"/>
    <w:rsid w:val="006E3615"/>
    <w:rsid w:val="006E52FE"/>
    <w:rsid w:val="006E6DDB"/>
    <w:rsid w:val="006F0AC4"/>
    <w:rsid w:val="006F0C4D"/>
    <w:rsid w:val="006F2CEE"/>
    <w:rsid w:val="006F5195"/>
    <w:rsid w:val="006F5426"/>
    <w:rsid w:val="006F61C3"/>
    <w:rsid w:val="006F65DD"/>
    <w:rsid w:val="006F6DCC"/>
    <w:rsid w:val="006F7546"/>
    <w:rsid w:val="00700495"/>
    <w:rsid w:val="00700BDF"/>
    <w:rsid w:val="00701A39"/>
    <w:rsid w:val="00701FD1"/>
    <w:rsid w:val="00702286"/>
    <w:rsid w:val="0070375B"/>
    <w:rsid w:val="00703A40"/>
    <w:rsid w:val="00704400"/>
    <w:rsid w:val="0070485D"/>
    <w:rsid w:val="00705060"/>
    <w:rsid w:val="00705E1B"/>
    <w:rsid w:val="00705F0C"/>
    <w:rsid w:val="007064D1"/>
    <w:rsid w:val="00706598"/>
    <w:rsid w:val="00710F95"/>
    <w:rsid w:val="007115D6"/>
    <w:rsid w:val="007132C1"/>
    <w:rsid w:val="00714445"/>
    <w:rsid w:val="007214D5"/>
    <w:rsid w:val="0072283F"/>
    <w:rsid w:val="00722DD9"/>
    <w:rsid w:val="0072306E"/>
    <w:rsid w:val="007269A4"/>
    <w:rsid w:val="00733E60"/>
    <w:rsid w:val="00734BF0"/>
    <w:rsid w:val="007358D4"/>
    <w:rsid w:val="007362E1"/>
    <w:rsid w:val="00736312"/>
    <w:rsid w:val="007375A2"/>
    <w:rsid w:val="00737D3F"/>
    <w:rsid w:val="00742808"/>
    <w:rsid w:val="00743133"/>
    <w:rsid w:val="00745330"/>
    <w:rsid w:val="00745EC9"/>
    <w:rsid w:val="00745FC7"/>
    <w:rsid w:val="00746653"/>
    <w:rsid w:val="0075061D"/>
    <w:rsid w:val="007506CA"/>
    <w:rsid w:val="00751747"/>
    <w:rsid w:val="00753442"/>
    <w:rsid w:val="00754000"/>
    <w:rsid w:val="0075584E"/>
    <w:rsid w:val="00760447"/>
    <w:rsid w:val="00760C76"/>
    <w:rsid w:val="007616E0"/>
    <w:rsid w:val="007623A6"/>
    <w:rsid w:val="007664AC"/>
    <w:rsid w:val="007664B3"/>
    <w:rsid w:val="00770264"/>
    <w:rsid w:val="00771BDB"/>
    <w:rsid w:val="00772449"/>
    <w:rsid w:val="007756E1"/>
    <w:rsid w:val="0078108E"/>
    <w:rsid w:val="007830D5"/>
    <w:rsid w:val="007830DD"/>
    <w:rsid w:val="00784AE6"/>
    <w:rsid w:val="00784CA4"/>
    <w:rsid w:val="00784D51"/>
    <w:rsid w:val="0078521D"/>
    <w:rsid w:val="00787769"/>
    <w:rsid w:val="0079060C"/>
    <w:rsid w:val="007910EF"/>
    <w:rsid w:val="00791384"/>
    <w:rsid w:val="0079276C"/>
    <w:rsid w:val="0079564C"/>
    <w:rsid w:val="007958E0"/>
    <w:rsid w:val="00797162"/>
    <w:rsid w:val="00797A49"/>
    <w:rsid w:val="007A0227"/>
    <w:rsid w:val="007A1908"/>
    <w:rsid w:val="007A31E6"/>
    <w:rsid w:val="007A3201"/>
    <w:rsid w:val="007A4951"/>
    <w:rsid w:val="007A59FD"/>
    <w:rsid w:val="007A6834"/>
    <w:rsid w:val="007A69E3"/>
    <w:rsid w:val="007A7D92"/>
    <w:rsid w:val="007B098E"/>
    <w:rsid w:val="007B1C24"/>
    <w:rsid w:val="007B1D8C"/>
    <w:rsid w:val="007B2424"/>
    <w:rsid w:val="007B271D"/>
    <w:rsid w:val="007B39B5"/>
    <w:rsid w:val="007B4698"/>
    <w:rsid w:val="007B677B"/>
    <w:rsid w:val="007B76CF"/>
    <w:rsid w:val="007C06DB"/>
    <w:rsid w:val="007C07F2"/>
    <w:rsid w:val="007C19C9"/>
    <w:rsid w:val="007C3721"/>
    <w:rsid w:val="007C442F"/>
    <w:rsid w:val="007C4873"/>
    <w:rsid w:val="007C5598"/>
    <w:rsid w:val="007C620C"/>
    <w:rsid w:val="007C7F1C"/>
    <w:rsid w:val="007D0693"/>
    <w:rsid w:val="007D26D0"/>
    <w:rsid w:val="007D2F6E"/>
    <w:rsid w:val="007D37C3"/>
    <w:rsid w:val="007D41CC"/>
    <w:rsid w:val="007D502C"/>
    <w:rsid w:val="007D53D2"/>
    <w:rsid w:val="007D542C"/>
    <w:rsid w:val="007D5F92"/>
    <w:rsid w:val="007D5FB6"/>
    <w:rsid w:val="007D6337"/>
    <w:rsid w:val="007D71B9"/>
    <w:rsid w:val="007E03DA"/>
    <w:rsid w:val="007E21C1"/>
    <w:rsid w:val="007E492B"/>
    <w:rsid w:val="007E5BA2"/>
    <w:rsid w:val="007E6B47"/>
    <w:rsid w:val="007E7CC7"/>
    <w:rsid w:val="007F12B7"/>
    <w:rsid w:val="007F25A9"/>
    <w:rsid w:val="007F33A7"/>
    <w:rsid w:val="007F35ED"/>
    <w:rsid w:val="007F5127"/>
    <w:rsid w:val="0080024D"/>
    <w:rsid w:val="008005A5"/>
    <w:rsid w:val="00800944"/>
    <w:rsid w:val="00800A5E"/>
    <w:rsid w:val="00801036"/>
    <w:rsid w:val="00801575"/>
    <w:rsid w:val="00802650"/>
    <w:rsid w:val="0080418D"/>
    <w:rsid w:val="00804A64"/>
    <w:rsid w:val="00804F81"/>
    <w:rsid w:val="00807E4C"/>
    <w:rsid w:val="00810E4C"/>
    <w:rsid w:val="00811C1B"/>
    <w:rsid w:val="00813B01"/>
    <w:rsid w:val="00813D5B"/>
    <w:rsid w:val="0081414A"/>
    <w:rsid w:val="00815A26"/>
    <w:rsid w:val="00815C3A"/>
    <w:rsid w:val="00815D71"/>
    <w:rsid w:val="00820836"/>
    <w:rsid w:val="008231BA"/>
    <w:rsid w:val="008236C3"/>
    <w:rsid w:val="00824005"/>
    <w:rsid w:val="00824E2B"/>
    <w:rsid w:val="00825555"/>
    <w:rsid w:val="00826779"/>
    <w:rsid w:val="00826980"/>
    <w:rsid w:val="008306DE"/>
    <w:rsid w:val="008313B2"/>
    <w:rsid w:val="00831E17"/>
    <w:rsid w:val="00832B98"/>
    <w:rsid w:val="00835E18"/>
    <w:rsid w:val="0083717F"/>
    <w:rsid w:val="00837F0A"/>
    <w:rsid w:val="00840199"/>
    <w:rsid w:val="008405A7"/>
    <w:rsid w:val="00842423"/>
    <w:rsid w:val="008428A5"/>
    <w:rsid w:val="0084319C"/>
    <w:rsid w:val="00846639"/>
    <w:rsid w:val="008469C8"/>
    <w:rsid w:val="00853B0C"/>
    <w:rsid w:val="00853B1B"/>
    <w:rsid w:val="008547F7"/>
    <w:rsid w:val="00854838"/>
    <w:rsid w:val="008577D4"/>
    <w:rsid w:val="00860BCB"/>
    <w:rsid w:val="00860DDC"/>
    <w:rsid w:val="00862065"/>
    <w:rsid w:val="00862400"/>
    <w:rsid w:val="00863DB6"/>
    <w:rsid w:val="00863FD0"/>
    <w:rsid w:val="00865B29"/>
    <w:rsid w:val="00867539"/>
    <w:rsid w:val="0087091E"/>
    <w:rsid w:val="008720D8"/>
    <w:rsid w:val="00872F64"/>
    <w:rsid w:val="0087367F"/>
    <w:rsid w:val="00873A06"/>
    <w:rsid w:val="008743C8"/>
    <w:rsid w:val="00874D70"/>
    <w:rsid w:val="00875555"/>
    <w:rsid w:val="00876C81"/>
    <w:rsid w:val="008826CF"/>
    <w:rsid w:val="008838C7"/>
    <w:rsid w:val="00883E6C"/>
    <w:rsid w:val="008862B5"/>
    <w:rsid w:val="00886679"/>
    <w:rsid w:val="0088721E"/>
    <w:rsid w:val="008872A8"/>
    <w:rsid w:val="0088740B"/>
    <w:rsid w:val="00887544"/>
    <w:rsid w:val="008908F5"/>
    <w:rsid w:val="00890A4C"/>
    <w:rsid w:val="00890DDA"/>
    <w:rsid w:val="00891725"/>
    <w:rsid w:val="00891914"/>
    <w:rsid w:val="008945FD"/>
    <w:rsid w:val="00894A72"/>
    <w:rsid w:val="008951AC"/>
    <w:rsid w:val="008961B7"/>
    <w:rsid w:val="0089677E"/>
    <w:rsid w:val="00896D19"/>
    <w:rsid w:val="00897391"/>
    <w:rsid w:val="00897483"/>
    <w:rsid w:val="008978CC"/>
    <w:rsid w:val="008A072A"/>
    <w:rsid w:val="008A1053"/>
    <w:rsid w:val="008A1FED"/>
    <w:rsid w:val="008A227F"/>
    <w:rsid w:val="008A2418"/>
    <w:rsid w:val="008A5FD3"/>
    <w:rsid w:val="008A6501"/>
    <w:rsid w:val="008A6931"/>
    <w:rsid w:val="008B56FA"/>
    <w:rsid w:val="008B5987"/>
    <w:rsid w:val="008C119E"/>
    <w:rsid w:val="008C1F86"/>
    <w:rsid w:val="008C2A3C"/>
    <w:rsid w:val="008C2E65"/>
    <w:rsid w:val="008C37C8"/>
    <w:rsid w:val="008C3996"/>
    <w:rsid w:val="008C46C7"/>
    <w:rsid w:val="008C7F13"/>
    <w:rsid w:val="008D0652"/>
    <w:rsid w:val="008D0BF5"/>
    <w:rsid w:val="008D114B"/>
    <w:rsid w:val="008D11B9"/>
    <w:rsid w:val="008D126F"/>
    <w:rsid w:val="008D2E88"/>
    <w:rsid w:val="008D45D9"/>
    <w:rsid w:val="008D79E6"/>
    <w:rsid w:val="008D7DDB"/>
    <w:rsid w:val="008E0014"/>
    <w:rsid w:val="008E08F8"/>
    <w:rsid w:val="008E1F19"/>
    <w:rsid w:val="008E2631"/>
    <w:rsid w:val="008F11E2"/>
    <w:rsid w:val="008F3660"/>
    <w:rsid w:val="008F3F09"/>
    <w:rsid w:val="008F6192"/>
    <w:rsid w:val="008F637F"/>
    <w:rsid w:val="008F7B87"/>
    <w:rsid w:val="00901CEC"/>
    <w:rsid w:val="00902C55"/>
    <w:rsid w:val="009042C0"/>
    <w:rsid w:val="009052E9"/>
    <w:rsid w:val="00905989"/>
    <w:rsid w:val="00906098"/>
    <w:rsid w:val="00907206"/>
    <w:rsid w:val="0090744F"/>
    <w:rsid w:val="0090749A"/>
    <w:rsid w:val="00907611"/>
    <w:rsid w:val="00907DA1"/>
    <w:rsid w:val="009104FF"/>
    <w:rsid w:val="00910DFD"/>
    <w:rsid w:val="00911C69"/>
    <w:rsid w:val="00911E72"/>
    <w:rsid w:val="009129DD"/>
    <w:rsid w:val="00912A72"/>
    <w:rsid w:val="00912DEC"/>
    <w:rsid w:val="0091364C"/>
    <w:rsid w:val="009149A9"/>
    <w:rsid w:val="00914C10"/>
    <w:rsid w:val="00915D80"/>
    <w:rsid w:val="00916887"/>
    <w:rsid w:val="00917556"/>
    <w:rsid w:val="009205BD"/>
    <w:rsid w:val="009209E2"/>
    <w:rsid w:val="009222E7"/>
    <w:rsid w:val="009232BF"/>
    <w:rsid w:val="00923B33"/>
    <w:rsid w:val="00923FC2"/>
    <w:rsid w:val="00924B22"/>
    <w:rsid w:val="009258F6"/>
    <w:rsid w:val="00927954"/>
    <w:rsid w:val="00927F3E"/>
    <w:rsid w:val="00930A46"/>
    <w:rsid w:val="00930D8F"/>
    <w:rsid w:val="00934A69"/>
    <w:rsid w:val="00936103"/>
    <w:rsid w:val="00936722"/>
    <w:rsid w:val="009376A3"/>
    <w:rsid w:val="009405F0"/>
    <w:rsid w:val="00945087"/>
    <w:rsid w:val="009451C2"/>
    <w:rsid w:val="009479EF"/>
    <w:rsid w:val="0095018E"/>
    <w:rsid w:val="0095022F"/>
    <w:rsid w:val="00950C28"/>
    <w:rsid w:val="009528ED"/>
    <w:rsid w:val="00953C24"/>
    <w:rsid w:val="00953E05"/>
    <w:rsid w:val="009548FE"/>
    <w:rsid w:val="00954B36"/>
    <w:rsid w:val="009572F4"/>
    <w:rsid w:val="009603FD"/>
    <w:rsid w:val="00963757"/>
    <w:rsid w:val="00964509"/>
    <w:rsid w:val="009647CD"/>
    <w:rsid w:val="0096588C"/>
    <w:rsid w:val="00965A62"/>
    <w:rsid w:val="00965A8D"/>
    <w:rsid w:val="00966C54"/>
    <w:rsid w:val="009678FD"/>
    <w:rsid w:val="00967B9A"/>
    <w:rsid w:val="0097037F"/>
    <w:rsid w:val="00972CB3"/>
    <w:rsid w:val="00974EA0"/>
    <w:rsid w:val="00975828"/>
    <w:rsid w:val="00975DA4"/>
    <w:rsid w:val="0097649D"/>
    <w:rsid w:val="00976EC3"/>
    <w:rsid w:val="00977466"/>
    <w:rsid w:val="00977987"/>
    <w:rsid w:val="00980F08"/>
    <w:rsid w:val="0098169D"/>
    <w:rsid w:val="0098287F"/>
    <w:rsid w:val="00984F86"/>
    <w:rsid w:val="009853EE"/>
    <w:rsid w:val="009854AD"/>
    <w:rsid w:val="009862FF"/>
    <w:rsid w:val="00986463"/>
    <w:rsid w:val="009872D8"/>
    <w:rsid w:val="00990627"/>
    <w:rsid w:val="00990D29"/>
    <w:rsid w:val="009916C7"/>
    <w:rsid w:val="00991914"/>
    <w:rsid w:val="009925A8"/>
    <w:rsid w:val="009937E4"/>
    <w:rsid w:val="009944E0"/>
    <w:rsid w:val="009A0EB2"/>
    <w:rsid w:val="009A32F5"/>
    <w:rsid w:val="009A4223"/>
    <w:rsid w:val="009A4397"/>
    <w:rsid w:val="009A5462"/>
    <w:rsid w:val="009A58EC"/>
    <w:rsid w:val="009A5BBB"/>
    <w:rsid w:val="009A6302"/>
    <w:rsid w:val="009A75E5"/>
    <w:rsid w:val="009A7DF7"/>
    <w:rsid w:val="009B0310"/>
    <w:rsid w:val="009B09C6"/>
    <w:rsid w:val="009B13D3"/>
    <w:rsid w:val="009B1ACA"/>
    <w:rsid w:val="009B2E13"/>
    <w:rsid w:val="009B31FA"/>
    <w:rsid w:val="009B4A2A"/>
    <w:rsid w:val="009B5D33"/>
    <w:rsid w:val="009C0A02"/>
    <w:rsid w:val="009C119B"/>
    <w:rsid w:val="009C3782"/>
    <w:rsid w:val="009C4B02"/>
    <w:rsid w:val="009D182C"/>
    <w:rsid w:val="009D1EBB"/>
    <w:rsid w:val="009D4ED5"/>
    <w:rsid w:val="009D5869"/>
    <w:rsid w:val="009D6DE4"/>
    <w:rsid w:val="009D7CE9"/>
    <w:rsid w:val="009E0223"/>
    <w:rsid w:val="009E0566"/>
    <w:rsid w:val="009E0EE1"/>
    <w:rsid w:val="009E3979"/>
    <w:rsid w:val="009E40DD"/>
    <w:rsid w:val="009E56B5"/>
    <w:rsid w:val="009E6BFC"/>
    <w:rsid w:val="009E74C5"/>
    <w:rsid w:val="009E776F"/>
    <w:rsid w:val="009E7D0D"/>
    <w:rsid w:val="009F0DB1"/>
    <w:rsid w:val="009F11A1"/>
    <w:rsid w:val="009F1A5D"/>
    <w:rsid w:val="009F2104"/>
    <w:rsid w:val="009F24BE"/>
    <w:rsid w:val="009F2584"/>
    <w:rsid w:val="009F2800"/>
    <w:rsid w:val="009F2E8A"/>
    <w:rsid w:val="009F5A77"/>
    <w:rsid w:val="009F6808"/>
    <w:rsid w:val="009F775D"/>
    <w:rsid w:val="00A00951"/>
    <w:rsid w:val="00A00B8C"/>
    <w:rsid w:val="00A034E8"/>
    <w:rsid w:val="00A03BF8"/>
    <w:rsid w:val="00A05215"/>
    <w:rsid w:val="00A0558F"/>
    <w:rsid w:val="00A06376"/>
    <w:rsid w:val="00A17418"/>
    <w:rsid w:val="00A179C6"/>
    <w:rsid w:val="00A22797"/>
    <w:rsid w:val="00A24C01"/>
    <w:rsid w:val="00A24EF1"/>
    <w:rsid w:val="00A2594E"/>
    <w:rsid w:val="00A260E0"/>
    <w:rsid w:val="00A2690A"/>
    <w:rsid w:val="00A3056D"/>
    <w:rsid w:val="00A30F8F"/>
    <w:rsid w:val="00A32C0E"/>
    <w:rsid w:val="00A32C80"/>
    <w:rsid w:val="00A32EFD"/>
    <w:rsid w:val="00A3358B"/>
    <w:rsid w:val="00A33FB6"/>
    <w:rsid w:val="00A34126"/>
    <w:rsid w:val="00A347CC"/>
    <w:rsid w:val="00A34FE8"/>
    <w:rsid w:val="00A35F40"/>
    <w:rsid w:val="00A4131F"/>
    <w:rsid w:val="00A52609"/>
    <w:rsid w:val="00A52796"/>
    <w:rsid w:val="00A52E90"/>
    <w:rsid w:val="00A550C2"/>
    <w:rsid w:val="00A603FA"/>
    <w:rsid w:val="00A60D25"/>
    <w:rsid w:val="00A61BBE"/>
    <w:rsid w:val="00A61DA4"/>
    <w:rsid w:val="00A62355"/>
    <w:rsid w:val="00A62737"/>
    <w:rsid w:val="00A63BEB"/>
    <w:rsid w:val="00A6519F"/>
    <w:rsid w:val="00A6575E"/>
    <w:rsid w:val="00A65E12"/>
    <w:rsid w:val="00A6633F"/>
    <w:rsid w:val="00A66FC6"/>
    <w:rsid w:val="00A672DB"/>
    <w:rsid w:val="00A67467"/>
    <w:rsid w:val="00A71215"/>
    <w:rsid w:val="00A7196F"/>
    <w:rsid w:val="00A74B2E"/>
    <w:rsid w:val="00A758F4"/>
    <w:rsid w:val="00A77CBB"/>
    <w:rsid w:val="00A866E0"/>
    <w:rsid w:val="00A86D16"/>
    <w:rsid w:val="00A86F33"/>
    <w:rsid w:val="00A92177"/>
    <w:rsid w:val="00A93155"/>
    <w:rsid w:val="00A93B9A"/>
    <w:rsid w:val="00A9411B"/>
    <w:rsid w:val="00A943CA"/>
    <w:rsid w:val="00A94A12"/>
    <w:rsid w:val="00AA0D37"/>
    <w:rsid w:val="00AA1289"/>
    <w:rsid w:val="00AA347C"/>
    <w:rsid w:val="00AA51FF"/>
    <w:rsid w:val="00AA66A4"/>
    <w:rsid w:val="00AA66EB"/>
    <w:rsid w:val="00AA6CAA"/>
    <w:rsid w:val="00AB3041"/>
    <w:rsid w:val="00AB3D2E"/>
    <w:rsid w:val="00AB4415"/>
    <w:rsid w:val="00AB6C79"/>
    <w:rsid w:val="00AB7B74"/>
    <w:rsid w:val="00AC1289"/>
    <w:rsid w:val="00AC298F"/>
    <w:rsid w:val="00AC2CA8"/>
    <w:rsid w:val="00AC4CBE"/>
    <w:rsid w:val="00AD067A"/>
    <w:rsid w:val="00AD1586"/>
    <w:rsid w:val="00AD501E"/>
    <w:rsid w:val="00AD5870"/>
    <w:rsid w:val="00AD5C4D"/>
    <w:rsid w:val="00AD5E53"/>
    <w:rsid w:val="00AD5F24"/>
    <w:rsid w:val="00AD7497"/>
    <w:rsid w:val="00AE0769"/>
    <w:rsid w:val="00AE1818"/>
    <w:rsid w:val="00AE2052"/>
    <w:rsid w:val="00AE35E2"/>
    <w:rsid w:val="00AE407C"/>
    <w:rsid w:val="00AE4B00"/>
    <w:rsid w:val="00AE4E6C"/>
    <w:rsid w:val="00AE5259"/>
    <w:rsid w:val="00AE5F33"/>
    <w:rsid w:val="00AE6B15"/>
    <w:rsid w:val="00AE6FD6"/>
    <w:rsid w:val="00AF0B6C"/>
    <w:rsid w:val="00AF2763"/>
    <w:rsid w:val="00AF27C9"/>
    <w:rsid w:val="00AF3745"/>
    <w:rsid w:val="00AF4175"/>
    <w:rsid w:val="00B01B3A"/>
    <w:rsid w:val="00B0328B"/>
    <w:rsid w:val="00B03E26"/>
    <w:rsid w:val="00B0583F"/>
    <w:rsid w:val="00B0669C"/>
    <w:rsid w:val="00B06911"/>
    <w:rsid w:val="00B07FCB"/>
    <w:rsid w:val="00B10D13"/>
    <w:rsid w:val="00B11C68"/>
    <w:rsid w:val="00B11E69"/>
    <w:rsid w:val="00B12E1D"/>
    <w:rsid w:val="00B13366"/>
    <w:rsid w:val="00B13F72"/>
    <w:rsid w:val="00B15AE4"/>
    <w:rsid w:val="00B17E65"/>
    <w:rsid w:val="00B20DFF"/>
    <w:rsid w:val="00B222C9"/>
    <w:rsid w:val="00B236C5"/>
    <w:rsid w:val="00B2438A"/>
    <w:rsid w:val="00B24483"/>
    <w:rsid w:val="00B26011"/>
    <w:rsid w:val="00B308A3"/>
    <w:rsid w:val="00B31161"/>
    <w:rsid w:val="00B31DA0"/>
    <w:rsid w:val="00B33815"/>
    <w:rsid w:val="00B347DC"/>
    <w:rsid w:val="00B35E7F"/>
    <w:rsid w:val="00B36561"/>
    <w:rsid w:val="00B37AA9"/>
    <w:rsid w:val="00B400EA"/>
    <w:rsid w:val="00B40306"/>
    <w:rsid w:val="00B41904"/>
    <w:rsid w:val="00B43448"/>
    <w:rsid w:val="00B46129"/>
    <w:rsid w:val="00B46ADD"/>
    <w:rsid w:val="00B47C5F"/>
    <w:rsid w:val="00B50649"/>
    <w:rsid w:val="00B50FC1"/>
    <w:rsid w:val="00B535E8"/>
    <w:rsid w:val="00B57631"/>
    <w:rsid w:val="00B576C7"/>
    <w:rsid w:val="00B57DB6"/>
    <w:rsid w:val="00B60169"/>
    <w:rsid w:val="00B630CF"/>
    <w:rsid w:val="00B63F49"/>
    <w:rsid w:val="00B644F7"/>
    <w:rsid w:val="00B65358"/>
    <w:rsid w:val="00B65ACE"/>
    <w:rsid w:val="00B65AE5"/>
    <w:rsid w:val="00B65C97"/>
    <w:rsid w:val="00B65EC2"/>
    <w:rsid w:val="00B6616F"/>
    <w:rsid w:val="00B66FE1"/>
    <w:rsid w:val="00B7007B"/>
    <w:rsid w:val="00B73982"/>
    <w:rsid w:val="00B739C4"/>
    <w:rsid w:val="00B73ECE"/>
    <w:rsid w:val="00B75D74"/>
    <w:rsid w:val="00B77029"/>
    <w:rsid w:val="00B77183"/>
    <w:rsid w:val="00B81685"/>
    <w:rsid w:val="00B817E0"/>
    <w:rsid w:val="00B81DA2"/>
    <w:rsid w:val="00B833CF"/>
    <w:rsid w:val="00B83416"/>
    <w:rsid w:val="00B843CD"/>
    <w:rsid w:val="00B86B09"/>
    <w:rsid w:val="00B86B7A"/>
    <w:rsid w:val="00B876EF"/>
    <w:rsid w:val="00B909FE"/>
    <w:rsid w:val="00B92014"/>
    <w:rsid w:val="00B93142"/>
    <w:rsid w:val="00B94616"/>
    <w:rsid w:val="00B96979"/>
    <w:rsid w:val="00BA19EC"/>
    <w:rsid w:val="00BA2225"/>
    <w:rsid w:val="00BA39C4"/>
    <w:rsid w:val="00BA3BB4"/>
    <w:rsid w:val="00BA474B"/>
    <w:rsid w:val="00BA4D92"/>
    <w:rsid w:val="00BA63F3"/>
    <w:rsid w:val="00BB037B"/>
    <w:rsid w:val="00BB3AEE"/>
    <w:rsid w:val="00BB3DE6"/>
    <w:rsid w:val="00BB5EC0"/>
    <w:rsid w:val="00BB6334"/>
    <w:rsid w:val="00BB7050"/>
    <w:rsid w:val="00BB7973"/>
    <w:rsid w:val="00BC08FD"/>
    <w:rsid w:val="00BC1CEE"/>
    <w:rsid w:val="00BC2AA4"/>
    <w:rsid w:val="00BC375A"/>
    <w:rsid w:val="00BC3EF2"/>
    <w:rsid w:val="00BC55A1"/>
    <w:rsid w:val="00BC5BE9"/>
    <w:rsid w:val="00BC5C30"/>
    <w:rsid w:val="00BC6B1C"/>
    <w:rsid w:val="00BD25BF"/>
    <w:rsid w:val="00BD2B20"/>
    <w:rsid w:val="00BD32FA"/>
    <w:rsid w:val="00BD47D3"/>
    <w:rsid w:val="00BD4B7C"/>
    <w:rsid w:val="00BE0054"/>
    <w:rsid w:val="00BE0F2C"/>
    <w:rsid w:val="00BE0F82"/>
    <w:rsid w:val="00BE11EF"/>
    <w:rsid w:val="00BE22D3"/>
    <w:rsid w:val="00BE309E"/>
    <w:rsid w:val="00BE51FD"/>
    <w:rsid w:val="00BE5D49"/>
    <w:rsid w:val="00BE7CAC"/>
    <w:rsid w:val="00BF0778"/>
    <w:rsid w:val="00BF13A5"/>
    <w:rsid w:val="00BF243B"/>
    <w:rsid w:val="00BF2441"/>
    <w:rsid w:val="00BF2689"/>
    <w:rsid w:val="00BF2EFF"/>
    <w:rsid w:val="00BF3213"/>
    <w:rsid w:val="00BF44BF"/>
    <w:rsid w:val="00BF5B1C"/>
    <w:rsid w:val="00BF760E"/>
    <w:rsid w:val="00BF7F06"/>
    <w:rsid w:val="00C00872"/>
    <w:rsid w:val="00C02138"/>
    <w:rsid w:val="00C0489E"/>
    <w:rsid w:val="00C04E48"/>
    <w:rsid w:val="00C0725D"/>
    <w:rsid w:val="00C10437"/>
    <w:rsid w:val="00C116D2"/>
    <w:rsid w:val="00C11911"/>
    <w:rsid w:val="00C126FA"/>
    <w:rsid w:val="00C12952"/>
    <w:rsid w:val="00C12F61"/>
    <w:rsid w:val="00C14230"/>
    <w:rsid w:val="00C167AC"/>
    <w:rsid w:val="00C173F6"/>
    <w:rsid w:val="00C203A0"/>
    <w:rsid w:val="00C22776"/>
    <w:rsid w:val="00C2476B"/>
    <w:rsid w:val="00C250DA"/>
    <w:rsid w:val="00C25E5D"/>
    <w:rsid w:val="00C25FFB"/>
    <w:rsid w:val="00C26E8F"/>
    <w:rsid w:val="00C27F5E"/>
    <w:rsid w:val="00C3000A"/>
    <w:rsid w:val="00C32997"/>
    <w:rsid w:val="00C349E8"/>
    <w:rsid w:val="00C3697F"/>
    <w:rsid w:val="00C374B1"/>
    <w:rsid w:val="00C374F3"/>
    <w:rsid w:val="00C42C0F"/>
    <w:rsid w:val="00C430E3"/>
    <w:rsid w:val="00C43CD6"/>
    <w:rsid w:val="00C45F57"/>
    <w:rsid w:val="00C46500"/>
    <w:rsid w:val="00C47F5C"/>
    <w:rsid w:val="00C50250"/>
    <w:rsid w:val="00C50473"/>
    <w:rsid w:val="00C51BF2"/>
    <w:rsid w:val="00C51EDF"/>
    <w:rsid w:val="00C5250C"/>
    <w:rsid w:val="00C5363F"/>
    <w:rsid w:val="00C53AB2"/>
    <w:rsid w:val="00C56AAF"/>
    <w:rsid w:val="00C62CB0"/>
    <w:rsid w:val="00C63717"/>
    <w:rsid w:val="00C65011"/>
    <w:rsid w:val="00C66105"/>
    <w:rsid w:val="00C66388"/>
    <w:rsid w:val="00C671F1"/>
    <w:rsid w:val="00C67558"/>
    <w:rsid w:val="00C67644"/>
    <w:rsid w:val="00C67E09"/>
    <w:rsid w:val="00C700AE"/>
    <w:rsid w:val="00C706C7"/>
    <w:rsid w:val="00C722E5"/>
    <w:rsid w:val="00C72662"/>
    <w:rsid w:val="00C72DC4"/>
    <w:rsid w:val="00C77802"/>
    <w:rsid w:val="00C81411"/>
    <w:rsid w:val="00C8145D"/>
    <w:rsid w:val="00C8534B"/>
    <w:rsid w:val="00C8592B"/>
    <w:rsid w:val="00C879B3"/>
    <w:rsid w:val="00C934F9"/>
    <w:rsid w:val="00C94481"/>
    <w:rsid w:val="00C9508F"/>
    <w:rsid w:val="00C95140"/>
    <w:rsid w:val="00C96E35"/>
    <w:rsid w:val="00CA279F"/>
    <w:rsid w:val="00CA536F"/>
    <w:rsid w:val="00CA63E8"/>
    <w:rsid w:val="00CA652B"/>
    <w:rsid w:val="00CA6FFD"/>
    <w:rsid w:val="00CA7199"/>
    <w:rsid w:val="00CA75C9"/>
    <w:rsid w:val="00CB290E"/>
    <w:rsid w:val="00CB2E26"/>
    <w:rsid w:val="00CB303B"/>
    <w:rsid w:val="00CB692C"/>
    <w:rsid w:val="00CB6AA7"/>
    <w:rsid w:val="00CB6EAC"/>
    <w:rsid w:val="00CB7F74"/>
    <w:rsid w:val="00CC0466"/>
    <w:rsid w:val="00CC14C1"/>
    <w:rsid w:val="00CC157B"/>
    <w:rsid w:val="00CC25EB"/>
    <w:rsid w:val="00CC4269"/>
    <w:rsid w:val="00CC6B47"/>
    <w:rsid w:val="00CC7499"/>
    <w:rsid w:val="00CC77FF"/>
    <w:rsid w:val="00CC7A70"/>
    <w:rsid w:val="00CC7CE2"/>
    <w:rsid w:val="00CD0963"/>
    <w:rsid w:val="00CD1819"/>
    <w:rsid w:val="00CD2896"/>
    <w:rsid w:val="00CD4BAF"/>
    <w:rsid w:val="00CD4E39"/>
    <w:rsid w:val="00CD5611"/>
    <w:rsid w:val="00CD57D3"/>
    <w:rsid w:val="00CD6149"/>
    <w:rsid w:val="00CD69B2"/>
    <w:rsid w:val="00CD6FD1"/>
    <w:rsid w:val="00CD7AE9"/>
    <w:rsid w:val="00CD7D98"/>
    <w:rsid w:val="00CE06EC"/>
    <w:rsid w:val="00CE0BEC"/>
    <w:rsid w:val="00CE112D"/>
    <w:rsid w:val="00CE1EEB"/>
    <w:rsid w:val="00CE3598"/>
    <w:rsid w:val="00CE3E29"/>
    <w:rsid w:val="00CE45C2"/>
    <w:rsid w:val="00CE6A45"/>
    <w:rsid w:val="00CF0E0A"/>
    <w:rsid w:val="00CF23E3"/>
    <w:rsid w:val="00CF328E"/>
    <w:rsid w:val="00CF6310"/>
    <w:rsid w:val="00D00C66"/>
    <w:rsid w:val="00D01243"/>
    <w:rsid w:val="00D01398"/>
    <w:rsid w:val="00D0141A"/>
    <w:rsid w:val="00D02A98"/>
    <w:rsid w:val="00D0357C"/>
    <w:rsid w:val="00D03688"/>
    <w:rsid w:val="00D063EA"/>
    <w:rsid w:val="00D06803"/>
    <w:rsid w:val="00D06DA1"/>
    <w:rsid w:val="00D111BE"/>
    <w:rsid w:val="00D14B21"/>
    <w:rsid w:val="00D14E9B"/>
    <w:rsid w:val="00D17259"/>
    <w:rsid w:val="00D20263"/>
    <w:rsid w:val="00D21F09"/>
    <w:rsid w:val="00D24A23"/>
    <w:rsid w:val="00D25CA2"/>
    <w:rsid w:val="00D268CF"/>
    <w:rsid w:val="00D27F87"/>
    <w:rsid w:val="00D33262"/>
    <w:rsid w:val="00D363F6"/>
    <w:rsid w:val="00D36B34"/>
    <w:rsid w:val="00D37B8E"/>
    <w:rsid w:val="00D404F4"/>
    <w:rsid w:val="00D4118C"/>
    <w:rsid w:val="00D419A2"/>
    <w:rsid w:val="00D44FF9"/>
    <w:rsid w:val="00D4533D"/>
    <w:rsid w:val="00D4626B"/>
    <w:rsid w:val="00D4654C"/>
    <w:rsid w:val="00D46DF1"/>
    <w:rsid w:val="00D51804"/>
    <w:rsid w:val="00D51AE4"/>
    <w:rsid w:val="00D51C9A"/>
    <w:rsid w:val="00D52E90"/>
    <w:rsid w:val="00D5410E"/>
    <w:rsid w:val="00D541DC"/>
    <w:rsid w:val="00D56035"/>
    <w:rsid w:val="00D56AFD"/>
    <w:rsid w:val="00D617EC"/>
    <w:rsid w:val="00D619EB"/>
    <w:rsid w:val="00D6227C"/>
    <w:rsid w:val="00D62745"/>
    <w:rsid w:val="00D63C60"/>
    <w:rsid w:val="00D64231"/>
    <w:rsid w:val="00D651DD"/>
    <w:rsid w:val="00D66318"/>
    <w:rsid w:val="00D70BC5"/>
    <w:rsid w:val="00D727D0"/>
    <w:rsid w:val="00D73A41"/>
    <w:rsid w:val="00D75E58"/>
    <w:rsid w:val="00D7649C"/>
    <w:rsid w:val="00D82AD9"/>
    <w:rsid w:val="00D83165"/>
    <w:rsid w:val="00D8376F"/>
    <w:rsid w:val="00D87341"/>
    <w:rsid w:val="00D87E6F"/>
    <w:rsid w:val="00D91942"/>
    <w:rsid w:val="00D9279B"/>
    <w:rsid w:val="00D94630"/>
    <w:rsid w:val="00D94C9F"/>
    <w:rsid w:val="00D94E6E"/>
    <w:rsid w:val="00D95AB0"/>
    <w:rsid w:val="00D96227"/>
    <w:rsid w:val="00D96679"/>
    <w:rsid w:val="00D97347"/>
    <w:rsid w:val="00DA123A"/>
    <w:rsid w:val="00DA138E"/>
    <w:rsid w:val="00DA19BC"/>
    <w:rsid w:val="00DA2952"/>
    <w:rsid w:val="00DA5380"/>
    <w:rsid w:val="00DA557D"/>
    <w:rsid w:val="00DA5B16"/>
    <w:rsid w:val="00DA6ACF"/>
    <w:rsid w:val="00DA792D"/>
    <w:rsid w:val="00DA7ED1"/>
    <w:rsid w:val="00DB0246"/>
    <w:rsid w:val="00DB11F4"/>
    <w:rsid w:val="00DB3B96"/>
    <w:rsid w:val="00DB4E9C"/>
    <w:rsid w:val="00DB5FDB"/>
    <w:rsid w:val="00DB6685"/>
    <w:rsid w:val="00DB6C15"/>
    <w:rsid w:val="00DB74DE"/>
    <w:rsid w:val="00DC193A"/>
    <w:rsid w:val="00DC1CA3"/>
    <w:rsid w:val="00DC25CB"/>
    <w:rsid w:val="00DC26C4"/>
    <w:rsid w:val="00DC393D"/>
    <w:rsid w:val="00DC3DF5"/>
    <w:rsid w:val="00DC4342"/>
    <w:rsid w:val="00DC4C3D"/>
    <w:rsid w:val="00DC511E"/>
    <w:rsid w:val="00DC592F"/>
    <w:rsid w:val="00DC5DD9"/>
    <w:rsid w:val="00DC72D6"/>
    <w:rsid w:val="00DC762B"/>
    <w:rsid w:val="00DD091C"/>
    <w:rsid w:val="00DD2292"/>
    <w:rsid w:val="00DD3F6B"/>
    <w:rsid w:val="00DD427D"/>
    <w:rsid w:val="00DD4665"/>
    <w:rsid w:val="00DD4D95"/>
    <w:rsid w:val="00DE02C1"/>
    <w:rsid w:val="00DE20C4"/>
    <w:rsid w:val="00DE2EF4"/>
    <w:rsid w:val="00DE3DFD"/>
    <w:rsid w:val="00DE5285"/>
    <w:rsid w:val="00DE584B"/>
    <w:rsid w:val="00DE6A19"/>
    <w:rsid w:val="00DF3DE0"/>
    <w:rsid w:val="00DF57A0"/>
    <w:rsid w:val="00DF6A98"/>
    <w:rsid w:val="00E024F3"/>
    <w:rsid w:val="00E03529"/>
    <w:rsid w:val="00E0520E"/>
    <w:rsid w:val="00E054BB"/>
    <w:rsid w:val="00E05DE6"/>
    <w:rsid w:val="00E06CC8"/>
    <w:rsid w:val="00E07501"/>
    <w:rsid w:val="00E0799A"/>
    <w:rsid w:val="00E107B3"/>
    <w:rsid w:val="00E10F19"/>
    <w:rsid w:val="00E1181B"/>
    <w:rsid w:val="00E11E49"/>
    <w:rsid w:val="00E1282D"/>
    <w:rsid w:val="00E13276"/>
    <w:rsid w:val="00E14D21"/>
    <w:rsid w:val="00E15791"/>
    <w:rsid w:val="00E159B3"/>
    <w:rsid w:val="00E16F68"/>
    <w:rsid w:val="00E1750C"/>
    <w:rsid w:val="00E200B1"/>
    <w:rsid w:val="00E20CA3"/>
    <w:rsid w:val="00E20D90"/>
    <w:rsid w:val="00E20EBA"/>
    <w:rsid w:val="00E22DB9"/>
    <w:rsid w:val="00E23D18"/>
    <w:rsid w:val="00E240A5"/>
    <w:rsid w:val="00E245B2"/>
    <w:rsid w:val="00E247F0"/>
    <w:rsid w:val="00E25817"/>
    <w:rsid w:val="00E25E6E"/>
    <w:rsid w:val="00E266D4"/>
    <w:rsid w:val="00E32931"/>
    <w:rsid w:val="00E34393"/>
    <w:rsid w:val="00E364D7"/>
    <w:rsid w:val="00E36C86"/>
    <w:rsid w:val="00E37305"/>
    <w:rsid w:val="00E37B70"/>
    <w:rsid w:val="00E449A7"/>
    <w:rsid w:val="00E45EEA"/>
    <w:rsid w:val="00E465EC"/>
    <w:rsid w:val="00E523EB"/>
    <w:rsid w:val="00E530DB"/>
    <w:rsid w:val="00E563DD"/>
    <w:rsid w:val="00E57B5E"/>
    <w:rsid w:val="00E600CD"/>
    <w:rsid w:val="00E63CFB"/>
    <w:rsid w:val="00E644E0"/>
    <w:rsid w:val="00E64B8A"/>
    <w:rsid w:val="00E65E72"/>
    <w:rsid w:val="00E668D2"/>
    <w:rsid w:val="00E679D7"/>
    <w:rsid w:val="00E70F72"/>
    <w:rsid w:val="00E72AA8"/>
    <w:rsid w:val="00E756F8"/>
    <w:rsid w:val="00E757AC"/>
    <w:rsid w:val="00E7663B"/>
    <w:rsid w:val="00E76C6F"/>
    <w:rsid w:val="00E77246"/>
    <w:rsid w:val="00E77407"/>
    <w:rsid w:val="00E80091"/>
    <w:rsid w:val="00E80344"/>
    <w:rsid w:val="00E80B46"/>
    <w:rsid w:val="00E818AD"/>
    <w:rsid w:val="00E82773"/>
    <w:rsid w:val="00E836F3"/>
    <w:rsid w:val="00E84974"/>
    <w:rsid w:val="00E84E7B"/>
    <w:rsid w:val="00E855F0"/>
    <w:rsid w:val="00E85EB4"/>
    <w:rsid w:val="00E864D8"/>
    <w:rsid w:val="00E91229"/>
    <w:rsid w:val="00E917E6"/>
    <w:rsid w:val="00E92D1B"/>
    <w:rsid w:val="00E94DEC"/>
    <w:rsid w:val="00EA1510"/>
    <w:rsid w:val="00EA2047"/>
    <w:rsid w:val="00EA353F"/>
    <w:rsid w:val="00EA3FCF"/>
    <w:rsid w:val="00EA45F7"/>
    <w:rsid w:val="00EA499B"/>
    <w:rsid w:val="00EA4F20"/>
    <w:rsid w:val="00EA5F7F"/>
    <w:rsid w:val="00EA6050"/>
    <w:rsid w:val="00EA6552"/>
    <w:rsid w:val="00EA73DB"/>
    <w:rsid w:val="00EA77E5"/>
    <w:rsid w:val="00EB0C2C"/>
    <w:rsid w:val="00EB0E5E"/>
    <w:rsid w:val="00EB1EBB"/>
    <w:rsid w:val="00EB23AB"/>
    <w:rsid w:val="00EB4133"/>
    <w:rsid w:val="00EB4D7D"/>
    <w:rsid w:val="00EB5D9B"/>
    <w:rsid w:val="00EB5E0E"/>
    <w:rsid w:val="00EB5F8B"/>
    <w:rsid w:val="00EB6BC3"/>
    <w:rsid w:val="00EB7147"/>
    <w:rsid w:val="00EB72CF"/>
    <w:rsid w:val="00EC33CE"/>
    <w:rsid w:val="00EC5B6B"/>
    <w:rsid w:val="00EC7EA7"/>
    <w:rsid w:val="00ED0823"/>
    <w:rsid w:val="00ED0F2D"/>
    <w:rsid w:val="00ED1498"/>
    <w:rsid w:val="00ED1FF5"/>
    <w:rsid w:val="00ED42CE"/>
    <w:rsid w:val="00EE28AB"/>
    <w:rsid w:val="00EE5CB2"/>
    <w:rsid w:val="00EF22DB"/>
    <w:rsid w:val="00EF28C0"/>
    <w:rsid w:val="00EF3529"/>
    <w:rsid w:val="00EF5D3F"/>
    <w:rsid w:val="00EF712B"/>
    <w:rsid w:val="00EF7D5A"/>
    <w:rsid w:val="00F018F3"/>
    <w:rsid w:val="00F020DD"/>
    <w:rsid w:val="00F02505"/>
    <w:rsid w:val="00F03617"/>
    <w:rsid w:val="00F04EF2"/>
    <w:rsid w:val="00F05D34"/>
    <w:rsid w:val="00F05FA7"/>
    <w:rsid w:val="00F06801"/>
    <w:rsid w:val="00F06EAB"/>
    <w:rsid w:val="00F112EA"/>
    <w:rsid w:val="00F13519"/>
    <w:rsid w:val="00F14EEE"/>
    <w:rsid w:val="00F16C66"/>
    <w:rsid w:val="00F17781"/>
    <w:rsid w:val="00F25C21"/>
    <w:rsid w:val="00F25F07"/>
    <w:rsid w:val="00F2626E"/>
    <w:rsid w:val="00F26B4C"/>
    <w:rsid w:val="00F31EA1"/>
    <w:rsid w:val="00F33814"/>
    <w:rsid w:val="00F34DA5"/>
    <w:rsid w:val="00F35EC8"/>
    <w:rsid w:val="00F377A4"/>
    <w:rsid w:val="00F41368"/>
    <w:rsid w:val="00F41834"/>
    <w:rsid w:val="00F44420"/>
    <w:rsid w:val="00F45CFC"/>
    <w:rsid w:val="00F469BA"/>
    <w:rsid w:val="00F474F2"/>
    <w:rsid w:val="00F51A1B"/>
    <w:rsid w:val="00F52628"/>
    <w:rsid w:val="00F528FF"/>
    <w:rsid w:val="00F539CA"/>
    <w:rsid w:val="00F55401"/>
    <w:rsid w:val="00F55FA6"/>
    <w:rsid w:val="00F5774B"/>
    <w:rsid w:val="00F60480"/>
    <w:rsid w:val="00F60667"/>
    <w:rsid w:val="00F615D6"/>
    <w:rsid w:val="00F61EEE"/>
    <w:rsid w:val="00F64D99"/>
    <w:rsid w:val="00F64EEC"/>
    <w:rsid w:val="00F6590C"/>
    <w:rsid w:val="00F66D35"/>
    <w:rsid w:val="00F678E0"/>
    <w:rsid w:val="00F703CA"/>
    <w:rsid w:val="00F715E6"/>
    <w:rsid w:val="00F7263B"/>
    <w:rsid w:val="00F72EE9"/>
    <w:rsid w:val="00F743FE"/>
    <w:rsid w:val="00F759FC"/>
    <w:rsid w:val="00F76B51"/>
    <w:rsid w:val="00F774B6"/>
    <w:rsid w:val="00F779CD"/>
    <w:rsid w:val="00F80A6A"/>
    <w:rsid w:val="00F830C6"/>
    <w:rsid w:val="00F836B8"/>
    <w:rsid w:val="00F837B8"/>
    <w:rsid w:val="00F838CE"/>
    <w:rsid w:val="00F84D96"/>
    <w:rsid w:val="00F91422"/>
    <w:rsid w:val="00F9167A"/>
    <w:rsid w:val="00F91DBB"/>
    <w:rsid w:val="00F9400B"/>
    <w:rsid w:val="00F955B1"/>
    <w:rsid w:val="00F960F5"/>
    <w:rsid w:val="00F961B9"/>
    <w:rsid w:val="00F97776"/>
    <w:rsid w:val="00FA1256"/>
    <w:rsid w:val="00FA208A"/>
    <w:rsid w:val="00FA3EAA"/>
    <w:rsid w:val="00FA517D"/>
    <w:rsid w:val="00FB1984"/>
    <w:rsid w:val="00FB2B62"/>
    <w:rsid w:val="00FB3398"/>
    <w:rsid w:val="00FB37AA"/>
    <w:rsid w:val="00FB38B9"/>
    <w:rsid w:val="00FB3EF3"/>
    <w:rsid w:val="00FB4FC4"/>
    <w:rsid w:val="00FB50D6"/>
    <w:rsid w:val="00FB665C"/>
    <w:rsid w:val="00FB668B"/>
    <w:rsid w:val="00FC072E"/>
    <w:rsid w:val="00FC17CE"/>
    <w:rsid w:val="00FD32A7"/>
    <w:rsid w:val="00FD5E24"/>
    <w:rsid w:val="00FE1080"/>
    <w:rsid w:val="00FE133D"/>
    <w:rsid w:val="00FE1A74"/>
    <w:rsid w:val="00FE206C"/>
    <w:rsid w:val="00FE4D17"/>
    <w:rsid w:val="00FE5427"/>
    <w:rsid w:val="00FE63A1"/>
    <w:rsid w:val="00FE71C5"/>
    <w:rsid w:val="00FE7F11"/>
    <w:rsid w:val="00FF21FA"/>
    <w:rsid w:val="00FF23BD"/>
    <w:rsid w:val="00FF33F5"/>
    <w:rsid w:val="00FF536D"/>
    <w:rsid w:val="00FF5408"/>
    <w:rsid w:val="00FF623A"/>
    <w:rsid w:val="00FF6240"/>
    <w:rsid w:val="00FF680E"/>
    <w:rsid w:val="00FF695F"/>
    <w:rsid w:val="01845A9D"/>
    <w:rsid w:val="0532676A"/>
    <w:rsid w:val="05AB2747"/>
    <w:rsid w:val="05D534E2"/>
    <w:rsid w:val="076D1DAB"/>
    <w:rsid w:val="0A6F5548"/>
    <w:rsid w:val="0AC459AA"/>
    <w:rsid w:val="0AC917BD"/>
    <w:rsid w:val="0B185461"/>
    <w:rsid w:val="0BF94CF9"/>
    <w:rsid w:val="0C0B29B4"/>
    <w:rsid w:val="0CF8519E"/>
    <w:rsid w:val="0DC14A66"/>
    <w:rsid w:val="0DCD0177"/>
    <w:rsid w:val="0DE6032D"/>
    <w:rsid w:val="0E71183F"/>
    <w:rsid w:val="0EBC1367"/>
    <w:rsid w:val="102953D3"/>
    <w:rsid w:val="104655A1"/>
    <w:rsid w:val="11DD11A0"/>
    <w:rsid w:val="1226242C"/>
    <w:rsid w:val="128C1B14"/>
    <w:rsid w:val="12D80141"/>
    <w:rsid w:val="131D7F51"/>
    <w:rsid w:val="13FE49E3"/>
    <w:rsid w:val="15606F15"/>
    <w:rsid w:val="172F6739"/>
    <w:rsid w:val="1780534F"/>
    <w:rsid w:val="18BF7EB2"/>
    <w:rsid w:val="18E83D3D"/>
    <w:rsid w:val="19435F90"/>
    <w:rsid w:val="198D687F"/>
    <w:rsid w:val="19A61EF0"/>
    <w:rsid w:val="1A032D84"/>
    <w:rsid w:val="1ABA1497"/>
    <w:rsid w:val="1ACA2AD4"/>
    <w:rsid w:val="1AE06E75"/>
    <w:rsid w:val="1B4C281B"/>
    <w:rsid w:val="1C9F4AF7"/>
    <w:rsid w:val="1CD17E4F"/>
    <w:rsid w:val="21812799"/>
    <w:rsid w:val="24483D50"/>
    <w:rsid w:val="24BC0CF2"/>
    <w:rsid w:val="25235A39"/>
    <w:rsid w:val="2613324F"/>
    <w:rsid w:val="26C66265"/>
    <w:rsid w:val="26C96D49"/>
    <w:rsid w:val="2829733C"/>
    <w:rsid w:val="290D52B3"/>
    <w:rsid w:val="29D14F9B"/>
    <w:rsid w:val="2AE539AB"/>
    <w:rsid w:val="2BA204FA"/>
    <w:rsid w:val="2BB804EE"/>
    <w:rsid w:val="2D1F486A"/>
    <w:rsid w:val="2D582EE4"/>
    <w:rsid w:val="2DF175C3"/>
    <w:rsid w:val="30223488"/>
    <w:rsid w:val="304C56A9"/>
    <w:rsid w:val="31481735"/>
    <w:rsid w:val="32C456B4"/>
    <w:rsid w:val="33F91CDD"/>
    <w:rsid w:val="34444703"/>
    <w:rsid w:val="35C16E06"/>
    <w:rsid w:val="372C4B3B"/>
    <w:rsid w:val="37AC1BBE"/>
    <w:rsid w:val="39FA4B2A"/>
    <w:rsid w:val="3B6D1DF8"/>
    <w:rsid w:val="3C0E08A8"/>
    <w:rsid w:val="3C6E463A"/>
    <w:rsid w:val="3CA36204"/>
    <w:rsid w:val="3D2B0CC2"/>
    <w:rsid w:val="3DED9ED4"/>
    <w:rsid w:val="3E9D0DBD"/>
    <w:rsid w:val="40666A69"/>
    <w:rsid w:val="40D97CF1"/>
    <w:rsid w:val="41EE65CB"/>
    <w:rsid w:val="421410C0"/>
    <w:rsid w:val="424876BC"/>
    <w:rsid w:val="42750D5C"/>
    <w:rsid w:val="42934ACE"/>
    <w:rsid w:val="431542ED"/>
    <w:rsid w:val="44202372"/>
    <w:rsid w:val="445739F2"/>
    <w:rsid w:val="44DC5472"/>
    <w:rsid w:val="450A062E"/>
    <w:rsid w:val="458F0387"/>
    <w:rsid w:val="459B2056"/>
    <w:rsid w:val="473236C0"/>
    <w:rsid w:val="48052B49"/>
    <w:rsid w:val="485D4A1B"/>
    <w:rsid w:val="48924FEC"/>
    <w:rsid w:val="4934660C"/>
    <w:rsid w:val="49684468"/>
    <w:rsid w:val="4BDF4CBD"/>
    <w:rsid w:val="4C9A7904"/>
    <w:rsid w:val="4E5901F5"/>
    <w:rsid w:val="4ED7534A"/>
    <w:rsid w:val="4F881AF8"/>
    <w:rsid w:val="50B05B7D"/>
    <w:rsid w:val="50D852D8"/>
    <w:rsid w:val="51A838A2"/>
    <w:rsid w:val="51DF4154"/>
    <w:rsid w:val="520479D0"/>
    <w:rsid w:val="521D6D1B"/>
    <w:rsid w:val="52401FF9"/>
    <w:rsid w:val="528C0699"/>
    <w:rsid w:val="55B660D9"/>
    <w:rsid w:val="565A40BC"/>
    <w:rsid w:val="57A7322A"/>
    <w:rsid w:val="57F80995"/>
    <w:rsid w:val="58E13DA9"/>
    <w:rsid w:val="5A2E4689"/>
    <w:rsid w:val="5A6517EF"/>
    <w:rsid w:val="5A655AD1"/>
    <w:rsid w:val="5AAD71DF"/>
    <w:rsid w:val="5B2353A2"/>
    <w:rsid w:val="5B7F6660"/>
    <w:rsid w:val="5C664FE5"/>
    <w:rsid w:val="5CE77CCC"/>
    <w:rsid w:val="5D09058B"/>
    <w:rsid w:val="5DBB6845"/>
    <w:rsid w:val="5E49066C"/>
    <w:rsid w:val="5F145222"/>
    <w:rsid w:val="5FA121AE"/>
    <w:rsid w:val="5FBE6EE3"/>
    <w:rsid w:val="601E46F5"/>
    <w:rsid w:val="608C4C6D"/>
    <w:rsid w:val="60DA65DB"/>
    <w:rsid w:val="615427AA"/>
    <w:rsid w:val="622E2AD0"/>
    <w:rsid w:val="63E003EC"/>
    <w:rsid w:val="641073C1"/>
    <w:rsid w:val="666B5955"/>
    <w:rsid w:val="66840B4F"/>
    <w:rsid w:val="66D4339D"/>
    <w:rsid w:val="671D38BA"/>
    <w:rsid w:val="676B7B0C"/>
    <w:rsid w:val="687C5F2B"/>
    <w:rsid w:val="68A1687D"/>
    <w:rsid w:val="69DB6F55"/>
    <w:rsid w:val="6BA235D4"/>
    <w:rsid w:val="6BE14833"/>
    <w:rsid w:val="6C1D7CC8"/>
    <w:rsid w:val="6C73208E"/>
    <w:rsid w:val="6D4F726F"/>
    <w:rsid w:val="6D864E00"/>
    <w:rsid w:val="6DB50F17"/>
    <w:rsid w:val="6DFA25BF"/>
    <w:rsid w:val="6EB843D5"/>
    <w:rsid w:val="6F5B4A7C"/>
    <w:rsid w:val="706E4883"/>
    <w:rsid w:val="713B04B5"/>
    <w:rsid w:val="74BE4320"/>
    <w:rsid w:val="76790114"/>
    <w:rsid w:val="77652FAE"/>
    <w:rsid w:val="778172A2"/>
    <w:rsid w:val="7ADB2345"/>
    <w:rsid w:val="7B124BD7"/>
    <w:rsid w:val="7C2B0102"/>
    <w:rsid w:val="7D052432"/>
    <w:rsid w:val="7D6231F5"/>
    <w:rsid w:val="7DDD112A"/>
    <w:rsid w:val="7E77024D"/>
    <w:rsid w:val="7EBD0C1A"/>
    <w:rsid w:val="7FCA06E4"/>
    <w:rsid w:val="7FDD5E69"/>
    <w:rsid w:val="DFFDDB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qFormat="1" w:uiPriority="0" w:semiHidden="0"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iPriority="99" w:name="FollowedHyperlink" w:locked="1"/>
    <w:lsdException w:qFormat="1" w:unhideWhenUsed="0" w:uiPriority="99" w:semiHidden="0" w:name="Strong"/>
    <w:lsdException w:qFormat="1" w:unhideWhenUsed="0" w:uiPriority="20" w:semiHidden="0" w:name="Emphasis" w:locked="1"/>
    <w:lsdException w:qFormat="1"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link w:val="31"/>
    <w:qFormat/>
    <w:uiPriority w:val="99"/>
    <w:pPr>
      <w:keepNext/>
      <w:keepLines/>
      <w:widowControl w:val="0"/>
      <w:spacing w:before="340" w:after="330" w:line="576" w:lineRule="auto"/>
      <w:textAlignment w:val="auto"/>
      <w:outlineLvl w:val="0"/>
    </w:pPr>
    <w:rPr>
      <w:rFonts w:ascii="Calibri" w:hAnsi="Calibri"/>
      <w:b/>
      <w:kern w:val="44"/>
      <w:sz w:val="44"/>
    </w:rPr>
  </w:style>
  <w:style w:type="paragraph" w:styleId="3">
    <w:name w:val="heading 2"/>
    <w:basedOn w:val="1"/>
    <w:next w:val="1"/>
    <w:link w:val="33"/>
    <w:qFormat/>
    <w:locked/>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34"/>
    <w:qFormat/>
    <w:uiPriority w:val="99"/>
    <w:pPr>
      <w:keepNext/>
      <w:keepLines/>
      <w:spacing w:before="260" w:after="260" w:line="416" w:lineRule="atLeast"/>
      <w:outlineLvl w:val="2"/>
    </w:pPr>
    <w:rPr>
      <w:rFonts w:ascii="Calibri" w:hAnsi="Calibri"/>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6"/>
    <w:qFormat/>
    <w:locked/>
    <w:uiPriority w:val="0"/>
    <w:pPr>
      <w:widowControl w:val="0"/>
      <w:adjustRightInd w:val="0"/>
      <w:spacing w:line="312" w:lineRule="atLeast"/>
      <w:ind w:firstLine="420"/>
    </w:pPr>
    <w:rPr>
      <w:color w:val="auto"/>
    </w:rPr>
  </w:style>
  <w:style w:type="paragraph" w:styleId="6">
    <w:name w:val="Document Map"/>
    <w:basedOn w:val="1"/>
    <w:link w:val="71"/>
    <w:unhideWhenUsed/>
    <w:qFormat/>
    <w:locked/>
    <w:uiPriority w:val="99"/>
    <w:rPr>
      <w:rFonts w:ascii="宋体"/>
      <w:sz w:val="18"/>
      <w:szCs w:val="18"/>
    </w:rPr>
  </w:style>
  <w:style w:type="paragraph" w:styleId="7">
    <w:name w:val="annotation text"/>
    <w:basedOn w:val="1"/>
    <w:semiHidden/>
    <w:unhideWhenUsed/>
    <w:qFormat/>
    <w:locked/>
    <w:uiPriority w:val="99"/>
    <w:pPr>
      <w:jc w:val="left"/>
    </w:pPr>
  </w:style>
  <w:style w:type="paragraph" w:styleId="8">
    <w:name w:val="Body Text"/>
    <w:basedOn w:val="1"/>
    <w:link w:val="35"/>
    <w:semiHidden/>
    <w:qFormat/>
    <w:locked/>
    <w:uiPriority w:val="99"/>
    <w:pPr>
      <w:spacing w:after="120"/>
    </w:pPr>
  </w:style>
  <w:style w:type="paragraph" w:styleId="9">
    <w:name w:val="Body Text Indent"/>
    <w:basedOn w:val="1"/>
    <w:next w:val="10"/>
    <w:link w:val="36"/>
    <w:qFormat/>
    <w:uiPriority w:val="99"/>
    <w:pPr>
      <w:widowControl w:val="0"/>
      <w:snapToGrid w:val="0"/>
      <w:spacing w:before="283" w:line="560" w:lineRule="exact"/>
      <w:ind w:firstLine="510"/>
    </w:pPr>
    <w:rPr>
      <w:rFonts w:ascii="Calibri" w:hAnsi="Calibri"/>
      <w:sz w:val="20"/>
    </w:rPr>
  </w:style>
  <w:style w:type="paragraph" w:styleId="10">
    <w:name w:val="envelope return"/>
    <w:basedOn w:val="1"/>
    <w:qFormat/>
    <w:locked/>
    <w:uiPriority w:val="0"/>
    <w:rPr>
      <w:rFonts w:ascii="Arial" w:hAnsi="Arial"/>
    </w:rPr>
  </w:style>
  <w:style w:type="paragraph" w:styleId="11">
    <w:name w:val="List 2"/>
    <w:basedOn w:val="1"/>
    <w:unhideWhenUsed/>
    <w:qFormat/>
    <w:locked/>
    <w:uiPriority w:val="0"/>
    <w:pPr>
      <w:ind w:left="400" w:leftChars="200" w:hanging="200" w:hangingChars="200"/>
    </w:pPr>
    <w:rPr>
      <w:rFonts w:hint="eastAsia"/>
    </w:rPr>
  </w:style>
  <w:style w:type="paragraph" w:styleId="12">
    <w:name w:val="Plain Text"/>
    <w:basedOn w:val="1"/>
    <w:link w:val="37"/>
    <w:qFormat/>
    <w:uiPriority w:val="99"/>
    <w:pPr>
      <w:widowControl w:val="0"/>
      <w:spacing w:line="240" w:lineRule="auto"/>
      <w:textAlignment w:val="auto"/>
    </w:pPr>
    <w:rPr>
      <w:rFonts w:ascii="宋体" w:hAnsi="Courier New"/>
    </w:rPr>
  </w:style>
  <w:style w:type="paragraph" w:styleId="13">
    <w:name w:val="Date"/>
    <w:basedOn w:val="1"/>
    <w:next w:val="1"/>
    <w:link w:val="38"/>
    <w:qFormat/>
    <w:uiPriority w:val="99"/>
    <w:pPr>
      <w:ind w:left="100" w:leftChars="2500"/>
    </w:pPr>
    <w:rPr>
      <w:rFonts w:ascii="Calibri" w:hAnsi="Calibri"/>
    </w:rPr>
  </w:style>
  <w:style w:type="paragraph" w:styleId="14">
    <w:name w:val="Balloon Text"/>
    <w:basedOn w:val="1"/>
    <w:link w:val="39"/>
    <w:qFormat/>
    <w:uiPriority w:val="99"/>
    <w:pPr>
      <w:spacing w:line="240" w:lineRule="auto"/>
    </w:pPr>
    <w:rPr>
      <w:rFonts w:ascii="Calibri" w:hAnsi="Calibri"/>
      <w:sz w:val="18"/>
    </w:rPr>
  </w:style>
  <w:style w:type="paragraph" w:styleId="15">
    <w:name w:val="footer"/>
    <w:basedOn w:val="1"/>
    <w:link w:val="40"/>
    <w:qFormat/>
    <w:uiPriority w:val="99"/>
    <w:pPr>
      <w:tabs>
        <w:tab w:val="center" w:pos="4153"/>
        <w:tab w:val="right" w:pos="8306"/>
      </w:tabs>
      <w:snapToGrid w:val="0"/>
      <w:spacing w:line="240" w:lineRule="atLeast"/>
      <w:jc w:val="left"/>
    </w:pPr>
    <w:rPr>
      <w:rFonts w:ascii="Calibri" w:hAnsi="Calibri"/>
      <w:sz w:val="18"/>
    </w:rPr>
  </w:style>
  <w:style w:type="paragraph" w:styleId="16">
    <w:name w:val="header"/>
    <w:basedOn w:val="1"/>
    <w:link w:val="41"/>
    <w:qFormat/>
    <w:uiPriority w:val="99"/>
    <w:pPr>
      <w:pBdr>
        <w:bottom w:val="single" w:color="auto" w:sz="6" w:space="1"/>
      </w:pBdr>
      <w:tabs>
        <w:tab w:val="center" w:pos="4153"/>
        <w:tab w:val="right" w:pos="8306"/>
      </w:tabs>
      <w:snapToGrid w:val="0"/>
      <w:spacing w:line="240" w:lineRule="atLeast"/>
      <w:jc w:val="center"/>
    </w:pPr>
    <w:rPr>
      <w:rFonts w:ascii="Calibri" w:hAnsi="Calibri"/>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Body Text 2"/>
    <w:basedOn w:val="1"/>
    <w:link w:val="42"/>
    <w:qFormat/>
    <w:uiPriority w:val="99"/>
    <w:pPr>
      <w:spacing w:after="120" w:line="480" w:lineRule="auto"/>
    </w:pPr>
    <w:rPr>
      <w:rFonts w:ascii="Calibri" w:hAnsi="Calibri"/>
      <w:sz w:val="20"/>
    </w:rPr>
  </w:style>
  <w:style w:type="paragraph" w:styleId="20">
    <w:name w:val="Normal (Web)"/>
    <w:basedOn w:val="1"/>
    <w:qFormat/>
    <w:uiPriority w:val="99"/>
    <w:pPr>
      <w:spacing w:before="100" w:beforeAutospacing="1" w:after="100" w:afterAutospacing="1" w:line="240" w:lineRule="auto"/>
      <w:jc w:val="left"/>
      <w:textAlignment w:val="auto"/>
    </w:pPr>
    <w:rPr>
      <w:rFonts w:ascii="宋体" w:hAnsi="宋体" w:cs="宋体"/>
      <w:sz w:val="24"/>
      <w:szCs w:val="24"/>
    </w:rPr>
  </w:style>
  <w:style w:type="paragraph" w:styleId="21">
    <w:name w:val="Title"/>
    <w:basedOn w:val="1"/>
    <w:next w:val="1"/>
    <w:link w:val="72"/>
    <w:qFormat/>
    <w:locked/>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8"/>
    <w:next w:val="23"/>
    <w:qFormat/>
    <w:locked/>
    <w:uiPriority w:val="0"/>
    <w:pPr>
      <w:spacing w:line="360" w:lineRule="auto"/>
    </w:pPr>
  </w:style>
  <w:style w:type="paragraph" w:styleId="23">
    <w:name w:val="Body Text First Indent 2"/>
    <w:basedOn w:val="9"/>
    <w:next w:val="1"/>
    <w:link w:val="89"/>
    <w:semiHidden/>
    <w:qFormat/>
    <w:locked/>
    <w:uiPriority w:val="99"/>
    <w:pPr>
      <w:snapToGrid/>
      <w:spacing w:after="120" w:line="240" w:lineRule="auto"/>
      <w:ind w:left="420" w:leftChars="200" w:firstLine="420" w:firstLineChars="200"/>
    </w:pPr>
    <w:rPr>
      <w:rFonts w:ascii="Times New Roman" w:hAnsi="Times New Roman"/>
      <w:sz w:val="21"/>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99"/>
    <w:rPr>
      <w:rFonts w:cs="Times New Roman"/>
      <w:b/>
    </w:rPr>
  </w:style>
  <w:style w:type="character" w:styleId="28">
    <w:name w:val="page number"/>
    <w:basedOn w:val="26"/>
    <w:qFormat/>
    <w:uiPriority w:val="99"/>
    <w:rPr>
      <w:rFonts w:cs="Times New Roman"/>
    </w:rPr>
  </w:style>
  <w:style w:type="character" w:styleId="29">
    <w:name w:val="FollowedHyperlink"/>
    <w:basedOn w:val="26"/>
    <w:semiHidden/>
    <w:unhideWhenUsed/>
    <w:qFormat/>
    <w:locked/>
    <w:uiPriority w:val="99"/>
    <w:rPr>
      <w:color w:val="000000"/>
      <w:u w:val="none"/>
    </w:rPr>
  </w:style>
  <w:style w:type="character" w:styleId="30">
    <w:name w:val="Hyperlink"/>
    <w:basedOn w:val="26"/>
    <w:qFormat/>
    <w:uiPriority w:val="99"/>
    <w:rPr>
      <w:rFonts w:cs="Times New Roman"/>
      <w:color w:val="0368A8"/>
      <w:u w:val="none"/>
    </w:rPr>
  </w:style>
  <w:style w:type="character" w:customStyle="1" w:styleId="31">
    <w:name w:val="标题 1 Char"/>
    <w:basedOn w:val="26"/>
    <w:link w:val="2"/>
    <w:qFormat/>
    <w:locked/>
    <w:uiPriority w:val="99"/>
    <w:rPr>
      <w:b/>
      <w:color w:val="000000"/>
      <w:kern w:val="44"/>
      <w:sz w:val="44"/>
      <w:u w:val="none" w:color="000000"/>
    </w:rPr>
  </w:style>
  <w:style w:type="paragraph" w:customStyle="1" w:styleId="32">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33">
    <w:name w:val="标题 2 Char"/>
    <w:basedOn w:val="26"/>
    <w:link w:val="3"/>
    <w:qFormat/>
    <w:uiPriority w:val="0"/>
    <w:rPr>
      <w:rFonts w:ascii="Cambria" w:hAnsi="Cambria"/>
      <w:b/>
      <w:bCs/>
      <w:color w:val="000000"/>
      <w:sz w:val="32"/>
      <w:szCs w:val="32"/>
      <w:u w:color="000000"/>
    </w:rPr>
  </w:style>
  <w:style w:type="character" w:customStyle="1" w:styleId="34">
    <w:name w:val="标题 3 Char"/>
    <w:basedOn w:val="26"/>
    <w:link w:val="4"/>
    <w:semiHidden/>
    <w:qFormat/>
    <w:locked/>
    <w:uiPriority w:val="99"/>
    <w:rPr>
      <w:b/>
      <w:color w:val="000000"/>
      <w:sz w:val="32"/>
      <w:u w:val="none" w:color="000000"/>
    </w:rPr>
  </w:style>
  <w:style w:type="character" w:customStyle="1" w:styleId="35">
    <w:name w:val="正文文本 Char"/>
    <w:basedOn w:val="26"/>
    <w:link w:val="8"/>
    <w:semiHidden/>
    <w:qFormat/>
    <w:locked/>
    <w:uiPriority w:val="99"/>
    <w:rPr>
      <w:rFonts w:cs="Times New Roman"/>
      <w:color w:val="000000"/>
      <w:sz w:val="21"/>
      <w:u w:color="000000"/>
    </w:rPr>
  </w:style>
  <w:style w:type="character" w:customStyle="1" w:styleId="36">
    <w:name w:val="正文文本缩进 Char"/>
    <w:basedOn w:val="26"/>
    <w:link w:val="9"/>
    <w:semiHidden/>
    <w:qFormat/>
    <w:locked/>
    <w:uiPriority w:val="99"/>
    <w:rPr>
      <w:color w:val="000000"/>
      <w:kern w:val="0"/>
      <w:sz w:val="20"/>
      <w:u w:val="none" w:color="000000"/>
    </w:rPr>
  </w:style>
  <w:style w:type="character" w:customStyle="1" w:styleId="37">
    <w:name w:val="纯文本 Char1"/>
    <w:basedOn w:val="26"/>
    <w:link w:val="12"/>
    <w:qFormat/>
    <w:locked/>
    <w:uiPriority w:val="99"/>
    <w:rPr>
      <w:rFonts w:ascii="宋体" w:hAnsi="Courier New"/>
      <w:color w:val="000000"/>
      <w:kern w:val="0"/>
      <w:sz w:val="21"/>
      <w:u w:val="none" w:color="000000"/>
    </w:rPr>
  </w:style>
  <w:style w:type="character" w:customStyle="1" w:styleId="38">
    <w:name w:val="日期 Char"/>
    <w:basedOn w:val="26"/>
    <w:link w:val="13"/>
    <w:qFormat/>
    <w:locked/>
    <w:uiPriority w:val="99"/>
    <w:rPr>
      <w:color w:val="000000"/>
      <w:sz w:val="21"/>
      <w:u w:val="none" w:color="000000"/>
    </w:rPr>
  </w:style>
  <w:style w:type="character" w:customStyle="1" w:styleId="39">
    <w:name w:val="批注框文本 Char"/>
    <w:basedOn w:val="26"/>
    <w:link w:val="14"/>
    <w:qFormat/>
    <w:locked/>
    <w:uiPriority w:val="99"/>
    <w:rPr>
      <w:color w:val="000000"/>
      <w:sz w:val="18"/>
      <w:u w:val="none" w:color="000000"/>
    </w:rPr>
  </w:style>
  <w:style w:type="character" w:customStyle="1" w:styleId="40">
    <w:name w:val="页脚 Char"/>
    <w:basedOn w:val="26"/>
    <w:link w:val="15"/>
    <w:qFormat/>
    <w:locked/>
    <w:uiPriority w:val="99"/>
    <w:rPr>
      <w:color w:val="000000"/>
      <w:kern w:val="0"/>
      <w:sz w:val="18"/>
      <w:u w:val="none" w:color="000000"/>
    </w:rPr>
  </w:style>
  <w:style w:type="character" w:customStyle="1" w:styleId="41">
    <w:name w:val="页眉 Char"/>
    <w:basedOn w:val="26"/>
    <w:link w:val="16"/>
    <w:semiHidden/>
    <w:qFormat/>
    <w:locked/>
    <w:uiPriority w:val="99"/>
    <w:rPr>
      <w:color w:val="000000"/>
      <w:kern w:val="0"/>
      <w:sz w:val="18"/>
      <w:u w:val="none" w:color="000000"/>
    </w:rPr>
  </w:style>
  <w:style w:type="character" w:customStyle="1" w:styleId="42">
    <w:name w:val="正文文本 2 Char"/>
    <w:basedOn w:val="26"/>
    <w:link w:val="19"/>
    <w:semiHidden/>
    <w:qFormat/>
    <w:locked/>
    <w:uiPriority w:val="99"/>
    <w:rPr>
      <w:color w:val="000000"/>
      <w:kern w:val="0"/>
      <w:sz w:val="20"/>
      <w:u w:val="none" w:color="000000"/>
    </w:rPr>
  </w:style>
  <w:style w:type="paragraph" w:customStyle="1" w:styleId="43">
    <w:name w:val="目录1"/>
    <w:basedOn w:val="1"/>
    <w:next w:val="1"/>
    <w:qFormat/>
    <w:uiPriority w:val="99"/>
    <w:pPr>
      <w:tabs>
        <w:tab w:val="left" w:leader="dot" w:pos="8503"/>
      </w:tabs>
      <w:spacing w:after="136" w:line="289" w:lineRule="atLeast"/>
      <w:jc w:val="left"/>
    </w:pPr>
    <w:rPr>
      <w:rFonts w:ascii="Arial" w:eastAsia="黑体"/>
      <w:sz w:val="28"/>
    </w:rPr>
  </w:style>
  <w:style w:type="paragraph" w:customStyle="1" w:styleId="44">
    <w:name w:val="章标题"/>
    <w:basedOn w:val="1"/>
    <w:next w:val="45"/>
    <w:qFormat/>
    <w:uiPriority w:val="99"/>
    <w:pPr>
      <w:spacing w:before="158" w:after="153" w:line="323" w:lineRule="atLeast"/>
      <w:jc w:val="center"/>
    </w:pPr>
    <w:rPr>
      <w:rFonts w:ascii="Arial" w:eastAsia="黑体"/>
      <w:sz w:val="31"/>
    </w:rPr>
  </w:style>
  <w:style w:type="paragraph" w:customStyle="1" w:styleId="45">
    <w:name w:val="节标题"/>
    <w:basedOn w:val="1"/>
    <w:next w:val="46"/>
    <w:qFormat/>
    <w:uiPriority w:val="99"/>
    <w:pPr>
      <w:spacing w:line="289" w:lineRule="atLeast"/>
      <w:jc w:val="center"/>
    </w:pPr>
    <w:rPr>
      <w:sz w:val="28"/>
    </w:rPr>
  </w:style>
  <w:style w:type="paragraph" w:customStyle="1" w:styleId="46">
    <w:name w:val="小节标题"/>
    <w:basedOn w:val="1"/>
    <w:next w:val="1"/>
    <w:qFormat/>
    <w:uiPriority w:val="99"/>
    <w:pPr>
      <w:spacing w:before="175" w:after="102" w:line="351" w:lineRule="atLeast"/>
    </w:pPr>
    <w:rPr>
      <w:rFonts w:eastAsia="黑体"/>
    </w:rPr>
  </w:style>
  <w:style w:type="paragraph" w:customStyle="1" w:styleId="47">
    <w:name w:val="目录2"/>
    <w:basedOn w:val="1"/>
    <w:next w:val="1"/>
    <w:qFormat/>
    <w:uiPriority w:val="99"/>
    <w:pPr>
      <w:tabs>
        <w:tab w:val="left" w:leader="dot" w:pos="8503"/>
      </w:tabs>
      <w:spacing w:line="317" w:lineRule="atLeast"/>
      <w:ind w:firstLine="209"/>
    </w:pPr>
  </w:style>
  <w:style w:type="paragraph" w:customStyle="1" w:styleId="48">
    <w:name w:val="目录4"/>
    <w:basedOn w:val="1"/>
    <w:next w:val="1"/>
    <w:qFormat/>
    <w:uiPriority w:val="99"/>
    <w:pPr>
      <w:tabs>
        <w:tab w:val="left" w:leader="dot" w:pos="8503"/>
      </w:tabs>
      <w:spacing w:line="317" w:lineRule="atLeast"/>
      <w:ind w:firstLine="629"/>
    </w:pPr>
  </w:style>
  <w:style w:type="paragraph" w:customStyle="1" w:styleId="49">
    <w:name w:val="1 Char Char Char Char"/>
    <w:basedOn w:val="1"/>
    <w:qFormat/>
    <w:uiPriority w:val="99"/>
    <w:pPr>
      <w:widowControl w:val="0"/>
      <w:spacing w:line="240" w:lineRule="auto"/>
      <w:textAlignment w:val="auto"/>
    </w:pPr>
    <w:rPr>
      <w:rFonts w:ascii="Tahoma" w:hAnsi="Tahoma" w:cs="Tahoma"/>
      <w:color w:val="auto"/>
      <w:kern w:val="2"/>
      <w:sz w:val="24"/>
      <w:szCs w:val="24"/>
    </w:rPr>
  </w:style>
  <w:style w:type="paragraph" w:customStyle="1" w:styleId="50">
    <w:name w:val="Char Char Char"/>
    <w:basedOn w:val="1"/>
    <w:qFormat/>
    <w:uiPriority w:val="99"/>
    <w:pPr>
      <w:widowControl w:val="0"/>
      <w:spacing w:line="240" w:lineRule="auto"/>
      <w:textAlignment w:val="auto"/>
    </w:pPr>
    <w:rPr>
      <w:rFonts w:ascii="Tahoma" w:hAnsi="Tahoma"/>
      <w:color w:val="auto"/>
      <w:kern w:val="2"/>
      <w:sz w:val="24"/>
    </w:rPr>
  </w:style>
  <w:style w:type="paragraph" w:customStyle="1" w:styleId="51">
    <w:name w:val="目录3"/>
    <w:basedOn w:val="1"/>
    <w:next w:val="1"/>
    <w:qFormat/>
    <w:uiPriority w:val="99"/>
    <w:pPr>
      <w:tabs>
        <w:tab w:val="left" w:leader="dot" w:pos="8503"/>
      </w:tabs>
      <w:spacing w:line="317" w:lineRule="atLeast"/>
      <w:ind w:firstLine="419"/>
    </w:pPr>
  </w:style>
  <w:style w:type="paragraph" w:customStyle="1" w:styleId="52">
    <w:name w:val="目录标题"/>
    <w:basedOn w:val="1"/>
    <w:next w:val="1"/>
    <w:qFormat/>
    <w:uiPriority w:val="99"/>
    <w:pPr>
      <w:spacing w:before="566" w:after="544" w:line="566" w:lineRule="atLeast"/>
      <w:ind w:firstLine="419"/>
      <w:jc w:val="center"/>
    </w:pPr>
    <w:rPr>
      <w:rFonts w:ascii="Arial" w:eastAsia="黑体"/>
      <w:spacing w:val="566"/>
      <w:sz w:val="54"/>
    </w:rPr>
  </w:style>
  <w:style w:type="paragraph" w:customStyle="1" w:styleId="53">
    <w:name w:val="文章总标题"/>
    <w:basedOn w:val="1"/>
    <w:next w:val="54"/>
    <w:qFormat/>
    <w:uiPriority w:val="99"/>
    <w:pPr>
      <w:spacing w:before="566" w:after="544" w:line="566" w:lineRule="atLeast"/>
      <w:jc w:val="center"/>
    </w:pPr>
    <w:rPr>
      <w:rFonts w:ascii="Arial" w:eastAsia="黑体"/>
      <w:sz w:val="54"/>
    </w:rPr>
  </w:style>
  <w:style w:type="paragraph" w:customStyle="1" w:styleId="54">
    <w:name w:val="文章附标题"/>
    <w:basedOn w:val="1"/>
    <w:next w:val="44"/>
    <w:qFormat/>
    <w:uiPriority w:val="99"/>
    <w:pPr>
      <w:spacing w:before="187" w:after="175" w:line="374" w:lineRule="atLeast"/>
      <w:jc w:val="center"/>
    </w:pPr>
    <w:rPr>
      <w:sz w:val="36"/>
    </w:rPr>
  </w:style>
  <w:style w:type="paragraph" w:customStyle="1" w:styleId="55">
    <w:name w:val="Char1"/>
    <w:basedOn w:val="1"/>
    <w:qFormat/>
    <w:uiPriority w:val="99"/>
    <w:pPr>
      <w:widowControl w:val="0"/>
      <w:spacing w:line="240" w:lineRule="auto"/>
      <w:textAlignment w:val="auto"/>
    </w:pPr>
    <w:rPr>
      <w:rFonts w:ascii="Tahoma" w:hAnsi="Tahoma"/>
      <w:color w:val="auto"/>
      <w:kern w:val="2"/>
      <w:sz w:val="24"/>
    </w:rPr>
  </w:style>
  <w:style w:type="paragraph" w:customStyle="1" w:styleId="56">
    <w:name w:val="Char11"/>
    <w:basedOn w:val="1"/>
    <w:qFormat/>
    <w:uiPriority w:val="99"/>
    <w:pPr>
      <w:widowControl w:val="0"/>
      <w:spacing w:line="240" w:lineRule="auto"/>
      <w:textAlignment w:val="auto"/>
    </w:pPr>
    <w:rPr>
      <w:rFonts w:ascii="Tahoma" w:hAnsi="Tahoma"/>
      <w:color w:val="auto"/>
      <w:kern w:val="2"/>
      <w:sz w:val="24"/>
    </w:rPr>
  </w:style>
  <w:style w:type="paragraph" w:customStyle="1" w:styleId="57">
    <w:name w:val="Char Char Char Char Char Char Char"/>
    <w:basedOn w:val="1"/>
    <w:qFormat/>
    <w:uiPriority w:val="99"/>
    <w:pPr>
      <w:widowControl w:val="0"/>
      <w:spacing w:line="240" w:lineRule="auto"/>
      <w:textAlignment w:val="auto"/>
    </w:pPr>
    <w:rPr>
      <w:rFonts w:ascii="Tahoma" w:hAnsi="Tahoma"/>
      <w:color w:val="auto"/>
      <w:kern w:val="2"/>
      <w:sz w:val="24"/>
    </w:rPr>
  </w:style>
  <w:style w:type="paragraph" w:customStyle="1" w:styleId="58">
    <w:name w:val="WPS Plain"/>
    <w:qFormat/>
    <w:uiPriority w:val="99"/>
    <w:rPr>
      <w:rFonts w:ascii="Times New Roman" w:hAnsi="Times New Roman" w:eastAsia="宋体" w:cs="Times New Roman"/>
      <w:lang w:val="en-US" w:eastAsia="zh-CN" w:bidi="ar-SA"/>
    </w:rPr>
  </w:style>
  <w:style w:type="paragraph" w:customStyle="1" w:styleId="59">
    <w:name w:val="cjk"/>
    <w:basedOn w:val="1"/>
    <w:qFormat/>
    <w:uiPriority w:val="99"/>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6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61">
    <w:name w:val="链接"/>
    <w:qFormat/>
    <w:uiPriority w:val="99"/>
    <w:rPr>
      <w:rFonts w:ascii="Times New Roman" w:eastAsia="宋体"/>
      <w:color w:val="0000FF"/>
      <w:sz w:val="21"/>
      <w:u w:val="single" w:color="0000FF"/>
      <w:lang w:val="en-US" w:eastAsia="zh-CN"/>
    </w:rPr>
  </w:style>
  <w:style w:type="character" w:customStyle="1" w:styleId="62">
    <w:name w:val="超级链接"/>
    <w:qFormat/>
    <w:uiPriority w:val="99"/>
    <w:rPr>
      <w:rFonts w:ascii="Times New Roman" w:eastAsia="宋体"/>
      <w:color w:val="0000FF"/>
      <w:sz w:val="21"/>
      <w:u w:val="single" w:color="0000FF"/>
      <w:lang w:val="en-US" w:eastAsia="zh-CN"/>
    </w:rPr>
  </w:style>
  <w:style w:type="character" w:customStyle="1" w:styleId="63">
    <w:name w:val="param_td12"/>
    <w:qFormat/>
    <w:uiPriority w:val="99"/>
  </w:style>
  <w:style w:type="character" w:customStyle="1" w:styleId="64">
    <w:name w:val="纯文本 Char"/>
    <w:qFormat/>
    <w:locked/>
    <w:uiPriority w:val="99"/>
    <w:rPr>
      <w:rFonts w:ascii="宋体" w:hAnsi="Courier New" w:eastAsia="宋体"/>
      <w:kern w:val="2"/>
      <w:sz w:val="21"/>
      <w:lang w:val="en-US" w:eastAsia="zh-CN"/>
    </w:rPr>
  </w:style>
  <w:style w:type="character" w:customStyle="1" w:styleId="65">
    <w:name w:val="纯文本 Char Char"/>
    <w:qFormat/>
    <w:uiPriority w:val="99"/>
    <w:rPr>
      <w:rFonts w:ascii="宋体" w:hAnsi="Courier New" w:eastAsia="宋体"/>
      <w:kern w:val="2"/>
      <w:sz w:val="21"/>
      <w:lang w:val="en-US" w:eastAsia="zh-CN"/>
    </w:rPr>
  </w:style>
  <w:style w:type="character" w:customStyle="1" w:styleId="66">
    <w:name w:val="Char Char4"/>
    <w:qFormat/>
    <w:uiPriority w:val="99"/>
    <w:rPr>
      <w:rFonts w:ascii="宋体" w:eastAsia="宋体"/>
      <w:kern w:val="2"/>
      <w:sz w:val="28"/>
    </w:rPr>
  </w:style>
  <w:style w:type="character" w:customStyle="1" w:styleId="67">
    <w:name w:val="Plain Text Char1"/>
    <w:semiHidden/>
    <w:qFormat/>
    <w:locked/>
    <w:uiPriority w:val="99"/>
    <w:rPr>
      <w:rFonts w:ascii="宋体" w:hAnsi="Courier New"/>
      <w:color w:val="000000"/>
      <w:kern w:val="0"/>
      <w:sz w:val="21"/>
      <w:u w:val="none" w:color="000000"/>
    </w:rPr>
  </w:style>
  <w:style w:type="character" w:customStyle="1" w:styleId="68">
    <w:name w:val="15"/>
    <w:basedOn w:val="26"/>
    <w:qFormat/>
    <w:uiPriority w:val="99"/>
    <w:rPr>
      <w:rFonts w:cs="Times New Roman"/>
    </w:rPr>
  </w:style>
  <w:style w:type="paragraph" w:customStyle="1" w:styleId="69">
    <w:name w:val="Table Paragraph"/>
    <w:basedOn w:val="1"/>
    <w:qFormat/>
    <w:uiPriority w:val="1"/>
    <w:pPr>
      <w:widowControl w:val="0"/>
      <w:spacing w:line="240" w:lineRule="auto"/>
      <w:textAlignment w:val="auto"/>
    </w:pPr>
    <w:rPr>
      <w:rFonts w:ascii="Calibri" w:hAnsi="Calibri"/>
      <w:color w:val="auto"/>
      <w:kern w:val="2"/>
      <w:szCs w:val="24"/>
    </w:rPr>
  </w:style>
  <w:style w:type="paragraph" w:customStyle="1" w:styleId="70">
    <w:name w:val="列出段落1"/>
    <w:basedOn w:val="1"/>
    <w:qFormat/>
    <w:uiPriority w:val="99"/>
    <w:pPr>
      <w:ind w:firstLine="420" w:firstLineChars="200"/>
    </w:pPr>
  </w:style>
  <w:style w:type="character" w:customStyle="1" w:styleId="71">
    <w:name w:val="文档结构图 Char"/>
    <w:basedOn w:val="26"/>
    <w:link w:val="6"/>
    <w:semiHidden/>
    <w:qFormat/>
    <w:uiPriority w:val="99"/>
    <w:rPr>
      <w:rFonts w:ascii="宋体"/>
      <w:color w:val="000000"/>
      <w:sz w:val="18"/>
      <w:szCs w:val="18"/>
      <w:u w:color="000000"/>
    </w:rPr>
  </w:style>
  <w:style w:type="character" w:customStyle="1" w:styleId="72">
    <w:name w:val="标题 Char"/>
    <w:basedOn w:val="26"/>
    <w:link w:val="21"/>
    <w:qFormat/>
    <w:uiPriority w:val="10"/>
    <w:rPr>
      <w:rFonts w:asciiTheme="majorHAnsi" w:hAnsiTheme="majorHAnsi" w:cstheme="majorBidi"/>
      <w:b/>
      <w:bCs/>
      <w:color w:val="000000"/>
      <w:sz w:val="32"/>
      <w:szCs w:val="32"/>
      <w:u w:color="000000"/>
    </w:rPr>
  </w:style>
  <w:style w:type="character" w:customStyle="1" w:styleId="73">
    <w:name w:val="apple-converted-space"/>
    <w:basedOn w:val="26"/>
    <w:qFormat/>
    <w:uiPriority w:val="0"/>
  </w:style>
  <w:style w:type="paragraph" w:customStyle="1" w:styleId="74">
    <w:name w:val="列出段落2"/>
    <w:basedOn w:val="1"/>
    <w:qFormat/>
    <w:uiPriority w:val="34"/>
    <w:pPr>
      <w:ind w:firstLine="420" w:firstLineChars="200"/>
    </w:pPr>
  </w:style>
  <w:style w:type="character" w:customStyle="1" w:styleId="75">
    <w:name w:val="qowt-font4"/>
    <w:basedOn w:val="26"/>
    <w:qFormat/>
    <w:uiPriority w:val="0"/>
  </w:style>
  <w:style w:type="paragraph" w:customStyle="1" w:styleId="76">
    <w:name w:val="正文 加黑"/>
    <w:basedOn w:val="1"/>
    <w:qFormat/>
    <w:uiPriority w:val="0"/>
    <w:pPr>
      <w:spacing w:before="120" w:after="120"/>
    </w:pPr>
    <w:rPr>
      <w:b/>
      <w:sz w:val="28"/>
      <w:szCs w:val="28"/>
    </w:rPr>
  </w:style>
  <w:style w:type="paragraph" w:customStyle="1" w:styleId="77">
    <w:name w:val="小抬头加黑"/>
    <w:basedOn w:val="1"/>
    <w:qFormat/>
    <w:uiPriority w:val="0"/>
    <w:pPr>
      <w:spacing w:before="80" w:after="40"/>
      <w:jc w:val="left"/>
    </w:pPr>
    <w:rPr>
      <w:rFonts w:ascii="Arial" w:hAnsi="Arial" w:eastAsia="微软雅黑"/>
      <w:b/>
      <w:szCs w:val="21"/>
    </w:rPr>
  </w:style>
  <w:style w:type="paragraph" w:customStyle="1" w:styleId="78">
    <w:name w:val="列表样式(一级)"/>
    <w:basedOn w:val="1"/>
    <w:qFormat/>
    <w:uiPriority w:val="0"/>
    <w:pPr>
      <w:spacing w:before="160" w:after="160" w:line="280" w:lineRule="exact"/>
      <w:ind w:left="420" w:hanging="420"/>
      <w:jc w:val="left"/>
    </w:pPr>
    <w:rPr>
      <w:rFonts w:ascii="Arial" w:hAnsi="Arial" w:eastAsia="华文细黑"/>
      <w:color w:val="505050"/>
      <w:sz w:val="16"/>
      <w:szCs w:val="16"/>
    </w:rPr>
  </w:style>
  <w:style w:type="paragraph" w:customStyle="1" w:styleId="79">
    <w:name w:val="表格标题文字"/>
    <w:qFormat/>
    <w:uiPriority w:val="0"/>
    <w:pPr>
      <w:snapToGrid w:val="0"/>
      <w:spacing w:before="120" w:line="240" w:lineRule="exact"/>
    </w:pPr>
    <w:rPr>
      <w:rFonts w:ascii="Arial" w:hAnsi="Arial" w:eastAsia="黑体" w:cs="Times New Roman"/>
      <w:kern w:val="2"/>
      <w:sz w:val="18"/>
      <w:szCs w:val="21"/>
      <w:lang w:val="en-US" w:eastAsia="zh-CN" w:bidi="ar-SA"/>
    </w:rPr>
  </w:style>
  <w:style w:type="paragraph" w:customStyle="1" w:styleId="80">
    <w:name w:val="表格非标题文字"/>
    <w:qFormat/>
    <w:uiPriority w:val="0"/>
    <w:pPr>
      <w:snapToGrid w:val="0"/>
      <w:spacing w:before="80" w:after="40"/>
    </w:pPr>
    <w:rPr>
      <w:rFonts w:ascii="Arial" w:hAnsi="Arial" w:eastAsia="宋体" w:cs="Times New Roman"/>
      <w:kern w:val="2"/>
      <w:sz w:val="18"/>
      <w:szCs w:val="21"/>
      <w:lang w:val="en-US" w:eastAsia="zh-CN" w:bidi="ar-SA"/>
    </w:rPr>
  </w:style>
  <w:style w:type="paragraph" w:customStyle="1" w:styleId="81">
    <w:name w:val="Item List"/>
    <w:basedOn w:val="1"/>
    <w:qFormat/>
    <w:uiPriority w:val="0"/>
    <w:pPr>
      <w:spacing w:before="120" w:after="40"/>
      <w:ind w:left="420" w:hanging="420"/>
      <w:jc w:val="left"/>
    </w:pPr>
    <w:rPr>
      <w:rFonts w:ascii="Arial" w:hAnsi="Arial"/>
      <w:szCs w:val="21"/>
    </w:rPr>
  </w:style>
  <w:style w:type="paragraph" w:customStyle="1" w:styleId="82">
    <w:name w:val="itemlist"/>
    <w:basedOn w:val="1"/>
    <w:qFormat/>
    <w:uiPriority w:val="0"/>
    <w:pPr>
      <w:spacing w:before="100" w:beforeAutospacing="1" w:after="100" w:afterAutospacing="1"/>
      <w:jc w:val="left"/>
    </w:pPr>
    <w:rPr>
      <w:rFonts w:ascii="宋体" w:hAnsi="宋体" w:cs="宋体"/>
      <w:sz w:val="24"/>
      <w:szCs w:val="24"/>
    </w:rPr>
  </w:style>
  <w:style w:type="table" w:customStyle="1" w:styleId="83">
    <w:name w:val="Table Normal_0"/>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84">
    <w:name w:val="Heading 3_0"/>
    <w:basedOn w:val="1"/>
    <w:qFormat/>
    <w:uiPriority w:val="1"/>
    <w:pPr>
      <w:widowControl w:val="0"/>
      <w:spacing w:before="14" w:line="240" w:lineRule="auto"/>
      <w:ind w:left="138"/>
      <w:jc w:val="left"/>
      <w:textAlignment w:val="auto"/>
      <w:outlineLvl w:val="3"/>
    </w:pPr>
    <w:rPr>
      <w:rFonts w:ascii="宋体" w:hAnsi="宋体" w:cstheme="minorBidi"/>
      <w:color w:val="auto"/>
      <w:sz w:val="28"/>
      <w:szCs w:val="28"/>
      <w:lang w:eastAsia="en-US"/>
    </w:rPr>
  </w:style>
  <w:style w:type="paragraph" w:customStyle="1" w:styleId="85">
    <w:name w:val="Heading 4"/>
    <w:basedOn w:val="1"/>
    <w:qFormat/>
    <w:uiPriority w:val="1"/>
    <w:pPr>
      <w:widowControl w:val="0"/>
      <w:spacing w:line="240" w:lineRule="auto"/>
      <w:ind w:left="192"/>
      <w:jc w:val="left"/>
      <w:textAlignment w:val="auto"/>
      <w:outlineLvl w:val="4"/>
    </w:pPr>
    <w:rPr>
      <w:rFonts w:ascii="Microsoft JhengHei" w:hAnsi="Microsoft JhengHei" w:eastAsia="Microsoft JhengHei" w:cstheme="minorBidi"/>
      <w:b/>
      <w:bCs/>
      <w:color w:val="auto"/>
      <w:sz w:val="24"/>
      <w:szCs w:val="24"/>
      <w:lang w:eastAsia="en-US"/>
    </w:rPr>
  </w:style>
  <w:style w:type="character" w:customStyle="1" w:styleId="86">
    <w:name w:val="正文缩进 Char"/>
    <w:link w:val="5"/>
    <w:qFormat/>
    <w:uiPriority w:val="0"/>
    <w:rPr>
      <w:sz w:val="21"/>
    </w:rPr>
  </w:style>
  <w:style w:type="paragraph" w:customStyle="1" w:styleId="87">
    <w:name w:val="Heading 7"/>
    <w:basedOn w:val="1"/>
    <w:qFormat/>
    <w:uiPriority w:val="1"/>
    <w:pPr>
      <w:widowControl w:val="0"/>
      <w:spacing w:line="240" w:lineRule="auto"/>
      <w:ind w:left="140"/>
      <w:jc w:val="left"/>
      <w:textAlignment w:val="auto"/>
      <w:outlineLvl w:val="7"/>
    </w:pPr>
    <w:rPr>
      <w:rFonts w:ascii="Microsoft JhengHei" w:hAnsi="Microsoft JhengHei" w:eastAsia="Microsoft JhengHei" w:cstheme="minorBidi"/>
      <w:b/>
      <w:bCs/>
      <w:color w:val="auto"/>
      <w:sz w:val="24"/>
      <w:szCs w:val="24"/>
      <w:lang w:eastAsia="en-US"/>
    </w:rPr>
  </w:style>
  <w:style w:type="paragraph" w:customStyle="1" w:styleId="88">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89">
    <w:name w:val="正文首行缩进 2 Char"/>
    <w:basedOn w:val="36"/>
    <w:link w:val="23"/>
    <w:semiHidden/>
    <w:qFormat/>
    <w:uiPriority w:val="99"/>
    <w:rPr>
      <w:sz w:val="21"/>
      <w:szCs w:val="24"/>
    </w:rPr>
  </w:style>
  <w:style w:type="character" w:customStyle="1" w:styleId="90">
    <w:name w:val="Plain Text Char"/>
    <w:basedOn w:val="26"/>
    <w:qFormat/>
    <w:locked/>
    <w:uiPriority w:val="99"/>
    <w:rPr>
      <w:rFonts w:ascii="宋体" w:hAnsi="Courier New" w:eastAsia="宋体"/>
      <w:kern w:val="2"/>
      <w:sz w:val="21"/>
      <w:lang w:val="en-US" w:eastAsia="zh-CN"/>
    </w:rPr>
  </w:style>
  <w:style w:type="character" w:customStyle="1" w:styleId="91">
    <w:name w:val="font41"/>
    <w:basedOn w:val="26"/>
    <w:qFormat/>
    <w:uiPriority w:val="0"/>
    <w:rPr>
      <w:rFonts w:hint="eastAsia" w:ascii="宋体" w:hAnsi="宋体" w:eastAsia="宋体" w:cs="宋体"/>
      <w:color w:val="000000"/>
      <w:sz w:val="22"/>
      <w:szCs w:val="22"/>
      <w:u w:val="none"/>
    </w:rPr>
  </w:style>
  <w:style w:type="character" w:customStyle="1" w:styleId="92">
    <w:name w:val="font31"/>
    <w:basedOn w:val="26"/>
    <w:qFormat/>
    <w:uiPriority w:val="0"/>
    <w:rPr>
      <w:rFonts w:hint="eastAsia" w:ascii="宋体" w:hAnsi="宋体" w:eastAsia="宋体" w:cs="宋体"/>
      <w:color w:val="FF0000"/>
      <w:sz w:val="22"/>
      <w:szCs w:val="22"/>
      <w:u w:val="none"/>
    </w:rPr>
  </w:style>
  <w:style w:type="character" w:customStyle="1" w:styleId="93">
    <w:name w:val="font11"/>
    <w:basedOn w:val="26"/>
    <w:qFormat/>
    <w:uiPriority w:val="0"/>
    <w:rPr>
      <w:rFonts w:hint="eastAsia" w:ascii="宋体" w:hAnsi="宋体" w:eastAsia="宋体" w:cs="宋体"/>
      <w:color w:val="000000"/>
      <w:sz w:val="22"/>
      <w:szCs w:val="22"/>
      <w:u w:val="none"/>
    </w:rPr>
  </w:style>
  <w:style w:type="character" w:customStyle="1" w:styleId="94">
    <w:name w:val="font01"/>
    <w:basedOn w:val="26"/>
    <w:qFormat/>
    <w:uiPriority w:val="0"/>
    <w:rPr>
      <w:rFonts w:hint="eastAsia" w:ascii="宋体" w:hAnsi="宋体" w:eastAsia="宋体" w:cs="宋体"/>
      <w:color w:val="000000"/>
      <w:sz w:val="22"/>
      <w:szCs w:val="22"/>
      <w:u w:val="none"/>
    </w:rPr>
  </w:style>
  <w:style w:type="character" w:customStyle="1" w:styleId="95">
    <w:name w:val="font21"/>
    <w:basedOn w:val="26"/>
    <w:qFormat/>
    <w:uiPriority w:val="0"/>
    <w:rPr>
      <w:rFonts w:hint="eastAsia" w:ascii="宋体" w:hAnsi="宋体" w:eastAsia="宋体" w:cs="宋体"/>
      <w:color w:val="FF0000"/>
      <w:sz w:val="22"/>
      <w:szCs w:val="22"/>
      <w:u w:val="none"/>
    </w:rPr>
  </w:style>
  <w:style w:type="character" w:customStyle="1" w:styleId="96">
    <w:name w:val="font71"/>
    <w:basedOn w:val="26"/>
    <w:qFormat/>
    <w:uiPriority w:val="0"/>
    <w:rPr>
      <w:rFonts w:hint="eastAsia" w:ascii="宋体" w:hAnsi="宋体" w:eastAsia="宋体" w:cs="宋体"/>
      <w:color w:val="000000"/>
      <w:sz w:val="22"/>
      <w:szCs w:val="22"/>
      <w:u w:val="none"/>
    </w:rPr>
  </w:style>
  <w:style w:type="character" w:customStyle="1" w:styleId="97">
    <w:name w:val="fr"/>
    <w:basedOn w:val="26"/>
    <w:qFormat/>
    <w:uiPriority w:val="0"/>
  </w:style>
  <w:style w:type="character" w:customStyle="1" w:styleId="98">
    <w:name w:val="icon_gys"/>
    <w:basedOn w:val="26"/>
    <w:qFormat/>
    <w:uiPriority w:val="0"/>
    <w:rPr>
      <w:sz w:val="21"/>
      <w:szCs w:val="21"/>
    </w:rPr>
  </w:style>
  <w:style w:type="character" w:customStyle="1" w:styleId="99">
    <w:name w:val="xiadan"/>
    <w:basedOn w:val="26"/>
    <w:qFormat/>
    <w:uiPriority w:val="0"/>
    <w:rPr>
      <w:shd w:val="clear" w:color="auto" w:fill="E4393C"/>
    </w:rPr>
  </w:style>
  <w:style w:type="character" w:customStyle="1" w:styleId="100">
    <w:name w:val="first-child1"/>
    <w:basedOn w:val="26"/>
    <w:qFormat/>
    <w:uiPriority w:val="0"/>
    <w:rPr>
      <w:color w:val="1F3149"/>
      <w:sz w:val="24"/>
      <w:szCs w:val="24"/>
    </w:rPr>
  </w:style>
  <w:style w:type="character" w:customStyle="1" w:styleId="101">
    <w:name w:val="first-child2"/>
    <w:basedOn w:val="26"/>
    <w:qFormat/>
    <w:uiPriority w:val="0"/>
    <w:rPr>
      <w:color w:val="1F3149"/>
      <w:sz w:val="24"/>
      <w:szCs w:val="24"/>
    </w:rPr>
  </w:style>
  <w:style w:type="character" w:customStyle="1" w:styleId="102">
    <w:name w:val="icon_ds"/>
    <w:basedOn w:val="26"/>
    <w:qFormat/>
    <w:uiPriority w:val="0"/>
  </w:style>
  <w:style w:type="character" w:customStyle="1" w:styleId="103">
    <w:name w:val="icon_ds1"/>
    <w:basedOn w:val="26"/>
    <w:qFormat/>
    <w:uiPriority w:val="0"/>
    <w:rPr>
      <w:sz w:val="21"/>
      <w:szCs w:val="21"/>
    </w:rPr>
  </w:style>
  <w:style w:type="character" w:customStyle="1" w:styleId="104">
    <w:name w:val="first-child"/>
    <w:basedOn w:val="26"/>
    <w:qFormat/>
    <w:uiPriority w:val="0"/>
    <w:rPr>
      <w:color w:val="1F3149"/>
      <w:sz w:val="24"/>
      <w:szCs w:val="24"/>
    </w:rPr>
  </w:style>
  <w:style w:type="paragraph" w:customStyle="1" w:styleId="105">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62</Pages>
  <Words>6266</Words>
  <Characters>35721</Characters>
  <Lines>297</Lines>
  <Paragraphs>83</Paragraphs>
  <TotalTime>0</TotalTime>
  <ScaleCrop>false</ScaleCrop>
  <LinksUpToDate>false</LinksUpToDate>
  <CharactersWithSpaces>41904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2022-03-17T00:36:00Z</dcterms:created>
  <dc:creator>ZM</dc:creator>
  <cp:lastModifiedBy>筱紫</cp:lastModifiedBy>
  <cp:lastPrinted>2023-10-25T07:00:00Z</cp:lastPrinted>
  <dcterms:modified xsi:type="dcterms:W3CDTF">2023-11-21T09:48:15Z</dcterms:modified>
  <dc:title>内黄县第一高级中学所需多媒体教室设备项目</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D43D9DD0FD7648D0AD9793793EF60B1F</vt:lpwstr>
  </property>
  <property fmtid="{D5CDD505-2E9C-101B-9397-08002B2CF9AE}" pid="3" name="KSOProductBuildVer">
    <vt:lpwstr>2052-12.1.0.15712</vt:lpwstr>
  </property>
</Properties>
</file>