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0"/>
        </w:tabs>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r>
        <w:rPr>
          <w:rFonts w:hint="eastAsia" w:ascii="宋体" w:hAnsi="宋体" w:cs="宋体"/>
          <w:b/>
          <w:bCs/>
          <w:sz w:val="56"/>
          <w:szCs w:val="56"/>
          <w:lang w:eastAsia="zh-CN"/>
        </w:rPr>
        <w:t>安阳市文化广电体育旅游局安阳市2023年全民健身器材采购项目</w:t>
      </w:r>
      <w:r>
        <w:rPr>
          <w:rFonts w:hint="eastAsia" w:ascii="宋体" w:hAnsi="宋体" w:cs="宋体"/>
          <w:b w:val="0"/>
          <w:bCs w:val="0"/>
          <w:sz w:val="56"/>
          <w:szCs w:val="56"/>
          <w:lang w:val="en-US" w:eastAsia="zh-CN"/>
        </w:rPr>
        <w:t>-</w:t>
      </w:r>
      <w:r>
        <w:rPr>
          <w:rFonts w:hint="eastAsia" w:ascii="宋体" w:hAnsi="宋体" w:cs="宋体"/>
          <w:b/>
          <w:bCs/>
          <w:sz w:val="56"/>
          <w:szCs w:val="56"/>
        </w:rPr>
        <w:t>2包</w:t>
      </w:r>
    </w:p>
    <w:p>
      <w:pPr>
        <w:spacing w:line="200" w:lineRule="exact"/>
        <w:rPr>
          <w:sz w:val="24"/>
          <w:szCs w:val="24"/>
        </w:rPr>
      </w:pPr>
    </w:p>
    <w:p>
      <w:pPr>
        <w:spacing w:line="200" w:lineRule="exact"/>
        <w:rPr>
          <w:sz w:val="24"/>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spacing w:line="200" w:lineRule="exact"/>
        <w:rPr>
          <w:sz w:val="24"/>
          <w:szCs w:val="24"/>
        </w:rPr>
      </w:pPr>
    </w:p>
    <w:p>
      <w:pPr>
        <w:spacing w:line="304" w:lineRule="exact"/>
        <w:rPr>
          <w:sz w:val="24"/>
          <w:szCs w:val="24"/>
        </w:rPr>
      </w:pPr>
    </w:p>
    <w:p>
      <w:pPr>
        <w:spacing w:line="1096" w:lineRule="exact"/>
        <w:jc w:val="center"/>
        <w:rPr>
          <w:sz w:val="20"/>
        </w:rPr>
      </w:pPr>
      <w:r>
        <w:rPr>
          <w:rFonts w:hint="eastAsia" w:ascii="宋体" w:hAnsi="宋体" w:cs="宋体"/>
          <w:b/>
          <w:bCs/>
          <w:sz w:val="96"/>
          <w:szCs w:val="96"/>
        </w:rPr>
        <w:t>竞争性磋商</w:t>
      </w:r>
      <w:r>
        <w:rPr>
          <w:rFonts w:ascii="宋体" w:hAnsi="宋体" w:cs="宋体"/>
          <w:b/>
          <w:bCs/>
          <w:sz w:val="96"/>
          <w:szCs w:val="96"/>
        </w:rPr>
        <w:t>文件</w:t>
      </w:r>
    </w:p>
    <w:p>
      <w:pPr>
        <w:spacing w:line="240" w:lineRule="auto"/>
        <w:jc w:val="center"/>
        <w:rPr>
          <w:sz w:val="24"/>
          <w:szCs w:val="24"/>
        </w:rPr>
      </w:pPr>
    </w:p>
    <w:p>
      <w:pPr>
        <w:spacing w:line="240" w:lineRule="auto"/>
        <w:jc w:val="center"/>
        <w:rPr>
          <w:rFonts w:ascii="宋体" w:hAnsi="宋体" w:cs="宋体"/>
          <w:b/>
          <w:bCs/>
          <w:sz w:val="24"/>
          <w:szCs w:val="24"/>
        </w:rPr>
      </w:pPr>
    </w:p>
    <w:p>
      <w:pPr>
        <w:spacing w:line="240" w:lineRule="auto"/>
        <w:jc w:val="center"/>
        <w:rPr>
          <w:rFonts w:ascii="宋体" w:hAnsi="宋体" w:cs="宋体"/>
          <w:b/>
          <w:bCs/>
          <w:sz w:val="24"/>
          <w:szCs w:val="24"/>
        </w:rPr>
      </w:pPr>
      <w:r>
        <w:rPr>
          <w:rFonts w:hint="eastAsia" w:ascii="宋体" w:hAnsi="宋体" w:cs="宋体"/>
          <w:b/>
          <w:bCs/>
          <w:sz w:val="32"/>
          <w:szCs w:val="32"/>
        </w:rPr>
        <w:t>采购编号：</w:t>
      </w:r>
      <w:r>
        <w:rPr>
          <w:rFonts w:hint="eastAsia" w:ascii="宋体" w:hAnsi="宋体" w:cs="宋体"/>
          <w:b/>
          <w:bCs/>
          <w:sz w:val="32"/>
          <w:szCs w:val="32"/>
          <w:lang w:eastAsia="zh-CN"/>
        </w:rPr>
        <w:t>安财磋商采购</w:t>
      </w:r>
      <w:r>
        <w:rPr>
          <w:rFonts w:hint="eastAsia" w:ascii="宋体" w:hAnsi="宋体" w:cs="宋体"/>
          <w:b/>
          <w:bCs/>
          <w:sz w:val="32"/>
          <w:szCs w:val="32"/>
          <w:lang w:val="en-US" w:eastAsia="zh-CN"/>
        </w:rPr>
        <w:t>-2023-80</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3" w:lineRule="exact"/>
        <w:rPr>
          <w:rFonts w:ascii="宋体" w:hAnsi="宋体" w:cs="宋体"/>
          <w:b/>
          <w:bCs/>
          <w:sz w:val="32"/>
          <w:szCs w:val="32"/>
        </w:rPr>
      </w:pPr>
    </w:p>
    <w:p>
      <w:pPr>
        <w:spacing w:line="343" w:lineRule="exact"/>
        <w:rPr>
          <w:rFonts w:ascii="宋体" w:hAnsi="宋体" w:cs="宋体"/>
          <w:b/>
          <w:bCs/>
          <w:sz w:val="32"/>
          <w:szCs w:val="32"/>
        </w:rPr>
      </w:pPr>
    </w:p>
    <w:p>
      <w:pPr>
        <w:spacing w:line="343" w:lineRule="exact"/>
        <w:rPr>
          <w:sz w:val="32"/>
          <w:szCs w:val="32"/>
        </w:rPr>
      </w:pPr>
      <w:r>
        <w:rPr>
          <w:rFonts w:ascii="宋体" w:hAnsi="宋体" w:cs="宋体"/>
          <w:b/>
          <w:bCs/>
          <w:sz w:val="32"/>
          <w:szCs w:val="32"/>
        </w:rPr>
        <w:t>采 购 人：</w:t>
      </w:r>
      <w:r>
        <w:rPr>
          <w:rFonts w:hint="eastAsia" w:ascii="宋体" w:hAnsi="宋体" w:cs="宋体"/>
          <w:b/>
          <w:bCs/>
          <w:sz w:val="32"/>
          <w:szCs w:val="32"/>
        </w:rPr>
        <w:t>安阳</w:t>
      </w:r>
      <w:r>
        <w:rPr>
          <w:rFonts w:ascii="宋体" w:hAnsi="宋体" w:cs="宋体"/>
          <w:b/>
          <w:bCs/>
          <w:sz w:val="32"/>
          <w:szCs w:val="32"/>
        </w:rPr>
        <w:t>市</w:t>
      </w:r>
      <w:r>
        <w:rPr>
          <w:rFonts w:hint="eastAsia" w:ascii="宋体" w:hAnsi="宋体" w:cs="宋体"/>
          <w:b/>
          <w:bCs/>
          <w:sz w:val="32"/>
          <w:szCs w:val="32"/>
        </w:rPr>
        <w:t>文化广电体育旅游局</w:t>
      </w:r>
    </w:p>
    <w:p>
      <w:pPr>
        <w:spacing w:line="200" w:lineRule="exact"/>
        <w:rPr>
          <w:sz w:val="32"/>
          <w:szCs w:val="32"/>
        </w:rPr>
      </w:pPr>
    </w:p>
    <w:p>
      <w:pPr>
        <w:spacing w:line="343" w:lineRule="exact"/>
        <w:rPr>
          <w:sz w:val="32"/>
          <w:szCs w:val="32"/>
        </w:rPr>
      </w:pPr>
      <w:r>
        <w:rPr>
          <w:rFonts w:ascii="宋体" w:hAnsi="宋体" w:cs="宋体"/>
          <w:b/>
          <w:bCs/>
          <w:sz w:val="32"/>
          <w:szCs w:val="32"/>
        </w:rPr>
        <w:t>代理机构：</w:t>
      </w:r>
      <w:r>
        <w:rPr>
          <w:rFonts w:hint="eastAsia" w:ascii="宋体" w:hAnsi="宋体"/>
          <w:b/>
          <w:sz w:val="32"/>
          <w:szCs w:val="32"/>
        </w:rPr>
        <w:t>河南求实工程造价咨询有限公司</w:t>
      </w:r>
    </w:p>
    <w:p>
      <w:pPr>
        <w:spacing w:line="200" w:lineRule="exact"/>
        <w:rPr>
          <w:sz w:val="32"/>
          <w:szCs w:val="32"/>
        </w:rPr>
      </w:pPr>
    </w:p>
    <w:p>
      <w:pPr>
        <w:tabs>
          <w:tab w:val="left" w:pos="2520"/>
        </w:tabs>
        <w:spacing w:line="343" w:lineRule="exact"/>
        <w:rPr>
          <w:sz w:val="32"/>
          <w:szCs w:val="32"/>
        </w:rPr>
      </w:pPr>
      <w:r>
        <w:rPr>
          <w:rFonts w:ascii="宋体" w:hAnsi="宋体" w:cs="宋体"/>
          <w:b/>
          <w:bCs/>
          <w:sz w:val="32"/>
          <w:szCs w:val="32"/>
        </w:rPr>
        <w:t>日期：二</w:t>
      </w:r>
      <w:r>
        <w:rPr>
          <w:rFonts w:hint="eastAsia" w:ascii="宋体" w:hAnsi="宋体" w:cs="宋体"/>
          <w:b/>
          <w:bCs/>
          <w:sz w:val="32"/>
          <w:szCs w:val="32"/>
        </w:rPr>
        <w:t>零二三</w:t>
      </w:r>
      <w:r>
        <w:rPr>
          <w:rFonts w:ascii="宋体" w:hAnsi="宋体" w:cs="宋体"/>
          <w:b/>
          <w:bCs/>
          <w:sz w:val="32"/>
          <w:szCs w:val="32"/>
        </w:rPr>
        <w:t>年</w:t>
      </w:r>
      <w:r>
        <w:rPr>
          <w:rFonts w:hint="eastAsia" w:ascii="宋体" w:hAnsi="宋体" w:cs="宋体"/>
          <w:b/>
          <w:bCs/>
          <w:sz w:val="32"/>
          <w:szCs w:val="32"/>
        </w:rPr>
        <w:t>十</w:t>
      </w:r>
      <w:r>
        <w:rPr>
          <w:rFonts w:hint="eastAsia" w:ascii="宋体" w:hAnsi="宋体" w:cs="宋体"/>
          <w:b/>
          <w:bCs/>
          <w:sz w:val="32"/>
          <w:szCs w:val="32"/>
          <w:lang w:eastAsia="zh-CN"/>
        </w:rPr>
        <w:t>一</w:t>
      </w:r>
      <w:r>
        <w:rPr>
          <w:rFonts w:ascii="宋体" w:hAnsi="宋体" w:cs="宋体"/>
          <w:b/>
          <w:bCs/>
          <w:sz w:val="32"/>
          <w:szCs w:val="32"/>
        </w:rPr>
        <w:t>月</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pStyle w:val="32"/>
        <w:sectPr>
          <w:footerReference r:id="rId9" w:type="first"/>
          <w:headerReference r:id="rId5" w:type="default"/>
          <w:footerReference r:id="rId7" w:type="default"/>
          <w:headerReference r:id="rId6" w:type="even"/>
          <w:footerReference r:id="rId8" w:type="even"/>
          <w:pgSz w:w="11905" w:h="16837"/>
          <w:pgMar w:top="1418" w:right="1332" w:bottom="1418" w:left="1418" w:header="567" w:footer="567" w:gutter="0"/>
          <w:pgNumType w:fmt="numberInDash" w:start="0"/>
          <w:cols w:space="720" w:num="1"/>
          <w:titlePg/>
        </w:sectPr>
      </w:pPr>
    </w:p>
    <w:p>
      <w:pPr>
        <w:pStyle w:val="60"/>
        <w:jc w:val="center"/>
        <w:rPr>
          <w:rFonts w:ascii="黑体" w:hAnsi="黑体" w:eastAsia="黑体"/>
          <w:color w:val="000000" w:themeColor="text1"/>
          <w:sz w:val="36"/>
          <w:szCs w:val="36"/>
          <w:lang w:val="zh-CN"/>
        </w:rPr>
      </w:pPr>
      <w:r>
        <w:rPr>
          <w:rFonts w:hint="eastAsia" w:ascii="黑体" w:hAnsi="黑体" w:eastAsia="黑体"/>
          <w:color w:val="000000" w:themeColor="text1"/>
          <w:sz w:val="36"/>
          <w:szCs w:val="36"/>
          <w:lang w:val="zh-CN"/>
        </w:rPr>
        <w:t>目  录</w:t>
      </w:r>
    </w:p>
    <w:p>
      <w:pPr>
        <w:spacing w:line="480" w:lineRule="auto"/>
        <w:rPr>
          <w:color w:val="000000" w:themeColor="text1"/>
          <w:sz w:val="36"/>
          <w:szCs w:val="32"/>
          <w:lang w:val="zh-CN"/>
        </w:rPr>
      </w:pPr>
    </w:p>
    <w:p>
      <w:pPr>
        <w:pStyle w:val="17"/>
        <w:tabs>
          <w:tab w:val="right" w:leader="dot" w:pos="9371"/>
        </w:tabs>
        <w:rPr>
          <w:rFonts w:asciiTheme="minorHAnsi" w:hAnsiTheme="minorHAnsi" w:eastAsiaTheme="minorEastAsia" w:cstheme="minorBidi"/>
          <w:color w:val="auto"/>
          <w:kern w:val="2"/>
          <w:szCs w:val="22"/>
        </w:rPr>
      </w:pPr>
      <w:r>
        <w:rPr>
          <w:color w:val="000000" w:themeColor="text1"/>
          <w:sz w:val="36"/>
          <w:szCs w:val="32"/>
        </w:rPr>
        <w:fldChar w:fldCharType="begin"/>
      </w:r>
      <w:r>
        <w:rPr>
          <w:color w:val="000000" w:themeColor="text1"/>
          <w:sz w:val="36"/>
          <w:szCs w:val="32"/>
        </w:rPr>
        <w:instrText xml:space="preserve"> TOC \o "1-3" \h \z \u </w:instrText>
      </w:r>
      <w:r>
        <w:rPr>
          <w:color w:val="000000" w:themeColor="text1"/>
          <w:sz w:val="36"/>
          <w:szCs w:val="32"/>
        </w:rPr>
        <w:fldChar w:fldCharType="separate"/>
      </w:r>
      <w:r>
        <w:fldChar w:fldCharType="begin"/>
      </w:r>
      <w:r>
        <w:instrText xml:space="preserve"> HYPERLINK \l "_Toc26366082" </w:instrText>
      </w:r>
      <w:r>
        <w:fldChar w:fldCharType="separate"/>
      </w:r>
      <w:r>
        <w:rPr>
          <w:rStyle w:val="30"/>
          <w:rFonts w:hint="eastAsia" w:eastAsia="黑体"/>
          <w:b/>
        </w:rPr>
        <w:t>第一章</w:t>
      </w:r>
      <w:r>
        <w:rPr>
          <w:rStyle w:val="30"/>
          <w:rFonts w:hint="eastAsia" w:eastAsia="黑体"/>
          <w:b/>
          <w:lang w:val="en-US" w:eastAsia="zh-CN"/>
        </w:rPr>
        <w:t xml:space="preserve"> 竞争性</w:t>
      </w:r>
      <w:r>
        <w:rPr>
          <w:rStyle w:val="30"/>
          <w:rFonts w:hint="eastAsia" w:eastAsia="黑体"/>
          <w:b/>
        </w:rPr>
        <w:t>磋商公告</w:t>
      </w:r>
      <w:r>
        <w:tab/>
      </w:r>
      <w:r>
        <w:fldChar w:fldCharType="begin"/>
      </w:r>
      <w:r>
        <w:instrText xml:space="preserve"> PAGEREF _Toc26366082 \h </w:instrText>
      </w:r>
      <w:r>
        <w:fldChar w:fldCharType="separate"/>
      </w:r>
      <w:r>
        <w:t>- 2 -</w:t>
      </w:r>
      <w:r>
        <w:fldChar w:fldCharType="end"/>
      </w:r>
      <w:r>
        <w:fldChar w:fldCharType="end"/>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"_Toc26366083" </w:instrText>
      </w:r>
      <w:r>
        <w:fldChar w:fldCharType="separate"/>
      </w:r>
      <w:r>
        <w:rPr>
          <w:rStyle w:val="30"/>
          <w:rFonts w:hint="eastAsia" w:eastAsia="黑体"/>
          <w:b/>
        </w:rPr>
        <w:t>第二章</w:t>
      </w:r>
      <w:r>
        <w:rPr>
          <w:rStyle w:val="30"/>
          <w:rFonts w:hint="eastAsia" w:eastAsia="黑体"/>
          <w:b/>
          <w:lang w:val="en-US" w:eastAsia="zh-CN"/>
        </w:rPr>
        <w:t xml:space="preserve"> </w:t>
      </w:r>
      <w:r>
        <w:rPr>
          <w:rStyle w:val="30"/>
          <w:rFonts w:hint="eastAsia" w:eastAsia="黑体"/>
          <w:b/>
        </w:rPr>
        <w:t>采购项目及技术服务要求</w:t>
      </w:r>
      <w:r>
        <w:tab/>
      </w:r>
      <w:r>
        <w:fldChar w:fldCharType="begin"/>
      </w:r>
      <w:r>
        <w:instrText xml:space="preserve"> PAGEREF _Toc26366083 \h </w:instrText>
      </w:r>
      <w:r>
        <w:fldChar w:fldCharType="separate"/>
      </w:r>
      <w:r>
        <w:t>- 5 -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"_Toc26366084" </w:instrText>
      </w:r>
      <w:r>
        <w:fldChar w:fldCharType="separate"/>
      </w:r>
      <w:r>
        <w:rPr>
          <w:rStyle w:val="30"/>
          <w:rFonts w:ascii="黑体" w:hAnsi="黑体" w:eastAsia="黑体"/>
          <w:b/>
        </w:rPr>
        <w:t xml:space="preserve">1. </w:t>
      </w:r>
      <w:r>
        <w:rPr>
          <w:rStyle w:val="30"/>
          <w:rFonts w:hint="eastAsia" w:ascii="黑体" w:hAnsi="黑体" w:eastAsia="黑体"/>
          <w:b/>
        </w:rPr>
        <w:t>采购项目、标段划分、投标报价</w:t>
      </w:r>
      <w:r>
        <w:tab/>
      </w:r>
      <w:r>
        <w:fldChar w:fldCharType="begin"/>
      </w:r>
      <w:r>
        <w:instrText xml:space="preserve"> PAGEREF _Toc26366084 \h </w:instrText>
      </w:r>
      <w:r>
        <w:fldChar w:fldCharType="separate"/>
      </w:r>
      <w:r>
        <w:t>- 5 -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"_Toc26366085" </w:instrText>
      </w:r>
      <w:r>
        <w:fldChar w:fldCharType="separate"/>
      </w:r>
      <w:r>
        <w:rPr>
          <w:rStyle w:val="30"/>
          <w:rFonts w:ascii="黑体" w:hAnsi="黑体" w:eastAsia="黑体"/>
          <w:b/>
        </w:rPr>
        <w:t xml:space="preserve">2. </w:t>
      </w:r>
      <w:r>
        <w:rPr>
          <w:rStyle w:val="30"/>
          <w:rFonts w:hint="eastAsia" w:ascii="黑体" w:hAnsi="黑体" w:eastAsia="黑体"/>
          <w:b/>
        </w:rPr>
        <w:t>标段内容（范围）及基本技术要求</w:t>
      </w:r>
      <w:r>
        <w:tab/>
      </w:r>
      <w:r>
        <w:fldChar w:fldCharType="begin"/>
      </w:r>
      <w:r>
        <w:instrText xml:space="preserve"> PAGEREF _Toc26366085 \h </w:instrText>
      </w:r>
      <w:r>
        <w:fldChar w:fldCharType="separate"/>
      </w:r>
      <w:r>
        <w:t>- 5 -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"_Toc26366086" </w:instrText>
      </w:r>
      <w:r>
        <w:fldChar w:fldCharType="separate"/>
      </w:r>
      <w:r>
        <w:rPr>
          <w:rStyle w:val="30"/>
          <w:rFonts w:ascii="黑体" w:hAnsi="黑体" w:eastAsia="黑体"/>
          <w:b/>
        </w:rPr>
        <w:t xml:space="preserve">3. </w:t>
      </w:r>
      <w:r>
        <w:rPr>
          <w:rStyle w:val="30"/>
          <w:rFonts w:hint="eastAsia" w:ascii="黑体" w:hAnsi="黑体" w:eastAsia="黑体"/>
          <w:b/>
        </w:rPr>
        <w:t>售后服务的基本条款</w:t>
      </w:r>
      <w:r>
        <w:tab/>
      </w:r>
      <w:r>
        <w:fldChar w:fldCharType="begin"/>
      </w:r>
      <w:r>
        <w:instrText xml:space="preserve"> PAGEREF _Toc26366086 \h </w:instrText>
      </w:r>
      <w:r>
        <w:fldChar w:fldCharType="separate"/>
      </w:r>
      <w:r>
        <w:t>- 1</w:t>
      </w:r>
      <w:r>
        <w:rPr>
          <w:rFonts w:hint="eastAsia"/>
          <w:lang w:val="en-US" w:eastAsia="zh-CN"/>
        </w:rPr>
        <w:t>2</w:t>
      </w:r>
      <w:r>
        <w:t xml:space="preserve"> -</w:t>
      </w:r>
      <w:r>
        <w:fldChar w:fldCharType="end"/>
      </w:r>
      <w:r>
        <w:fldChar w:fldCharType="end"/>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"_Toc26366087" </w:instrText>
      </w:r>
      <w:r>
        <w:fldChar w:fldCharType="separate"/>
      </w:r>
      <w:r>
        <w:rPr>
          <w:rStyle w:val="30"/>
          <w:rFonts w:hint="eastAsia" w:eastAsia="黑体"/>
          <w:b/>
        </w:rPr>
        <w:t>第三章</w:t>
      </w:r>
      <w:r>
        <w:rPr>
          <w:rStyle w:val="30"/>
          <w:rFonts w:hint="eastAsia" w:eastAsia="黑体"/>
          <w:b/>
          <w:lang w:val="en-US" w:eastAsia="zh-CN"/>
        </w:rPr>
        <w:t xml:space="preserve"> </w:t>
      </w:r>
      <w:r>
        <w:rPr>
          <w:rStyle w:val="30"/>
          <w:rFonts w:hint="eastAsia" w:eastAsia="黑体"/>
          <w:b/>
        </w:rPr>
        <w:t>投标人须知</w:t>
      </w:r>
      <w:r>
        <w:tab/>
      </w:r>
      <w:r>
        <w:fldChar w:fldCharType="begin"/>
      </w:r>
      <w:r>
        <w:instrText xml:space="preserve"> PAGEREF _Toc26366087 \h </w:instrText>
      </w:r>
      <w:r>
        <w:fldChar w:fldCharType="separate"/>
      </w:r>
      <w:r>
        <w:t>- 1</w:t>
      </w:r>
      <w:r>
        <w:rPr>
          <w:rFonts w:hint="eastAsia"/>
          <w:lang w:val="en-US" w:eastAsia="zh-CN"/>
        </w:rPr>
        <w:t>3</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"_Toc26366088" </w:instrText>
      </w:r>
      <w:r>
        <w:fldChar w:fldCharType="separate"/>
      </w:r>
      <w:r>
        <w:rPr>
          <w:rStyle w:val="30"/>
          <w:rFonts w:hint="eastAsia" w:eastAsia="黑体"/>
          <w:b/>
        </w:rPr>
        <w:t>投标人须知前附表</w:t>
      </w:r>
      <w:r>
        <w:tab/>
      </w:r>
      <w:r>
        <w:fldChar w:fldCharType="begin"/>
      </w:r>
      <w:r>
        <w:instrText xml:space="preserve"> PAGEREF _Toc26366088 \h </w:instrText>
      </w:r>
      <w:r>
        <w:fldChar w:fldCharType="separate"/>
      </w:r>
      <w:r>
        <w:t>- 1</w:t>
      </w:r>
      <w:r>
        <w:rPr>
          <w:rFonts w:hint="eastAsia"/>
          <w:lang w:val="en-US" w:eastAsia="zh-CN"/>
        </w:rPr>
        <w:t>3</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"_Toc26366089" </w:instrText>
      </w:r>
      <w:r>
        <w:fldChar w:fldCharType="separate"/>
      </w:r>
      <w:r>
        <w:rPr>
          <w:rStyle w:val="30"/>
          <w:rFonts w:ascii="黑体" w:hAnsi="黑体" w:eastAsia="黑体" w:cs="楷体_GB2312"/>
          <w:b/>
          <w:bCs/>
          <w:lang w:val="zh-CN"/>
        </w:rPr>
        <w:t xml:space="preserve">1. </w:t>
      </w:r>
      <w:r>
        <w:rPr>
          <w:rStyle w:val="30"/>
          <w:rFonts w:hint="eastAsia" w:ascii="黑体" w:hAnsi="黑体" w:eastAsia="黑体" w:cs="楷体_GB2312"/>
          <w:b/>
          <w:bCs/>
          <w:lang w:val="zh-CN"/>
        </w:rPr>
        <w:t>总则</w:t>
      </w:r>
      <w:r>
        <w:tab/>
      </w:r>
      <w:r>
        <w:fldChar w:fldCharType="begin"/>
      </w:r>
      <w:r>
        <w:instrText xml:space="preserve"> PAGEREF _Toc26366089 \h </w:instrText>
      </w:r>
      <w:r>
        <w:fldChar w:fldCharType="separate"/>
      </w:r>
      <w:r>
        <w:t>- 1</w:t>
      </w:r>
      <w:r>
        <w:rPr>
          <w:rFonts w:hint="eastAsia"/>
          <w:lang w:val="en-US" w:eastAsia="zh-CN"/>
        </w:rPr>
        <w:t>4</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"_Toc26366090" </w:instrText>
      </w:r>
      <w:r>
        <w:fldChar w:fldCharType="separate"/>
      </w:r>
      <w:r>
        <w:rPr>
          <w:rStyle w:val="30"/>
          <w:rFonts w:ascii="黑体" w:hAnsi="黑体" w:eastAsia="黑体" w:cs="楷体_GB2312"/>
          <w:b/>
          <w:bCs/>
          <w:lang w:val="zh-CN"/>
        </w:rPr>
        <w:t xml:space="preserve">2. </w:t>
      </w:r>
      <w:r>
        <w:rPr>
          <w:rStyle w:val="30"/>
          <w:rFonts w:hint="eastAsia" w:ascii="黑体" w:hAnsi="黑体" w:eastAsia="黑体" w:cs="楷体_GB2312"/>
          <w:b/>
          <w:bCs/>
          <w:lang w:val="zh-CN"/>
        </w:rPr>
        <w:t>磋商文件</w:t>
      </w:r>
      <w:r>
        <w:tab/>
      </w:r>
      <w:r>
        <w:fldChar w:fldCharType="begin"/>
      </w:r>
      <w:r>
        <w:instrText xml:space="preserve"> PAGEREF _Toc26366090 \h </w:instrText>
      </w:r>
      <w:r>
        <w:fldChar w:fldCharType="separate"/>
      </w:r>
      <w:r>
        <w:t>- 1</w:t>
      </w:r>
      <w:r>
        <w:rPr>
          <w:rFonts w:hint="eastAsia"/>
          <w:lang w:val="en-US" w:eastAsia="zh-CN"/>
        </w:rPr>
        <w:t>7</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"_Toc26366091" </w:instrText>
      </w:r>
      <w:r>
        <w:fldChar w:fldCharType="separate"/>
      </w:r>
      <w:r>
        <w:rPr>
          <w:rStyle w:val="30"/>
          <w:rFonts w:ascii="黑体" w:hAnsi="黑体" w:eastAsia="黑体" w:cs="楷体_GB2312"/>
          <w:b/>
          <w:bCs/>
          <w:lang w:val="zh-CN"/>
        </w:rPr>
        <w:t xml:space="preserve">3. </w:t>
      </w:r>
      <w:r>
        <w:rPr>
          <w:rStyle w:val="30"/>
          <w:rFonts w:hint="eastAsia" w:ascii="黑体" w:hAnsi="黑体" w:eastAsia="黑体" w:cs="楷体_GB2312"/>
          <w:b/>
          <w:bCs/>
          <w:lang w:val="zh-CN"/>
        </w:rPr>
        <w:t>投标文件（响应文件）</w:t>
      </w:r>
      <w:r>
        <w:tab/>
      </w:r>
      <w:r>
        <w:fldChar w:fldCharType="begin"/>
      </w:r>
      <w:r>
        <w:instrText xml:space="preserve"> PAGEREF _Toc26366091 \h </w:instrText>
      </w:r>
      <w:r>
        <w:fldChar w:fldCharType="separate"/>
      </w:r>
      <w:r>
        <w:t>- 1</w:t>
      </w:r>
      <w:r>
        <w:rPr>
          <w:rFonts w:hint="eastAsia"/>
          <w:lang w:val="en-US" w:eastAsia="zh-CN"/>
        </w:rPr>
        <w:t>8</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"_Toc26366092" </w:instrText>
      </w:r>
      <w:r>
        <w:fldChar w:fldCharType="separate"/>
      </w:r>
      <w:r>
        <w:rPr>
          <w:rStyle w:val="30"/>
          <w:rFonts w:ascii="黑体" w:hAnsi="黑体" w:eastAsia="黑体" w:cs="楷体_GB2312"/>
          <w:b/>
          <w:bCs/>
          <w:lang w:val="zh-CN"/>
        </w:rPr>
        <w:t xml:space="preserve">4. </w:t>
      </w:r>
      <w:r>
        <w:rPr>
          <w:rStyle w:val="30"/>
          <w:rFonts w:hint="eastAsia" w:ascii="黑体" w:hAnsi="黑体" w:eastAsia="黑体" w:cs="楷体_GB2312"/>
          <w:b/>
          <w:bCs/>
          <w:lang w:val="zh-CN"/>
        </w:rPr>
        <w:t>投标（响应文件的递交）</w:t>
      </w:r>
      <w:r>
        <w:tab/>
      </w:r>
      <w:r>
        <w:fldChar w:fldCharType="begin"/>
      </w:r>
      <w:r>
        <w:instrText xml:space="preserve"> PAGEREF _Toc26366092 \h </w:instrText>
      </w:r>
      <w:r>
        <w:fldChar w:fldCharType="separate"/>
      </w:r>
      <w:r>
        <w:t>- 2</w:t>
      </w:r>
      <w:r>
        <w:rPr>
          <w:rFonts w:hint="eastAsia"/>
          <w:lang w:val="en-US" w:eastAsia="zh-CN"/>
        </w:rPr>
        <w:t>0</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"_Toc26366093" </w:instrText>
      </w:r>
      <w:r>
        <w:fldChar w:fldCharType="separate"/>
      </w:r>
      <w:r>
        <w:rPr>
          <w:rStyle w:val="30"/>
          <w:rFonts w:ascii="黑体" w:hAnsi="黑体" w:eastAsia="黑体" w:cs="楷体_GB2312"/>
          <w:b/>
          <w:bCs/>
          <w:lang w:val="zh-CN"/>
        </w:rPr>
        <w:t xml:space="preserve">5. </w:t>
      </w:r>
      <w:r>
        <w:rPr>
          <w:rStyle w:val="30"/>
          <w:rFonts w:hint="eastAsia" w:ascii="黑体" w:hAnsi="黑体" w:eastAsia="黑体" w:cs="楷体_GB2312"/>
          <w:b/>
          <w:bCs/>
          <w:lang w:val="zh-CN"/>
        </w:rPr>
        <w:t>开标（响应文件的开启）</w:t>
      </w:r>
      <w:r>
        <w:tab/>
      </w:r>
      <w:r>
        <w:fldChar w:fldCharType="begin"/>
      </w:r>
      <w:r>
        <w:instrText xml:space="preserve"> PAGEREF _Toc26366093 \h </w:instrText>
      </w:r>
      <w:r>
        <w:fldChar w:fldCharType="separate"/>
      </w:r>
      <w:r>
        <w:t>- 2</w:t>
      </w:r>
      <w:r>
        <w:rPr>
          <w:rFonts w:hint="eastAsia"/>
          <w:lang w:val="en-US" w:eastAsia="zh-CN"/>
        </w:rPr>
        <w:t>1</w:t>
      </w:r>
      <w:r>
        <w:t>-</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"_Toc26366094" </w:instrText>
      </w:r>
      <w:r>
        <w:fldChar w:fldCharType="separate"/>
      </w:r>
      <w:r>
        <w:rPr>
          <w:rStyle w:val="30"/>
          <w:rFonts w:ascii="黑体" w:hAnsi="黑体" w:eastAsia="黑体" w:cs="楷体_GB2312"/>
          <w:b/>
          <w:bCs/>
          <w:lang w:val="zh-CN"/>
        </w:rPr>
        <w:t xml:space="preserve">6. </w:t>
      </w:r>
      <w:r>
        <w:rPr>
          <w:rStyle w:val="30"/>
          <w:rFonts w:hint="eastAsia" w:ascii="黑体" w:hAnsi="黑体" w:eastAsia="黑体" w:cs="楷体_GB2312"/>
          <w:b/>
          <w:bCs/>
          <w:lang w:val="zh-CN"/>
        </w:rPr>
        <w:t>评审</w:t>
      </w:r>
      <w:r>
        <w:tab/>
      </w:r>
      <w:r>
        <w:fldChar w:fldCharType="begin"/>
      </w:r>
      <w:r>
        <w:instrText xml:space="preserve"> PAGEREF _Toc26366094 \h </w:instrText>
      </w:r>
      <w:r>
        <w:fldChar w:fldCharType="separate"/>
      </w:r>
      <w:r>
        <w:t>- 2</w:t>
      </w:r>
      <w:r>
        <w:rPr>
          <w:rFonts w:hint="eastAsia"/>
          <w:lang w:val="en-US" w:eastAsia="zh-CN"/>
        </w:rPr>
        <w:t>2</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"_Toc26366095" </w:instrText>
      </w:r>
      <w:r>
        <w:fldChar w:fldCharType="separate"/>
      </w:r>
      <w:r>
        <w:rPr>
          <w:rStyle w:val="30"/>
          <w:rFonts w:ascii="黑体" w:hAnsi="黑体" w:eastAsia="黑体" w:cs="楷体_GB2312"/>
          <w:b/>
          <w:bCs/>
          <w:lang w:val="zh-CN"/>
        </w:rPr>
        <w:t xml:space="preserve">7. </w:t>
      </w:r>
      <w:r>
        <w:rPr>
          <w:rStyle w:val="30"/>
          <w:rFonts w:hint="eastAsia" w:ascii="黑体" w:hAnsi="黑体" w:eastAsia="黑体" w:cs="楷体_GB2312"/>
          <w:b/>
          <w:bCs/>
          <w:lang w:val="zh-CN"/>
        </w:rPr>
        <w:t>授予合同</w:t>
      </w:r>
      <w:r>
        <w:tab/>
      </w:r>
      <w:r>
        <w:fldChar w:fldCharType="begin"/>
      </w:r>
      <w:r>
        <w:instrText xml:space="preserve"> PAGEREF _Toc26366095 \h </w:instrText>
      </w:r>
      <w:r>
        <w:fldChar w:fldCharType="separate"/>
      </w:r>
      <w:r>
        <w:t>- 2</w:t>
      </w:r>
      <w:r>
        <w:rPr>
          <w:rFonts w:hint="eastAsia"/>
          <w:lang w:val="en-US" w:eastAsia="zh-CN"/>
        </w:rPr>
        <w:t>2</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"_Toc26366096" </w:instrText>
      </w:r>
      <w:r>
        <w:fldChar w:fldCharType="separate"/>
      </w:r>
      <w:r>
        <w:rPr>
          <w:rStyle w:val="30"/>
          <w:rFonts w:ascii="黑体" w:hAnsi="黑体" w:eastAsia="黑体" w:cs="楷体_GB2312"/>
          <w:b/>
          <w:bCs/>
          <w:lang w:val="zh-CN"/>
        </w:rPr>
        <w:t xml:space="preserve">8. </w:t>
      </w:r>
      <w:r>
        <w:rPr>
          <w:rStyle w:val="30"/>
          <w:rFonts w:hint="eastAsia" w:ascii="黑体" w:hAnsi="黑体" w:eastAsia="黑体" w:cs="楷体_GB2312"/>
          <w:b/>
          <w:bCs/>
          <w:lang w:val="zh-CN"/>
        </w:rPr>
        <w:t>验收</w:t>
      </w:r>
      <w:r>
        <w:tab/>
      </w:r>
      <w:r>
        <w:fldChar w:fldCharType="begin"/>
      </w:r>
      <w:r>
        <w:instrText xml:space="preserve"> PAGEREF _Toc26366096 \h </w:instrText>
      </w:r>
      <w:r>
        <w:fldChar w:fldCharType="separate"/>
      </w:r>
      <w:r>
        <w:t>- 2</w:t>
      </w:r>
      <w:r>
        <w:rPr>
          <w:rFonts w:hint="eastAsia"/>
          <w:lang w:val="en-US" w:eastAsia="zh-CN"/>
        </w:rPr>
        <w:t>3</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"_Toc26366097" </w:instrText>
      </w:r>
      <w:r>
        <w:fldChar w:fldCharType="separate"/>
      </w:r>
      <w:r>
        <w:rPr>
          <w:rStyle w:val="30"/>
          <w:rFonts w:ascii="黑体" w:hAnsi="黑体" w:eastAsia="黑体" w:cs="楷体_GB2312"/>
          <w:b/>
          <w:bCs/>
          <w:lang w:val="zh-CN"/>
        </w:rPr>
        <w:t>9.</w:t>
      </w:r>
      <w:r>
        <w:rPr>
          <w:rStyle w:val="30"/>
          <w:rFonts w:hint="eastAsia" w:ascii="黑体" w:hAnsi="黑体" w:eastAsia="黑体" w:cs="楷体_GB2312"/>
          <w:b/>
          <w:bCs/>
          <w:lang w:val="zh-CN"/>
        </w:rPr>
        <w:t>付款</w:t>
      </w:r>
      <w:r>
        <w:tab/>
      </w:r>
      <w:r>
        <w:fldChar w:fldCharType="begin"/>
      </w:r>
      <w:r>
        <w:instrText xml:space="preserve"> PAGEREF _Toc26366097 \h </w:instrText>
      </w:r>
      <w:r>
        <w:fldChar w:fldCharType="separate"/>
      </w:r>
      <w:r>
        <w:t>- 2</w:t>
      </w:r>
      <w:r>
        <w:rPr>
          <w:rFonts w:hint="eastAsia"/>
          <w:lang w:val="en-US" w:eastAsia="zh-CN"/>
        </w:rPr>
        <w:t>4</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"_Toc26366098" </w:instrText>
      </w:r>
      <w:r>
        <w:fldChar w:fldCharType="separate"/>
      </w:r>
      <w:r>
        <w:rPr>
          <w:rStyle w:val="30"/>
          <w:rFonts w:ascii="黑体" w:hAnsi="黑体" w:eastAsia="黑体" w:cs="楷体_GB2312"/>
          <w:b/>
          <w:bCs/>
          <w:lang w:val="zh-CN"/>
        </w:rPr>
        <w:t xml:space="preserve">10. </w:t>
      </w:r>
      <w:r>
        <w:rPr>
          <w:rStyle w:val="30"/>
          <w:rFonts w:hint="eastAsia" w:ascii="黑体" w:hAnsi="黑体" w:eastAsia="黑体" w:cs="楷体_GB2312"/>
          <w:b/>
          <w:bCs/>
          <w:lang w:val="zh-CN"/>
        </w:rPr>
        <w:t>其他</w:t>
      </w:r>
      <w:r>
        <w:tab/>
      </w:r>
      <w:r>
        <w:fldChar w:fldCharType="begin"/>
      </w:r>
      <w:r>
        <w:instrText xml:space="preserve"> PAGEREF _Toc26366098 \h </w:instrText>
      </w:r>
      <w:r>
        <w:fldChar w:fldCharType="separate"/>
      </w:r>
      <w:r>
        <w:t>- 2</w:t>
      </w:r>
      <w:r>
        <w:rPr>
          <w:rFonts w:hint="eastAsia"/>
          <w:lang w:val="en-US" w:eastAsia="zh-CN"/>
        </w:rPr>
        <w:t>4</w:t>
      </w:r>
      <w:r>
        <w:t>-</w:t>
      </w:r>
      <w:r>
        <w:fldChar w:fldCharType="end"/>
      </w:r>
      <w:r>
        <w:fldChar w:fldCharType="end"/>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"_Toc26366099" </w:instrText>
      </w:r>
      <w:r>
        <w:fldChar w:fldCharType="separate"/>
      </w:r>
      <w:r>
        <w:rPr>
          <w:rStyle w:val="30"/>
          <w:rFonts w:hint="eastAsia" w:ascii="黑体" w:hAnsi="黑体" w:eastAsia="黑体"/>
          <w:b/>
          <w:lang w:val="zh-CN"/>
        </w:rPr>
        <w:t>第四章</w:t>
      </w:r>
      <w:r>
        <w:rPr>
          <w:rStyle w:val="30"/>
          <w:rFonts w:hint="eastAsia" w:ascii="黑体" w:hAnsi="黑体" w:eastAsia="黑体"/>
          <w:b/>
          <w:lang w:val="en-US" w:eastAsia="zh-CN"/>
        </w:rPr>
        <w:t xml:space="preserve"> </w:t>
      </w:r>
      <w:r>
        <w:rPr>
          <w:rStyle w:val="30"/>
          <w:rFonts w:hint="eastAsia" w:ascii="黑体" w:hAnsi="黑体" w:eastAsia="黑体"/>
          <w:b/>
          <w:lang w:val="zh-CN"/>
        </w:rPr>
        <w:t>评审办法</w:t>
      </w:r>
      <w:r>
        <w:tab/>
      </w:r>
      <w:r>
        <w:fldChar w:fldCharType="begin"/>
      </w:r>
      <w:r>
        <w:instrText xml:space="preserve"> PAGEREF _Toc26366099 \h </w:instrText>
      </w:r>
      <w:r>
        <w:fldChar w:fldCharType="separate"/>
      </w:r>
      <w:r>
        <w:t>- 2</w:t>
      </w:r>
      <w:r>
        <w:rPr>
          <w:rFonts w:hint="eastAsia"/>
          <w:lang w:val="en-US" w:eastAsia="zh-CN"/>
        </w:rPr>
        <w:t>5</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"_Toc26366100" </w:instrText>
      </w:r>
      <w:r>
        <w:fldChar w:fldCharType="separate"/>
      </w:r>
      <w:r>
        <w:rPr>
          <w:rStyle w:val="30"/>
          <w:rFonts w:hint="eastAsia" w:ascii="黑体" w:hAnsi="黑体" w:eastAsia="黑体"/>
          <w:b/>
        </w:rPr>
        <w:t>评审办法前附表</w:t>
      </w:r>
      <w:r>
        <w:tab/>
      </w:r>
      <w:r>
        <w:fldChar w:fldCharType="begin"/>
      </w:r>
      <w:r>
        <w:instrText xml:space="preserve"> PAGEREF _Toc26366100 \h </w:instrText>
      </w:r>
      <w:r>
        <w:fldChar w:fldCharType="separate"/>
      </w:r>
      <w:r>
        <w:t>- 2</w:t>
      </w:r>
      <w:r>
        <w:rPr>
          <w:rFonts w:hint="eastAsia"/>
          <w:lang w:val="en-US" w:eastAsia="zh-CN"/>
        </w:rPr>
        <w:t>5</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"_Toc26366101" </w:instrText>
      </w:r>
      <w:r>
        <w:fldChar w:fldCharType="separate"/>
      </w:r>
      <w:r>
        <w:rPr>
          <w:rStyle w:val="30"/>
          <w:rFonts w:ascii="黑体" w:hAnsi="黑体" w:eastAsia="黑体" w:cs="楷体_GB2312"/>
          <w:b/>
          <w:bCs/>
          <w:lang w:val="zh-CN"/>
        </w:rPr>
        <w:t xml:space="preserve">1. </w:t>
      </w:r>
      <w:r>
        <w:rPr>
          <w:rStyle w:val="30"/>
          <w:rFonts w:hint="eastAsia" w:ascii="黑体" w:hAnsi="黑体" w:eastAsia="黑体" w:cs="楷体_GB2312"/>
          <w:b/>
          <w:bCs/>
          <w:lang w:val="zh-CN"/>
        </w:rPr>
        <w:t>评审方法（评定成交的标准）</w:t>
      </w:r>
      <w:r>
        <w:tab/>
      </w:r>
      <w:r>
        <w:fldChar w:fldCharType="begin"/>
      </w:r>
      <w:r>
        <w:instrText xml:space="preserve"> PAGEREF _Toc26366101 \h </w:instrText>
      </w:r>
      <w:r>
        <w:fldChar w:fldCharType="separate"/>
      </w:r>
      <w:r>
        <w:t>- 2</w:t>
      </w:r>
      <w:r>
        <w:rPr>
          <w:rFonts w:hint="eastAsia"/>
          <w:lang w:val="en-US" w:eastAsia="zh-CN"/>
        </w:rPr>
        <w:t>7</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"_Toc26366102" </w:instrText>
      </w:r>
      <w:r>
        <w:fldChar w:fldCharType="separate"/>
      </w:r>
      <w:r>
        <w:rPr>
          <w:rStyle w:val="30"/>
          <w:rFonts w:ascii="黑体" w:hAnsi="黑体" w:eastAsia="黑体" w:cs="楷体_GB2312"/>
          <w:b/>
          <w:bCs/>
          <w:lang w:val="zh-CN"/>
        </w:rPr>
        <w:t xml:space="preserve">2. </w:t>
      </w:r>
      <w:r>
        <w:rPr>
          <w:rStyle w:val="30"/>
          <w:rFonts w:hint="eastAsia" w:ascii="黑体" w:hAnsi="黑体" w:eastAsia="黑体" w:cs="楷体_GB2312"/>
          <w:b/>
          <w:bCs/>
          <w:lang w:val="zh-CN"/>
        </w:rPr>
        <w:t>评审标准</w:t>
      </w:r>
      <w:r>
        <w:tab/>
      </w:r>
      <w:r>
        <w:fldChar w:fldCharType="begin"/>
      </w:r>
      <w:r>
        <w:instrText xml:space="preserve"> PAGEREF _Toc26366102 \h </w:instrText>
      </w:r>
      <w:r>
        <w:fldChar w:fldCharType="separate"/>
      </w:r>
      <w:r>
        <w:t>-</w:t>
      </w:r>
      <w:r>
        <w:rPr>
          <w:rFonts w:hint="eastAsia"/>
          <w:lang w:val="en-US" w:eastAsia="zh-CN"/>
        </w:rPr>
        <w:t>27</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"_Toc26366103" </w:instrText>
      </w:r>
      <w:r>
        <w:fldChar w:fldCharType="separate"/>
      </w:r>
      <w:r>
        <w:rPr>
          <w:rStyle w:val="30"/>
          <w:rFonts w:ascii="黑体" w:hAnsi="黑体" w:eastAsia="黑体" w:cs="楷体_GB2312"/>
          <w:b/>
          <w:bCs/>
          <w:lang w:val="zh-CN"/>
        </w:rPr>
        <w:t xml:space="preserve">3. </w:t>
      </w:r>
      <w:r>
        <w:rPr>
          <w:rStyle w:val="30"/>
          <w:rFonts w:hint="eastAsia" w:ascii="黑体" w:hAnsi="黑体" w:eastAsia="黑体" w:cs="楷体_GB2312"/>
          <w:b/>
          <w:bCs/>
          <w:lang w:val="zh-CN"/>
        </w:rPr>
        <w:t>评审程序</w:t>
      </w:r>
      <w:r>
        <w:tab/>
      </w:r>
      <w:r>
        <w:fldChar w:fldCharType="begin"/>
      </w:r>
      <w:r>
        <w:instrText xml:space="preserve"> PAGEREF _Toc26366103 \h </w:instrText>
      </w:r>
      <w:r>
        <w:fldChar w:fldCharType="separate"/>
      </w:r>
      <w:r>
        <w:t>- 2</w:t>
      </w:r>
      <w:r>
        <w:rPr>
          <w:rFonts w:hint="eastAsia"/>
          <w:lang w:val="en-US" w:eastAsia="zh-CN"/>
        </w:rPr>
        <w:t>7</w:t>
      </w:r>
      <w:r>
        <w:t xml:space="preserve"> -</w:t>
      </w:r>
      <w:r>
        <w:fldChar w:fldCharType="end"/>
      </w:r>
      <w:r>
        <w:fldChar w:fldCharType="end"/>
      </w:r>
    </w:p>
    <w:p>
      <w:pPr>
        <w:pStyle w:val="18"/>
        <w:tabs>
          <w:tab w:val="right" w:leader="dot" w:pos="9371"/>
        </w:tabs>
      </w:pPr>
      <w:r>
        <w:fldChar w:fldCharType="begin"/>
      </w:r>
      <w:r>
        <w:instrText xml:space="preserve"> HYPERLINK \l "_Toc26366104" </w:instrText>
      </w:r>
      <w:r>
        <w:fldChar w:fldCharType="separate"/>
      </w:r>
      <w:r>
        <w:rPr>
          <w:rStyle w:val="30"/>
          <w:rFonts w:ascii="黑体" w:hAnsi="黑体" w:eastAsia="黑体" w:cs="楷体_GB2312"/>
          <w:b/>
          <w:bCs/>
          <w:lang w:val="zh-CN"/>
        </w:rPr>
        <w:t xml:space="preserve">4. </w:t>
      </w:r>
      <w:r>
        <w:rPr>
          <w:rStyle w:val="30"/>
          <w:rFonts w:hint="eastAsia" w:ascii="黑体" w:hAnsi="黑体" w:eastAsia="黑体" w:cs="楷体_GB2312"/>
          <w:b/>
          <w:bCs/>
          <w:lang w:val="zh-CN"/>
        </w:rPr>
        <w:t>政府采购促进中小企业发展扶持政策</w:t>
      </w:r>
      <w:r>
        <w:tab/>
      </w:r>
      <w:r>
        <w:fldChar w:fldCharType="begin"/>
      </w:r>
      <w:r>
        <w:instrText xml:space="preserve"> PAGEREF _Toc26366104 \h </w:instrText>
      </w:r>
      <w:r>
        <w:fldChar w:fldCharType="separate"/>
      </w:r>
      <w:r>
        <w:t>- 3</w:t>
      </w:r>
      <w:r>
        <w:rPr>
          <w:rFonts w:hint="eastAsia"/>
          <w:lang w:val="en-US" w:eastAsia="zh-CN"/>
        </w:rPr>
        <w:t>0</w:t>
      </w:r>
      <w:r>
        <w:t xml:space="preserve"> -</w:t>
      </w:r>
      <w:r>
        <w:fldChar w:fldCharType="end"/>
      </w:r>
      <w:r>
        <w:fldChar w:fldCharType="end"/>
      </w:r>
    </w:p>
    <w:p>
      <w:pPr>
        <w:jc w:val="left"/>
        <w:rPr>
          <w:rStyle w:val="30"/>
          <w:rFonts w:ascii="黑体" w:hAnsi="黑体" w:eastAsia="黑体"/>
          <w:b/>
          <w:color w:val="auto"/>
        </w:rPr>
      </w:pPr>
      <w:r>
        <w:rPr>
          <w:rStyle w:val="30"/>
          <w:rFonts w:ascii="黑体" w:hAnsi="黑体" w:eastAsia="黑体"/>
          <w:b/>
          <w:color w:val="auto"/>
          <w:lang w:val="zh-CN"/>
        </w:rPr>
        <w:t>第五章</w:t>
      </w:r>
      <w:r>
        <w:rPr>
          <w:rStyle w:val="30"/>
          <w:rFonts w:hint="eastAsia" w:ascii="黑体" w:hAnsi="黑体" w:eastAsia="黑体"/>
          <w:b/>
          <w:color w:val="auto"/>
          <w:lang w:val="en-US" w:eastAsia="zh-CN"/>
        </w:rPr>
        <w:t xml:space="preserve"> </w:t>
      </w:r>
      <w:r>
        <w:rPr>
          <w:rStyle w:val="30"/>
          <w:rFonts w:ascii="黑体" w:hAnsi="黑体" w:eastAsia="黑体"/>
          <w:b/>
          <w:color w:val="auto"/>
          <w:lang w:val="zh-CN"/>
        </w:rPr>
        <w:t>合同</w:t>
      </w:r>
      <w:r>
        <w:rPr>
          <w:rStyle w:val="30"/>
          <w:rFonts w:hint="eastAsia" w:ascii="黑体" w:hAnsi="黑体" w:eastAsia="黑体"/>
          <w:b/>
          <w:color w:val="auto"/>
          <w:lang w:val="zh-CN"/>
        </w:rPr>
        <w:t>条款及格式</w:t>
      </w:r>
      <w:r>
        <w:rPr>
          <w:rStyle w:val="30"/>
          <w:rFonts w:hint="eastAsia" w:ascii="黑体" w:hAnsi="黑体" w:eastAsia="黑体"/>
          <w:b/>
          <w:color w:val="auto"/>
        </w:rPr>
        <w:t>.............................................................</w:t>
      </w:r>
      <w:r>
        <w:rPr>
          <w:rStyle w:val="30"/>
          <w:rFonts w:hint="eastAsia" w:ascii="黑体" w:hAnsi="黑体" w:eastAsia="黑体"/>
          <w:bCs/>
          <w:color w:val="auto"/>
        </w:rPr>
        <w:t>..-</w:t>
      </w:r>
      <w:r>
        <w:rPr>
          <w:rStyle w:val="30"/>
          <w:rFonts w:eastAsia="黑体"/>
          <w:bCs/>
          <w:color w:val="auto"/>
        </w:rPr>
        <w:t>3</w:t>
      </w:r>
      <w:r>
        <w:rPr>
          <w:rStyle w:val="30"/>
          <w:rFonts w:hint="eastAsia" w:eastAsia="黑体"/>
          <w:bCs/>
          <w:color w:val="auto"/>
          <w:lang w:val="en-US" w:eastAsia="zh-CN"/>
        </w:rPr>
        <w:t>3</w:t>
      </w:r>
      <w:r>
        <w:rPr>
          <w:rStyle w:val="30"/>
          <w:rFonts w:hint="eastAsia" w:ascii="黑体" w:hAnsi="黑体" w:eastAsia="黑体"/>
          <w:bCs/>
          <w:color w:val="auto"/>
        </w:rPr>
        <w:t>-</w:t>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"_Toc26366105" </w:instrText>
      </w:r>
      <w:r>
        <w:fldChar w:fldCharType="separate"/>
      </w:r>
      <w:r>
        <w:rPr>
          <w:rStyle w:val="30"/>
          <w:rFonts w:hint="eastAsia" w:ascii="黑体" w:hAnsi="黑体" w:eastAsia="黑体"/>
          <w:b/>
          <w:lang w:val="zh-CN"/>
        </w:rPr>
        <w:t>第六章</w:t>
      </w:r>
      <w:r>
        <w:rPr>
          <w:rStyle w:val="30"/>
          <w:rFonts w:hint="eastAsia" w:ascii="黑体" w:hAnsi="黑体" w:eastAsia="黑体"/>
          <w:b/>
          <w:lang w:val="en-US" w:eastAsia="zh-CN"/>
        </w:rPr>
        <w:t xml:space="preserve"> </w:t>
      </w:r>
      <w:r>
        <w:rPr>
          <w:rStyle w:val="30"/>
          <w:rFonts w:hint="eastAsia" w:ascii="黑体" w:hAnsi="黑体" w:eastAsia="黑体"/>
          <w:b/>
          <w:lang w:val="zh-CN"/>
        </w:rPr>
        <w:t>投标文件格式</w:t>
      </w:r>
      <w:r>
        <w:tab/>
      </w:r>
      <w:r>
        <w:fldChar w:fldCharType="begin"/>
      </w:r>
      <w:r>
        <w:instrText xml:space="preserve"> PAGEREF _Toc26366105 \h </w:instrText>
      </w:r>
      <w:r>
        <w:fldChar w:fldCharType="separate"/>
      </w:r>
      <w:r>
        <w:t>- 3</w:t>
      </w:r>
      <w:r>
        <w:rPr>
          <w:rFonts w:hint="eastAsia"/>
          <w:lang w:val="en-US" w:eastAsia="zh-CN"/>
        </w:rPr>
        <w:t>6</w:t>
      </w:r>
      <w:r>
        <w:t>-</w:t>
      </w:r>
      <w:r>
        <w:fldChar w:fldCharType="end"/>
      </w:r>
      <w:r>
        <w:fldChar w:fldCharType="end"/>
      </w:r>
    </w:p>
    <w:p>
      <w:pPr>
        <w:spacing w:line="480" w:lineRule="auto"/>
        <w:rPr>
          <w:color w:val="000000" w:themeColor="text1"/>
        </w:rPr>
      </w:pPr>
      <w:r>
        <w:rPr>
          <w:color w:val="000000" w:themeColor="text1"/>
          <w:sz w:val="36"/>
          <w:szCs w:val="32"/>
        </w:rPr>
        <w:fldChar w:fldCharType="end"/>
      </w:r>
    </w:p>
    <w:p>
      <w:pPr>
        <w:widowControl w:val="0"/>
        <w:snapToGrid w:val="0"/>
        <w:spacing w:line="660" w:lineRule="exact"/>
        <w:ind w:firstLine="607" w:firstLineChars="168"/>
        <w:rPr>
          <w:rFonts w:ascii="黑体" w:hAnsi="黑体" w:eastAsia="黑体"/>
          <w:b/>
          <w:color w:val="000000" w:themeColor="text1"/>
          <w:sz w:val="36"/>
          <w:szCs w:val="36"/>
        </w:rPr>
      </w:pPr>
    </w:p>
    <w:p>
      <w:pPr>
        <w:widowControl w:val="0"/>
        <w:snapToGrid w:val="0"/>
        <w:spacing w:line="560" w:lineRule="exact"/>
        <w:ind w:firstLine="181" w:firstLineChars="50"/>
        <w:rPr>
          <w:rFonts w:ascii="黑体" w:eastAsia="黑体"/>
          <w:b/>
          <w:color w:val="000000" w:themeColor="text1"/>
          <w:sz w:val="36"/>
          <w:szCs w:val="36"/>
        </w:rPr>
        <w:sectPr>
          <w:footerReference r:id="rId11" w:type="first"/>
          <w:footerReference r:id="rId10" w:type="default"/>
          <w:pgSz w:w="11905" w:h="16837"/>
          <w:pgMar w:top="1418" w:right="1106" w:bottom="1418" w:left="1418" w:header="567" w:footer="567" w:gutter="0"/>
          <w:pgNumType w:fmt="numberInDash" w:start="1"/>
          <w:cols w:space="720" w:num="1"/>
          <w:titlePg/>
        </w:sectPr>
      </w:pPr>
    </w:p>
    <w:p>
      <w:pPr>
        <w:widowControl w:val="0"/>
        <w:snapToGrid w:val="0"/>
        <w:spacing w:line="560" w:lineRule="exact"/>
        <w:jc w:val="center"/>
        <w:outlineLvl w:val="0"/>
        <w:rPr>
          <w:rFonts w:eastAsia="黑体"/>
          <w:b/>
          <w:color w:val="auto"/>
          <w:sz w:val="36"/>
          <w:szCs w:val="36"/>
        </w:rPr>
      </w:pPr>
      <w:bookmarkStart w:id="0" w:name="_Toc2202"/>
      <w:bookmarkStart w:id="1" w:name="_Toc26366082"/>
      <w:r>
        <w:rPr>
          <w:rFonts w:hint="eastAsia" w:eastAsia="黑体"/>
          <w:b/>
          <w:color w:val="auto"/>
          <w:sz w:val="36"/>
          <w:szCs w:val="36"/>
        </w:rPr>
        <w:t>第一章</w:t>
      </w:r>
      <w:r>
        <w:rPr>
          <w:rFonts w:hint="eastAsia" w:eastAsia="黑体"/>
          <w:b/>
          <w:color w:val="auto"/>
          <w:sz w:val="36"/>
          <w:szCs w:val="36"/>
          <w:lang w:val="en-US" w:eastAsia="zh-CN"/>
        </w:rPr>
        <w:t xml:space="preserve">  </w:t>
      </w:r>
      <w:r>
        <w:rPr>
          <w:rFonts w:hint="eastAsia" w:eastAsia="黑体"/>
          <w:b/>
          <w:color w:val="auto"/>
          <w:sz w:val="36"/>
          <w:szCs w:val="36"/>
        </w:rPr>
        <w:t>竞争性磋商公告</w:t>
      </w:r>
      <w:bookmarkEnd w:id="0"/>
      <w:bookmarkEnd w:id="1"/>
    </w:p>
    <w:p>
      <w:pPr>
        <w:widowControl w:val="0"/>
        <w:snapToGrid w:val="0"/>
        <w:spacing w:line="308" w:lineRule="exact"/>
        <w:ind w:firstLine="540" w:firstLineChars="225"/>
        <w:rPr>
          <w:color w:val="auto"/>
          <w:sz w:val="24"/>
          <w:szCs w:val="24"/>
        </w:rPr>
      </w:pPr>
      <w:r>
        <w:rPr>
          <w:rFonts w:hint="eastAsia"/>
          <w:color w:val="auto"/>
          <w:sz w:val="24"/>
          <w:szCs w:val="24"/>
        </w:rPr>
        <w:t>安阳市文化广电体育旅游局安阳市2023年全民健身器材采购项目招标项目的潜在投标人应在安阳市公共资源交易中心网站（http://ggzy.anyang.gov.cn/），数字证书点击【投标用户入口】登录系统，获取磋商文件及其他资料，此为获取磋商文件的唯一途径；获取招标文件，并于2023年12月04日09时00分（北京时间）前递交响应文件。</w:t>
      </w:r>
    </w:p>
    <w:p>
      <w:pPr>
        <w:widowControl w:val="0"/>
        <w:tabs>
          <w:tab w:val="left" w:pos="39"/>
          <w:tab w:val="left" w:pos="96"/>
        </w:tabs>
        <w:snapToGrid w:val="0"/>
        <w:spacing w:line="308" w:lineRule="exact"/>
        <w:rPr>
          <w:rFonts w:ascii="宋体" w:hAnsi="宋体"/>
          <w:b/>
          <w:color w:val="000000" w:themeColor="text1"/>
          <w:sz w:val="24"/>
          <w:szCs w:val="24"/>
        </w:rPr>
      </w:pPr>
      <w:r>
        <w:rPr>
          <w:rFonts w:hint="eastAsia" w:ascii="宋体" w:hAnsi="宋体"/>
          <w:b/>
          <w:color w:val="000000" w:themeColor="text1"/>
          <w:sz w:val="24"/>
          <w:szCs w:val="24"/>
        </w:rPr>
        <w:t>一、项目基本情况</w:t>
      </w:r>
    </w:p>
    <w:p>
      <w:pPr>
        <w:widowControl w:val="0"/>
        <w:tabs>
          <w:tab w:val="left" w:pos="39"/>
          <w:tab w:val="left" w:pos="96"/>
        </w:tabs>
        <w:snapToGrid w:val="0"/>
        <w:spacing w:line="308" w:lineRule="exact"/>
        <w:ind w:firstLine="540" w:firstLineChars="225"/>
        <w:rPr>
          <w:rFonts w:ascii="宋体" w:hAnsi="宋体"/>
          <w:bCs/>
          <w:color w:val="auto"/>
          <w:sz w:val="28"/>
          <w:szCs w:val="28"/>
        </w:rPr>
      </w:pPr>
      <w:r>
        <w:rPr>
          <w:rFonts w:hint="eastAsia" w:ascii="宋体" w:hAnsi="宋体"/>
          <w:bCs/>
          <w:color w:val="auto"/>
          <w:sz w:val="24"/>
          <w:szCs w:val="24"/>
        </w:rPr>
        <w:t>1、项目编号：</w:t>
      </w:r>
      <w:r>
        <w:rPr>
          <w:rFonts w:hint="eastAsia" w:ascii="宋体" w:hAnsi="宋体"/>
          <w:bCs/>
          <w:color w:val="auto"/>
          <w:sz w:val="24"/>
          <w:szCs w:val="24"/>
          <w:lang w:eastAsia="zh-CN"/>
        </w:rPr>
        <w:t>安财磋商采购</w:t>
      </w:r>
      <w:r>
        <w:rPr>
          <w:rFonts w:hint="eastAsia" w:ascii="宋体" w:hAnsi="宋体"/>
          <w:bCs/>
          <w:color w:val="auto"/>
          <w:sz w:val="24"/>
          <w:szCs w:val="24"/>
          <w:lang w:val="en-US" w:eastAsia="zh-CN"/>
        </w:rPr>
        <w:t>-2023-80</w:t>
      </w:r>
    </w:p>
    <w:p>
      <w:pPr>
        <w:widowControl w:val="0"/>
        <w:tabs>
          <w:tab w:val="left" w:pos="39"/>
          <w:tab w:val="left" w:pos="96"/>
        </w:tabs>
        <w:snapToGrid w:val="0"/>
        <w:spacing w:line="308" w:lineRule="exact"/>
        <w:ind w:firstLine="540" w:firstLineChars="225"/>
        <w:rPr>
          <w:color w:val="auto"/>
          <w:sz w:val="24"/>
          <w:szCs w:val="24"/>
        </w:rPr>
      </w:pPr>
      <w:r>
        <w:rPr>
          <w:rFonts w:hint="eastAsia" w:ascii="宋体" w:hAnsi="宋体"/>
          <w:bCs/>
          <w:color w:val="auto"/>
          <w:sz w:val="24"/>
          <w:szCs w:val="24"/>
        </w:rPr>
        <w:t>2、项目名称：</w:t>
      </w:r>
      <w:r>
        <w:rPr>
          <w:rFonts w:hint="eastAsia"/>
          <w:color w:val="auto"/>
          <w:sz w:val="24"/>
          <w:szCs w:val="24"/>
          <w:lang w:eastAsia="zh-CN"/>
        </w:rPr>
        <w:t>安阳市文化广电体育旅游局安阳市2023年全民健身器材采购项目</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3、采购方式：竞争性磋商</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4、预算金额：1400000元</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 xml:space="preserve">   最高限价：500000元</w:t>
      </w:r>
    </w:p>
    <w:tbl>
      <w:tblPr>
        <w:tblStyle w:val="24"/>
        <w:tblW w:w="940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540"/>
        <w:gridCol w:w="1710"/>
        <w:gridCol w:w="2081"/>
        <w:gridCol w:w="1112"/>
        <w:gridCol w:w="1347"/>
        <w:gridCol w:w="1296"/>
        <w:gridCol w:w="13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trHeight w:val="400" w:hRule="atLeast"/>
          <w:tblCellSpacing w:w="0" w:type="dxa"/>
          <w:jc w:val="center"/>
        </w:trPr>
        <w:tc>
          <w:tcPr>
            <w:tcW w:w="556"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序号</w:t>
            </w:r>
          </w:p>
        </w:tc>
        <w:tc>
          <w:tcPr>
            <w:tcW w:w="1464"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包号</w:t>
            </w:r>
          </w:p>
        </w:tc>
        <w:tc>
          <w:tcPr>
            <w:tcW w:w="216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ind w:firstLine="540" w:firstLineChars="225"/>
              <w:jc w:val="center"/>
              <w:rPr>
                <w:rFonts w:ascii="宋体" w:hAnsi="宋体"/>
                <w:bCs/>
                <w:color w:val="auto"/>
                <w:sz w:val="24"/>
                <w:szCs w:val="24"/>
              </w:rPr>
            </w:pPr>
            <w:r>
              <w:rPr>
                <w:rFonts w:hint="eastAsia" w:ascii="宋体" w:hAnsi="宋体"/>
                <w:bCs/>
                <w:color w:val="auto"/>
                <w:sz w:val="24"/>
                <w:szCs w:val="24"/>
              </w:rPr>
              <w:t>包名称</w:t>
            </w:r>
          </w:p>
        </w:tc>
        <w:tc>
          <w:tcPr>
            <w:tcW w:w="1133"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包预算（元）</w:t>
            </w:r>
          </w:p>
        </w:tc>
        <w:tc>
          <w:tcPr>
            <w:tcW w:w="1382"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包最高限价（元）</w:t>
            </w:r>
          </w:p>
        </w:tc>
        <w:tc>
          <w:tcPr>
            <w:tcW w:w="1357"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是否专门面向中小企业</w:t>
            </w:r>
          </w:p>
        </w:tc>
        <w:tc>
          <w:tcPr>
            <w:tcW w:w="1357"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采购预留金额（元）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3" w:hRule="atLeast"/>
          <w:tblCellSpacing w:w="0" w:type="dxa"/>
          <w:jc w:val="center"/>
        </w:trPr>
        <w:tc>
          <w:tcPr>
            <w:tcW w:w="556"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1</w:t>
            </w:r>
          </w:p>
        </w:tc>
        <w:tc>
          <w:tcPr>
            <w:tcW w:w="1464"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default" w:ascii="宋体" w:hAnsi="宋体"/>
                <w:bCs/>
                <w:color w:val="auto"/>
                <w:sz w:val="24"/>
                <w:szCs w:val="24"/>
                <w:lang w:val="en-US"/>
              </w:rPr>
            </w:pPr>
            <w:r>
              <w:rPr>
                <w:rFonts w:hint="eastAsia" w:ascii="宋体" w:hAnsi="宋体"/>
                <w:bCs/>
                <w:color w:val="auto"/>
                <w:sz w:val="24"/>
                <w:szCs w:val="24"/>
                <w:lang w:eastAsia="zh-CN"/>
              </w:rPr>
              <w:t>安财磋商采购</w:t>
            </w:r>
            <w:r>
              <w:rPr>
                <w:rFonts w:hint="eastAsia" w:ascii="宋体" w:hAnsi="宋体"/>
                <w:bCs/>
                <w:color w:val="auto"/>
                <w:sz w:val="24"/>
                <w:szCs w:val="24"/>
                <w:lang w:val="en-US" w:eastAsia="zh-CN"/>
              </w:rPr>
              <w:t>-2023-80001002</w:t>
            </w:r>
          </w:p>
        </w:tc>
        <w:tc>
          <w:tcPr>
            <w:tcW w:w="216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color w:val="auto"/>
                <w:sz w:val="24"/>
                <w:szCs w:val="24"/>
                <w:lang w:eastAsia="zh-CN"/>
              </w:rPr>
              <w:t>安阳市文化广电体育旅游局安阳市2023年全民健身器材采购项目</w:t>
            </w:r>
            <w:r>
              <w:rPr>
                <w:rFonts w:hint="eastAsia"/>
                <w:color w:val="auto"/>
                <w:sz w:val="24"/>
                <w:szCs w:val="24"/>
                <w:lang w:val="en-US" w:eastAsia="zh-CN"/>
              </w:rPr>
              <w:t>-</w:t>
            </w:r>
            <w:r>
              <w:rPr>
                <w:rFonts w:hint="eastAsia"/>
                <w:color w:val="auto"/>
                <w:sz w:val="24"/>
                <w:szCs w:val="24"/>
              </w:rPr>
              <w:t>2包</w:t>
            </w:r>
          </w:p>
        </w:tc>
        <w:tc>
          <w:tcPr>
            <w:tcW w:w="1133"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500000</w:t>
            </w:r>
          </w:p>
        </w:tc>
        <w:tc>
          <w:tcPr>
            <w:tcW w:w="1382"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500000</w:t>
            </w:r>
          </w:p>
        </w:tc>
        <w:tc>
          <w:tcPr>
            <w:tcW w:w="1357"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是</w:t>
            </w:r>
          </w:p>
        </w:tc>
        <w:tc>
          <w:tcPr>
            <w:tcW w:w="1357"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lang w:val="en-US" w:eastAsia="zh-CN"/>
              </w:rPr>
              <w:t>5</w:t>
            </w:r>
            <w:r>
              <w:rPr>
                <w:rFonts w:hint="eastAsia" w:ascii="宋体" w:hAnsi="宋体"/>
                <w:bCs/>
                <w:color w:val="auto"/>
                <w:sz w:val="24"/>
                <w:szCs w:val="24"/>
              </w:rPr>
              <w:t>00000</w:t>
            </w:r>
          </w:p>
        </w:tc>
      </w:tr>
    </w:tbl>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5、采购需求（包括但不限于标的的名称、数量、简要技术需求或服务要求等）</w:t>
      </w:r>
      <w:r>
        <w:rPr>
          <w:rFonts w:hint="eastAsia"/>
          <w:color w:val="auto"/>
          <w:sz w:val="24"/>
          <w:szCs w:val="24"/>
        </w:rPr>
        <w:t>2包2023年全民健身器材采购（</w:t>
      </w:r>
      <w:r>
        <w:rPr>
          <w:rFonts w:hint="eastAsia"/>
          <w:color w:val="auto"/>
          <w:sz w:val="24"/>
          <w:szCs w:val="24"/>
          <w:highlight w:val="none"/>
        </w:rPr>
        <w:t>室外健身路径</w:t>
      </w:r>
      <w:r>
        <w:rPr>
          <w:rFonts w:hint="eastAsia"/>
          <w:color w:val="auto"/>
          <w:sz w:val="24"/>
          <w:szCs w:val="24"/>
        </w:rPr>
        <w:t>）</w:t>
      </w:r>
      <w:r>
        <w:rPr>
          <w:rFonts w:hint="eastAsia" w:ascii="宋体" w:hAnsi="宋体"/>
          <w:bCs/>
          <w:color w:val="auto"/>
          <w:sz w:val="24"/>
          <w:szCs w:val="24"/>
        </w:rPr>
        <w:t>，采购一批12件全民健身器材，包括健身器材的生产、运输、安装等；技术参数详见《磋商文件》“基本技术要求”。一个</w:t>
      </w:r>
      <w:r>
        <w:rPr>
          <w:rFonts w:hint="eastAsia" w:ascii="宋体" w:hAnsi="宋体"/>
          <w:bCs/>
          <w:color w:val="auto"/>
          <w:sz w:val="24"/>
          <w:szCs w:val="24"/>
          <w:lang w:eastAsia="zh-CN"/>
        </w:rPr>
        <w:t>投标</w:t>
      </w:r>
      <w:r>
        <w:rPr>
          <w:rFonts w:hint="eastAsia" w:ascii="宋体" w:hAnsi="宋体"/>
          <w:bCs/>
          <w:color w:val="auto"/>
          <w:sz w:val="24"/>
          <w:szCs w:val="24"/>
        </w:rPr>
        <w:t>单位只能投报一个标段。</w:t>
      </w:r>
    </w:p>
    <w:p>
      <w:pPr>
        <w:widowControl w:val="0"/>
        <w:tabs>
          <w:tab w:val="left" w:pos="39"/>
          <w:tab w:val="left" w:pos="96"/>
        </w:tabs>
        <w:snapToGrid w:val="0"/>
        <w:spacing w:line="308" w:lineRule="exact"/>
        <w:ind w:firstLine="540" w:firstLineChars="225"/>
        <w:rPr>
          <w:rFonts w:ascii="宋体" w:hAnsi="宋体"/>
          <w:bCs/>
          <w:color w:val="auto"/>
          <w:sz w:val="24"/>
          <w:szCs w:val="24"/>
          <w:highlight w:val="yellow"/>
        </w:rPr>
      </w:pPr>
      <w:r>
        <w:rPr>
          <w:rFonts w:hint="eastAsia" w:ascii="宋体" w:hAnsi="宋体"/>
          <w:bCs/>
          <w:color w:val="auto"/>
          <w:sz w:val="24"/>
          <w:szCs w:val="24"/>
        </w:rPr>
        <w:t>6、</w:t>
      </w:r>
      <w:r>
        <w:rPr>
          <w:rFonts w:hint="eastAsia" w:ascii="宋体" w:hAnsi="宋体"/>
          <w:bCs/>
          <w:color w:val="auto"/>
          <w:sz w:val="24"/>
          <w:szCs w:val="24"/>
          <w:highlight w:val="none"/>
        </w:rPr>
        <w:t>合同履行期限：签订合同后30日内完成</w:t>
      </w:r>
    </w:p>
    <w:p>
      <w:pPr>
        <w:widowControl w:val="0"/>
        <w:tabs>
          <w:tab w:val="left" w:pos="39"/>
          <w:tab w:val="left" w:pos="96"/>
        </w:tabs>
        <w:snapToGrid w:val="0"/>
        <w:spacing w:line="308" w:lineRule="exact"/>
        <w:ind w:firstLine="540" w:firstLineChars="225"/>
        <w:rPr>
          <w:rFonts w:ascii="宋体" w:hAnsi="宋体"/>
          <w:bCs/>
          <w:color w:val="auto"/>
          <w:sz w:val="24"/>
          <w:szCs w:val="24"/>
          <w:highlight w:val="none"/>
        </w:rPr>
      </w:pPr>
      <w:r>
        <w:rPr>
          <w:rFonts w:hint="eastAsia" w:ascii="宋体" w:hAnsi="宋体"/>
          <w:bCs/>
          <w:color w:val="auto"/>
          <w:sz w:val="24"/>
          <w:szCs w:val="24"/>
        </w:rPr>
        <w:t>7、本项目是否接受联合体投标：</w:t>
      </w:r>
      <w:r>
        <w:rPr>
          <w:rFonts w:hint="eastAsia" w:ascii="宋体" w:hAnsi="宋体"/>
          <w:bCs/>
          <w:color w:val="auto"/>
          <w:sz w:val="24"/>
          <w:szCs w:val="24"/>
          <w:highlight w:val="none"/>
        </w:rPr>
        <w:t>否</w:t>
      </w:r>
    </w:p>
    <w:p>
      <w:pPr>
        <w:widowControl w:val="0"/>
        <w:tabs>
          <w:tab w:val="left" w:pos="39"/>
          <w:tab w:val="left" w:pos="96"/>
        </w:tabs>
        <w:snapToGrid w:val="0"/>
        <w:spacing w:line="308" w:lineRule="exact"/>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8、是否接受进口产品：否</w:t>
      </w:r>
    </w:p>
    <w:p>
      <w:pPr>
        <w:widowControl w:val="0"/>
        <w:tabs>
          <w:tab w:val="left" w:pos="39"/>
          <w:tab w:val="left" w:pos="96"/>
        </w:tabs>
        <w:snapToGrid w:val="0"/>
        <w:spacing w:line="308" w:lineRule="exact"/>
        <w:ind w:firstLine="540" w:firstLineChars="225"/>
        <w:rPr>
          <w:rFonts w:hint="default" w:eastAsia="宋体"/>
          <w:lang w:val="en-US" w:eastAsia="zh-CN"/>
        </w:rPr>
      </w:pPr>
      <w:r>
        <w:rPr>
          <w:rFonts w:hint="eastAsia" w:ascii="宋体" w:hAnsi="宋体"/>
          <w:bCs/>
          <w:color w:val="auto"/>
          <w:sz w:val="24"/>
          <w:szCs w:val="24"/>
          <w:highlight w:val="none"/>
        </w:rPr>
        <w:t>9、是否专门面向中小企业：是</w:t>
      </w:r>
    </w:p>
    <w:p>
      <w:pPr>
        <w:widowControl w:val="0"/>
        <w:adjustRightInd w:val="0"/>
        <w:snapToGrid w:val="0"/>
        <w:spacing w:line="308" w:lineRule="exact"/>
        <w:jc w:val="left"/>
        <w:rPr>
          <w:rFonts w:ascii="宋体" w:hAnsi="宋体"/>
          <w:b/>
          <w:color w:val="000000" w:themeColor="text1"/>
          <w:sz w:val="24"/>
          <w:szCs w:val="24"/>
        </w:rPr>
      </w:pPr>
      <w:r>
        <w:rPr>
          <w:rFonts w:hint="eastAsia" w:ascii="宋体" w:hAnsi="宋体"/>
          <w:b/>
          <w:color w:val="000000" w:themeColor="text1"/>
          <w:sz w:val="24"/>
          <w:szCs w:val="24"/>
        </w:rPr>
        <w:t>二、申请人资格要求：</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1、满足《中华人民共和国政府采购法》第二十二条规定；</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2、落实政府采购政策满足的资格要求：无专项资格要求。</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3、本项目的特定资格要求</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 xml:space="preserve">  《政府采购法》第二十二条第一款--法定基本资格条件需提供的相关资格证明材料（文件）：</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（1）具有独立承担民事责任的能力。■提供营业执照或事业单位法人证书，■提供税务登记证（三证合一的只需提供三证合一的营业执照）。</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（2）具有良好的商业信誉和健全的财务会计制度，有依法缴纳税收和社会保障资金的良好记录。■提供银行出具的近1年内资信证明（法人为基本开户行）、或202</w:t>
      </w:r>
      <w:r>
        <w:rPr>
          <w:rFonts w:hint="eastAsia" w:ascii="宋体" w:hAnsi="宋体"/>
          <w:bCs/>
          <w:color w:val="auto"/>
          <w:sz w:val="24"/>
          <w:szCs w:val="24"/>
          <w:lang w:val="en-US" w:eastAsia="zh-CN"/>
        </w:rPr>
        <w:t>2</w:t>
      </w:r>
      <w:r>
        <w:rPr>
          <w:rFonts w:hint="eastAsia" w:ascii="宋体" w:hAnsi="宋体"/>
          <w:bCs/>
          <w:color w:val="auto"/>
          <w:sz w:val="24"/>
          <w:szCs w:val="24"/>
        </w:rPr>
        <w:t>年度经审计的财务报告、或银行（保险公司）出具的投标担保函；■提供近12个月内（任意1个月）已依法缴纳税收的凭据；■提供近12个月内（任意1个月）已依法缴纳社会保险的凭据。依法免税或不需要缴纳社会保障资金的供应商，应提供相应证明文件。</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（3）具备履行合同所必需的设备和专业技术能力。■提供供应商书面声明，自行承诺并承担后果。</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（4）参加政府采购活动前3年内在经营活动中没有重大违法记录。■提供供应商书面声明；供应商自行承诺并承担后果，声明函不实的，按《政府采购法》有关提供虚假材料的有关规定给予处罚。</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4、对供应商的限制性规定</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（1）供应商应当无不良信用记录。(在“信用中国”</w:t>
      </w:r>
      <w:r>
        <w:rPr>
          <w:rFonts w:ascii="宋体" w:hAnsi="宋体"/>
          <w:bCs/>
          <w:color w:val="auto"/>
          <w:sz w:val="24"/>
          <w:szCs w:val="24"/>
        </w:rPr>
        <w:t>网站的“失信被执行人”和“重大税收违法失信主体”及“中国政府采购网”网站的“政府采购严重违法失信行为记录名单”均未列入)供应商递交《投标文件》后，采购人或者采购代理机构将按以上信用信息查询渠道在解密《投标文件》之前对参加本项目的供应商信用记录进行查询，供应商有上述任一不良信用记录的，其投标将被拒绝、为无效投标。查询的网页内容将以截图或者拍照作为证据留存。</w:t>
      </w:r>
      <w:r>
        <w:rPr>
          <w:rFonts w:ascii="宋体" w:hAnsi="宋体"/>
          <w:bCs/>
          <w:color w:val="auto"/>
          <w:sz w:val="24"/>
          <w:szCs w:val="24"/>
        </w:rPr>
        <w:br w:type="textWrapping"/>
      </w:r>
      <w:r>
        <w:rPr>
          <w:rFonts w:ascii="宋体" w:hAnsi="宋体"/>
          <w:bCs/>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bCs/>
          <w:color w:val="auto"/>
          <w:sz w:val="24"/>
          <w:szCs w:val="24"/>
        </w:rPr>
        <w:t>。</w:t>
      </w:r>
      <w:r>
        <w:rPr>
          <w:rFonts w:ascii="宋体" w:hAnsi="宋体"/>
          <w:bCs/>
          <w:color w:val="auto"/>
          <w:sz w:val="24"/>
          <w:szCs w:val="24"/>
        </w:rPr>
        <w:br w:type="textWrapping"/>
      </w:r>
      <w:r>
        <w:rPr>
          <w:rFonts w:ascii="宋体" w:hAnsi="宋体"/>
          <w:bCs/>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r>
        <w:rPr>
          <w:rFonts w:ascii="宋体" w:hAnsi="宋体"/>
          <w:bCs/>
          <w:color w:val="auto"/>
          <w:sz w:val="24"/>
          <w:szCs w:val="24"/>
        </w:rPr>
        <w:br w:type="textWrapping"/>
      </w:r>
      <w:r>
        <w:rPr>
          <w:rFonts w:hint="eastAsia" w:ascii="宋体" w:hAnsi="宋体"/>
          <w:bCs/>
          <w:color w:val="auto"/>
          <w:sz w:val="24"/>
          <w:szCs w:val="24"/>
        </w:rPr>
        <w:t xml:space="preserve">    5、</w:t>
      </w:r>
      <w:r>
        <w:rPr>
          <w:rFonts w:ascii="宋体" w:hAnsi="宋体"/>
          <w:bCs/>
          <w:color w:val="auto"/>
          <w:sz w:val="24"/>
          <w:szCs w:val="24"/>
        </w:rPr>
        <w:t>项目的特定资格要求：</w:t>
      </w:r>
      <w:r>
        <w:rPr>
          <w:rFonts w:ascii="宋体" w:hAnsi="宋体"/>
          <w:bCs/>
          <w:color w:val="auto"/>
          <w:sz w:val="24"/>
          <w:szCs w:val="24"/>
        </w:rPr>
        <w:br w:type="textWrapping"/>
      </w:r>
      <w:r>
        <w:rPr>
          <w:rFonts w:ascii="宋体" w:hAnsi="宋体"/>
          <w:bCs/>
          <w:color w:val="auto"/>
          <w:sz w:val="24"/>
          <w:szCs w:val="24"/>
        </w:rPr>
        <w:t>（1）具备法律、行政法规规定的其他条件。</w:t>
      </w:r>
      <w:r>
        <w:rPr>
          <w:rFonts w:ascii="宋体" w:hAnsi="宋体"/>
          <w:bCs/>
          <w:color w:val="auto"/>
          <w:sz w:val="24"/>
          <w:szCs w:val="24"/>
        </w:rPr>
        <w:br w:type="textWrapping"/>
      </w:r>
      <w:r>
        <w:rPr>
          <w:rFonts w:ascii="宋体" w:hAnsi="宋体"/>
          <w:bCs/>
          <w:color w:val="auto"/>
          <w:sz w:val="24"/>
          <w:szCs w:val="24"/>
        </w:rPr>
        <w:t>（2）本项目（是/否）接受联合体投标：</w:t>
      </w:r>
      <w:r>
        <w:rPr>
          <w:rFonts w:hint="eastAsia" w:ascii="宋体" w:hAnsi="宋体"/>
          <w:bCs/>
          <w:color w:val="auto"/>
          <w:sz w:val="24"/>
          <w:szCs w:val="24"/>
          <w:lang w:eastAsia="zh-CN"/>
        </w:rPr>
        <w:t>否。</w:t>
      </w:r>
      <w:r>
        <w:rPr>
          <w:rFonts w:ascii="宋体" w:hAnsi="宋体"/>
          <w:bCs/>
          <w:color w:val="auto"/>
          <w:sz w:val="24"/>
          <w:szCs w:val="24"/>
        </w:rPr>
        <w:br w:type="textWrapping"/>
      </w:r>
      <w:r>
        <w:rPr>
          <w:rFonts w:ascii="宋体" w:hAnsi="宋体"/>
          <w:bCs/>
          <w:color w:val="auto"/>
          <w:sz w:val="24"/>
          <w:szCs w:val="24"/>
        </w:rPr>
        <w:t>注：（1）所有证照均应为有效的证照；文中“近”、“前”指距投标截止时间。（2）资格证明材料（文件）应附于投标文件中并经投标人电子签章。投标人对资格证明文件真实性有效合规承担责任，提供虚假材料的为无效投标并将进一步追究其责任。（3）本项目采取资格后审，开标后，将由</w:t>
      </w:r>
      <w:r>
        <w:rPr>
          <w:rFonts w:hint="eastAsia" w:ascii="宋体" w:hAnsi="宋体"/>
          <w:bCs/>
          <w:color w:val="auto"/>
          <w:sz w:val="24"/>
          <w:szCs w:val="24"/>
        </w:rPr>
        <w:t>磋商小组</w:t>
      </w:r>
      <w:r>
        <w:rPr>
          <w:rFonts w:ascii="宋体" w:hAnsi="宋体"/>
          <w:bCs/>
          <w:color w:val="auto"/>
          <w:sz w:val="24"/>
          <w:szCs w:val="24"/>
        </w:rPr>
        <w:t>对投标人的资格证明材料（文件）进行资格审核，未按要求逐一提供、或资格审查不合格的为无效投标，投标人应自负其风险费用。</w:t>
      </w:r>
    </w:p>
    <w:p>
      <w:pPr>
        <w:widowControl w:val="0"/>
        <w:adjustRightInd w:val="0"/>
        <w:snapToGrid w:val="0"/>
        <w:spacing w:line="308" w:lineRule="exact"/>
        <w:jc w:val="left"/>
        <w:rPr>
          <w:rFonts w:ascii="宋体" w:hAnsi="宋体"/>
          <w:b/>
          <w:color w:val="auto"/>
          <w:sz w:val="24"/>
          <w:szCs w:val="24"/>
        </w:rPr>
      </w:pPr>
      <w:r>
        <w:rPr>
          <w:rFonts w:hint="eastAsia" w:ascii="宋体" w:hAnsi="宋体"/>
          <w:b/>
          <w:color w:val="auto"/>
          <w:sz w:val="24"/>
          <w:szCs w:val="24"/>
        </w:rPr>
        <w:t>三、获取采购文件</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1、时间：2023年</w:t>
      </w:r>
      <w:r>
        <w:rPr>
          <w:rFonts w:hint="eastAsia" w:ascii="宋体" w:hAnsi="宋体"/>
          <w:bCs/>
          <w:color w:val="auto"/>
          <w:sz w:val="24"/>
          <w:szCs w:val="24"/>
          <w:lang w:val="en-US" w:eastAsia="zh-CN"/>
        </w:rPr>
        <w:t>11</w:t>
      </w:r>
      <w:r>
        <w:rPr>
          <w:rFonts w:hint="eastAsia" w:ascii="宋体" w:hAnsi="宋体"/>
          <w:bCs/>
          <w:color w:val="auto"/>
          <w:sz w:val="24"/>
          <w:szCs w:val="24"/>
        </w:rPr>
        <w:t>月</w:t>
      </w:r>
      <w:r>
        <w:rPr>
          <w:rFonts w:hint="eastAsia" w:ascii="宋体" w:hAnsi="宋体"/>
          <w:bCs/>
          <w:color w:val="auto"/>
          <w:sz w:val="24"/>
          <w:szCs w:val="24"/>
          <w:lang w:val="en-US" w:eastAsia="zh-CN"/>
        </w:rPr>
        <w:t>22</w:t>
      </w:r>
      <w:r>
        <w:rPr>
          <w:rFonts w:hint="eastAsia" w:ascii="宋体" w:hAnsi="宋体"/>
          <w:bCs/>
          <w:color w:val="auto"/>
          <w:sz w:val="24"/>
          <w:szCs w:val="24"/>
        </w:rPr>
        <w:t>日至2023年</w:t>
      </w:r>
      <w:r>
        <w:rPr>
          <w:rFonts w:hint="eastAsia" w:ascii="宋体" w:hAnsi="宋体"/>
          <w:bCs/>
          <w:color w:val="auto"/>
          <w:sz w:val="24"/>
          <w:szCs w:val="24"/>
          <w:lang w:val="en-US" w:eastAsia="zh-CN"/>
        </w:rPr>
        <w:t>11</w:t>
      </w:r>
      <w:r>
        <w:rPr>
          <w:rFonts w:hint="eastAsia" w:ascii="宋体" w:hAnsi="宋体"/>
          <w:bCs/>
          <w:color w:val="auto"/>
          <w:sz w:val="24"/>
          <w:szCs w:val="24"/>
        </w:rPr>
        <w:t>月</w:t>
      </w:r>
      <w:r>
        <w:rPr>
          <w:rFonts w:hint="eastAsia" w:ascii="宋体" w:hAnsi="宋体"/>
          <w:bCs/>
          <w:color w:val="auto"/>
          <w:sz w:val="24"/>
          <w:szCs w:val="24"/>
          <w:lang w:val="en-US" w:eastAsia="zh-CN"/>
        </w:rPr>
        <w:t>28</w:t>
      </w:r>
      <w:r>
        <w:rPr>
          <w:rFonts w:hint="eastAsia" w:ascii="宋体" w:hAnsi="宋体"/>
          <w:bCs/>
          <w:color w:val="auto"/>
          <w:sz w:val="24"/>
          <w:szCs w:val="24"/>
        </w:rPr>
        <w:t>日，每天上午00:00至12:00，下午12:00至23:59（北京时间，法定节假日除外。）</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2、地点：安阳市公共资源交易中心网站（http://</w:t>
      </w:r>
      <w:r>
        <w:fldChar w:fldCharType="begin"/>
      </w:r>
      <w:r>
        <w:instrText xml:space="preserve"> HYPERLINK "http://ggzy.anyang.gov.cn/" </w:instrText>
      </w:r>
      <w:r>
        <w:fldChar w:fldCharType="separate"/>
      </w:r>
      <w:r>
        <w:rPr>
          <w:rFonts w:hint="eastAsia" w:ascii="宋体" w:hAnsi="宋体"/>
          <w:bCs/>
          <w:color w:val="auto"/>
          <w:sz w:val="24"/>
          <w:szCs w:val="24"/>
        </w:rPr>
        <w:t>ggzy.anyang.gov.cn</w:t>
      </w:r>
      <w:r>
        <w:rPr>
          <w:rFonts w:hint="eastAsia" w:ascii="宋体" w:hAnsi="宋体"/>
          <w:bCs/>
          <w:color w:val="auto"/>
          <w:sz w:val="24"/>
          <w:szCs w:val="24"/>
        </w:rPr>
        <w:fldChar w:fldCharType="end"/>
      </w:r>
      <w:r>
        <w:rPr>
          <w:rFonts w:hint="eastAsia" w:ascii="宋体" w:hAnsi="宋体"/>
          <w:bCs/>
          <w:color w:val="auto"/>
          <w:sz w:val="24"/>
          <w:szCs w:val="24"/>
        </w:rPr>
        <w:t>/），数字证书点击【投标用户入口】登录系统，获取磋商文件及其他资料，此为获取磋商文件的唯一途径；</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3、方式：网上下载</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4、售价：0元</w:t>
      </w:r>
    </w:p>
    <w:p>
      <w:pPr>
        <w:widowControl w:val="0"/>
        <w:adjustRightInd w:val="0"/>
        <w:snapToGrid w:val="0"/>
        <w:spacing w:line="308" w:lineRule="exact"/>
        <w:jc w:val="left"/>
        <w:rPr>
          <w:rFonts w:ascii="宋体" w:hAnsi="宋体"/>
          <w:b/>
          <w:color w:val="auto"/>
          <w:sz w:val="24"/>
          <w:szCs w:val="24"/>
        </w:rPr>
      </w:pPr>
      <w:r>
        <w:rPr>
          <w:rFonts w:hint="eastAsia" w:ascii="宋体" w:hAnsi="宋体"/>
          <w:b/>
          <w:color w:val="auto"/>
          <w:sz w:val="24"/>
          <w:szCs w:val="24"/>
        </w:rPr>
        <w:t xml:space="preserve">四、响应文件提交 </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1、截止时间：2023年</w:t>
      </w:r>
      <w:r>
        <w:rPr>
          <w:rFonts w:hint="eastAsia" w:ascii="宋体" w:hAnsi="宋体"/>
          <w:bCs/>
          <w:color w:val="auto"/>
          <w:sz w:val="24"/>
          <w:szCs w:val="24"/>
          <w:lang w:val="en-US" w:eastAsia="zh-CN"/>
        </w:rPr>
        <w:t>12</w:t>
      </w:r>
      <w:r>
        <w:rPr>
          <w:rFonts w:hint="eastAsia" w:ascii="宋体" w:hAnsi="宋体"/>
          <w:bCs/>
          <w:color w:val="auto"/>
          <w:sz w:val="24"/>
          <w:szCs w:val="24"/>
        </w:rPr>
        <w:t>月</w:t>
      </w:r>
      <w:r>
        <w:rPr>
          <w:rFonts w:hint="eastAsia" w:ascii="宋体" w:hAnsi="宋体"/>
          <w:bCs/>
          <w:color w:val="auto"/>
          <w:sz w:val="24"/>
          <w:szCs w:val="24"/>
          <w:lang w:val="en-US" w:eastAsia="zh-CN"/>
        </w:rPr>
        <w:t>04</w:t>
      </w:r>
      <w:r>
        <w:rPr>
          <w:rFonts w:hint="eastAsia" w:ascii="宋体" w:hAnsi="宋体"/>
          <w:bCs/>
          <w:color w:val="auto"/>
          <w:sz w:val="24"/>
          <w:szCs w:val="24"/>
        </w:rPr>
        <w:t>日09时00分（北京时间）</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2、地点：安阳市公共资源交易中心（</w:t>
      </w:r>
      <w:r>
        <w:fldChar w:fldCharType="begin"/>
      </w:r>
      <w:r>
        <w:instrText xml:space="preserve"> HYPERLINK "http://ggzy.anyang.gov.cn//" </w:instrText>
      </w:r>
      <w:r>
        <w:fldChar w:fldCharType="separate"/>
      </w:r>
      <w:r>
        <w:rPr>
          <w:rFonts w:hint="eastAsia" w:ascii="宋体" w:hAnsi="宋体"/>
          <w:bCs/>
          <w:color w:val="auto"/>
          <w:sz w:val="24"/>
          <w:szCs w:val="24"/>
        </w:rPr>
        <w:t>http://ggzy.anyang.gov.cn//</w:t>
      </w:r>
      <w:r>
        <w:rPr>
          <w:rFonts w:hint="eastAsia" w:ascii="宋体" w:hAnsi="宋体"/>
          <w:bCs/>
          <w:color w:val="auto"/>
          <w:sz w:val="24"/>
          <w:szCs w:val="24"/>
        </w:rPr>
        <w:fldChar w:fldCharType="end"/>
      </w:r>
      <w:r>
        <w:rPr>
          <w:rFonts w:hint="eastAsia" w:ascii="宋体" w:hAnsi="宋体"/>
          <w:bCs/>
          <w:color w:val="auto"/>
          <w:sz w:val="24"/>
          <w:szCs w:val="24"/>
        </w:rPr>
        <w:t>），凭企业数字证书点击【投标用户入口】登录系统，供应商必须在提交响应文件截止时间前完成所有响应文件的上传，并“确认并签名 ”，逾期上传视为网上响应无效；本项目只接受网上递交电子响应文件方式，不接受现场递交。</w:t>
      </w:r>
    </w:p>
    <w:p>
      <w:pPr>
        <w:widowControl w:val="0"/>
        <w:adjustRightInd w:val="0"/>
        <w:snapToGrid w:val="0"/>
        <w:spacing w:line="308" w:lineRule="exact"/>
        <w:jc w:val="left"/>
        <w:rPr>
          <w:rFonts w:ascii="宋体" w:hAnsi="宋体"/>
          <w:bCs/>
          <w:color w:val="auto"/>
          <w:sz w:val="24"/>
          <w:szCs w:val="24"/>
        </w:rPr>
      </w:pPr>
      <w:r>
        <w:rPr>
          <w:rFonts w:hint="eastAsia" w:ascii="宋体" w:hAnsi="宋体"/>
          <w:b/>
          <w:color w:val="auto"/>
          <w:sz w:val="24"/>
          <w:szCs w:val="24"/>
        </w:rPr>
        <w:t>五、响应文件开启</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1、时间: 2023年</w:t>
      </w:r>
      <w:r>
        <w:rPr>
          <w:rFonts w:hint="eastAsia" w:ascii="宋体" w:hAnsi="宋体"/>
          <w:bCs/>
          <w:color w:val="auto"/>
          <w:sz w:val="24"/>
          <w:szCs w:val="24"/>
          <w:lang w:val="en-US" w:eastAsia="zh-CN"/>
        </w:rPr>
        <w:t>12</w:t>
      </w:r>
      <w:r>
        <w:rPr>
          <w:rFonts w:hint="eastAsia" w:ascii="宋体" w:hAnsi="宋体"/>
          <w:bCs/>
          <w:color w:val="auto"/>
          <w:sz w:val="24"/>
          <w:szCs w:val="24"/>
        </w:rPr>
        <w:t>月</w:t>
      </w:r>
      <w:r>
        <w:rPr>
          <w:rFonts w:hint="eastAsia" w:ascii="宋体" w:hAnsi="宋体"/>
          <w:bCs/>
          <w:color w:val="auto"/>
          <w:sz w:val="24"/>
          <w:szCs w:val="24"/>
          <w:lang w:val="en-US" w:eastAsia="zh-CN"/>
        </w:rPr>
        <w:t>04</w:t>
      </w:r>
      <w:r>
        <w:rPr>
          <w:rFonts w:hint="eastAsia" w:ascii="宋体" w:hAnsi="宋体"/>
          <w:bCs/>
          <w:color w:val="auto"/>
          <w:sz w:val="24"/>
          <w:szCs w:val="24"/>
        </w:rPr>
        <w:t>日09时00分（北京时间）</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 xml:space="preserve"> 2、地点：安阳市公共资源交易中心五楼集中开标大厅</w:t>
      </w:r>
      <w:r>
        <w:rPr>
          <w:rFonts w:hint="eastAsia" w:ascii="宋体" w:hAnsi="宋体"/>
          <w:bCs/>
          <w:color w:val="auto"/>
          <w:sz w:val="24"/>
          <w:szCs w:val="24"/>
          <w:lang w:val="en-US" w:eastAsia="zh-CN"/>
        </w:rPr>
        <w:t>1</w:t>
      </w:r>
      <w:r>
        <w:rPr>
          <w:rFonts w:hint="eastAsia" w:ascii="宋体" w:hAnsi="宋体"/>
          <w:bCs/>
          <w:color w:val="auto"/>
          <w:sz w:val="24"/>
          <w:szCs w:val="24"/>
        </w:rPr>
        <w:t>室（安阳市文峰大道东段 559 号安阳市民之家）。</w:t>
      </w:r>
    </w:p>
    <w:p>
      <w:pPr>
        <w:widowControl w:val="0"/>
        <w:adjustRightInd w:val="0"/>
        <w:snapToGrid w:val="0"/>
        <w:spacing w:line="308" w:lineRule="exact"/>
        <w:jc w:val="left"/>
        <w:rPr>
          <w:rFonts w:ascii="宋体" w:hAnsi="宋体"/>
          <w:bCs/>
          <w:color w:val="auto"/>
          <w:sz w:val="24"/>
          <w:szCs w:val="24"/>
        </w:rPr>
      </w:pPr>
      <w:r>
        <w:rPr>
          <w:rFonts w:hint="eastAsia" w:ascii="宋体" w:hAnsi="宋体"/>
          <w:b/>
          <w:color w:val="000000" w:themeColor="text1"/>
          <w:sz w:val="24"/>
          <w:szCs w:val="24"/>
        </w:rPr>
        <w:t>六、发布公告的媒介及招标公告期限</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 xml:space="preserve">   本次招标公告在《河南省政府采购网》、《安阳市公共资源交易中心网》</w:t>
      </w:r>
      <w:r>
        <w:rPr>
          <w:rFonts w:hint="eastAsia" w:ascii="宋体" w:hAnsi="宋体"/>
          <w:bCs/>
          <w:color w:val="auto"/>
          <w:sz w:val="24"/>
          <w:szCs w:val="24"/>
          <w:lang w:eastAsia="zh-CN"/>
        </w:rPr>
        <w:t>、《安阳市政府采购网》</w:t>
      </w:r>
      <w:r>
        <w:rPr>
          <w:rFonts w:hint="eastAsia" w:ascii="宋体" w:hAnsi="宋体"/>
          <w:bCs/>
          <w:color w:val="auto"/>
          <w:sz w:val="24"/>
          <w:szCs w:val="24"/>
        </w:rPr>
        <w:t>上发布，招标公告期限为</w:t>
      </w:r>
      <w:r>
        <w:rPr>
          <w:rFonts w:hint="eastAsia" w:ascii="宋体" w:hAnsi="宋体"/>
          <w:bCs/>
          <w:color w:val="auto"/>
          <w:sz w:val="24"/>
          <w:szCs w:val="24"/>
          <w:lang w:eastAsia="zh-CN"/>
        </w:rPr>
        <w:t>三</w:t>
      </w:r>
      <w:r>
        <w:rPr>
          <w:rFonts w:hint="eastAsia" w:ascii="宋体" w:hAnsi="宋体"/>
          <w:bCs/>
          <w:color w:val="auto"/>
          <w:sz w:val="24"/>
          <w:szCs w:val="24"/>
        </w:rPr>
        <w:t>个工作日。</w:t>
      </w:r>
    </w:p>
    <w:p>
      <w:pPr>
        <w:widowControl w:val="0"/>
        <w:snapToGrid w:val="0"/>
        <w:spacing w:line="308" w:lineRule="exac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七、其他补充事宜</w:t>
      </w:r>
    </w:p>
    <w:p>
      <w:pPr>
        <w:widowControl w:val="0"/>
        <w:adjustRightInd w:val="0"/>
        <w:snapToGrid w:val="0"/>
        <w:spacing w:line="308" w:lineRule="exact"/>
        <w:ind w:firstLine="480" w:firstLineChars="200"/>
        <w:jc w:val="left"/>
        <w:rPr>
          <w:rFonts w:ascii="宋体" w:hAnsi="宋体"/>
          <w:bCs/>
          <w:color w:val="auto"/>
          <w:sz w:val="24"/>
          <w:szCs w:val="24"/>
        </w:rPr>
      </w:pPr>
      <w:r>
        <w:rPr>
          <w:rFonts w:hint="eastAsia" w:ascii="宋体" w:hAnsi="宋体"/>
          <w:bCs/>
          <w:color w:val="auto"/>
          <w:sz w:val="24"/>
          <w:szCs w:val="24"/>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pPr>
        <w:widowControl w:val="0"/>
        <w:snapToGrid w:val="0"/>
        <w:spacing w:line="308" w:lineRule="exact"/>
        <w:ind w:firstLine="480" w:firstLineChars="200"/>
        <w:rPr>
          <w:rFonts w:ascii="微软雅黑" w:hAnsi="微软雅黑"/>
          <w:color w:val="444444"/>
          <w:sz w:val="15"/>
          <w:szCs w:val="15"/>
          <w:shd w:val="clear" w:color="auto" w:fill="F9F9F9"/>
        </w:rPr>
      </w:pPr>
      <w:r>
        <w:rPr>
          <w:rFonts w:hint="eastAsia" w:ascii="宋体" w:hAnsi="宋体"/>
          <w:bCs/>
          <w:color w:val="auto"/>
          <w:sz w:val="24"/>
          <w:szCs w:val="24"/>
        </w:rPr>
        <w:t>2、政府采购合同融资</w:t>
      </w:r>
      <w:r>
        <w:rPr>
          <w:rFonts w:hint="eastAsia" w:ascii="宋体" w:hAnsi="宋体"/>
          <w:bCs/>
          <w:color w:val="auto"/>
          <w:sz w:val="24"/>
          <w:szCs w:val="24"/>
        </w:rPr>
        <w:br w:type="textWrapping"/>
      </w:r>
      <w:r>
        <w:rPr>
          <w:rFonts w:hint="eastAsia" w:ascii="宋体" w:hAnsi="宋体"/>
          <w:bCs/>
          <w:color w:val="auto"/>
          <w:sz w:val="24"/>
          <w:szCs w:val="24"/>
        </w:rPr>
        <w:t xml:space="preserve">   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widowControl w:val="0"/>
        <w:snapToGrid w:val="0"/>
        <w:spacing w:line="308" w:lineRule="exac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八、凡对本次招标提出询问，请按照以下方式联系</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 xml:space="preserve">1. 采购人信息 </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名称：</w:t>
      </w:r>
      <w:r>
        <w:rPr>
          <w:rFonts w:hint="eastAsia" w:ascii="宋体" w:hAnsi="宋体" w:cs="宋体"/>
          <w:color w:val="000000" w:themeColor="text1"/>
          <w:sz w:val="24"/>
          <w:szCs w:val="24"/>
          <w:lang w:eastAsia="zh-CN"/>
        </w:rPr>
        <w:t>安阳市文化广电体育旅游局</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地址：安阳市文峰区永明路街道北段6号</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val="en-US" w:eastAsia="zh-CN"/>
        </w:rPr>
        <w:t>刘春波</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联系电话：</w:t>
      </w:r>
      <w:r>
        <w:rPr>
          <w:rFonts w:hint="eastAsia" w:ascii="宋体" w:hAnsi="宋体" w:cs="宋体"/>
          <w:color w:val="000000" w:themeColor="text1"/>
          <w:sz w:val="24"/>
          <w:szCs w:val="24"/>
          <w:lang w:val="en-US" w:eastAsia="zh-CN"/>
        </w:rPr>
        <w:t>0372-2287317</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2.采购代理机构信息</w:t>
      </w:r>
      <w:r>
        <w:rPr>
          <w:rFonts w:hint="eastAsia" w:ascii="宋体" w:hAnsi="宋体" w:cs="宋体"/>
          <w:color w:val="000000" w:themeColor="text1"/>
          <w:sz w:val="24"/>
          <w:szCs w:val="24"/>
          <w:lang w:val="en-US" w:eastAsia="zh-CN"/>
        </w:rPr>
        <w:t>(如有）</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名称：河南求实工程造价咨询有限公司</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地址：郑州市高新区科学大道53号</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eastAsia="zh-CN"/>
        </w:rPr>
        <w:t>张芳瑜、张艳平</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联系方式：</w:t>
      </w:r>
      <w:r>
        <w:rPr>
          <w:rFonts w:hint="eastAsia" w:ascii="宋体" w:hAnsi="宋体" w:cs="宋体"/>
          <w:color w:val="000000" w:themeColor="text1"/>
          <w:sz w:val="24"/>
          <w:szCs w:val="24"/>
          <w:lang w:val="en-US" w:eastAsia="zh-CN"/>
        </w:rPr>
        <w:t>0372-3189989、15890782288</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3.项目联系方式</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项目联系人：</w:t>
      </w:r>
      <w:r>
        <w:rPr>
          <w:rFonts w:hint="eastAsia" w:ascii="宋体" w:hAnsi="宋体" w:cs="宋体"/>
          <w:color w:val="000000" w:themeColor="text1"/>
          <w:sz w:val="24"/>
          <w:szCs w:val="24"/>
          <w:lang w:eastAsia="zh-CN"/>
        </w:rPr>
        <w:t>张芳瑜、张艳平</w:t>
      </w:r>
    </w:p>
    <w:p>
      <w:pPr>
        <w:widowControl w:val="0"/>
        <w:tabs>
          <w:tab w:val="left" w:pos="39"/>
          <w:tab w:val="left" w:pos="96"/>
        </w:tabs>
        <w:snapToGrid w:val="0"/>
        <w:spacing w:line="308"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eastAsia="zh-CN"/>
        </w:rPr>
        <w:t>联系方式：</w:t>
      </w:r>
      <w:r>
        <w:rPr>
          <w:rFonts w:hint="eastAsia" w:ascii="宋体" w:hAnsi="宋体" w:cs="宋体"/>
          <w:color w:val="000000" w:themeColor="text1"/>
          <w:sz w:val="24"/>
          <w:szCs w:val="24"/>
          <w:lang w:val="en-US" w:eastAsia="zh-CN"/>
        </w:rPr>
        <w:t>0372-3189989、15890782288</w:t>
      </w:r>
    </w:p>
    <w:p>
      <w:pPr>
        <w:widowControl w:val="0"/>
        <w:tabs>
          <w:tab w:val="left" w:pos="39"/>
          <w:tab w:val="left" w:pos="96"/>
        </w:tabs>
        <w:snapToGrid w:val="0"/>
        <w:spacing w:line="360" w:lineRule="auto"/>
        <w:rPr>
          <w:rFonts w:ascii="宋体" w:hAnsi="宋体"/>
          <w:color w:val="000000" w:themeColor="text1"/>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widowControl w:val="0"/>
        <w:tabs>
          <w:tab w:val="left" w:pos="39"/>
          <w:tab w:val="left" w:pos="96"/>
        </w:tabs>
        <w:snapToGrid w:val="0"/>
        <w:spacing w:line="360" w:lineRule="auto"/>
        <w:rPr>
          <w:rFonts w:ascii="宋体" w:hAnsi="宋体" w:cs="宋体"/>
          <w:color w:val="000000" w:themeColor="text1"/>
          <w:sz w:val="24"/>
          <w:szCs w:val="24"/>
        </w:rPr>
      </w:pPr>
    </w:p>
    <w:p>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2" w:name="_Toc18983"/>
      <w:bookmarkStart w:id="3" w:name="_Toc26366083"/>
      <w:r>
        <w:rPr>
          <w:rFonts w:hint="eastAsia" w:eastAsia="黑体"/>
          <w:b/>
          <w:color w:val="auto"/>
          <w:sz w:val="36"/>
          <w:szCs w:val="36"/>
        </w:rPr>
        <w:t>第二章</w:t>
      </w:r>
      <w:r>
        <w:rPr>
          <w:rFonts w:hint="eastAsia" w:eastAsia="黑体"/>
          <w:b/>
          <w:color w:val="auto"/>
          <w:sz w:val="36"/>
          <w:szCs w:val="36"/>
          <w:lang w:val="en-US" w:eastAsia="zh-CN"/>
        </w:rPr>
        <w:t xml:space="preserve">  </w:t>
      </w:r>
      <w:r>
        <w:rPr>
          <w:rFonts w:hint="eastAsia" w:eastAsia="黑体"/>
          <w:b/>
          <w:color w:val="auto"/>
          <w:sz w:val="36"/>
          <w:szCs w:val="36"/>
        </w:rPr>
        <w:t>采购项目及技术服务要求</w:t>
      </w:r>
      <w:bookmarkEnd w:id="2"/>
      <w:bookmarkEnd w:id="3"/>
    </w:p>
    <w:p>
      <w:pPr>
        <w:widowControl w:val="0"/>
        <w:snapToGrid w:val="0"/>
        <w:spacing w:line="360" w:lineRule="auto"/>
        <w:jc w:val="center"/>
        <w:rPr>
          <w:b/>
          <w:color w:val="auto"/>
          <w:sz w:val="28"/>
        </w:rPr>
      </w:pPr>
    </w:p>
    <w:p>
      <w:pPr>
        <w:widowControl w:val="0"/>
        <w:snapToGrid w:val="0"/>
        <w:spacing w:line="360" w:lineRule="auto"/>
        <w:jc w:val="left"/>
        <w:outlineLvl w:val="1"/>
        <w:rPr>
          <w:rFonts w:ascii="黑体" w:hAnsi="黑体" w:eastAsia="黑体"/>
          <w:b/>
          <w:color w:val="auto"/>
          <w:sz w:val="28"/>
        </w:rPr>
      </w:pPr>
      <w:bookmarkStart w:id="4" w:name="_Toc32375"/>
      <w:bookmarkStart w:id="5" w:name="_Toc26366084"/>
      <w:r>
        <w:rPr>
          <w:rFonts w:ascii="黑体" w:hAnsi="黑体" w:eastAsia="黑体"/>
          <w:b/>
          <w:color w:val="auto"/>
          <w:sz w:val="28"/>
        </w:rPr>
        <w:t xml:space="preserve">1. </w:t>
      </w:r>
      <w:r>
        <w:rPr>
          <w:rFonts w:hint="eastAsia" w:ascii="黑体" w:hAnsi="黑体" w:eastAsia="黑体"/>
          <w:b/>
          <w:color w:val="auto"/>
          <w:sz w:val="28"/>
        </w:rPr>
        <w:t>采购项目、标段划分、投标报价</w:t>
      </w:r>
      <w:bookmarkEnd w:id="4"/>
      <w:bookmarkEnd w:id="5"/>
    </w:p>
    <w:p>
      <w:pPr>
        <w:widowControl w:val="0"/>
        <w:snapToGrid w:val="0"/>
        <w:spacing w:line="360" w:lineRule="auto"/>
        <w:ind w:firstLine="241" w:firstLineChars="1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color w:val="auto"/>
          <w:sz w:val="24"/>
          <w:szCs w:val="24"/>
          <w:lang w:eastAsia="zh-CN"/>
        </w:rPr>
        <w:t>安阳市文化广电体育旅游局安阳市2023年全民健身器材采购项目</w:t>
      </w:r>
    </w:p>
    <w:p>
      <w:pPr>
        <w:widowControl w:val="0"/>
        <w:snapToGrid w:val="0"/>
        <w:spacing w:line="360" w:lineRule="auto"/>
        <w:ind w:firstLine="241" w:firstLineChars="1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标段划分及其交验期交验地点</w:t>
      </w:r>
      <w:r>
        <w:rPr>
          <w:rFonts w:hint="eastAsia"/>
          <w:color w:val="auto"/>
          <w:sz w:val="24"/>
          <w:szCs w:val="24"/>
        </w:rPr>
        <w:t>：本次采购项目划分为</w:t>
      </w:r>
      <w:r>
        <w:rPr>
          <w:color w:val="auto"/>
          <w:sz w:val="24"/>
          <w:szCs w:val="24"/>
        </w:rPr>
        <w:t>1</w:t>
      </w:r>
      <w:r>
        <w:rPr>
          <w:rFonts w:hint="eastAsia"/>
          <w:color w:val="auto"/>
          <w:sz w:val="24"/>
          <w:szCs w:val="24"/>
        </w:rPr>
        <w:t>个标段。</w:t>
      </w:r>
    </w:p>
    <w:tbl>
      <w:tblPr>
        <w:tblStyle w:val="24"/>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807"/>
        <w:gridCol w:w="2154"/>
        <w:gridCol w:w="1106"/>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4" w:type="dxa"/>
            <w:gridSpan w:val="5"/>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1807" w:type="dxa"/>
            <w:vAlign w:val="center"/>
          </w:tcPr>
          <w:p>
            <w:pPr>
              <w:widowControl w:val="0"/>
              <w:snapToGrid w:val="0"/>
              <w:spacing w:line="240" w:lineRule="auto"/>
              <w:jc w:val="center"/>
              <w:rPr>
                <w:b/>
                <w:color w:val="auto"/>
                <w:sz w:val="24"/>
                <w:szCs w:val="24"/>
              </w:rPr>
            </w:pPr>
            <w:r>
              <w:rPr>
                <w:rFonts w:hint="eastAsia"/>
                <w:b/>
                <w:color w:val="auto"/>
                <w:sz w:val="24"/>
                <w:szCs w:val="24"/>
              </w:rPr>
              <w:t>标段名称</w:t>
            </w:r>
          </w:p>
        </w:tc>
        <w:tc>
          <w:tcPr>
            <w:tcW w:w="2154"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标段内容（范围）</w:t>
            </w:r>
          </w:p>
        </w:tc>
        <w:tc>
          <w:tcPr>
            <w:tcW w:w="1106"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highlight w:val="none"/>
              </w:rPr>
              <w:t>合同履行期限</w:t>
            </w:r>
          </w:p>
        </w:tc>
        <w:tc>
          <w:tcPr>
            <w:tcW w:w="1541"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vAlign w:val="center"/>
          </w:tcPr>
          <w:p>
            <w:pPr>
              <w:widowControl w:val="0"/>
              <w:adjustRightInd w:val="0"/>
              <w:snapToGrid w:val="0"/>
              <w:spacing w:line="240" w:lineRule="auto"/>
              <w:jc w:val="center"/>
              <w:rPr>
                <w:color w:val="auto"/>
                <w:sz w:val="24"/>
                <w:szCs w:val="24"/>
              </w:rPr>
            </w:pPr>
            <w:r>
              <w:rPr>
                <w:rFonts w:hint="eastAsia"/>
                <w:color w:val="auto"/>
                <w:sz w:val="24"/>
                <w:szCs w:val="24"/>
                <w:lang w:eastAsia="zh-CN"/>
              </w:rPr>
              <w:t>安阳市文化广电体育旅游局安阳市2023年全民健身器材采购项目</w:t>
            </w:r>
          </w:p>
        </w:tc>
        <w:tc>
          <w:tcPr>
            <w:tcW w:w="1807" w:type="dxa"/>
            <w:vAlign w:val="center"/>
          </w:tcPr>
          <w:p>
            <w:pPr>
              <w:widowControl w:val="0"/>
              <w:adjustRightInd w:val="0"/>
              <w:snapToGrid w:val="0"/>
              <w:spacing w:line="240" w:lineRule="auto"/>
              <w:jc w:val="center"/>
              <w:rPr>
                <w:color w:val="auto"/>
                <w:sz w:val="24"/>
                <w:szCs w:val="24"/>
              </w:rPr>
            </w:pPr>
            <w:r>
              <w:rPr>
                <w:rFonts w:hint="eastAsia"/>
                <w:color w:val="auto"/>
                <w:sz w:val="24"/>
                <w:szCs w:val="24"/>
                <w:lang w:eastAsia="zh-CN"/>
              </w:rPr>
              <w:t>安阳市文化广电体育旅游局安阳市2023年全民健身器材采购项目</w:t>
            </w:r>
            <w:r>
              <w:rPr>
                <w:rFonts w:hint="eastAsia"/>
                <w:color w:val="auto"/>
                <w:sz w:val="24"/>
                <w:szCs w:val="24"/>
                <w:lang w:val="en-US" w:eastAsia="zh-CN"/>
              </w:rPr>
              <w:t>-</w:t>
            </w:r>
            <w:r>
              <w:rPr>
                <w:rFonts w:hint="eastAsia"/>
                <w:color w:val="auto"/>
                <w:sz w:val="24"/>
                <w:szCs w:val="24"/>
              </w:rPr>
              <w:t>2包</w:t>
            </w:r>
          </w:p>
        </w:tc>
        <w:tc>
          <w:tcPr>
            <w:tcW w:w="2154"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见“第二章</w:t>
            </w:r>
            <w:r>
              <w:rPr>
                <w:color w:val="auto"/>
                <w:sz w:val="24"/>
                <w:szCs w:val="24"/>
              </w:rPr>
              <w:t>2</w:t>
            </w:r>
            <w:r>
              <w:rPr>
                <w:rFonts w:hint="eastAsia"/>
                <w:color w:val="auto"/>
                <w:sz w:val="24"/>
                <w:szCs w:val="24"/>
              </w:rPr>
              <w:t>条：标段内容（范围）及要求”</w:t>
            </w:r>
          </w:p>
        </w:tc>
        <w:tc>
          <w:tcPr>
            <w:tcW w:w="1106" w:type="dxa"/>
            <w:vAlign w:val="center"/>
          </w:tcPr>
          <w:p>
            <w:pPr>
              <w:widowControl w:val="0"/>
              <w:adjustRightInd w:val="0"/>
              <w:snapToGrid w:val="0"/>
              <w:spacing w:line="240" w:lineRule="auto"/>
              <w:jc w:val="center"/>
              <w:rPr>
                <w:color w:val="auto"/>
                <w:sz w:val="24"/>
                <w:szCs w:val="24"/>
              </w:rPr>
            </w:pPr>
            <w:r>
              <w:rPr>
                <w:color w:val="auto"/>
                <w:sz w:val="24"/>
                <w:szCs w:val="24"/>
              </w:rPr>
              <w:t>签订合同后</w:t>
            </w:r>
            <w:r>
              <w:rPr>
                <w:rFonts w:hint="eastAsia"/>
                <w:color w:val="auto"/>
                <w:sz w:val="24"/>
                <w:szCs w:val="24"/>
              </w:rPr>
              <w:t>30日内完成</w:t>
            </w:r>
          </w:p>
        </w:tc>
        <w:tc>
          <w:tcPr>
            <w:tcW w:w="1541"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采购人指定地点</w:t>
            </w:r>
          </w:p>
        </w:tc>
      </w:tr>
    </w:tbl>
    <w:p>
      <w:pPr>
        <w:spacing w:line="400" w:lineRule="exact"/>
        <w:ind w:firstLine="482" w:firstLineChars="200"/>
        <w:rPr>
          <w:rFonts w:asci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磋商报价（价格构成）</w:t>
      </w:r>
    </w:p>
    <w:p>
      <w:pPr>
        <w:spacing w:line="400" w:lineRule="exact"/>
        <w:ind w:firstLine="480" w:firstLineChars="200"/>
        <w:jc w:val="left"/>
      </w:pPr>
      <w:r>
        <w:rPr>
          <w:rFonts w:hint="eastAsia" w:ascii="宋体" w:hAnsi="宋体" w:cs="宋体"/>
          <w:sz w:val="24"/>
          <w:szCs w:val="24"/>
        </w:rPr>
        <w:t>1.3.1 供应商的投标报价应为达到采购需求下的</w:t>
      </w:r>
      <w:bookmarkStart w:id="57" w:name="_GoBack"/>
      <w:bookmarkEnd w:id="57"/>
      <w:r>
        <w:rPr>
          <w:rFonts w:hint="eastAsia" w:ascii="宋体" w:hAnsi="宋体" w:cs="宋体"/>
          <w:sz w:val="24"/>
          <w:szCs w:val="24"/>
        </w:rPr>
        <w:t>服务总包价，包括产品价款、人员工资、相关税款、备品备件价、易损件价、专用工具价、第三方抽检费、售后及技术服务费、知识产权（如有）、保险（如需）、货物包装及运送到安阳地区指定地点的运杂费、装卸费</w:t>
      </w:r>
      <w:r>
        <w:rPr>
          <w:rFonts w:hint="eastAsia" w:ascii="宋体" w:hAnsi="宋体" w:cs="宋体"/>
          <w:sz w:val="24"/>
          <w:szCs w:val="24"/>
          <w:highlight w:val="none"/>
        </w:rPr>
        <w:t>、安装费</w:t>
      </w:r>
      <w:r>
        <w:rPr>
          <w:rFonts w:hint="eastAsia" w:ascii="宋体" w:hAnsi="宋体" w:cs="宋体"/>
          <w:sz w:val="24"/>
          <w:szCs w:val="24"/>
        </w:rPr>
        <w:t xml:space="preserve">等与采购项目相关的、必须的款项及费用（包括未列明而完成交验所必须的所有产品、材料、工具、费用）。成交价格在成交合同范围内固定不变。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1.3.2 本次竞争性磋商共二次报价（含系统中开标一览表报价共二次价格磋商）。 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依据磋商文件“第三章 3.5.5 违背承诺的责任追究措施”，供应商承担相应法律责任及违约责任。</w:t>
      </w:r>
    </w:p>
    <w:p>
      <w:pPr>
        <w:autoSpaceDE w:val="0"/>
        <w:autoSpaceDN w:val="0"/>
        <w:adjustRightInd w:val="0"/>
        <w:snapToGrid w:val="0"/>
        <w:spacing w:line="400" w:lineRule="exact"/>
        <w:ind w:firstLine="569" w:firstLineChars="236"/>
        <w:jc w:val="left"/>
        <w:rPr>
          <w:rFonts w:ascii="宋体"/>
          <w:b/>
          <w:color w:val="auto"/>
          <w:sz w:val="24"/>
          <w:szCs w:val="24"/>
        </w:rPr>
      </w:pPr>
      <w:r>
        <w:rPr>
          <w:rFonts w:hint="eastAsia" w:ascii="宋体" w:hAnsi="宋体"/>
          <w:b/>
          <w:color w:val="auto"/>
          <w:sz w:val="24"/>
          <w:szCs w:val="24"/>
        </w:rPr>
        <w:t>价格磋商规则详见第四章“评审办法”第“</w:t>
      </w:r>
      <w:r>
        <w:rPr>
          <w:rFonts w:ascii="宋体" w:hAnsi="宋体"/>
          <w:b/>
          <w:color w:val="auto"/>
          <w:sz w:val="24"/>
          <w:szCs w:val="24"/>
        </w:rPr>
        <w:t xml:space="preserve">3.5.7 </w:t>
      </w:r>
      <w:r>
        <w:rPr>
          <w:rFonts w:hint="eastAsia" w:ascii="宋体" w:hAnsi="宋体"/>
          <w:b/>
          <w:color w:val="auto"/>
          <w:sz w:val="24"/>
          <w:szCs w:val="24"/>
        </w:rPr>
        <w:t>价格磋商”条款。</w:t>
      </w:r>
    </w:p>
    <w:p>
      <w:pPr>
        <w:widowControl w:val="0"/>
        <w:snapToGrid w:val="0"/>
        <w:spacing w:line="400" w:lineRule="exact"/>
        <w:ind w:firstLine="480" w:firstLineChars="200"/>
        <w:jc w:val="left"/>
        <w:rPr>
          <w:rFonts w:asci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如投标人的投标报价未超过采购预算（见磋商公告</w:t>
      </w:r>
      <w:r>
        <w:rPr>
          <w:rFonts w:ascii="宋体" w:hAnsi="宋体"/>
          <w:color w:val="auto"/>
          <w:sz w:val="24"/>
          <w:szCs w:val="24"/>
        </w:rPr>
        <w:t>1.</w:t>
      </w:r>
      <w:r>
        <w:rPr>
          <w:rFonts w:hint="eastAsia" w:ascii="宋体" w:hAnsi="宋体"/>
          <w:color w:val="auto"/>
          <w:sz w:val="24"/>
          <w:szCs w:val="24"/>
        </w:rPr>
        <w:t>4）的供应商不足三家的，该标段做废标处理。</w:t>
      </w:r>
    </w:p>
    <w:p>
      <w:pPr>
        <w:widowControl w:val="0"/>
        <w:snapToGrid w:val="0"/>
        <w:spacing w:line="400" w:lineRule="exact"/>
        <w:ind w:firstLine="480" w:firstLineChars="200"/>
        <w:jc w:val="left"/>
        <w:rPr>
          <w:rFonts w:asci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3.7.5</w:t>
      </w:r>
      <w:r>
        <w:rPr>
          <w:rFonts w:hint="eastAsia" w:ascii="宋体" w:hAnsi="宋体"/>
          <w:color w:val="auto"/>
          <w:sz w:val="24"/>
          <w:szCs w:val="24"/>
        </w:rPr>
        <w:t>项规定。</w:t>
      </w:r>
    </w:p>
    <w:p>
      <w:pPr>
        <w:spacing w:line="400" w:lineRule="exact"/>
        <w:outlineLvl w:val="1"/>
        <w:rPr>
          <w:rFonts w:ascii="黑体" w:hAnsi="黑体" w:eastAsia="黑体"/>
          <w:b/>
          <w:color w:val="auto"/>
          <w:sz w:val="28"/>
        </w:rPr>
      </w:pPr>
      <w:bookmarkStart w:id="6" w:name="_Toc14801"/>
      <w:bookmarkStart w:id="7" w:name="_Toc26366085"/>
      <w:r>
        <w:rPr>
          <w:rFonts w:ascii="黑体" w:hAnsi="黑体" w:eastAsia="黑体"/>
          <w:b/>
          <w:color w:val="auto"/>
          <w:sz w:val="28"/>
        </w:rPr>
        <w:t xml:space="preserve">2. </w:t>
      </w:r>
      <w:r>
        <w:rPr>
          <w:rFonts w:hint="eastAsia" w:ascii="黑体" w:hAnsi="黑体" w:eastAsia="黑体"/>
          <w:b/>
          <w:color w:val="auto"/>
          <w:sz w:val="28"/>
        </w:rPr>
        <w:t>标段内容（范围）及基本技术要求</w:t>
      </w:r>
      <w:bookmarkEnd w:id="6"/>
      <w:bookmarkEnd w:id="7"/>
    </w:p>
    <w:p>
      <w:pPr>
        <w:widowControl w:val="0"/>
        <w:snapToGrid w:val="0"/>
        <w:spacing w:line="400" w:lineRule="exact"/>
        <w:ind w:firstLine="241" w:firstLineChars="100"/>
        <w:jc w:val="left"/>
        <w:rPr>
          <w:rFonts w:ascii="宋体" w:hAnsi="宋体"/>
          <w:b/>
          <w:bCs/>
          <w:color w:val="auto"/>
          <w:sz w:val="24"/>
          <w:szCs w:val="24"/>
        </w:rPr>
      </w:pPr>
      <w:r>
        <w:rPr>
          <w:rFonts w:hint="eastAsia" w:ascii="宋体" w:hAnsi="宋体"/>
          <w:b/>
          <w:bCs/>
          <w:color w:val="auto"/>
          <w:sz w:val="24"/>
          <w:szCs w:val="24"/>
        </w:rPr>
        <w:t>2.1 总体技术（方案）要求及标段内容（范围）：详见下述2.4款</w:t>
      </w:r>
    </w:p>
    <w:p>
      <w:pPr>
        <w:widowControl w:val="0"/>
        <w:snapToGrid w:val="0"/>
        <w:spacing w:line="400" w:lineRule="exact"/>
        <w:ind w:firstLine="241" w:firstLineChars="100"/>
        <w:jc w:val="left"/>
        <w:rPr>
          <w:rFonts w:ascii="宋体" w:hAnsi="宋体"/>
          <w:b/>
          <w:bCs/>
          <w:color w:val="auto"/>
          <w:sz w:val="24"/>
          <w:szCs w:val="24"/>
        </w:rPr>
      </w:pPr>
      <w:r>
        <w:rPr>
          <w:rFonts w:hint="eastAsia" w:ascii="宋体" w:hAnsi="宋体"/>
          <w:b/>
          <w:bCs/>
          <w:color w:val="auto"/>
          <w:sz w:val="24"/>
          <w:szCs w:val="24"/>
        </w:rPr>
        <w:t xml:space="preserve">2.2 项目落实的政府采购政策（法规标准条款）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2.2.1 政府采购节能产品、环境标志产品实施品目清单管理后，对本次采购产属于“节能产品政府采购品目清单”中强制采购品目的，响应产品应当具有相应的认证证书（认证证书应当为国家确定的认证机构出具、且应处于有效期之内），响应文件中应当提供相应的认证证书（认证证书应当为国家确定的认证机构出具、且应处于有效期之内）。 </w:t>
      </w:r>
    </w:p>
    <w:p>
      <w:pPr>
        <w:widowControl w:val="0"/>
        <w:snapToGrid w:val="0"/>
        <w:spacing w:line="400" w:lineRule="exact"/>
        <w:jc w:val="left"/>
        <w:rPr>
          <w:rFonts w:ascii="宋体" w:hAnsi="宋体"/>
          <w:color w:val="auto"/>
          <w:sz w:val="24"/>
          <w:szCs w:val="24"/>
        </w:rPr>
      </w:pPr>
      <w:r>
        <w:rPr>
          <w:rFonts w:hint="eastAsia" w:ascii="宋体" w:hAnsi="宋体"/>
          <w:color w:val="auto"/>
          <w:sz w:val="24"/>
          <w:szCs w:val="24"/>
        </w:rPr>
        <w:t xml:space="preserve">属于政府强制采购品目、而未按要求提供相应资料的，为无效投标。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2.2.2 同等条件下，获得节能产品认证证书或环境标志产品认证证书的产品或贫困地区产品优先采购。认证证书应当为国家确定的认证机构出具、且应处于有效期之内。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2.2.3 本次采购不允许进口产品参加。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2.2.4 信息安全产品须通过国家信息安全认证中心认证，计算机产品须预装正版操作系统软件。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2.2.5 促进中小企业发展扶持政策：见第四章“评审办法”第 4 条。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2.2.6 促进残疾人就业、支持监狱企业发展：见第四章“评标办法”第 4 条。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2.2.7 所供产品有商品包装的应当使用绿色包装。所供产品有其他环保政策要求的，应符合相关环保法律政策要求。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2.2.8 支持绿色建筑、绿色建材，支持不发达、少数民族地区的企业，促进自主创新产业发展，支持脱贫攻坚等；同等条件下，优先采购。 </w:t>
      </w:r>
    </w:p>
    <w:p>
      <w:pPr>
        <w:spacing w:line="400" w:lineRule="exact"/>
        <w:ind w:firstLine="241" w:firstLineChars="100"/>
        <w:jc w:val="left"/>
      </w:pPr>
      <w:r>
        <w:rPr>
          <w:rFonts w:hint="eastAsia" w:ascii="黑体" w:hAnsi="宋体" w:eastAsia="黑体" w:cs="黑体"/>
          <w:b/>
          <w:bCs/>
          <w:sz w:val="24"/>
          <w:szCs w:val="24"/>
        </w:rPr>
        <w:t xml:space="preserve">2.3 采购标的需执行的国家相关标准、行业标准、地方标准或者其他标准、规范 </w:t>
      </w:r>
    </w:p>
    <w:p>
      <w:pPr>
        <w:spacing w:line="400" w:lineRule="exact"/>
        <w:ind w:firstLine="480" w:firstLineChars="200"/>
        <w:jc w:val="left"/>
      </w:pPr>
      <w:r>
        <w:rPr>
          <w:rFonts w:hint="eastAsia" w:ascii="宋体" w:hAnsi="宋体" w:cs="宋体"/>
          <w:sz w:val="24"/>
          <w:szCs w:val="24"/>
        </w:rPr>
        <w:t xml:space="preserve">供应商所报响应服务（及所涉货物材料设施）应符合国家质量标准、地方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 </w:t>
      </w:r>
    </w:p>
    <w:p>
      <w:pPr>
        <w:spacing w:line="400" w:lineRule="exact"/>
        <w:ind w:firstLine="241" w:firstLineChars="100"/>
        <w:jc w:val="left"/>
      </w:pPr>
      <w:r>
        <w:rPr>
          <w:rFonts w:hint="eastAsia" w:ascii="黑体" w:hAnsi="宋体" w:eastAsia="黑体" w:cs="黑体"/>
          <w:b/>
          <w:bCs/>
          <w:sz w:val="24"/>
          <w:szCs w:val="24"/>
        </w:rPr>
        <w:t>2.4 具体服务要求及标段（包）内容（范围）</w:t>
      </w:r>
    </w:p>
    <w:p>
      <w:pPr>
        <w:pStyle w:val="5"/>
        <w:spacing w:before="0" w:after="0" w:line="400" w:lineRule="exact"/>
        <w:ind w:firstLine="482" w:firstLineChars="200"/>
        <w:rPr>
          <w:rFonts w:ascii="黑体" w:hAnsi="宋体" w:eastAsia="黑体" w:cs="黑体"/>
          <w:bCs/>
          <w:sz w:val="24"/>
          <w:szCs w:val="24"/>
          <w:lang w:val="zh-CN"/>
        </w:rPr>
      </w:pPr>
      <w:r>
        <w:rPr>
          <w:rFonts w:hint="eastAsia" w:ascii="黑体" w:hAnsi="宋体" w:eastAsia="黑体" w:cs="黑体"/>
          <w:bCs/>
          <w:sz w:val="24"/>
          <w:szCs w:val="24"/>
        </w:rPr>
        <w:t>2.4.1 采购清单</w:t>
      </w:r>
    </w:p>
    <w:tbl>
      <w:tblPr>
        <w:tblStyle w:val="25"/>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238"/>
        <w:gridCol w:w="625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jc w:val="center"/>
            </w:pPr>
            <w:r>
              <w:rPr>
                <w:rFonts w:hint="eastAsia"/>
              </w:rPr>
              <w:t>序号</w:t>
            </w:r>
          </w:p>
        </w:tc>
        <w:tc>
          <w:tcPr>
            <w:tcW w:w="1238" w:type="dxa"/>
            <w:vAlign w:val="center"/>
          </w:tcPr>
          <w:p>
            <w:pPr>
              <w:jc w:val="center"/>
            </w:pPr>
            <w:r>
              <w:rPr>
                <w:rFonts w:hint="eastAsia"/>
              </w:rPr>
              <w:t>产品</w:t>
            </w:r>
          </w:p>
          <w:p>
            <w:pPr>
              <w:jc w:val="center"/>
            </w:pPr>
            <w:r>
              <w:rPr>
                <w:rFonts w:hint="eastAsia"/>
              </w:rPr>
              <w:t>名称</w:t>
            </w:r>
          </w:p>
        </w:tc>
        <w:tc>
          <w:tcPr>
            <w:tcW w:w="6251" w:type="dxa"/>
            <w:vAlign w:val="center"/>
          </w:tcPr>
          <w:p>
            <w:pPr>
              <w:jc w:val="center"/>
            </w:pPr>
            <w:r>
              <w:rPr>
                <w:rFonts w:hint="eastAsia"/>
              </w:rPr>
              <w:t>产品参数</w:t>
            </w:r>
          </w:p>
        </w:tc>
        <w:tc>
          <w:tcPr>
            <w:tcW w:w="1110" w:type="dxa"/>
            <w:vAlign w:val="center"/>
          </w:tcPr>
          <w:p>
            <w:pPr>
              <w:jc w:val="center"/>
            </w:pPr>
            <w:r>
              <w:rPr>
                <w:rFonts w:hint="eastAsia"/>
              </w:rPr>
              <w:t>产品数量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16" w:type="dxa"/>
            <w:vAlign w:val="center"/>
          </w:tcPr>
          <w:p>
            <w:r>
              <w:rPr>
                <w:rFonts w:hint="eastAsia"/>
                <w:sz w:val="18"/>
                <w:szCs w:val="18"/>
              </w:rPr>
              <w:t>1</w:t>
            </w:r>
          </w:p>
        </w:tc>
        <w:tc>
          <w:tcPr>
            <w:tcW w:w="1238" w:type="dxa"/>
            <w:vAlign w:val="center"/>
          </w:tcPr>
          <w:p>
            <w:pPr>
              <w:jc w:val="center"/>
              <w:textAlignment w:val="center"/>
            </w:pPr>
            <w:r>
              <w:rPr>
                <w:rFonts w:hint="eastAsia" w:ascii="仿宋" w:hAnsi="仿宋" w:eastAsia="仿宋" w:cs="仿宋"/>
                <w:sz w:val="24"/>
                <w:szCs w:val="24"/>
              </w:rPr>
              <w:t>告示牌</w:t>
            </w:r>
          </w:p>
        </w:tc>
        <w:tc>
          <w:tcPr>
            <w:tcW w:w="6251" w:type="dxa"/>
            <w:vAlign w:val="center"/>
          </w:tcPr>
          <w:p>
            <w:pPr>
              <w:jc w:val="left"/>
              <w:textAlignment w:val="center"/>
            </w:pPr>
            <w:r>
              <w:rPr>
                <w:rFonts w:hint="eastAsia" w:ascii="宋体" w:hAnsi="宋体" w:cs="宋体"/>
                <w:sz w:val="20"/>
              </w:rPr>
              <w:t>1、器材主要承载立柱采用不小于Φ114x3.0mm优质钢管。牌面采用双面腐蚀标准304以上不锈钢材质厚度不小于1.0mm。</w:t>
            </w:r>
            <w:r>
              <w:rPr>
                <w:rFonts w:hint="eastAsia" w:ascii="宋体" w:hAnsi="宋体" w:cs="宋体"/>
                <w:sz w:val="20"/>
              </w:rPr>
              <w:br w:type="textWrapping"/>
            </w:r>
            <w:r>
              <w:rPr>
                <w:rFonts w:hint="eastAsia" w:ascii="宋体" w:hAnsi="宋体" w:cs="宋体"/>
                <w:sz w:val="20"/>
              </w:rPr>
              <w:t>2、主要功能：用来警示和提示锻炼人员的作用。</w:t>
            </w:r>
            <w:r>
              <w:rPr>
                <w:rFonts w:hint="eastAsia" w:ascii="宋体" w:hAnsi="宋体" w:cs="宋体"/>
                <w:sz w:val="20"/>
              </w:rPr>
              <w:br w:type="textWrapping"/>
            </w:r>
            <w:r>
              <w:rPr>
                <w:rFonts w:hint="eastAsia" w:ascii="宋体" w:hAnsi="宋体" w:cs="宋体"/>
                <w:sz w:val="20"/>
              </w:rPr>
              <w:t>3、产品安全要求：</w:t>
            </w:r>
            <w:r>
              <w:rPr>
                <w:rFonts w:hint="eastAsia" w:ascii="宋体" w:hAnsi="宋体" w:cs="宋体"/>
                <w:sz w:val="20"/>
              </w:rPr>
              <w:br w:type="textWrapping"/>
            </w:r>
            <w:r>
              <w:rPr>
                <w:rFonts w:hint="eastAsia" w:ascii="宋体" w:hAnsi="宋体" w:cs="宋体"/>
                <w:sz w:val="20"/>
              </w:rPr>
              <w:t>闭合开口不闭合开口符合GB19272-2011要求；器材各支撑棱边和尖角半径≤3.0mm，使用者或第三者易接触的零部件的其他所有棱边进行圆滑过渡，防止对使用者或者第三者造成伤害。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4、产品符合GB19272-2011(室外健身器材的安全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r>
              <w:rPr>
                <w:rFonts w:hint="eastAsia"/>
                <w:sz w:val="18"/>
                <w:szCs w:val="18"/>
              </w:rPr>
              <w:t>2</w:t>
            </w:r>
          </w:p>
        </w:tc>
        <w:tc>
          <w:tcPr>
            <w:tcW w:w="1238" w:type="dxa"/>
            <w:vAlign w:val="center"/>
          </w:tcPr>
          <w:p>
            <w:pPr>
              <w:jc w:val="center"/>
              <w:textAlignment w:val="center"/>
            </w:pPr>
            <w:r>
              <w:rPr>
                <w:rFonts w:hint="eastAsia" w:ascii="仿宋" w:hAnsi="仿宋" w:eastAsia="仿宋" w:cs="仿宋"/>
                <w:sz w:val="24"/>
                <w:szCs w:val="24"/>
              </w:rPr>
              <w:t>拉伸撑体压腿组合器</w:t>
            </w:r>
          </w:p>
        </w:tc>
        <w:tc>
          <w:tcPr>
            <w:tcW w:w="6251" w:type="dxa"/>
            <w:vAlign w:val="center"/>
          </w:tcPr>
          <w:p>
            <w:pPr>
              <w:jc w:val="left"/>
              <w:textAlignment w:val="center"/>
            </w:pPr>
            <w:r>
              <w:rPr>
                <w:rFonts w:hint="eastAsia" w:ascii="宋体" w:hAnsi="宋体" w:cs="宋体"/>
                <w:sz w:val="20"/>
              </w:rPr>
              <w:t>1、器材主要承载立柱采用不小于Φ114x3.0mm优质钢管，主承载横梁采用不小于φ32x3mm国标圆管制作。</w:t>
            </w:r>
            <w:r>
              <w:rPr>
                <w:rFonts w:hint="eastAsia" w:ascii="宋体" w:hAnsi="宋体" w:cs="宋体"/>
                <w:sz w:val="20"/>
              </w:rPr>
              <w:br w:type="textWrapping"/>
            </w:r>
            <w:r>
              <w:rPr>
                <w:rFonts w:hint="eastAsia" w:ascii="宋体" w:hAnsi="宋体" w:cs="宋体"/>
                <w:sz w:val="20"/>
              </w:rPr>
              <w:t>2、锻炼方法：拉伸：双手紧握横梁或支撑在扶手管上，做支撑或拉伸运动；撑体：手握杠两臂同时用力将身体撑起，然后做屈肘和直臂撑起的动作(臂屈伸)，重复动作。压腿：单腿放置横杆上，缓慢向下按压，用力不要太猛。</w:t>
            </w:r>
            <w:r>
              <w:rPr>
                <w:rFonts w:hint="eastAsia" w:ascii="宋体" w:hAnsi="宋体" w:cs="宋体"/>
                <w:sz w:val="20"/>
              </w:rPr>
              <w:br w:type="textWrapping"/>
            </w:r>
            <w:r>
              <w:rPr>
                <w:rFonts w:hint="eastAsia" w:ascii="宋体" w:hAnsi="宋体" w:cs="宋体"/>
                <w:sz w:val="20"/>
              </w:rPr>
              <w:t>3、主要功能：锻炼人体腰、背,部肌肉改善血液循环,锻炼腿部柔韧性,增强体质.拉伸腿部肌肉，进行热身或整理运动，强化腹部肌肉，促进四肢灵活性。</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r>
              <w:rPr>
                <w:rFonts w:hint="eastAsia"/>
                <w:sz w:val="18"/>
                <w:szCs w:val="18"/>
              </w:rPr>
              <w:t>3</w:t>
            </w:r>
          </w:p>
        </w:tc>
        <w:tc>
          <w:tcPr>
            <w:tcW w:w="1238" w:type="dxa"/>
            <w:vAlign w:val="center"/>
          </w:tcPr>
          <w:p>
            <w:pPr>
              <w:jc w:val="center"/>
              <w:textAlignment w:val="center"/>
            </w:pPr>
            <w:r>
              <w:rPr>
                <w:rFonts w:hint="eastAsia" w:ascii="仿宋" w:hAnsi="仿宋" w:eastAsia="仿宋" w:cs="仿宋"/>
                <w:sz w:val="24"/>
                <w:szCs w:val="24"/>
              </w:rPr>
              <w:t>三位扭腰器</w:t>
            </w:r>
          </w:p>
        </w:tc>
        <w:tc>
          <w:tcPr>
            <w:tcW w:w="6251" w:type="dxa"/>
            <w:vAlign w:val="center"/>
          </w:tcPr>
          <w:p>
            <w:pPr>
              <w:jc w:val="left"/>
              <w:textAlignment w:val="center"/>
            </w:pPr>
            <w:r>
              <w:rPr>
                <w:rFonts w:hint="eastAsia" w:ascii="宋体" w:hAnsi="宋体" w:cs="宋体"/>
                <w:sz w:val="20"/>
              </w:rPr>
              <w:t>1、器材主要承载立柱采用不小于Φ114x3.0mm优质钢管，扭腰立柱采用不小于Φ76x3.0圆管。转腰内部采用阻尼结构，控制转动速度，保证使用者人身安全。</w:t>
            </w:r>
            <w:r>
              <w:rPr>
                <w:rFonts w:hint="eastAsia" w:ascii="宋体" w:hAnsi="宋体" w:cs="宋体"/>
                <w:sz w:val="20"/>
              </w:rPr>
              <w:br w:type="textWrapping"/>
            </w:r>
            <w:r>
              <w:rPr>
                <w:rFonts w:hint="eastAsia" w:ascii="宋体" w:hAnsi="宋体" w:cs="宋体"/>
                <w:sz w:val="20"/>
              </w:rPr>
              <w:t>2、锻炼方法：双手握着手柄，双脚稳站在圆盘上，腰部发力带动下肢左右扭转。</w:t>
            </w:r>
            <w:r>
              <w:rPr>
                <w:rFonts w:hint="eastAsia" w:ascii="宋体" w:hAnsi="宋体" w:cs="宋体"/>
                <w:sz w:val="20"/>
              </w:rPr>
              <w:br w:type="textWrapping"/>
            </w:r>
            <w:r>
              <w:rPr>
                <w:rFonts w:hint="eastAsia" w:ascii="宋体" w:hAnsi="宋体" w:cs="宋体"/>
                <w:sz w:val="20"/>
              </w:rPr>
              <w:t>3、主要功能：锻炼腰部和髋部关节，增强腰部的柔韧性和灵活性。强健消化系统和内脏，对肝、胆、肾病有强健和预防作用。脚踏圆盘上的凸起圆点可以通过按摩足底穴位，调节人体内分泌和微循环。</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r>
              <w:rPr>
                <w:rFonts w:hint="eastAsia"/>
                <w:sz w:val="18"/>
                <w:szCs w:val="18"/>
              </w:rPr>
              <w:t>4</w:t>
            </w:r>
          </w:p>
        </w:tc>
        <w:tc>
          <w:tcPr>
            <w:tcW w:w="1238" w:type="dxa"/>
            <w:vAlign w:val="center"/>
          </w:tcPr>
          <w:p>
            <w:pPr>
              <w:jc w:val="center"/>
              <w:textAlignment w:val="center"/>
            </w:pPr>
            <w:r>
              <w:rPr>
                <w:rFonts w:hint="eastAsia" w:ascii="仿宋" w:hAnsi="仿宋" w:eastAsia="仿宋" w:cs="仿宋"/>
                <w:sz w:val="24"/>
                <w:szCs w:val="24"/>
              </w:rPr>
              <w:t>双人漫步机</w:t>
            </w:r>
          </w:p>
        </w:tc>
        <w:tc>
          <w:tcPr>
            <w:tcW w:w="6251" w:type="dxa"/>
            <w:vAlign w:val="center"/>
          </w:tcPr>
          <w:p>
            <w:pPr>
              <w:jc w:val="left"/>
              <w:textAlignment w:val="center"/>
            </w:pPr>
            <w:r>
              <w:rPr>
                <w:rFonts w:hint="eastAsia" w:ascii="宋体" w:hAnsi="宋体" w:cs="宋体"/>
                <w:sz w:val="20"/>
              </w:rPr>
              <w:t>1、器材主要承载立柱采用不小于Φ114x3.0mm优质钢管，摆杆部件采用优质铸钢内装限位结构，踏板厚度T=4.0，踏板内部有防滑凹凸台；踏板主运动方向与易脱落方向设置高度为32mm的防撞胶条。</w:t>
            </w:r>
            <w:r>
              <w:rPr>
                <w:rFonts w:hint="eastAsia" w:ascii="宋体" w:hAnsi="宋体" w:cs="宋体"/>
                <w:sz w:val="20"/>
              </w:rPr>
              <w:br w:type="textWrapping"/>
            </w:r>
            <w:r>
              <w:rPr>
                <w:rFonts w:hint="eastAsia" w:ascii="宋体" w:hAnsi="宋体" w:cs="宋体"/>
                <w:sz w:val="20"/>
              </w:rPr>
              <w:t>2、锻炼方法：双手紧握横杆，双脚分别站在两踏板上，双腿交替地作前后摆动，如太空般行走。</w:t>
            </w:r>
            <w:r>
              <w:rPr>
                <w:rFonts w:hint="eastAsia" w:ascii="宋体" w:hAnsi="宋体" w:cs="宋体"/>
                <w:sz w:val="20"/>
              </w:rPr>
              <w:br w:type="textWrapping"/>
            </w:r>
            <w:r>
              <w:rPr>
                <w:rFonts w:hint="eastAsia" w:ascii="宋体" w:hAnsi="宋体" w:cs="宋体"/>
                <w:sz w:val="20"/>
              </w:rPr>
              <w:t>3、主要功能：提高身体的协调性、平衡能力，增强心肺功能；锻炼腿部耐力。对膝关节、髋关节及腿部疾病有一定的康复作用。</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5、摆杆部件采用优质铸钢内装限位结构，单侧摆动幅度不大于65°，且无刚性碰撞。</w:t>
            </w:r>
            <w:r>
              <w:rPr>
                <w:rFonts w:hint="eastAsia" w:ascii="宋体" w:hAnsi="宋体" w:cs="宋体"/>
                <w:sz w:val="20"/>
              </w:rPr>
              <w:br w:type="textWrapping"/>
            </w:r>
            <w:r>
              <w:rPr>
                <w:rFonts w:hint="eastAsia" w:ascii="宋体" w:hAnsi="宋体" w:cs="宋体"/>
                <w:sz w:val="20"/>
              </w:rPr>
              <w:t>6、摆杆与立柱内侧最小间70mm，摆杆部件下沿距离地面最小高度为80mm</w:t>
            </w:r>
            <w:r>
              <w:rPr>
                <w:rFonts w:hint="eastAsia" w:ascii="宋体" w:hAnsi="宋体" w:cs="宋体"/>
                <w:sz w:val="20"/>
              </w:rPr>
              <w:br w:type="textWrapping"/>
            </w:r>
            <w:r>
              <w:rPr>
                <w:rFonts w:hint="eastAsia" w:ascii="宋体" w:hAnsi="宋体" w:cs="宋体"/>
                <w:sz w:val="20"/>
              </w:rPr>
              <w:t>7、踏板厚度不小于4mm，踏板内部有防滑凹凸台；踏板主运动方向与易脱落方向设置高度为32mm的防撞胶条。</w:t>
            </w:r>
            <w:r>
              <w:rPr>
                <w:rFonts w:hint="eastAsia" w:ascii="宋体" w:hAnsi="宋体" w:cs="宋体"/>
                <w:sz w:val="20"/>
              </w:rPr>
              <w:br w:type="textWrapping"/>
            </w:r>
            <w:r>
              <w:rPr>
                <w:rFonts w:hint="eastAsia" w:ascii="宋体" w:hAnsi="宋体" w:cs="宋体"/>
                <w:sz w:val="20"/>
              </w:rPr>
              <w:t>8、产品符合GB19272-2011(室外健身器材的安全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rPr>
                <w:sz w:val="18"/>
                <w:szCs w:val="18"/>
              </w:rPr>
            </w:pPr>
            <w:r>
              <w:rPr>
                <w:rFonts w:hint="eastAsia"/>
                <w:sz w:val="18"/>
                <w:szCs w:val="18"/>
              </w:rPr>
              <w:t>5</w:t>
            </w:r>
          </w:p>
        </w:tc>
        <w:tc>
          <w:tcPr>
            <w:tcW w:w="1238" w:type="dxa"/>
            <w:vAlign w:val="center"/>
          </w:tcPr>
          <w:p>
            <w:pPr>
              <w:jc w:val="center"/>
              <w:textAlignment w:val="center"/>
            </w:pPr>
            <w:r>
              <w:rPr>
                <w:rFonts w:hint="eastAsia" w:ascii="仿宋" w:hAnsi="仿宋" w:eastAsia="仿宋" w:cs="仿宋"/>
                <w:sz w:val="24"/>
                <w:szCs w:val="24"/>
              </w:rPr>
              <w:t>腰背按摩器</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1、器材主要承载立柱采用不小于Φ114x3.0mm优质钢管。按摩棒采用PVC材质，表面硬度适中，符合人体按摩使用要求。</w:t>
            </w:r>
            <w:r>
              <w:rPr>
                <w:rFonts w:hint="eastAsia" w:ascii="宋体" w:hAnsi="宋体" w:cs="宋体"/>
                <w:sz w:val="20"/>
              </w:rPr>
              <w:br w:type="textWrapping"/>
            </w:r>
            <w:r>
              <w:rPr>
                <w:rFonts w:hint="eastAsia" w:ascii="宋体" w:hAnsi="宋体" w:cs="宋体"/>
                <w:sz w:val="20"/>
              </w:rPr>
              <w:t>2、锻炼方法：⑴背向器材站立，背部紧贴两个按摩棒，使身体左右移动。</w:t>
            </w:r>
            <w:r>
              <w:rPr>
                <w:rFonts w:hint="eastAsia" w:ascii="宋体" w:hAnsi="宋体" w:cs="宋体"/>
                <w:sz w:val="20"/>
              </w:rPr>
              <w:br w:type="textWrapping"/>
            </w:r>
            <w:r>
              <w:rPr>
                <w:rFonts w:hint="eastAsia" w:ascii="宋体" w:hAnsi="宋体" w:cs="宋体"/>
                <w:sz w:val="20"/>
              </w:rPr>
              <w:t>⑵背向站于器材前，双手握住扶手，腰部贴着按摩棒，屈膝使按摩棒滚动。</w:t>
            </w:r>
            <w:r>
              <w:rPr>
                <w:rFonts w:hint="eastAsia" w:ascii="宋体" w:hAnsi="宋体" w:cs="宋体"/>
                <w:sz w:val="20"/>
              </w:rPr>
              <w:br w:type="textWrapping"/>
            </w:r>
            <w:r>
              <w:rPr>
                <w:rFonts w:hint="eastAsia" w:ascii="宋体" w:hAnsi="宋体" w:cs="宋体"/>
                <w:sz w:val="20"/>
              </w:rPr>
              <w:t>3、主要功能：按摩腰、背部穴位和毛细血管，缓解腰、背部疲劳，改善血液循环和调节腰背部神经系统，经常锻炼可以改善睡眠。</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5、按摩棒采用PVC材质，表面硬度适中，符合人体按摩使用要求；</w:t>
            </w:r>
            <w:r>
              <w:rPr>
                <w:rFonts w:hint="eastAsia" w:ascii="宋体" w:hAnsi="宋体" w:cs="宋体"/>
                <w:sz w:val="20"/>
              </w:rPr>
              <w:br w:type="textWrapping"/>
            </w:r>
            <w:r>
              <w:rPr>
                <w:rFonts w:hint="eastAsia" w:ascii="宋体" w:hAnsi="宋体" w:cs="宋体"/>
                <w:sz w:val="20"/>
              </w:rPr>
              <w:t>6、产品符合GB19272-2011(室外健身器材的安全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rPr>
                <w:sz w:val="18"/>
                <w:szCs w:val="18"/>
              </w:rPr>
            </w:pPr>
            <w:r>
              <w:rPr>
                <w:rFonts w:hint="eastAsia"/>
                <w:sz w:val="18"/>
                <w:szCs w:val="18"/>
              </w:rPr>
              <w:t>6</w:t>
            </w:r>
          </w:p>
        </w:tc>
        <w:tc>
          <w:tcPr>
            <w:tcW w:w="1238" w:type="dxa"/>
            <w:vAlign w:val="center"/>
          </w:tcPr>
          <w:p>
            <w:pPr>
              <w:jc w:val="center"/>
              <w:textAlignment w:val="center"/>
            </w:pPr>
            <w:r>
              <w:rPr>
                <w:rFonts w:hint="eastAsia" w:ascii="仿宋" w:hAnsi="仿宋" w:eastAsia="仿宋" w:cs="仿宋"/>
                <w:sz w:val="24"/>
                <w:szCs w:val="24"/>
              </w:rPr>
              <w:t>上肢牵引器</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1、器材主要承载立柱采用不小于Φ114x3.0mm优质钢管，器材支撑横梁采用不小于Φ60x3.0mm，限位采用铸钢型内限位结构，撞击垫采用聚氨酯材料。</w:t>
            </w:r>
            <w:r>
              <w:rPr>
                <w:rFonts w:hint="eastAsia" w:ascii="宋体" w:hAnsi="宋体" w:cs="宋体"/>
                <w:sz w:val="20"/>
              </w:rPr>
              <w:br w:type="textWrapping"/>
            </w:r>
            <w:r>
              <w:rPr>
                <w:rFonts w:hint="eastAsia" w:ascii="宋体" w:hAnsi="宋体" w:cs="宋体"/>
                <w:sz w:val="20"/>
              </w:rPr>
              <w:t>2、锻炼方法：健身者站在牵引器的正下方，两臂向上伸直，两手分别抓握手柄，两臂互为阻力、互相对抗，垂直上下交替拉动。</w:t>
            </w:r>
            <w:r>
              <w:rPr>
                <w:rFonts w:hint="eastAsia" w:ascii="宋体" w:hAnsi="宋体" w:cs="宋体"/>
                <w:sz w:val="20"/>
              </w:rPr>
              <w:br w:type="textWrapping"/>
            </w:r>
            <w:r>
              <w:rPr>
                <w:rFonts w:hint="eastAsia" w:ascii="宋体" w:hAnsi="宋体" w:cs="宋体"/>
                <w:sz w:val="20"/>
              </w:rPr>
              <w:t>3、主要功能：它能锻炼肩、手腕、手臂部肌肉，提高上肢灵活性，增强肩关节周围肌肉与韧带的柔韧性，对肩关节功能与陈旧性损伤有积极康复作用。</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5、限位采用铸钢型内限位结构，撞击垫采用聚氨酯材料，抗撞击、弹性好、抗老化、抗高低温。</w:t>
            </w:r>
            <w:r>
              <w:rPr>
                <w:rFonts w:hint="eastAsia" w:ascii="宋体" w:hAnsi="宋体" w:cs="宋体"/>
                <w:sz w:val="20"/>
              </w:rPr>
              <w:br w:type="textWrapping"/>
            </w:r>
            <w:r>
              <w:rPr>
                <w:rFonts w:hint="eastAsia" w:ascii="宋体" w:hAnsi="宋体" w:cs="宋体"/>
                <w:sz w:val="20"/>
              </w:rPr>
              <w:t>6、轴端与立柱焊接，套端与摆杆焊接，采用4个优质6205轴承，限位左右摆动角度，外露边沿全部R3倒角，减小碰撞伤害；</w:t>
            </w:r>
            <w:r>
              <w:rPr>
                <w:rFonts w:hint="eastAsia" w:ascii="宋体" w:hAnsi="宋体" w:cs="宋体"/>
                <w:sz w:val="20"/>
              </w:rPr>
              <w:br w:type="textWrapping"/>
            </w:r>
            <w:r>
              <w:rPr>
                <w:rFonts w:hint="eastAsia" w:ascii="宋体" w:hAnsi="宋体" w:cs="宋体"/>
                <w:sz w:val="20"/>
              </w:rPr>
              <w:t>7、产品符合GB19272-2011(室外健身器材的安全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rPr>
                <w:sz w:val="18"/>
                <w:szCs w:val="18"/>
              </w:rPr>
            </w:pPr>
            <w:r>
              <w:rPr>
                <w:rFonts w:hint="eastAsia"/>
                <w:sz w:val="18"/>
                <w:szCs w:val="18"/>
              </w:rPr>
              <w:t>7</w:t>
            </w:r>
          </w:p>
        </w:tc>
        <w:tc>
          <w:tcPr>
            <w:tcW w:w="1238" w:type="dxa"/>
            <w:vAlign w:val="center"/>
          </w:tcPr>
          <w:p>
            <w:pPr>
              <w:jc w:val="center"/>
              <w:textAlignment w:val="center"/>
            </w:pPr>
            <w:r>
              <w:rPr>
                <w:rFonts w:hint="eastAsia" w:ascii="仿宋" w:hAnsi="仿宋" w:eastAsia="仿宋" w:cs="仿宋"/>
                <w:sz w:val="24"/>
                <w:szCs w:val="24"/>
              </w:rPr>
              <w:t>腿部按摩器</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 扶手管与立柱焊接连接；按摩轮分为高低两个按摩位，适合不同身高人群使用。</w:t>
            </w:r>
            <w:r>
              <w:rPr>
                <w:rFonts w:hint="eastAsia" w:ascii="宋体" w:hAnsi="宋体" w:cs="宋体"/>
                <w:sz w:val="20"/>
              </w:rPr>
              <w:br w:type="textWrapping"/>
            </w:r>
            <w:r>
              <w:rPr>
                <w:rFonts w:hint="eastAsia" w:ascii="宋体" w:hAnsi="宋体" w:cs="宋体"/>
                <w:sz w:val="20"/>
              </w:rPr>
              <w:t>2、锻炼方法：练习者正对器材，一腿站立伸直，另一只腿抬起伸直，将脚踝处放在横杆上，然后前后移动以按摩腿部肌肉。</w:t>
            </w:r>
            <w:r>
              <w:rPr>
                <w:rFonts w:hint="eastAsia" w:ascii="宋体" w:hAnsi="宋体" w:cs="宋体"/>
                <w:sz w:val="20"/>
              </w:rPr>
              <w:br w:type="textWrapping"/>
            </w:r>
            <w:r>
              <w:rPr>
                <w:rFonts w:hint="eastAsia" w:ascii="宋体" w:hAnsi="宋体" w:cs="宋体"/>
                <w:sz w:val="20"/>
              </w:rPr>
              <w:t>3、主要功能：拉伸腿部肌肉韧带、按摩腿部肌肉提高腿部灵活性。</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5、按摩轮采用尼龙材质，抗老化，抗高低温，按摩效果舒适，安全耐用，按摩轮分为高低两个按摩位，适合不同身高人群使用</w:t>
            </w:r>
            <w:r>
              <w:rPr>
                <w:rFonts w:hint="eastAsia" w:ascii="宋体" w:hAnsi="宋体" w:cs="宋体"/>
                <w:sz w:val="20"/>
              </w:rPr>
              <w:br w:type="textWrapping"/>
            </w:r>
            <w:r>
              <w:rPr>
                <w:rFonts w:hint="eastAsia" w:ascii="宋体" w:hAnsi="宋体" w:cs="宋体"/>
                <w:sz w:val="20"/>
              </w:rPr>
              <w:t>6、产品符合GB19272-2011(室外健身器材的安全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rPr>
                <w:sz w:val="18"/>
                <w:szCs w:val="18"/>
              </w:rPr>
            </w:pPr>
            <w:r>
              <w:rPr>
                <w:rFonts w:hint="eastAsia"/>
                <w:sz w:val="18"/>
                <w:szCs w:val="18"/>
              </w:rPr>
              <w:t>8</w:t>
            </w:r>
          </w:p>
        </w:tc>
        <w:tc>
          <w:tcPr>
            <w:tcW w:w="1238" w:type="dxa"/>
            <w:vAlign w:val="center"/>
          </w:tcPr>
          <w:p>
            <w:pPr>
              <w:jc w:val="center"/>
              <w:textAlignment w:val="center"/>
            </w:pPr>
            <w:r>
              <w:rPr>
                <w:rFonts w:hint="eastAsia" w:ascii="仿宋" w:hAnsi="仿宋" w:eastAsia="仿宋" w:cs="仿宋"/>
                <w:sz w:val="24"/>
                <w:szCs w:val="24"/>
              </w:rPr>
              <w:t>太极揉推器</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1、器材主要承载立柱采用不小于Φ114x3.0mm优质钢管，柔推盘采用不小于Φ450x4.0铁盘。内部采用两轴承中间增加耐磨尼龙阻尼结构，控制转盘转动速度，保证使用者人身安全。</w:t>
            </w:r>
            <w:r>
              <w:rPr>
                <w:rFonts w:hint="eastAsia" w:ascii="宋体" w:hAnsi="宋体" w:cs="宋体"/>
                <w:sz w:val="20"/>
              </w:rPr>
              <w:br w:type="textWrapping"/>
            </w:r>
            <w:r>
              <w:rPr>
                <w:rFonts w:hint="eastAsia" w:ascii="宋体" w:hAnsi="宋体" w:cs="宋体"/>
                <w:sz w:val="20"/>
              </w:rPr>
              <w:t>2、锻炼方法：双腿微曲成马步或自然站立，双手分别握住手柄作同向或反向转动转盘。</w:t>
            </w:r>
            <w:r>
              <w:rPr>
                <w:rFonts w:hint="eastAsia" w:ascii="宋体" w:hAnsi="宋体" w:cs="宋体"/>
                <w:sz w:val="20"/>
              </w:rPr>
              <w:br w:type="textWrapping"/>
            </w:r>
            <w:r>
              <w:rPr>
                <w:rFonts w:hint="eastAsia" w:ascii="宋体" w:hAnsi="宋体" w:cs="宋体"/>
                <w:sz w:val="20"/>
              </w:rPr>
              <w:t>3、主要功能：增强上肢关节的灵活性和柔韧性，舒筋活络，缓解肩背疲劳，对肩、肘和腕关节疾病有一定的康复作用，对手掌穴位有按摩作用。</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5、柔推盘使用铁盘。内部采用两轴承中间增加耐磨尼龙阻尼结构，控制转盘转动速度，保证使用者人身安全</w:t>
            </w:r>
            <w:r>
              <w:rPr>
                <w:rFonts w:hint="eastAsia" w:ascii="宋体" w:hAnsi="宋体" w:cs="宋体"/>
                <w:sz w:val="20"/>
              </w:rPr>
              <w:br w:type="textWrapping"/>
            </w:r>
            <w:r>
              <w:rPr>
                <w:rFonts w:hint="eastAsia" w:ascii="宋体" w:hAnsi="宋体" w:cs="宋体"/>
                <w:sz w:val="20"/>
              </w:rPr>
              <w:t>6、产品符合GB19272-2011(室外健身器材的安全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16" w:type="dxa"/>
            <w:vAlign w:val="center"/>
          </w:tcPr>
          <w:p>
            <w:pPr>
              <w:rPr>
                <w:sz w:val="18"/>
                <w:szCs w:val="18"/>
              </w:rPr>
            </w:pPr>
            <w:r>
              <w:rPr>
                <w:rFonts w:hint="eastAsia"/>
                <w:sz w:val="18"/>
                <w:szCs w:val="18"/>
              </w:rPr>
              <w:t>9</w:t>
            </w:r>
          </w:p>
        </w:tc>
        <w:tc>
          <w:tcPr>
            <w:tcW w:w="1238" w:type="dxa"/>
            <w:vAlign w:val="center"/>
          </w:tcPr>
          <w:p>
            <w:pPr>
              <w:jc w:val="center"/>
              <w:textAlignment w:val="center"/>
            </w:pPr>
            <w:r>
              <w:rPr>
                <w:rFonts w:hint="eastAsia" w:ascii="仿宋" w:hAnsi="仿宋" w:eastAsia="仿宋" w:cs="仿宋"/>
                <w:sz w:val="24"/>
                <w:szCs w:val="24"/>
              </w:rPr>
              <w:t>骑马机</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1、器材主要承载立柱采用不小于Φ114x3.0mm优质钢管，踩踏横管采用不小于Φ60x3mm国标钢管，双脚踩踏处设有防滑装置，避免踩踏滑脱造成人身伤害；限位采用全铸钢三面撞击式内限位，增大受力面积。</w:t>
            </w:r>
            <w:r>
              <w:rPr>
                <w:rFonts w:hint="eastAsia" w:ascii="宋体" w:hAnsi="宋体" w:cs="宋体"/>
                <w:sz w:val="20"/>
              </w:rPr>
              <w:br w:type="textWrapping"/>
            </w:r>
            <w:r>
              <w:rPr>
                <w:rFonts w:hint="eastAsia" w:ascii="宋体" w:hAnsi="宋体" w:cs="宋体"/>
                <w:sz w:val="20"/>
              </w:rPr>
              <w:t>2、锻炼方法：在座椅上坐稳，双手紧握手柄，两脚踩在踏板上，然后脚向前方蹬，手向后拉，作伸缩运动。</w:t>
            </w:r>
            <w:r>
              <w:rPr>
                <w:rFonts w:hint="eastAsia" w:ascii="宋体" w:hAnsi="宋体" w:cs="宋体"/>
                <w:sz w:val="20"/>
              </w:rPr>
              <w:br w:type="textWrapping"/>
            </w:r>
            <w:r>
              <w:rPr>
                <w:rFonts w:hint="eastAsia" w:ascii="宋体" w:hAnsi="宋体" w:cs="宋体"/>
                <w:sz w:val="20"/>
              </w:rPr>
              <w:t>3、主要功能：活动全身关节肌肉，增强心肺功能，对腕、肘、髋关节屈伸功能性障碍、四肢及腰背酸痛等有康复作用。</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5、踩踏横管采用直径国标钢管，双脚踩踏处设有防滑装置，避免踩踏滑脱造成人身伤害。</w:t>
            </w:r>
            <w:r>
              <w:rPr>
                <w:rFonts w:hint="eastAsia" w:ascii="宋体" w:hAnsi="宋体" w:cs="宋体"/>
                <w:sz w:val="20"/>
              </w:rPr>
              <w:br w:type="textWrapping"/>
            </w:r>
            <w:r>
              <w:rPr>
                <w:rFonts w:hint="eastAsia" w:ascii="宋体" w:hAnsi="宋体" w:cs="宋体"/>
                <w:sz w:val="20"/>
              </w:rPr>
              <w:t>6、限位采用全铸钢三面撞击式内限位，增大受力面积，撞击垫材质采用聚氨酯，抗撞击、弹性好、抗老化、抗高低温</w:t>
            </w:r>
            <w:r>
              <w:rPr>
                <w:rFonts w:hint="eastAsia" w:ascii="宋体" w:hAnsi="宋体" w:cs="宋体"/>
                <w:sz w:val="20"/>
              </w:rPr>
              <w:br w:type="textWrapping"/>
            </w:r>
            <w:r>
              <w:rPr>
                <w:rFonts w:hint="eastAsia" w:ascii="宋体" w:hAnsi="宋体" w:cs="宋体"/>
                <w:sz w:val="20"/>
              </w:rPr>
              <w:t>7、产品符合GB19272-2011(室外健身器材的安全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rPr>
                <w:sz w:val="18"/>
                <w:szCs w:val="18"/>
              </w:rPr>
            </w:pPr>
            <w:r>
              <w:rPr>
                <w:rFonts w:hint="eastAsia"/>
                <w:sz w:val="18"/>
                <w:szCs w:val="18"/>
              </w:rPr>
              <w:t>10</w:t>
            </w:r>
          </w:p>
        </w:tc>
        <w:tc>
          <w:tcPr>
            <w:tcW w:w="1238" w:type="dxa"/>
            <w:vAlign w:val="center"/>
          </w:tcPr>
          <w:p>
            <w:pPr>
              <w:jc w:val="center"/>
              <w:textAlignment w:val="center"/>
            </w:pPr>
            <w:r>
              <w:rPr>
                <w:rFonts w:hint="eastAsia" w:ascii="仿宋" w:hAnsi="仿宋" w:eastAsia="仿宋" w:cs="仿宋"/>
                <w:sz w:val="24"/>
                <w:szCs w:val="24"/>
              </w:rPr>
              <w:t>按摩揉推器</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1、器材主要承载立柱采用不小于Φ114x3.0mm优质钢管。主承载横梁采用不小于φ60x2.5mm圆管制作； 腿部按摩部分，按摩轮采用尼龙合金材质。</w:t>
            </w:r>
            <w:r>
              <w:rPr>
                <w:rFonts w:hint="eastAsia" w:ascii="宋体" w:hAnsi="宋体" w:cs="宋体"/>
                <w:sz w:val="20"/>
              </w:rPr>
              <w:br w:type="textWrapping"/>
            </w:r>
            <w:r>
              <w:rPr>
                <w:rFonts w:hint="eastAsia" w:ascii="宋体" w:hAnsi="宋体" w:cs="宋体"/>
                <w:sz w:val="20"/>
              </w:rPr>
              <w:t>2、锻炼方法：双手或单手按在转盘上，做顺时针或者逆时针转动；手握住扶手，小腿搭在按摩轮上前后运动。</w:t>
            </w:r>
            <w:r>
              <w:rPr>
                <w:rFonts w:hint="eastAsia" w:ascii="宋体" w:hAnsi="宋体" w:cs="宋体"/>
                <w:sz w:val="20"/>
              </w:rPr>
              <w:br w:type="textWrapping"/>
            </w:r>
            <w:r>
              <w:rPr>
                <w:rFonts w:hint="eastAsia" w:ascii="宋体" w:hAnsi="宋体" w:cs="宋体"/>
                <w:sz w:val="20"/>
              </w:rPr>
              <w:t>3、主要功能：锻炼肩、肘、腕部的灵活性，缓解腿部肌肉疲劳。</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5、手掌按摩盘采用铁制圆盘制作。</w:t>
            </w:r>
            <w:r>
              <w:rPr>
                <w:rFonts w:hint="eastAsia" w:ascii="宋体" w:hAnsi="宋体" w:cs="宋体"/>
                <w:sz w:val="20"/>
              </w:rPr>
              <w:br w:type="textWrapping"/>
            </w:r>
            <w:r>
              <w:rPr>
                <w:rFonts w:hint="eastAsia" w:ascii="宋体" w:hAnsi="宋体" w:cs="宋体"/>
                <w:sz w:val="20"/>
              </w:rPr>
              <w:t>6、腿部按摩部分，按摩轮采用尼龙合金材质，抗老化，抗高低温，按摩效果舒适，安全耐用</w:t>
            </w:r>
            <w:r>
              <w:rPr>
                <w:rFonts w:hint="eastAsia" w:ascii="宋体" w:hAnsi="宋体" w:cs="宋体"/>
                <w:sz w:val="20"/>
              </w:rPr>
              <w:br w:type="textWrapping"/>
            </w:r>
            <w:r>
              <w:rPr>
                <w:rFonts w:hint="eastAsia" w:ascii="宋体" w:hAnsi="宋体" w:cs="宋体"/>
                <w:sz w:val="20"/>
              </w:rPr>
              <w:t>7、产品符合GB19272-2011(室外健身器材的安全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vAlign w:val="center"/>
          </w:tcPr>
          <w:p>
            <w:pPr>
              <w:rPr>
                <w:sz w:val="18"/>
                <w:szCs w:val="18"/>
              </w:rPr>
            </w:pPr>
            <w:r>
              <w:rPr>
                <w:rFonts w:hint="eastAsia"/>
                <w:sz w:val="18"/>
                <w:szCs w:val="18"/>
              </w:rPr>
              <w:t>11</w:t>
            </w:r>
          </w:p>
        </w:tc>
        <w:tc>
          <w:tcPr>
            <w:tcW w:w="1238" w:type="dxa"/>
            <w:vAlign w:val="center"/>
          </w:tcPr>
          <w:p>
            <w:pPr>
              <w:jc w:val="center"/>
              <w:textAlignment w:val="center"/>
            </w:pPr>
            <w:r>
              <w:rPr>
                <w:rFonts w:hint="eastAsia" w:ascii="宋体" w:hAnsi="宋体" w:cs="宋体"/>
                <w:sz w:val="22"/>
                <w:szCs w:val="22"/>
              </w:rPr>
              <w:t>双联单杠</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w:t>
            </w:r>
            <w:r>
              <w:rPr>
                <w:rFonts w:hint="eastAsia" w:ascii="宋体" w:hAnsi="宋体" w:cs="宋体"/>
                <w:sz w:val="20"/>
              </w:rPr>
              <w:br w:type="textWrapping"/>
            </w:r>
            <w:r>
              <w:rPr>
                <w:rFonts w:hint="eastAsia" w:ascii="宋体" w:hAnsi="宋体" w:cs="宋体"/>
                <w:sz w:val="20"/>
              </w:rPr>
              <w:t>2、锻炼方法：（1）引体向上：手正握杠，身体不能晃动。</w:t>
            </w:r>
            <w:r>
              <w:rPr>
                <w:rFonts w:hint="eastAsia" w:ascii="宋体" w:hAnsi="宋体" w:cs="宋体"/>
                <w:sz w:val="20"/>
              </w:rPr>
              <w:br w:type="textWrapping"/>
            </w:r>
            <w:r>
              <w:rPr>
                <w:rFonts w:hint="eastAsia" w:ascii="宋体" w:hAnsi="宋体" w:cs="宋体"/>
                <w:sz w:val="20"/>
              </w:rPr>
              <w:t>（2）悬垂前提下：身体用力前摆落地点，离垂线投影点越远越好。</w:t>
            </w:r>
            <w:r>
              <w:rPr>
                <w:rFonts w:hint="eastAsia" w:ascii="宋体" w:hAnsi="宋体" w:cs="宋体"/>
                <w:sz w:val="20"/>
              </w:rPr>
              <w:br w:type="textWrapping"/>
            </w:r>
            <w:r>
              <w:rPr>
                <w:rFonts w:hint="eastAsia" w:ascii="宋体" w:hAnsi="宋体" w:cs="宋体"/>
                <w:sz w:val="20"/>
              </w:rPr>
              <w:t>3、主要功能：增强肩背和臂部力量，锻炼身体协调性。</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6、产品符合GB19272-2011(室外健身器材的安全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416" w:type="dxa"/>
            <w:vAlign w:val="center"/>
          </w:tcPr>
          <w:p>
            <w:pPr>
              <w:rPr>
                <w:sz w:val="18"/>
                <w:szCs w:val="18"/>
              </w:rPr>
            </w:pPr>
            <w:r>
              <w:rPr>
                <w:rFonts w:hint="eastAsia"/>
                <w:sz w:val="18"/>
                <w:szCs w:val="18"/>
              </w:rPr>
              <w:t>12</w:t>
            </w:r>
          </w:p>
        </w:tc>
        <w:tc>
          <w:tcPr>
            <w:tcW w:w="1238" w:type="dxa"/>
            <w:vAlign w:val="center"/>
          </w:tcPr>
          <w:p>
            <w:pPr>
              <w:jc w:val="center"/>
              <w:textAlignment w:val="center"/>
            </w:pPr>
            <w:r>
              <w:rPr>
                <w:rFonts w:hint="eastAsia" w:ascii="宋体" w:hAnsi="宋体" w:cs="宋体"/>
                <w:sz w:val="22"/>
                <w:szCs w:val="22"/>
              </w:rPr>
              <w:t>臂力训练器</w:t>
            </w:r>
          </w:p>
        </w:tc>
        <w:tc>
          <w:tcPr>
            <w:tcW w:w="6251" w:type="dxa"/>
            <w:vAlign w:val="center"/>
          </w:tcPr>
          <w:p>
            <w:pPr>
              <w:jc w:val="left"/>
              <w:textAlignment w:val="center"/>
              <w:rPr>
                <w:sz w:val="18"/>
                <w:szCs w:val="18"/>
              </w:rPr>
            </w:pPr>
            <w:r>
              <w:rPr>
                <w:rFonts w:hint="eastAsia" w:ascii="宋体" w:hAnsi="宋体" w:cs="宋体"/>
                <w:sz w:val="20"/>
              </w:rPr>
              <w:t>1、器材主要承载立柱采用不小于Φ114x3.0mm优质钢管，副支撑管采用不小于Φ60x4.0无缝钢管制作，角力盘内侧采用厚度不小于5.0mm铁板制作，转动装置对称双轴承防水，防尘密封加阻力设计，并作橡胶防水，防尘密封对轴承形成良好的保护。</w:t>
            </w:r>
            <w:r>
              <w:rPr>
                <w:rFonts w:hint="eastAsia" w:ascii="宋体" w:hAnsi="宋体" w:cs="宋体"/>
                <w:sz w:val="20"/>
              </w:rPr>
              <w:br w:type="textWrapping"/>
            </w:r>
            <w:r>
              <w:rPr>
                <w:rFonts w:hint="eastAsia" w:ascii="宋体" w:hAnsi="宋体" w:cs="宋体"/>
                <w:sz w:val="20"/>
              </w:rPr>
              <w:t>2、锻炼方法：⑴单人使用时：可以顺时针、逆时针交替旋转角力盘，也可以交叉双臂进行左右转动。</w:t>
            </w:r>
            <w:r>
              <w:rPr>
                <w:rFonts w:hint="eastAsia" w:ascii="宋体" w:hAnsi="宋体" w:cs="宋体"/>
                <w:sz w:val="20"/>
              </w:rPr>
              <w:br w:type="textWrapping"/>
            </w:r>
            <w:r>
              <w:rPr>
                <w:rFonts w:hint="eastAsia" w:ascii="宋体" w:hAnsi="宋体" w:cs="宋体"/>
                <w:sz w:val="20"/>
              </w:rPr>
              <w:t>⑵双人使用时：可以进行角力游戏，但是不能一方突然撤力，另一方很有可能受伤。。</w:t>
            </w:r>
            <w:r>
              <w:rPr>
                <w:rFonts w:hint="eastAsia" w:ascii="宋体" w:hAnsi="宋体" w:cs="宋体"/>
                <w:sz w:val="20"/>
              </w:rPr>
              <w:br w:type="textWrapping"/>
            </w:r>
            <w:r>
              <w:rPr>
                <w:rFonts w:hint="eastAsia" w:ascii="宋体" w:hAnsi="宋体" w:cs="宋体"/>
                <w:sz w:val="20"/>
              </w:rPr>
              <w:t>4、产品安全要求：</w:t>
            </w:r>
            <w:r>
              <w:rPr>
                <w:rFonts w:hint="eastAsia" w:ascii="宋体" w:hAnsi="宋体" w:cs="宋体"/>
                <w:sz w:val="20"/>
              </w:rPr>
              <w:br w:type="textWrapping"/>
            </w:r>
            <w:r>
              <w:rPr>
                <w:rFonts w:hint="eastAsia" w:ascii="宋体" w:hAnsi="宋体" w:cs="宋体"/>
                <w:sz w:val="20"/>
              </w:rPr>
              <w:t>器材各支撑棱边和尖角半径≤3.0mm，使用者或第三者易接触的零部件的其他所有棱边进行圆滑过渡，防止对使用者或者第三者造成伤害。</w:t>
            </w:r>
            <w:r>
              <w:rPr>
                <w:rFonts w:hint="eastAsia" w:ascii="宋体" w:hAnsi="宋体" w:cs="宋体"/>
                <w:sz w:val="20"/>
              </w:rPr>
              <w:br w:type="textWrapping"/>
            </w:r>
            <w:r>
              <w:rPr>
                <w:rFonts w:hint="eastAsia" w:ascii="宋体" w:hAnsi="宋体" w:cs="宋体"/>
                <w:sz w:val="20"/>
              </w:rPr>
              <w:t>5、角力盘采用铁制材料制作，转动装置对称双轴承防水，防尘密封加阻力设计，并作橡胶防水，防尘密封对轴承形成良好的保护。</w:t>
            </w:r>
            <w:r>
              <w:rPr>
                <w:rFonts w:hint="eastAsia" w:ascii="宋体" w:hAnsi="宋体" w:cs="宋体"/>
                <w:sz w:val="20"/>
              </w:rPr>
              <w:br w:type="textWrapping"/>
            </w:r>
            <w:r>
              <w:rPr>
                <w:rFonts w:hint="eastAsia" w:ascii="宋体" w:hAnsi="宋体" w:cs="宋体"/>
                <w:sz w:val="20"/>
              </w:rPr>
              <w:t>6、产品符合GB19272-2011(室外健身器材的安全 通用要求)相关标准要求，提供具有CMA及CNAS资质的第三方检测机构出具的检验报告，提供并在项目公告前通过NSCC国体认证。</w:t>
            </w:r>
          </w:p>
        </w:tc>
        <w:tc>
          <w:tcPr>
            <w:tcW w:w="1110" w:type="dxa"/>
            <w:vAlign w:val="center"/>
          </w:tcPr>
          <w:p>
            <w:pPr>
              <w:jc w:val="center"/>
              <w:textAlignment w:val="center"/>
              <w:rPr>
                <w:sz w:val="18"/>
                <w:szCs w:val="18"/>
              </w:rPr>
            </w:pPr>
            <w:r>
              <w:rPr>
                <w:rFonts w:hint="eastAsia" w:ascii="宋体" w:hAnsi="宋体" w:cs="宋体"/>
                <w:sz w:val="22"/>
                <w:szCs w:val="22"/>
              </w:rPr>
              <w:t>25件</w:t>
            </w:r>
          </w:p>
        </w:tc>
      </w:tr>
    </w:tbl>
    <w:p>
      <w:pPr>
        <w:spacing w:line="360" w:lineRule="auto"/>
        <w:ind w:firstLine="422" w:firstLineChars="200"/>
        <w:rPr>
          <w:rFonts w:hint="eastAsia" w:ascii="宋体" w:hAnsi="宋体" w:eastAsia="宋体"/>
          <w:b/>
          <w:bCs/>
          <w:sz w:val="24"/>
          <w:szCs w:val="24"/>
          <w:u w:val="single"/>
          <w:lang w:eastAsia="zh-CN"/>
        </w:rPr>
      </w:pPr>
      <w:r>
        <w:rPr>
          <w:rFonts w:hint="eastAsia" w:ascii="宋体" w:hAnsi="宋体"/>
          <w:b/>
          <w:bCs/>
          <w:u w:val="single"/>
          <w:lang w:val="zh-CN"/>
        </w:rPr>
        <w:t>注：</w:t>
      </w:r>
      <w:r>
        <w:rPr>
          <w:rFonts w:hint="eastAsia" w:ascii="宋体" w:hAnsi="宋体"/>
          <w:b/>
          <w:bCs/>
          <w:sz w:val="24"/>
          <w:szCs w:val="24"/>
        </w:rPr>
        <w:t>所有投标</w:t>
      </w:r>
      <w:r>
        <w:rPr>
          <w:rFonts w:hint="eastAsia" w:ascii="宋体" w:hAnsi="宋体" w:cs="宋体"/>
          <w:b/>
          <w:bCs/>
          <w:sz w:val="24"/>
          <w:szCs w:val="24"/>
        </w:rPr>
        <w:t>产品必须符合GB19272-2011(室外健身器材的安全 通用要求)相关标准要求，提供具有CMA及CNAS资质的第三方检测机构出具的检验报告，并在项目公告前通过NSCC国体认证。</w:t>
      </w:r>
    </w:p>
    <w:p>
      <w:pPr>
        <w:pStyle w:val="2"/>
        <w:rPr>
          <w:rFonts w:ascii="黑体" w:hAnsi="黑体" w:eastAsia="黑体" w:cs="黑体"/>
          <w:b/>
          <w:bCs/>
          <w:sz w:val="24"/>
          <w:szCs w:val="24"/>
        </w:rPr>
      </w:pPr>
      <w:r>
        <w:rPr>
          <w:rFonts w:hint="eastAsia" w:ascii="黑体" w:hAnsi="黑体" w:eastAsia="黑体" w:cs="黑体"/>
          <w:b/>
          <w:bCs/>
          <w:sz w:val="24"/>
          <w:szCs w:val="24"/>
        </w:rPr>
        <w:t xml:space="preserve">    2.4.2 以上内容均包括健身器材的生产、运输、安装等。</w:t>
      </w:r>
    </w:p>
    <w:p>
      <w:pPr>
        <w:ind w:firstLine="241" w:firstLineChars="100"/>
        <w:jc w:val="left"/>
        <w:rPr>
          <w:rFonts w:ascii="黑体" w:hAnsi="宋体" w:eastAsia="黑体" w:cs="黑体"/>
          <w:b/>
          <w:bCs/>
          <w:sz w:val="24"/>
          <w:szCs w:val="24"/>
        </w:rPr>
      </w:pPr>
      <w:r>
        <w:rPr>
          <w:rFonts w:hint="eastAsia" w:ascii="黑体" w:hAnsi="宋体" w:eastAsia="黑体" w:cs="黑体"/>
          <w:b/>
          <w:bCs/>
          <w:sz w:val="24"/>
          <w:szCs w:val="24"/>
        </w:rPr>
        <w:t>2.5技术偏离</w:t>
      </w:r>
    </w:p>
    <w:p>
      <w:pPr>
        <w:widowControl w:val="0"/>
        <w:adjustRightInd w:val="0"/>
        <w:snapToGrid w:val="0"/>
        <w:spacing w:beforeLines="50" w:line="300" w:lineRule="auto"/>
        <w:ind w:firstLine="480" w:firstLineChars="200"/>
        <w:jc w:val="left"/>
        <w:rPr>
          <w:rFonts w:ascii="宋体"/>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.1</w:t>
      </w:r>
      <w:r>
        <w:rPr>
          <w:rFonts w:hint="eastAsia" w:ascii="宋体" w:hAnsi="宋体"/>
          <w:color w:val="auto"/>
          <w:sz w:val="24"/>
          <w:szCs w:val="24"/>
        </w:rPr>
        <w:t>“基本技术要求”列示的参数为基本要求，“基本技术要求”列示的产品、配件的品牌、型号参数为推荐产品；投标人可提供与其价格相近且质量性能相等或优于的其他产品，投标人应提供相关证明材料（如权威评测资料、及印刷品产品说明书或印刷品图册等）以供磋商小组评议。</w:t>
      </w:r>
    </w:p>
    <w:p>
      <w:pPr>
        <w:widowControl w:val="0"/>
        <w:adjustRightInd w:val="0"/>
        <w:snapToGrid w:val="0"/>
        <w:spacing w:beforeLines="50" w:line="300" w:lineRule="auto"/>
        <w:ind w:firstLine="480" w:firstLineChars="200"/>
        <w:jc w:val="left"/>
        <w:rPr>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 xml:space="preserve">.2 </w:t>
      </w:r>
      <w:r>
        <w:rPr>
          <w:rFonts w:hint="eastAsia" w:ascii="宋体" w:hAnsi="宋体"/>
          <w:color w:val="auto"/>
          <w:sz w:val="24"/>
          <w:szCs w:val="24"/>
        </w:rPr>
        <w:t>除磋商文件“基本技术要求”有明确说明外，投标人所投标的各项产品均应为该产品的标准</w:t>
      </w:r>
      <w:r>
        <w:rPr>
          <w:rFonts w:hint="eastAsia"/>
          <w:color w:val="auto"/>
          <w:sz w:val="24"/>
          <w:szCs w:val="24"/>
        </w:rPr>
        <w:t>配置、不应改变或调换厂家的出厂标准配置；如确因市场因素无法按上述规格产品进行投标，应提供优于“基本技术要求”的同品牌的同类产品进行投标，投标人应提供印刷品产品说明书或印刷品图册等予以佐证（扫描件）。</w:t>
      </w:r>
    </w:p>
    <w:p>
      <w:pPr>
        <w:widowControl w:val="0"/>
        <w:adjustRightInd w:val="0"/>
        <w:snapToGrid w:val="0"/>
        <w:spacing w:beforeLines="50" w:line="30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 xml:space="preserve">.3 </w:t>
      </w:r>
      <w:r>
        <w:rPr>
          <w:rFonts w:hint="eastAsia" w:ascii="宋体" w:hAnsi="宋体"/>
          <w:color w:val="auto"/>
          <w:sz w:val="24"/>
          <w:szCs w:val="24"/>
        </w:rPr>
        <w:t>投标文件对技术偏差的描述要求：见第三章投标人须知</w:t>
      </w:r>
      <w:r>
        <w:rPr>
          <w:rFonts w:ascii="宋体" w:hAnsi="宋体"/>
          <w:color w:val="auto"/>
          <w:sz w:val="24"/>
          <w:szCs w:val="24"/>
        </w:rPr>
        <w:t>3.7.3</w:t>
      </w:r>
      <w:r>
        <w:rPr>
          <w:rFonts w:hint="eastAsia" w:ascii="宋体" w:hAnsi="宋体"/>
          <w:color w:val="auto"/>
          <w:sz w:val="24"/>
          <w:szCs w:val="24"/>
        </w:rPr>
        <w:t>项。</w:t>
      </w:r>
    </w:p>
    <w:p>
      <w:pPr>
        <w:adjustRightInd w:val="0"/>
        <w:snapToGrid w:val="0"/>
        <w:spacing w:beforeLines="50" w:line="300" w:lineRule="auto"/>
        <w:ind w:firstLine="241" w:firstLineChars="1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6投标产品质量要求</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w:t>
      </w:r>
      <w:r>
        <w:rPr>
          <w:rFonts w:hint="eastAsia"/>
          <w:color w:val="auto"/>
          <w:sz w:val="24"/>
          <w:szCs w:val="24"/>
          <w:highlight w:val="none"/>
        </w:rPr>
        <w:t>投标产品应为同一品牌产品；</w:t>
      </w:r>
      <w:r>
        <w:rPr>
          <w:rFonts w:hint="eastAsia"/>
          <w:color w:val="auto"/>
          <w:sz w:val="24"/>
          <w:szCs w:val="24"/>
        </w:rPr>
        <w:t>投标人应本着服务客户、为客户着想的宗旨，来完善产品及技术要求未尽事宜，不得以磋商文件未列明事项为由，来降低投标产品的质量。</w:t>
      </w:r>
    </w:p>
    <w:p>
      <w:pPr>
        <w:widowControl w:val="0"/>
        <w:adjustRightInd w:val="0"/>
        <w:snapToGrid w:val="0"/>
        <w:spacing w:beforeLines="50" w:line="300" w:lineRule="auto"/>
        <w:outlineLvl w:val="1"/>
        <w:rPr>
          <w:rFonts w:ascii="黑体" w:hAnsi="黑体" w:eastAsia="黑体"/>
          <w:b/>
          <w:color w:val="auto"/>
          <w:sz w:val="28"/>
        </w:rPr>
      </w:pPr>
      <w:bookmarkStart w:id="8" w:name="_Toc30036"/>
      <w:bookmarkStart w:id="9" w:name="_Toc26366086"/>
      <w:r>
        <w:rPr>
          <w:rFonts w:ascii="黑体" w:hAnsi="黑体" w:eastAsia="黑体"/>
          <w:b/>
          <w:color w:val="auto"/>
          <w:sz w:val="28"/>
        </w:rPr>
        <w:t xml:space="preserve">3. </w:t>
      </w:r>
      <w:r>
        <w:rPr>
          <w:rFonts w:hint="eastAsia" w:ascii="黑体" w:hAnsi="黑体" w:eastAsia="黑体"/>
          <w:b/>
          <w:color w:val="auto"/>
          <w:sz w:val="28"/>
        </w:rPr>
        <w:t>售后服务的基本条款</w:t>
      </w:r>
      <w:bookmarkEnd w:id="8"/>
      <w:bookmarkEnd w:id="9"/>
    </w:p>
    <w:p>
      <w:pPr>
        <w:spacing w:line="400" w:lineRule="exact"/>
        <w:ind w:firstLine="480" w:firstLineChars="200"/>
        <w:rPr>
          <w:rFonts w:ascii="宋体" w:hAnsi="宋体" w:cs="宋体"/>
          <w:sz w:val="24"/>
        </w:rPr>
      </w:pPr>
      <w:r>
        <w:rPr>
          <w:rFonts w:hint="eastAsia" w:ascii="宋体" w:hAnsi="宋体" w:cs="宋体"/>
          <w:sz w:val="24"/>
        </w:rPr>
        <w:t>3.1 严格按照国家有关部门及出版社规定的售后服务要求处理。</w:t>
      </w:r>
    </w:p>
    <w:p>
      <w:pPr>
        <w:spacing w:line="400" w:lineRule="exact"/>
        <w:ind w:firstLine="480" w:firstLineChars="200"/>
        <w:rPr>
          <w:rFonts w:ascii="宋体" w:hAnsi="宋体" w:cs="宋体"/>
          <w:sz w:val="24"/>
        </w:rPr>
      </w:pPr>
      <w:r>
        <w:rPr>
          <w:rFonts w:hint="eastAsia" w:ascii="宋体" w:hAnsi="宋体" w:cs="宋体"/>
          <w:sz w:val="24"/>
        </w:rPr>
        <w:t>3.2 在成交供应商未按照合同规定的地点交货、验收之前，如发生不可抗力因素导致货物毁坏或灭失，由成交供应商承担责任。</w:t>
      </w:r>
    </w:p>
    <w:p>
      <w:pPr>
        <w:spacing w:line="400" w:lineRule="exact"/>
        <w:ind w:firstLine="480" w:firstLineChars="200"/>
        <w:rPr>
          <w:rFonts w:ascii="宋体" w:hAnsi="宋体" w:cs="宋体"/>
          <w:sz w:val="24"/>
        </w:rPr>
      </w:pPr>
      <w:r>
        <w:rPr>
          <w:rFonts w:hint="eastAsia" w:ascii="宋体" w:hAnsi="宋体" w:cs="宋体"/>
          <w:sz w:val="24"/>
        </w:rPr>
        <w:t>3.3成交供应商要按照采购人的要求交验清楚。</w:t>
      </w:r>
    </w:p>
    <w:p>
      <w:pPr>
        <w:spacing w:line="400" w:lineRule="exact"/>
        <w:ind w:firstLine="480" w:firstLineChars="200"/>
        <w:rPr>
          <w:rFonts w:ascii="宋体" w:hAnsi="宋体" w:cs="宋体"/>
          <w:sz w:val="24"/>
        </w:rPr>
      </w:pPr>
      <w:r>
        <w:rPr>
          <w:rFonts w:hint="eastAsia" w:ascii="宋体" w:hAnsi="宋体" w:cs="宋体"/>
          <w:sz w:val="24"/>
        </w:rPr>
        <w:t>3.4 投标人须提供详尽的售后服务方案，并附相关资料予以佐证。</w:t>
      </w:r>
    </w:p>
    <w:p>
      <w:pPr>
        <w:spacing w:line="360" w:lineRule="auto"/>
        <w:ind w:right="238"/>
        <w:jc w:val="center"/>
        <w:outlineLvl w:val="0"/>
        <w:rPr>
          <w:rFonts w:eastAsia="黑体"/>
          <w:b/>
          <w:color w:val="auto"/>
          <w:sz w:val="36"/>
          <w:szCs w:val="36"/>
        </w:rPr>
      </w:pPr>
      <w:r>
        <w:rPr>
          <w:rFonts w:eastAsia="黑体"/>
          <w:b/>
          <w:color w:val="auto"/>
          <w:spacing w:val="36"/>
          <w:sz w:val="36"/>
          <w:szCs w:val="36"/>
        </w:rPr>
        <w:br w:type="page"/>
      </w:r>
      <w:bookmarkStart w:id="10" w:name="_Toc22220"/>
      <w:bookmarkStart w:id="11" w:name="_Toc26366087"/>
      <w:r>
        <w:rPr>
          <w:rFonts w:hint="eastAsia" w:eastAsia="黑体"/>
          <w:b/>
          <w:color w:val="auto"/>
          <w:sz w:val="36"/>
          <w:szCs w:val="36"/>
        </w:rPr>
        <w:t>第三章</w:t>
      </w:r>
      <w:r>
        <w:rPr>
          <w:rFonts w:hint="eastAsia" w:eastAsia="黑体"/>
          <w:b/>
          <w:color w:val="auto"/>
          <w:sz w:val="36"/>
          <w:szCs w:val="36"/>
          <w:lang w:val="en-US" w:eastAsia="zh-CN"/>
        </w:rPr>
        <w:t xml:space="preserve">  </w:t>
      </w:r>
      <w:r>
        <w:rPr>
          <w:rFonts w:hint="eastAsia" w:eastAsia="黑体"/>
          <w:b/>
          <w:color w:val="auto"/>
          <w:sz w:val="36"/>
          <w:szCs w:val="36"/>
        </w:rPr>
        <w:t>投标人须知</w:t>
      </w:r>
      <w:bookmarkEnd w:id="10"/>
      <w:bookmarkEnd w:id="11"/>
    </w:p>
    <w:p>
      <w:pPr>
        <w:spacing w:line="360" w:lineRule="auto"/>
        <w:ind w:right="238"/>
        <w:jc w:val="left"/>
        <w:outlineLvl w:val="1"/>
        <w:rPr>
          <w:rFonts w:eastAsia="黑体"/>
          <w:b/>
          <w:color w:val="auto"/>
          <w:sz w:val="28"/>
          <w:szCs w:val="28"/>
        </w:rPr>
      </w:pPr>
      <w:bookmarkStart w:id="12" w:name="_Toc8271"/>
      <w:bookmarkStart w:id="13" w:name="_Toc26366088"/>
      <w:r>
        <w:rPr>
          <w:rFonts w:hint="eastAsia" w:eastAsia="黑体"/>
          <w:b/>
          <w:color w:val="auto"/>
          <w:sz w:val="28"/>
          <w:szCs w:val="28"/>
        </w:rPr>
        <w:t>投标人须知前附表</w:t>
      </w:r>
      <w:bookmarkEnd w:id="12"/>
      <w:bookmarkEnd w:id="13"/>
    </w:p>
    <w:tbl>
      <w:tblPr>
        <w:tblStyle w:val="24"/>
        <w:tblW w:w="9647" w:type="dxa"/>
        <w:jc w:val="center"/>
        <w:tblLayout w:type="fixed"/>
        <w:tblCellMar>
          <w:top w:w="0" w:type="dxa"/>
          <w:left w:w="108" w:type="dxa"/>
          <w:bottom w:w="0" w:type="dxa"/>
          <w:right w:w="108" w:type="dxa"/>
        </w:tblCellMar>
      </w:tblPr>
      <w:tblGrid>
        <w:gridCol w:w="500"/>
        <w:gridCol w:w="694"/>
        <w:gridCol w:w="1874"/>
        <w:gridCol w:w="6579"/>
      </w:tblGrid>
      <w:tr>
        <w:tblPrEx>
          <w:tblCellMar>
            <w:top w:w="0" w:type="dxa"/>
            <w:left w:w="108" w:type="dxa"/>
            <w:bottom w:w="0" w:type="dxa"/>
            <w:right w:w="108" w:type="dxa"/>
          </w:tblCellMar>
        </w:tblPrEx>
        <w:trPr>
          <w:trHeight w:val="571" w:hRule="atLeast"/>
          <w:jc w:val="center"/>
        </w:trPr>
        <w:tc>
          <w:tcPr>
            <w:tcW w:w="500"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649" w:hRule="atLeast"/>
          <w:jc w:val="center"/>
        </w:trPr>
        <w:tc>
          <w:tcPr>
            <w:tcW w:w="500"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531" w:hRule="atLeast"/>
          <w:jc w:val="center"/>
        </w:trPr>
        <w:tc>
          <w:tcPr>
            <w:tcW w:w="500"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采购编号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567" w:hRule="atLeast"/>
          <w:jc w:val="center"/>
        </w:trPr>
        <w:tc>
          <w:tcPr>
            <w:tcW w:w="500"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竞争性磋商</w:t>
            </w:r>
          </w:p>
        </w:tc>
      </w:tr>
      <w:tr>
        <w:tblPrEx>
          <w:tblCellMar>
            <w:top w:w="0" w:type="dxa"/>
            <w:left w:w="108" w:type="dxa"/>
            <w:bottom w:w="0" w:type="dxa"/>
            <w:right w:w="108" w:type="dxa"/>
          </w:tblCellMar>
        </w:tblPrEx>
        <w:trPr>
          <w:trHeight w:val="37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采购预算</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见“第一章磋商公告”相应条款。</w:t>
            </w:r>
            <w:r>
              <w:rPr>
                <w:rFonts w:hint="eastAsia" w:ascii="宋体" w:hAnsi="宋体" w:cs="楷体_GB2312"/>
                <w:b/>
                <w:color w:val="auto"/>
                <w:sz w:val="24"/>
                <w:lang w:val="zh-CN"/>
              </w:rPr>
              <w:t>注：投标人的投标报价未超过采购预算的不足三家时，该项目（标段）终止。</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投标人资格要求及相关证明材料要求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b/>
                <w:color w:val="auto"/>
                <w:sz w:val="24"/>
                <w:szCs w:val="24"/>
              </w:rPr>
              <w:t>标段划分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cs="楷体_GB2312"/>
                <w:b/>
                <w:bCs/>
                <w:color w:val="auto"/>
                <w:sz w:val="24"/>
              </w:rPr>
              <w:t>合同履行期限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szCs w:val="24"/>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标段内容（范围）及要求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见“第二章采购项目及技术服务要求”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500"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不接受</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不允许</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lang w:val="zh-CN"/>
              </w:rPr>
              <w:t>构成磋商文件的其他材料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04"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178" w:rightChars="-85"/>
              <w:jc w:val="center"/>
              <w:rPr>
                <w:rFonts w:asci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投标截止时间</w:t>
            </w:r>
            <w:r>
              <w:rPr>
                <w:rFonts w:hint="eastAsia" w:ascii="宋体" w:hAnsi="宋体" w:cs="楷体_GB2312"/>
                <w:color w:val="auto"/>
                <w:sz w:val="24"/>
              </w:rPr>
              <w:t>5个工作</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磋商文件的澄清修改补充告知方式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35"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67" w:hRule="atLeast"/>
          <w:jc w:val="center"/>
        </w:trPr>
        <w:tc>
          <w:tcPr>
            <w:tcW w:w="500" w:type="dxa"/>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500" w:type="dxa"/>
            <w:vMerge w:val="restart"/>
            <w:tcBorders>
              <w:left w:val="single" w:color="auto" w:sz="12" w:space="0"/>
              <w:bottom w:val="single" w:color="auto" w:sz="4"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3.5.1</w:t>
            </w:r>
          </w:p>
        </w:tc>
        <w:tc>
          <w:tcPr>
            <w:tcW w:w="187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Cs w:val="21"/>
                <w:lang w:val="zh-CN"/>
              </w:rPr>
            </w:pPr>
            <w:r>
              <w:rPr>
                <w:rFonts w:hint="eastAsia" w:ascii="宋体" w:cs="楷体_GB2312"/>
                <w:b/>
                <w:bCs/>
                <w:color w:val="auto"/>
                <w:szCs w:val="21"/>
                <w:lang w:val="zh-CN"/>
              </w:rPr>
              <w:t>投标承诺函</w:t>
            </w:r>
          </w:p>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cs="楷体_GB2312"/>
                <w:b/>
                <w:bCs/>
                <w:color w:val="auto"/>
                <w:szCs w:val="21"/>
                <w:lang w:val="zh-CN"/>
              </w:rPr>
              <w:t>（替代投标保证金）</w:t>
            </w:r>
          </w:p>
        </w:tc>
        <w:tc>
          <w:tcPr>
            <w:tcW w:w="6579"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napToGrid w:val="0"/>
              <w:spacing w:beforeLines="50" w:line="290" w:lineRule="exact"/>
              <w:rPr>
                <w:rFonts w:ascii="宋体" w:hAnsi="宋体" w:cs="楷体_GB2312"/>
                <w:color w:val="auto"/>
                <w:sz w:val="24"/>
                <w:lang w:val="zh-CN"/>
              </w:rPr>
            </w:pPr>
            <w:r>
              <w:rPr>
                <w:rFonts w:hint="eastAsia" w:ascii="宋体" w:hAnsi="宋体" w:cs="楷体_GB2312"/>
                <w:color w:val="auto"/>
                <w:sz w:val="24"/>
                <w:lang w:val="zh-CN"/>
              </w:rPr>
              <w:t>以投标承诺函形式替代投标保证金。</w:t>
            </w:r>
          </w:p>
          <w:p>
            <w:pPr>
              <w:autoSpaceDE w:val="0"/>
              <w:autoSpaceDN w:val="0"/>
              <w:adjustRightInd w:val="0"/>
              <w:snapToGrid w:val="0"/>
              <w:spacing w:beforeLines="50" w:line="290" w:lineRule="exact"/>
              <w:rPr>
                <w:rFonts w:ascii="宋体"/>
                <w:b/>
                <w:color w:val="auto"/>
                <w:sz w:val="24"/>
                <w:szCs w:val="24"/>
                <w:u w:val="single"/>
              </w:rPr>
            </w:pPr>
            <w:r>
              <w:rPr>
                <w:rFonts w:hint="eastAsia" w:ascii="宋体" w:hAnsi="宋体" w:cs="楷体_GB2312"/>
                <w:color w:val="auto"/>
                <w:sz w:val="24"/>
                <w:lang w:val="zh-CN"/>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snapToGrid w:val="0"/>
              <w:spacing w:beforeLines="50" w:line="290" w:lineRule="exact"/>
              <w:rPr>
                <w:b/>
                <w:color w:val="auto"/>
                <w:sz w:val="24"/>
                <w:szCs w:val="24"/>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5"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34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磋商小组的组建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43" w:hRule="atLeast"/>
          <w:jc w:val="center"/>
        </w:trPr>
        <w:tc>
          <w:tcPr>
            <w:tcW w:w="500"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highlight w:val="none"/>
              </w:rPr>
            </w:pPr>
            <w:r>
              <w:rPr>
                <w:rFonts w:hint="eastAsia" w:ascii="宋体" w:hAnsi="宋体"/>
                <w:color w:val="auto"/>
                <w:sz w:val="24"/>
                <w:highlight w:val="none"/>
                <w:lang w:eastAsia="zh-CN"/>
              </w:rPr>
              <w:t>否</w:t>
            </w:r>
            <w:r>
              <w:rPr>
                <w:rFonts w:hint="eastAsia" w:ascii="宋体" w:hAnsi="宋体"/>
                <w:color w:val="auto"/>
                <w:sz w:val="24"/>
                <w:highlight w:val="none"/>
              </w:rPr>
              <w:t>。磋商小组按照最后</w:t>
            </w:r>
            <w:r>
              <w:rPr>
                <w:rFonts w:hint="eastAsia" w:ascii="宋体" w:hAnsi="宋体"/>
                <w:color w:val="auto"/>
                <w:sz w:val="24"/>
                <w:highlight w:val="none"/>
                <w:lang w:eastAsia="zh-CN"/>
              </w:rPr>
              <w:t>得分由高到低推荐</w:t>
            </w:r>
            <w:r>
              <w:rPr>
                <w:rFonts w:hint="eastAsia" w:ascii="宋体" w:hAnsi="宋体"/>
                <w:color w:val="auto"/>
                <w:sz w:val="24"/>
                <w:highlight w:val="none"/>
              </w:rPr>
              <w:t>3名成交候选人。</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rPr>
            </w:pPr>
            <w:r>
              <w:rPr>
                <w:rFonts w:hint="eastAsia" w:ascii="宋体" w:hAnsi="宋体"/>
                <w:b/>
                <w:color w:val="auto"/>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本次竞争性磋商的成交结果将在成交供应商确定之日起1个工作日内，在磋商公告所述媒介公告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w:t>
            </w:r>
            <w:r>
              <w:rPr>
                <w:rFonts w:ascii="宋体" w:hAnsi="宋体"/>
                <w:color w:val="auto"/>
                <w:sz w:val="24"/>
              </w:rPr>
              <w:t>1</w:t>
            </w:r>
            <w:r>
              <w:rPr>
                <w:rFonts w:hint="eastAsia" w:ascii="宋体" w:hAnsi="宋体"/>
                <w:color w:val="auto"/>
                <w:sz w:val="24"/>
              </w:rPr>
              <w:t>、供应商的姓名或者名称、地址、邮编、联系人及联系电话；</w:t>
            </w:r>
            <w:r>
              <w:rPr>
                <w:rFonts w:ascii="宋体" w:hAnsi="宋体"/>
                <w:color w:val="auto"/>
                <w:sz w:val="24"/>
              </w:rPr>
              <w:t>2</w:t>
            </w:r>
            <w:r>
              <w:rPr>
                <w:rFonts w:hint="eastAsia" w:ascii="宋体" w:hAnsi="宋体"/>
                <w:color w:val="auto"/>
                <w:sz w:val="24"/>
              </w:rPr>
              <w:t>、质疑项目的名称、编号；</w:t>
            </w:r>
            <w:r>
              <w:rPr>
                <w:rFonts w:ascii="宋体" w:hAnsi="宋体"/>
                <w:color w:val="auto"/>
                <w:sz w:val="24"/>
              </w:rPr>
              <w:t>3</w:t>
            </w:r>
            <w:r>
              <w:rPr>
                <w:rFonts w:hint="eastAsia" w:ascii="宋体" w:hAnsi="宋体"/>
                <w:color w:val="auto"/>
                <w:sz w:val="24"/>
              </w:rPr>
              <w:t>、具体、明确的质疑事项和与质疑事项相关的请求；</w:t>
            </w:r>
            <w:r>
              <w:rPr>
                <w:rFonts w:ascii="宋体" w:hAnsi="宋体"/>
                <w:color w:val="auto"/>
                <w:sz w:val="24"/>
              </w:rPr>
              <w:t>4</w:t>
            </w:r>
            <w:r>
              <w:rPr>
                <w:rFonts w:hint="eastAsia" w:ascii="宋体" w:hAnsi="宋体"/>
                <w:color w:val="auto"/>
                <w:sz w:val="24"/>
              </w:rPr>
              <w:t>、事实依据；</w:t>
            </w:r>
            <w:r>
              <w:rPr>
                <w:rFonts w:ascii="宋体" w:hAnsi="宋体"/>
                <w:color w:val="auto"/>
                <w:sz w:val="24"/>
              </w:rPr>
              <w:t>5</w:t>
            </w:r>
            <w:r>
              <w:rPr>
                <w:rFonts w:hint="eastAsia" w:ascii="宋体" w:hAnsi="宋体"/>
                <w:color w:val="auto"/>
                <w:sz w:val="24"/>
              </w:rPr>
              <w:t>、必要的法律依据；</w:t>
            </w:r>
            <w:r>
              <w:rPr>
                <w:rFonts w:ascii="宋体" w:hAnsi="宋体"/>
                <w:color w:val="auto"/>
                <w:sz w:val="24"/>
              </w:rPr>
              <w:t>6</w:t>
            </w:r>
            <w:r>
              <w:rPr>
                <w:rFonts w:hint="eastAsia" w:ascii="宋体" w:hAnsi="宋体"/>
                <w:color w:val="auto"/>
                <w:sz w:val="24"/>
              </w:rPr>
              <w:t>、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采购代理机构在成交供应商确定后</w:t>
            </w:r>
            <w:r>
              <w:rPr>
                <w:rFonts w:hint="eastAsia" w:ascii="宋体" w:hAnsi="宋体" w:cs="楷体_GB2312"/>
                <w:color w:val="auto"/>
                <w:sz w:val="24"/>
              </w:rPr>
              <w:t>1</w:t>
            </w:r>
            <w:r>
              <w:rPr>
                <w:rFonts w:hint="eastAsia" w:ascii="宋体" w:hAnsi="宋体" w:cs="楷体_GB2312"/>
                <w:color w:val="auto"/>
                <w:sz w:val="24"/>
                <w:lang w:val="zh-CN"/>
              </w:rPr>
              <w:t>个工作日内，向成交供应商发出成交通知书。</w:t>
            </w:r>
          </w:p>
        </w:tc>
      </w:tr>
      <w:tr>
        <w:tblPrEx>
          <w:tblCellMar>
            <w:top w:w="0" w:type="dxa"/>
            <w:left w:w="108" w:type="dxa"/>
            <w:bottom w:w="0" w:type="dxa"/>
            <w:right w:w="108" w:type="dxa"/>
          </w:tblCellMar>
        </w:tblPrEx>
        <w:trPr>
          <w:trHeight w:val="453" w:hRule="atLeast"/>
          <w:jc w:val="center"/>
        </w:trPr>
        <w:tc>
          <w:tcPr>
            <w:tcW w:w="500"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highlight w:val="none"/>
              </w:rPr>
            </w:pPr>
            <w:r>
              <w:rPr>
                <w:color w:val="auto"/>
                <w:sz w:val="24"/>
                <w:szCs w:val="24"/>
                <w:highlight w:val="none"/>
              </w:rPr>
              <w:t>无</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rFonts w:hint="eastAsia" w:eastAsia="宋体"/>
                <w:color w:val="auto"/>
                <w:sz w:val="24"/>
                <w:szCs w:val="24"/>
                <w:highlight w:val="none"/>
                <w:lang w:eastAsia="zh-CN"/>
              </w:rPr>
            </w:pPr>
            <w:r>
              <w:rPr>
                <w:color w:val="auto"/>
                <w:sz w:val="24"/>
                <w:szCs w:val="24"/>
                <w:highlight w:val="none"/>
              </w:rPr>
              <w:t>验收合格后一次性付清</w:t>
            </w:r>
            <w:r>
              <w:rPr>
                <w:rFonts w:hint="eastAsia"/>
                <w:color w:val="auto"/>
                <w:sz w:val="24"/>
                <w:szCs w:val="24"/>
                <w:highlight w:val="none"/>
                <w:lang w:eastAsia="zh-CN"/>
              </w:rPr>
              <w:t>。</w:t>
            </w:r>
          </w:p>
        </w:tc>
      </w:tr>
      <w:tr>
        <w:tblPrEx>
          <w:tblCellMar>
            <w:top w:w="0" w:type="dxa"/>
            <w:left w:w="108" w:type="dxa"/>
            <w:bottom w:w="0" w:type="dxa"/>
            <w:right w:w="108" w:type="dxa"/>
          </w:tblCellMar>
        </w:tblPrEx>
        <w:trPr>
          <w:trHeight w:val="453" w:hRule="atLeast"/>
          <w:jc w:val="center"/>
        </w:trPr>
        <w:tc>
          <w:tcPr>
            <w:tcW w:w="500" w:type="dxa"/>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按照《河南省招标代理服务收费标准》的通知-豫招协[2023]002 号规定的收费标准收取。代理服务费由成交供应商支付。</w:t>
            </w:r>
          </w:p>
        </w:tc>
      </w:tr>
    </w:tbl>
    <w:p>
      <w:pPr>
        <w:autoSpaceDE w:val="0"/>
        <w:autoSpaceDN w:val="0"/>
        <w:adjustRightInd w:val="0"/>
        <w:spacing w:line="360" w:lineRule="auto"/>
        <w:rPr>
          <w:color w:val="auto"/>
        </w:rPr>
      </w:pPr>
    </w:p>
    <w:p>
      <w:pPr>
        <w:autoSpaceDE w:val="0"/>
        <w:autoSpaceDN w:val="0"/>
        <w:adjustRightInd w:val="0"/>
        <w:snapToGrid w:val="0"/>
        <w:spacing w:line="380" w:lineRule="exact"/>
        <w:ind w:firstLine="539"/>
        <w:outlineLvl w:val="1"/>
        <w:rPr>
          <w:rFonts w:ascii="黑体" w:hAnsi="黑体" w:eastAsia="黑体"/>
          <w:color w:val="auto"/>
          <w:sz w:val="28"/>
          <w:szCs w:val="28"/>
          <w:lang w:val="zh-CN"/>
        </w:rPr>
      </w:pPr>
      <w:bookmarkStart w:id="14" w:name="_Toc26366089"/>
      <w:bookmarkStart w:id="15" w:name="_Toc15414"/>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4"/>
      <w:bookmarkEnd w:id="15"/>
    </w:p>
    <w:p>
      <w:pPr>
        <w:autoSpaceDE w:val="0"/>
        <w:autoSpaceDN w:val="0"/>
        <w:adjustRightInd w:val="0"/>
        <w:snapToGrid w:val="0"/>
        <w:spacing w:line="380" w:lineRule="exact"/>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pPr>
        <w:adjustRightInd w:val="0"/>
        <w:snapToGrid w:val="0"/>
        <w:spacing w:line="380" w:lineRule="exact"/>
        <w:ind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磋商文件的法律适用及法律效力</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磋商文件</w:t>
      </w:r>
      <w:r>
        <w:rPr>
          <w:rFonts w:hint="eastAsia" w:ascii="宋体" w:hAnsi="宋体"/>
          <w:color w:val="auto"/>
          <w:sz w:val="24"/>
          <w:szCs w:val="24"/>
        </w:rPr>
        <w:t>的修改性文件、补充文件、澄清文件或说明具有同等法律效力。</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适用于并执行《政府采购法》和其它相关的法律、法规。</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的解释权属采购人及代理机构。</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凡符合磋商文件规定，承认本磋商文件所有内容的投标人为合格的投标人。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投标人应遵守国家法律、法规和磋商文件的规定。</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的相应能力、具备规定的相应资格条件。全权代表一方的条件应符合投标资格要求。</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）联合体中标（成交）的，联合体各方应当共同与采购人签订合同，就中标（成交）项目（标段）向采购人承担连带责任。</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1.5  </w:t>
      </w:r>
      <w:r>
        <w:rPr>
          <w:rFonts w:hint="eastAsia" w:ascii="黑体" w:hAnsi="黑体" w:eastAsia="黑体" w:cs="楷体_GB2312"/>
          <w:b/>
          <w:color w:val="auto"/>
          <w:sz w:val="24"/>
          <w:lang w:val="zh-CN"/>
        </w:rPr>
        <w:t>知识产权</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ascii="宋体" w:hAnsi="宋体" w:cs="楷体_GB2312"/>
          <w:color w:val="auto"/>
          <w:sz w:val="24"/>
          <w:lang w:val="zh-CN"/>
        </w:rPr>
        <w:t xml:space="preserve">1.5.1 </w:t>
      </w:r>
      <w:r>
        <w:rPr>
          <w:rFonts w:hint="eastAsia" w:ascii="宋体" w:hAnsi="宋体" w:cs="楷体_GB2312"/>
          <w:color w:val="auto"/>
          <w:sz w:val="24"/>
          <w:lang w:val="zh-CN"/>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ascii="宋体" w:hAnsi="宋体" w:cs="楷体_GB2312"/>
          <w:color w:val="auto"/>
          <w:sz w:val="24"/>
          <w:lang w:val="zh-CN"/>
        </w:rPr>
        <w:t xml:space="preserve">1.5.2 </w:t>
      </w:r>
      <w:r>
        <w:rPr>
          <w:rFonts w:hint="eastAsia" w:ascii="宋体" w:hAnsi="宋体" w:cs="楷体_GB2312"/>
          <w:color w:val="auto"/>
          <w:sz w:val="24"/>
          <w:lang w:val="zh-CN"/>
        </w:rPr>
        <w:t>供应商如欲在项目实施过程中采用自有知识成果，须在投标文件中声明，并提供相关知识产权证明文件。使用该知识成果后，供应商须提供开发接口和开发手册等技术文档。</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1.6  </w:t>
      </w:r>
      <w:r>
        <w:rPr>
          <w:rFonts w:hint="eastAsia" w:ascii="黑体" w:hAnsi="黑体" w:eastAsia="黑体" w:cs="楷体_GB2312"/>
          <w:b/>
          <w:color w:val="auto"/>
          <w:sz w:val="24"/>
          <w:lang w:val="zh-CN"/>
        </w:rPr>
        <w:t>投标费用</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磋商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1.7 </w:t>
      </w:r>
      <w:r>
        <w:rPr>
          <w:rFonts w:hint="eastAsia" w:ascii="黑体" w:hAnsi="黑体" w:eastAsia="黑体" w:cs="楷体_GB2312"/>
          <w:b/>
          <w:color w:val="auto"/>
          <w:sz w:val="24"/>
          <w:lang w:val="zh-CN"/>
        </w:rPr>
        <w:t>保密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1.7.1 </w:t>
      </w:r>
      <w:r>
        <w:rPr>
          <w:rFonts w:hint="eastAsia" w:ascii="宋体" w:hAnsi="宋体" w:cs="楷体_GB2312"/>
          <w:color w:val="auto"/>
          <w:sz w:val="24"/>
          <w:lang w:val="zh-CN"/>
        </w:rPr>
        <w:t>参与竞争性磋商活动的各方应对磋商文件和投标文件中的商业和技术等秘密保密，投标人应在投标文件中对需保密事项予以书面声明，否则视为非保密事项。</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1.7.2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1.8 </w:t>
      </w:r>
      <w:r>
        <w:rPr>
          <w:rFonts w:hint="eastAsia" w:ascii="黑体" w:hAnsi="黑体" w:eastAsia="黑体" w:cs="楷体_GB2312"/>
          <w:b/>
          <w:color w:val="auto"/>
          <w:sz w:val="24"/>
          <w:lang w:val="zh-CN"/>
        </w:rPr>
        <w:t>语言文字</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除专用术语外，与竞争性磋商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1.9 </w:t>
      </w:r>
      <w:r>
        <w:rPr>
          <w:rFonts w:hint="eastAsia" w:ascii="黑体" w:hAnsi="黑体" w:eastAsia="黑体" w:cs="楷体_GB2312"/>
          <w:b/>
          <w:color w:val="auto"/>
          <w:sz w:val="24"/>
          <w:lang w:val="zh-CN"/>
        </w:rPr>
        <w:t>计量单位</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1.10 </w:t>
      </w:r>
      <w:r>
        <w:rPr>
          <w:rFonts w:hint="eastAsia" w:ascii="黑体" w:hAnsi="黑体" w:eastAsia="黑体" w:cs="楷体_GB2312"/>
          <w:b/>
          <w:color w:val="auto"/>
          <w:sz w:val="24"/>
          <w:lang w:val="zh-CN"/>
        </w:rPr>
        <w:t>踏勘现场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1.10.1</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1.10.2</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1.10.3  </w:t>
      </w:r>
      <w:r>
        <w:rPr>
          <w:rFonts w:hint="eastAsia" w:ascii="宋体" w:hAnsi="宋体" w:cs="楷体_GB2312"/>
          <w:color w:val="auto"/>
          <w:sz w:val="24"/>
          <w:lang w:val="zh-CN"/>
        </w:rPr>
        <w:t>投标人须知前附表规定不组织踏勘现场的，磋商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1.11 </w:t>
      </w:r>
      <w:r>
        <w:rPr>
          <w:rFonts w:hint="eastAsia" w:ascii="黑体" w:hAnsi="黑体" w:eastAsia="黑体" w:cs="楷体_GB2312"/>
          <w:b/>
          <w:color w:val="auto"/>
          <w:sz w:val="24"/>
          <w:lang w:val="zh-CN"/>
        </w:rPr>
        <w:t>投标预备会</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项方式通告潜在投标人。该澄清内容为磋商文件的组成部分。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黑体" w:hAnsi="黑体" w:eastAsia="黑体" w:cs="楷体_GB2312"/>
          <w:b/>
          <w:color w:val="auto"/>
          <w:sz w:val="24"/>
          <w:lang w:val="zh-CN"/>
        </w:rPr>
      </w:pPr>
      <w:r>
        <w:rPr>
          <w:rFonts w:ascii="黑体" w:hAnsi="黑体" w:eastAsia="黑体" w:cs="楷体_GB2312"/>
          <w:b/>
          <w:color w:val="auto"/>
          <w:sz w:val="24"/>
          <w:lang w:val="zh-CN"/>
        </w:rPr>
        <w:t xml:space="preserve">1.12 </w:t>
      </w:r>
      <w:r>
        <w:rPr>
          <w:rFonts w:hint="eastAsia" w:ascii="黑体" w:hAnsi="黑体" w:eastAsia="黑体" w:cs="楷体_GB2312"/>
          <w:b/>
          <w:color w:val="auto"/>
          <w:sz w:val="24"/>
          <w:lang w:val="zh-CN"/>
        </w:rPr>
        <w:t>分包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1.13 </w:t>
      </w:r>
      <w:r>
        <w:rPr>
          <w:rFonts w:hint="eastAsia" w:ascii="黑体" w:hAnsi="黑体" w:eastAsia="黑体" w:cs="楷体_GB2312"/>
          <w:b/>
          <w:color w:val="auto"/>
          <w:sz w:val="24"/>
          <w:lang w:val="zh-CN"/>
        </w:rPr>
        <w:t>偏离</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磋商文件允许投标文件偏离磋商文件某些要求的，偏离应当符合磋商文件规定的偏离范围和幅度。</w:t>
      </w: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16" w:name="_Toc26366090"/>
      <w:bookmarkStart w:id="17" w:name="_Toc30881"/>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磋商文件</w:t>
      </w:r>
      <w:bookmarkEnd w:id="16"/>
      <w:bookmarkEnd w:id="17"/>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）磋商公告</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）合同条款及格式</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1.11</w:t>
      </w:r>
      <w:r>
        <w:rPr>
          <w:rFonts w:hint="eastAsia" w:ascii="宋体" w:hAnsi="宋体" w:cs="楷体_GB2312"/>
          <w:color w:val="auto"/>
          <w:sz w:val="24"/>
          <w:lang w:val="zh-CN"/>
        </w:rPr>
        <w:t>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款、对磋商文件的澄清、修改、补充书构成磋商文件的组成部分，并取代磋商文件中被澄清、修改处，对所有投标人均有约束力。</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投标人与任何人的口头协议不影响《磋商文件》的任何条款和内容。</w:t>
      </w:r>
    </w:p>
    <w:p>
      <w:pPr>
        <w:autoSpaceDE w:val="0"/>
        <w:autoSpaceDN w:val="0"/>
        <w:adjustRightInd w:val="0"/>
        <w:snapToGrid w:val="0"/>
        <w:spacing w:line="380" w:lineRule="exact"/>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投标人应仔细阅读和检查磋商文件的全部内容是否齐全，如发现缺页或附件不全等遗漏，应及时向采购代理机构提出并索取补齐，否则责任及风险自负。</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投标人对磋商文件如有需澄清的疑问，应在投标人须知前附表规定的时间内按磋商公告中载明的地址以纸质书面形式通知到采购代理机构。在规定的时间内未提出疑问的，将视为对磋商文件的完全认可。</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采购代理机构对潜在投标人在规定的时间内提出的疑问，将视情况以书面形式予以答复，并在其认为必要时，将不标明查询来源的书面答复，在“磋商公告”所述媒体通告所有潜在投标人。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line="380" w:lineRule="exact"/>
        <w:ind w:firstLine="480" w:firstLineChars="200"/>
        <w:jc w:val="left"/>
        <w:rPr>
          <w:rFonts w:asci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pPr>
        <w:autoSpaceDE w:val="0"/>
        <w:autoSpaceDN w:val="0"/>
        <w:adjustRightInd w:val="0"/>
        <w:snapToGrid w:val="0"/>
        <w:spacing w:line="380" w:lineRule="exact"/>
        <w:ind w:firstLine="539"/>
        <w:rPr>
          <w:rFonts w:asci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磋商过程中对磋商文件的变动见第四章评审办法</w:t>
      </w:r>
      <w:r>
        <w:rPr>
          <w:rFonts w:ascii="宋体" w:hAnsi="宋体"/>
          <w:color w:val="auto"/>
          <w:sz w:val="24"/>
        </w:rPr>
        <w:t>3.5</w:t>
      </w:r>
      <w:r>
        <w:rPr>
          <w:rFonts w:hint="eastAsia" w:ascii="宋体" w:hAnsi="宋体"/>
          <w:color w:val="auto"/>
          <w:sz w:val="24"/>
        </w:rPr>
        <w:t>款磋商规则。</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磋商文件的澄清、修改、补充的通知，及相应时间变更</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磋商文件在投标截止时间前的所有澄清、修改（包括时间变更等）、补充事项，均在“磋商公告”所述媒体予以公告。</w:t>
      </w:r>
      <w:r>
        <w:rPr>
          <w:rFonts w:hint="eastAsia" w:ascii="宋体" w:hAnsi="宋体" w:cs="楷体_GB2312"/>
          <w:b/>
          <w:color w:val="auto"/>
          <w:sz w:val="24"/>
          <w:lang w:val="zh-CN"/>
        </w:rPr>
        <w:t>澄清或修改公告一经在法定网站以公告形式发布，依法视为书面通知，不再另行通知。</w:t>
      </w:r>
    </w:p>
    <w:p>
      <w:pPr>
        <w:autoSpaceDE w:val="0"/>
        <w:autoSpaceDN w:val="0"/>
        <w:adjustRightInd w:val="0"/>
        <w:snapToGrid w:val="0"/>
        <w:spacing w:line="380" w:lineRule="exact"/>
        <w:ind w:firstLine="539"/>
        <w:rPr>
          <w:rFonts w:ascii="宋体" w:cs="楷体_GB2312"/>
          <w:b/>
          <w:color w:val="auto"/>
          <w:sz w:val="24"/>
          <w:lang w:val="zh-CN"/>
        </w:rPr>
      </w:pPr>
      <w:r>
        <w:rPr>
          <w:rFonts w:hint="eastAsia" w:ascii="宋体" w:hAnsi="宋体" w:cs="楷体_GB2312"/>
          <w:b/>
          <w:color w:val="auto"/>
          <w:sz w:val="24"/>
          <w:lang w:val="zh-CN"/>
        </w:rPr>
        <w:t>基于网上电子交易的特点</w:t>
      </w:r>
      <w:r>
        <w:rPr>
          <w:rFonts w:ascii="宋体" w:hAnsi="宋体" w:cs="楷体_GB2312"/>
          <w:b/>
          <w:color w:val="auto"/>
          <w:sz w:val="24"/>
          <w:lang w:val="zh-CN"/>
        </w:rPr>
        <w:t>—</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无权限获知或通知潜在投标人，潜在投标人应随时关注“磋商公告”所述媒体相关项目信息（为免各部门网站出现维护等情况，潜在投标人应对“磋商公告”所述媒体逐一查阅），如有遗漏，后果自负。</w:t>
      </w:r>
    </w:p>
    <w:p>
      <w:pPr>
        <w:autoSpaceDE w:val="0"/>
        <w:autoSpaceDN w:val="0"/>
        <w:adjustRightInd w:val="0"/>
        <w:snapToGrid w:val="0"/>
        <w:spacing w:line="380" w:lineRule="exact"/>
        <w:ind w:firstLine="539"/>
        <w:rPr>
          <w:rFonts w:ascii="宋体" w:cs="楷体_GB2312"/>
          <w:color w:val="auto"/>
          <w:sz w:val="24"/>
          <w:lang w:val="zh-CN"/>
        </w:rPr>
      </w:pPr>
      <w:r>
        <w:rPr>
          <w:rFonts w:ascii="宋体" w:cs="楷体_GB2312"/>
          <w:color w:val="auto"/>
          <w:sz w:val="24"/>
          <w:lang w:val="zh-CN"/>
        </w:rPr>
        <w:t xml:space="preserve">2.4.2 </w:t>
      </w:r>
      <w:r>
        <w:rPr>
          <w:rFonts w:hint="eastAsia" w:ascii="宋体" w:cs="楷体_GB2312"/>
          <w:color w:val="auto"/>
          <w:sz w:val="24"/>
          <w:lang w:val="zh-CN"/>
        </w:rPr>
        <w:t>磋商文件的澄清、修改、补充书构成磋商文件的组成部分，并取代磋商文件中被澄清、修改处，对所有投标人均有约束力。</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磋商公告”所述媒体予以公告。</w:t>
      </w:r>
    </w:p>
    <w:p>
      <w:pPr>
        <w:autoSpaceDE w:val="0"/>
        <w:autoSpaceDN w:val="0"/>
        <w:adjustRightInd w:val="0"/>
        <w:snapToGrid w:val="0"/>
        <w:spacing w:line="380" w:lineRule="exact"/>
        <w:ind w:firstLine="539"/>
        <w:rPr>
          <w:rFonts w:ascii="宋体" w:cs="楷体_GB2312"/>
          <w:color w:val="auto"/>
          <w:sz w:val="24"/>
        </w:rPr>
      </w:pP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18" w:name="_Toc26284"/>
      <w:bookmarkStart w:id="19" w:name="_Toc26366091"/>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18"/>
      <w:bookmarkEnd w:id="19"/>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投标人应仔细阅读磋商文件的所有内容，按磋商文件的要求提供投标文件（响应文件），并保证所提供全部资料的真实性。投标文件（响应文件）应对磋商文件实质性要求作出实质性响应。磋商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pPr>
        <w:adjustRightInd w:val="0"/>
        <w:snapToGrid w:val="0"/>
        <w:spacing w:line="380" w:lineRule="exact"/>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磋商小组按照实质性判断原则（实质性要求和实质性响应两因素）、有权视情况将其作无效投标处理，投标人自负此项风险；投标文件组成内容未对磋商文件实质性要求作出实质性响应，磋商小组按照实质性判断原则、视情况将其作无效投标处理，投标人自负此项风险</w:t>
      </w:r>
    </w:p>
    <w:p>
      <w:pPr>
        <w:adjustRightInd w:val="0"/>
        <w:snapToGrid w:val="0"/>
        <w:spacing w:line="380" w:lineRule="exact"/>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pPr>
        <w:adjustRightInd w:val="0"/>
        <w:snapToGrid w:val="0"/>
        <w:spacing w:line="380" w:lineRule="exact"/>
        <w:ind w:firstLine="539"/>
        <w:textAlignment w:val="top"/>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80" w:lineRule="exact"/>
        <w:ind w:firstLine="539"/>
        <w:textAlignment w:val="top"/>
        <w:rPr>
          <w:rFonts w:ascii="宋体" w:hAnsi="宋体"/>
          <w:color w:val="auto"/>
          <w:sz w:val="24"/>
        </w:rPr>
      </w:pPr>
      <w:r>
        <w:rPr>
          <w:rFonts w:hint="eastAsia" w:ascii="宋体" w:hAnsi="宋体"/>
          <w:color w:val="auto"/>
          <w:sz w:val="24"/>
        </w:rPr>
        <w:t>（4）</w:t>
      </w:r>
      <w:r>
        <w:rPr>
          <w:rFonts w:hint="eastAsia"/>
          <w:color w:val="000000" w:themeColor="text1"/>
          <w:sz w:val="24"/>
          <w:szCs w:val="24"/>
        </w:rPr>
        <w:t>响应产品清单及具体技术参数</w:t>
      </w:r>
    </w:p>
    <w:p>
      <w:pPr>
        <w:adjustRightInd w:val="0"/>
        <w:snapToGrid w:val="0"/>
        <w:spacing w:line="380" w:lineRule="exact"/>
        <w:ind w:firstLine="539"/>
        <w:textAlignment w:val="top"/>
        <w:rPr>
          <w:rFonts w:ascii="宋体"/>
          <w:color w:val="auto"/>
          <w:sz w:val="24"/>
        </w:rPr>
      </w:pPr>
      <w:r>
        <w:rPr>
          <w:rFonts w:hint="eastAsia" w:ascii="宋体" w:hAnsi="宋体"/>
          <w:color w:val="auto"/>
          <w:sz w:val="24"/>
        </w:rPr>
        <w:t>（5）技术偏差表</w:t>
      </w:r>
    </w:p>
    <w:p>
      <w:pPr>
        <w:adjustRightInd w:val="0"/>
        <w:snapToGrid w:val="0"/>
        <w:spacing w:line="380" w:lineRule="exact"/>
        <w:ind w:firstLine="539"/>
        <w:rPr>
          <w:rFonts w:ascii="宋体"/>
          <w:color w:val="auto"/>
          <w:sz w:val="24"/>
        </w:rPr>
      </w:pPr>
      <w:r>
        <w:rPr>
          <w:rFonts w:hint="eastAsia" w:ascii="宋体" w:hAnsi="宋体" w:cs="楷体_GB2312"/>
          <w:color w:val="auto"/>
          <w:sz w:val="24"/>
          <w:lang w:val="zh-CN"/>
        </w:rPr>
        <w:t>（6）</w:t>
      </w:r>
      <w:r>
        <w:rPr>
          <w:rFonts w:hint="eastAsia" w:ascii="宋体" w:hAnsi="宋体"/>
          <w:color w:val="auto"/>
          <w:sz w:val="24"/>
        </w:rPr>
        <w:t>其他偏差表</w:t>
      </w:r>
    </w:p>
    <w:p>
      <w:pPr>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（7）</w:t>
      </w:r>
      <w:r>
        <w:rPr>
          <w:rFonts w:hint="eastAsia" w:ascii="宋体" w:hAnsi="宋体"/>
          <w:color w:val="auto"/>
          <w:sz w:val="24"/>
        </w:rPr>
        <w:t>售后服务计划</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（8）反商业贿赂承诺书</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（9） 履约承诺书</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（10）采购项目及技术服务要求所需的其他材料（按条款需要）</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（11）供应商人须知所需的其他材料（按条款需要）</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（12）评审办法所需的其他材料（按条款需要）</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（13）供应商认为有必要提交的其它材料</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（14）关于资格的声明函</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（15）法定代表人身份证明或法定代表人授权委托书</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（16）投标承诺函（以投标承诺函形式替代投标保证金）</w:t>
      </w:r>
    </w:p>
    <w:p>
      <w:pPr>
        <w:autoSpaceDE w:val="0"/>
        <w:autoSpaceDN w:val="0"/>
        <w:adjustRightInd w:val="0"/>
        <w:snapToGrid w:val="0"/>
        <w:spacing w:line="380" w:lineRule="exact"/>
        <w:ind w:firstLine="520" w:firstLineChars="217"/>
        <w:rPr>
          <w:rFonts w:ascii="宋体" w:cs="楷体_GB2312"/>
          <w:color w:val="auto"/>
          <w:sz w:val="24"/>
          <w:lang w:val="zh-CN"/>
        </w:rPr>
      </w:pPr>
      <w:r>
        <w:rPr>
          <w:rFonts w:hint="eastAsia" w:ascii="宋体" w:hAnsi="宋体" w:cs="楷体_GB2312"/>
          <w:color w:val="auto"/>
          <w:sz w:val="24"/>
          <w:lang w:val="zh-CN"/>
        </w:rPr>
        <w:t>（17）资格要求相关证明材料（文件）</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pPr>
        <w:topLinePunct/>
        <w:adjustRightInd w:val="0"/>
        <w:snapToGrid w:val="0"/>
        <w:spacing w:line="380" w:lineRule="exact"/>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line="380" w:lineRule="exact"/>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在投标有效期内，投标人撤销或修改其投标文件（响应文件）的，应承担磋商文件和法律规定的责任。</w:t>
      </w:r>
    </w:p>
    <w:p>
      <w:pPr>
        <w:widowControl w:val="0"/>
        <w:tabs>
          <w:tab w:val="left" w:pos="65"/>
        </w:tabs>
        <w:spacing w:line="380" w:lineRule="exact"/>
        <w:ind w:firstLine="482" w:firstLineChars="200"/>
        <w:textAlignment w:val="auto"/>
        <w:rPr>
          <w:rFonts w:ascii="宋体" w:hAnsi="宋体"/>
          <w:color w:val="auto"/>
          <w:sz w:val="24"/>
          <w:szCs w:val="24"/>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lang w:val="zh-CN"/>
        </w:rPr>
        <w:t>投标保证金：</w:t>
      </w:r>
      <w:r>
        <w:rPr>
          <w:rFonts w:hint="eastAsia" w:ascii="宋体" w:hAnsi="宋体"/>
          <w:color w:val="auto"/>
          <w:sz w:val="24"/>
          <w:szCs w:val="24"/>
          <w:lang w:val="zh-CN"/>
        </w:rPr>
        <w:t xml:space="preserve">3.5.1 </w:t>
      </w:r>
      <w:r>
        <w:rPr>
          <w:rFonts w:hint="eastAsia" w:ascii="宋体" w:hAnsi="宋体"/>
          <w:color w:val="auto"/>
          <w:sz w:val="24"/>
          <w:szCs w:val="24"/>
        </w:rPr>
        <w:t>按照豫财购〔2022〕4号文件规定，本项目以投标承诺函的形式替代投标保证金，供应商应按附件格式进行投标承诺，违背承诺的将承担相应的法律责任及违约责任。</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3.5.3 投标单位的投标承诺函包含投标人承诺的事项及违背承诺的责任追究措施。</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3.5.4.1、投标单位应遵循公开、公平、公正和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3.5.4.2、投标单位在政府采购活动中应提供真实、准确、有效、合法的材料，不</w:t>
      </w:r>
      <w:r>
        <w:rPr>
          <w:rFonts w:hint="eastAsia" w:ascii="宋体" w:hAnsi="宋体" w:cs="楷体_GB2312"/>
          <w:color w:val="auto"/>
          <w:sz w:val="24"/>
          <w:lang w:val="zh-CN"/>
        </w:rPr>
        <w:t>提供虚假材料；</w:t>
      </w:r>
    </w:p>
    <w:p>
      <w:pPr>
        <w:topLinePunct/>
        <w:adjustRightInd w:val="0"/>
        <w:snapToGrid w:val="0"/>
        <w:spacing w:line="380" w:lineRule="exact"/>
        <w:ind w:firstLine="480" w:firstLineChars="200"/>
        <w:rPr>
          <w:rFonts w:ascii="宋体" w:hAnsi="宋体" w:cs="楷体_GB2312"/>
          <w:color w:val="auto"/>
          <w:sz w:val="24"/>
          <w:lang w:val="zh-CN"/>
        </w:rPr>
      </w:pPr>
      <w:r>
        <w:rPr>
          <w:rFonts w:hint="eastAsia" w:ascii="宋体" w:hAnsi="宋体"/>
          <w:color w:val="auto"/>
          <w:sz w:val="24"/>
          <w:szCs w:val="24"/>
        </w:rPr>
        <w:t>3.5.4.3、投标单位</w:t>
      </w:r>
      <w:r>
        <w:rPr>
          <w:rFonts w:hint="eastAsia"/>
          <w:color w:val="auto"/>
          <w:sz w:val="24"/>
          <w:lang w:val="zh-CN"/>
        </w:rPr>
        <w:t>按照</w:t>
      </w:r>
      <w:r>
        <w:rPr>
          <w:rFonts w:hint="eastAsia"/>
          <w:color w:val="auto"/>
          <w:sz w:val="24"/>
        </w:rPr>
        <w:t>招标</w:t>
      </w:r>
      <w:r>
        <w:rPr>
          <w:rFonts w:hint="eastAsia"/>
          <w:color w:val="auto"/>
          <w:sz w:val="24"/>
          <w:lang w:val="zh-CN"/>
        </w:rPr>
        <w:t>文件规定，</w:t>
      </w:r>
      <w:r>
        <w:rPr>
          <w:rFonts w:hint="eastAsia" w:ascii="宋体" w:hAnsi="宋体" w:cs="楷体_GB2312"/>
          <w:color w:val="auto"/>
          <w:sz w:val="24"/>
          <w:lang w:val="zh-CN"/>
        </w:rPr>
        <w:t>在提交</w:t>
      </w:r>
      <w:r>
        <w:rPr>
          <w:rFonts w:hint="eastAsia"/>
          <w:color w:val="auto"/>
          <w:sz w:val="24"/>
        </w:rPr>
        <w:t>响应</w:t>
      </w:r>
      <w:r>
        <w:rPr>
          <w:rFonts w:hint="eastAsia" w:ascii="宋体" w:hAnsi="宋体" w:cs="楷体_GB2312"/>
          <w:color w:val="auto"/>
          <w:sz w:val="24"/>
          <w:lang w:val="zh-CN"/>
        </w:rPr>
        <w:t>文件截止时间后，在</w:t>
      </w:r>
      <w:r>
        <w:rPr>
          <w:rFonts w:hint="eastAsia"/>
          <w:color w:val="auto"/>
          <w:sz w:val="24"/>
        </w:rPr>
        <w:t>招标</w:t>
      </w:r>
      <w:r>
        <w:rPr>
          <w:rFonts w:hint="eastAsia" w:ascii="宋体" w:hAnsi="宋体" w:cs="楷体_GB2312"/>
          <w:color w:val="auto"/>
          <w:sz w:val="24"/>
          <w:lang w:val="zh-CN"/>
        </w:rPr>
        <w:t>文件规定的投标有效期限内不</w:t>
      </w:r>
      <w:r>
        <w:rPr>
          <w:rFonts w:hint="eastAsia" w:ascii="宋体" w:hAnsi="宋体" w:cs="楷体_GB2312"/>
          <w:color w:val="auto"/>
          <w:sz w:val="24"/>
        </w:rPr>
        <w:t>应</w:t>
      </w:r>
      <w:r>
        <w:rPr>
          <w:rFonts w:hint="eastAsia" w:ascii="宋体" w:hAnsi="宋体" w:cs="楷体_GB2312"/>
          <w:color w:val="auto"/>
          <w:sz w:val="24"/>
          <w:lang w:val="zh-CN"/>
        </w:rPr>
        <w:t>撤回投标文件；</w:t>
      </w:r>
    </w:p>
    <w:p>
      <w:pPr>
        <w:topLinePunct/>
        <w:adjustRightInd w:val="0"/>
        <w:snapToGrid w:val="0"/>
        <w:spacing w:line="380" w:lineRule="exact"/>
        <w:ind w:firstLine="480" w:firstLineChars="200"/>
        <w:rPr>
          <w:rFonts w:ascii="宋体" w:cs="楷体_GB2312"/>
          <w:color w:val="auto"/>
          <w:sz w:val="24"/>
          <w:lang w:val="zh-CN"/>
        </w:rPr>
      </w:pPr>
      <w:r>
        <w:rPr>
          <w:rFonts w:hint="eastAsia" w:ascii="宋体" w:hAnsi="宋体"/>
          <w:color w:val="auto"/>
          <w:sz w:val="24"/>
          <w:szCs w:val="24"/>
        </w:rPr>
        <w:t>3.5.4.4</w:t>
      </w:r>
      <w:r>
        <w:rPr>
          <w:rFonts w:hint="eastAsia"/>
          <w:color w:val="auto"/>
          <w:sz w:val="24"/>
        </w:rPr>
        <w:t>、不应</w:t>
      </w:r>
      <w:r>
        <w:rPr>
          <w:rFonts w:hint="eastAsia" w:ascii="宋体" w:hAnsi="宋体" w:cs="楷体_GB2312"/>
          <w:color w:val="auto"/>
          <w:sz w:val="24"/>
          <w:lang w:val="zh-CN"/>
        </w:rPr>
        <w:t>与其他投标人、采购人或采购代理机构串通或恶意串通。</w:t>
      </w:r>
    </w:p>
    <w:p>
      <w:pPr>
        <w:widowControl w:val="0"/>
        <w:tabs>
          <w:tab w:val="left" w:pos="65"/>
        </w:tabs>
        <w:spacing w:line="380" w:lineRule="exact"/>
        <w:ind w:firstLine="480" w:firstLineChars="200"/>
        <w:textAlignment w:val="auto"/>
        <w:rPr>
          <w:color w:val="auto"/>
          <w:sz w:val="24"/>
        </w:rPr>
      </w:pPr>
      <w:r>
        <w:rPr>
          <w:rFonts w:hint="eastAsia" w:ascii="宋体" w:hAnsi="宋体"/>
          <w:color w:val="auto"/>
          <w:sz w:val="24"/>
          <w:szCs w:val="24"/>
        </w:rPr>
        <w:t>3.5.4.5</w:t>
      </w:r>
      <w:r>
        <w:rPr>
          <w:rFonts w:hint="eastAsia"/>
          <w:color w:val="auto"/>
          <w:sz w:val="24"/>
        </w:rPr>
        <w:t>、成交后</w:t>
      </w:r>
      <w:r>
        <w:rPr>
          <w:rFonts w:hint="eastAsia" w:ascii="宋体" w:hAnsi="宋体" w:cs="楷体_GB2312"/>
          <w:color w:val="auto"/>
          <w:sz w:val="24"/>
          <w:lang w:val="zh-CN"/>
        </w:rPr>
        <w:t>除不可抗拒力或招标文件认可的情形外</w:t>
      </w:r>
      <w:r>
        <w:rPr>
          <w:rFonts w:hint="eastAsia"/>
          <w:color w:val="auto"/>
          <w:sz w:val="24"/>
        </w:rPr>
        <w:t>，</w:t>
      </w:r>
      <w:r>
        <w:rPr>
          <w:rFonts w:hint="eastAsia" w:ascii="宋体" w:hAnsi="宋体"/>
          <w:color w:val="auto"/>
          <w:sz w:val="24"/>
          <w:szCs w:val="24"/>
        </w:rPr>
        <w:t>投标单位应</w:t>
      </w:r>
      <w:r>
        <w:rPr>
          <w:rFonts w:hint="eastAsia"/>
          <w:color w:val="auto"/>
          <w:sz w:val="24"/>
        </w:rPr>
        <w:t>及时领取成交通知书，</w:t>
      </w:r>
      <w:r>
        <w:rPr>
          <w:rFonts w:hint="eastAsia" w:ascii="宋体" w:hAnsi="宋体" w:cs="楷体_GB2312"/>
          <w:color w:val="auto"/>
          <w:sz w:val="24"/>
          <w:lang w:val="zh-CN"/>
        </w:rPr>
        <w:t>在成交通知书规定时间、地点与采购人签订合同</w:t>
      </w:r>
      <w:r>
        <w:rPr>
          <w:rFonts w:hint="eastAsia"/>
          <w:color w:val="auto"/>
          <w:sz w:val="24"/>
          <w:lang w:val="zh-CN"/>
        </w:rPr>
        <w:t>；</w:t>
      </w:r>
      <w:r>
        <w:rPr>
          <w:rFonts w:hint="eastAsia"/>
          <w:color w:val="auto"/>
          <w:sz w:val="24"/>
        </w:rPr>
        <w:br w:type="textWrapping"/>
      </w:r>
      <w:r>
        <w:rPr>
          <w:rFonts w:hint="eastAsia" w:ascii="宋体" w:hAnsi="宋体"/>
          <w:color w:val="auto"/>
          <w:sz w:val="24"/>
          <w:szCs w:val="24"/>
        </w:rPr>
        <w:t>3.5.4.6</w:t>
      </w:r>
      <w:r>
        <w:rPr>
          <w:rFonts w:hint="eastAsia"/>
          <w:color w:val="auto"/>
          <w:sz w:val="24"/>
        </w:rPr>
        <w:t>、</w:t>
      </w:r>
      <w:r>
        <w:rPr>
          <w:rFonts w:hint="eastAsia" w:ascii="宋体" w:hAnsi="宋体"/>
          <w:color w:val="auto"/>
          <w:sz w:val="24"/>
          <w:szCs w:val="24"/>
        </w:rPr>
        <w:t>投标单位应</w:t>
      </w:r>
      <w:r>
        <w:rPr>
          <w:rFonts w:hint="eastAsia" w:ascii="宋体" w:hAnsi="宋体" w:cs="楷体_GB2312"/>
          <w:color w:val="auto"/>
          <w:sz w:val="24"/>
          <w:lang w:val="zh-CN"/>
        </w:rPr>
        <w:t>遵守法律法规及</w:t>
      </w:r>
      <w:r>
        <w:rPr>
          <w:rFonts w:hint="eastAsia"/>
          <w:color w:val="auto"/>
          <w:sz w:val="24"/>
        </w:rPr>
        <w:t>招标</w:t>
      </w:r>
      <w:r>
        <w:rPr>
          <w:rFonts w:hint="eastAsia" w:ascii="宋体" w:hAnsi="宋体" w:cs="楷体_GB2312"/>
          <w:color w:val="auto"/>
          <w:sz w:val="24"/>
          <w:lang w:val="zh-CN"/>
        </w:rPr>
        <w:t>文件规定的其他情况；</w:t>
      </w:r>
    </w:p>
    <w:p>
      <w:pPr>
        <w:widowControl w:val="0"/>
        <w:tabs>
          <w:tab w:val="left" w:pos="65"/>
        </w:tabs>
        <w:spacing w:line="380" w:lineRule="exact"/>
        <w:ind w:firstLine="480" w:firstLineChars="200"/>
        <w:textAlignment w:val="auto"/>
        <w:rPr>
          <w:color w:val="auto"/>
          <w:sz w:val="24"/>
        </w:rPr>
      </w:pPr>
      <w:r>
        <w:rPr>
          <w:rFonts w:hint="eastAsia" w:ascii="宋体" w:hAnsi="宋体"/>
          <w:color w:val="auto"/>
          <w:sz w:val="24"/>
          <w:szCs w:val="24"/>
        </w:rPr>
        <w:t>3.5.4.7</w:t>
      </w:r>
      <w:r>
        <w:rPr>
          <w:rFonts w:hint="eastAsia"/>
          <w:color w:val="auto"/>
          <w:sz w:val="24"/>
        </w:rPr>
        <w:t>、</w:t>
      </w:r>
      <w:r>
        <w:rPr>
          <w:rFonts w:hint="eastAsia" w:ascii="宋体" w:hAnsi="宋体"/>
          <w:color w:val="auto"/>
          <w:sz w:val="24"/>
          <w:szCs w:val="24"/>
        </w:rPr>
        <w:t>投标单位应</w:t>
      </w:r>
      <w:r>
        <w:rPr>
          <w:rFonts w:hint="eastAsia"/>
          <w:color w:val="auto"/>
          <w:sz w:val="24"/>
        </w:rPr>
        <w:t>按招标文件规定</w:t>
      </w:r>
      <w:r>
        <w:rPr>
          <w:rFonts w:hint="eastAsia" w:ascii="宋体" w:hAnsi="宋体"/>
          <w:color w:val="auto"/>
          <w:sz w:val="24"/>
          <w:szCs w:val="24"/>
        </w:rPr>
        <w:t>及时缴纳</w:t>
      </w:r>
      <w:r>
        <w:rPr>
          <w:rFonts w:hint="eastAsia"/>
          <w:color w:val="auto"/>
          <w:sz w:val="24"/>
        </w:rPr>
        <w:t>中标服务费。</w:t>
      </w:r>
    </w:p>
    <w:p>
      <w:pPr>
        <w:widowControl w:val="0"/>
        <w:tabs>
          <w:tab w:val="left" w:pos="65"/>
        </w:tabs>
        <w:spacing w:line="380" w:lineRule="exact"/>
        <w:ind w:firstLine="480" w:firstLineChars="200"/>
        <w:textAlignment w:val="auto"/>
        <w:rPr>
          <w:rFonts w:ascii="宋体" w:hAnsi="宋体" w:cs="楷体_GB2312"/>
          <w:color w:val="auto"/>
          <w:sz w:val="24"/>
          <w:szCs w:val="22"/>
        </w:rPr>
      </w:pPr>
      <w:r>
        <w:rPr>
          <w:rFonts w:hint="eastAsia" w:ascii="宋体" w:hAnsi="宋体" w:cs="楷体_GB2312"/>
          <w:color w:val="auto"/>
          <w:sz w:val="24"/>
          <w:szCs w:val="22"/>
        </w:rPr>
        <w:t>3.5.5 违背承诺的责任追究措施</w:t>
      </w:r>
    </w:p>
    <w:p>
      <w:pPr>
        <w:widowControl w:val="0"/>
        <w:tabs>
          <w:tab w:val="left" w:pos="65"/>
        </w:tabs>
        <w:spacing w:line="380" w:lineRule="exact"/>
        <w:ind w:firstLine="480" w:firstLineChars="200"/>
        <w:textAlignment w:val="auto"/>
        <w:rPr>
          <w:color w:val="auto"/>
          <w:sz w:val="24"/>
        </w:rPr>
      </w:pPr>
      <w:r>
        <w:rPr>
          <w:rFonts w:hint="eastAsia"/>
          <w:color w:val="auto"/>
          <w:sz w:val="24"/>
        </w:rPr>
        <w:t>投标单位如违背上述承诺事项，应无条件接受以下责任追究：</w:t>
      </w:r>
    </w:p>
    <w:p>
      <w:pPr>
        <w:widowControl w:val="0"/>
        <w:tabs>
          <w:tab w:val="left" w:pos="65"/>
        </w:tabs>
        <w:spacing w:line="380" w:lineRule="exact"/>
        <w:ind w:firstLine="480" w:firstLineChars="200"/>
        <w:textAlignment w:val="auto"/>
        <w:rPr>
          <w:rFonts w:ascii="宋体" w:hAnsi="宋体" w:cs="楷体_GB2312"/>
          <w:color w:val="auto"/>
          <w:sz w:val="24"/>
          <w:lang w:val="zh-CN"/>
        </w:rPr>
      </w:pPr>
      <w:r>
        <w:rPr>
          <w:rFonts w:hint="eastAsia" w:ascii="宋体" w:hAnsi="宋体" w:cs="楷体_GB2312"/>
          <w:color w:val="auto"/>
          <w:sz w:val="24"/>
        </w:rPr>
        <w:t>3.5.5.1</w:t>
      </w:r>
      <w:r>
        <w:rPr>
          <w:rFonts w:hint="eastAsia" w:ascii="宋体" w:hAnsi="宋体" w:cs="楷体_GB2312"/>
          <w:color w:val="auto"/>
          <w:sz w:val="24"/>
          <w:lang w:val="zh-CN"/>
        </w:rPr>
        <w:t>法定责任：</w:t>
      </w:r>
      <w:r>
        <w:rPr>
          <w:rFonts w:hint="eastAsia"/>
          <w:color w:val="auto"/>
          <w:sz w:val="24"/>
        </w:rPr>
        <w:t>按照政府采购相关法规，</w:t>
      </w:r>
      <w:r>
        <w:rPr>
          <w:rFonts w:ascii="宋体" w:hAnsi="宋体" w:cs="楷体_GB2312"/>
          <w:color w:val="auto"/>
          <w:sz w:val="24"/>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lang w:val="zh-CN"/>
        </w:rPr>
        <w:t>（市场监督机关）</w:t>
      </w:r>
      <w:r>
        <w:rPr>
          <w:rFonts w:ascii="宋体" w:hAnsi="宋体" w:cs="楷体_GB2312"/>
          <w:color w:val="auto"/>
          <w:sz w:val="24"/>
          <w:lang w:val="zh-CN"/>
        </w:rPr>
        <w:t>吊销营业执照；构成犯罪的，依法追究刑事责任</w:t>
      </w:r>
      <w:r>
        <w:rPr>
          <w:rFonts w:hint="eastAsia" w:ascii="宋体" w:hAnsi="宋体" w:cs="楷体_GB2312"/>
          <w:color w:val="auto"/>
          <w:sz w:val="24"/>
          <w:lang w:val="zh-CN"/>
        </w:rPr>
        <w:t>。</w:t>
      </w:r>
    </w:p>
    <w:p>
      <w:pPr>
        <w:widowControl w:val="0"/>
        <w:tabs>
          <w:tab w:val="left" w:pos="65"/>
        </w:tabs>
        <w:spacing w:line="380" w:lineRule="exact"/>
        <w:ind w:firstLine="480" w:firstLineChars="200"/>
        <w:textAlignment w:val="auto"/>
        <w:rPr>
          <w:rFonts w:ascii="宋体" w:hAnsi="宋体" w:cs="楷体_GB2312"/>
          <w:color w:val="auto"/>
          <w:sz w:val="24"/>
          <w:lang w:val="zh-CN"/>
        </w:rPr>
      </w:pPr>
      <w:r>
        <w:rPr>
          <w:rFonts w:hint="eastAsia"/>
          <w:color w:val="auto"/>
          <w:sz w:val="24"/>
        </w:rPr>
        <w:t>给采购人及他人造成损失的，愿承担相应的赔偿责任。</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ascii="宋体" w:hAnsi="宋体" w:cs="楷体_GB2312"/>
          <w:color w:val="auto"/>
          <w:sz w:val="24"/>
          <w:lang w:val="zh-CN"/>
        </w:rPr>
        <w:t>违约责任：</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color w:val="auto"/>
          <w:sz w:val="24"/>
        </w:rPr>
        <w:t>1 已中标的，中标（</w:t>
      </w:r>
      <w:r>
        <w:rPr>
          <w:rFonts w:hint="eastAsia" w:ascii="宋体" w:hAnsi="宋体" w:cs="宋体"/>
          <w:color w:val="auto"/>
          <w:szCs w:val="21"/>
        </w:rPr>
        <w:t>成交</w:t>
      </w:r>
      <w:r>
        <w:rPr>
          <w:rFonts w:hint="eastAsia"/>
          <w:color w:val="auto"/>
          <w:sz w:val="24"/>
        </w:rPr>
        <w:t>）无效；</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color w:val="auto"/>
          <w:sz w:val="24"/>
        </w:rPr>
        <w:t>2 支付采购人违约标的预算金额2%的</w:t>
      </w:r>
      <w:r>
        <w:rPr>
          <w:rFonts w:hint="eastAsia" w:ascii="宋体" w:hAnsi="宋体" w:cs="楷体_GB2312"/>
          <w:color w:val="auto"/>
          <w:sz w:val="24"/>
          <w:lang w:val="zh-CN"/>
        </w:rPr>
        <w:t>违约金</w:t>
      </w:r>
      <w:r>
        <w:rPr>
          <w:rFonts w:hint="eastAsia"/>
          <w:color w:val="auto"/>
          <w:sz w:val="24"/>
        </w:rPr>
        <w:t>；</w:t>
      </w:r>
    </w:p>
    <w:p>
      <w:pPr>
        <w:topLinePunct/>
        <w:adjustRightInd w:val="0"/>
        <w:snapToGrid w:val="0"/>
        <w:spacing w:line="380" w:lineRule="exact"/>
        <w:ind w:firstLine="564" w:firstLineChars="235"/>
        <w:rPr>
          <w:rFonts w:ascii="黑体" w:hAnsi="黑体" w:eastAsia="黑体" w:cs="楷体_GB2312"/>
          <w:b/>
          <w:color w:val="auto"/>
          <w:sz w:val="24"/>
          <w:lang w:val="zh-CN"/>
        </w:rPr>
      </w:pPr>
      <w:r>
        <w:rPr>
          <w:rFonts w:hint="eastAsia" w:ascii="宋体" w:hAnsi="宋体" w:cs="楷体_GB2312"/>
          <w:color w:val="auto"/>
          <w:sz w:val="24"/>
          <w:szCs w:val="22"/>
        </w:rPr>
        <w:t>3.5.5.2.3</w:t>
      </w:r>
      <w:r>
        <w:rPr>
          <w:rFonts w:hint="eastAsia"/>
          <w:color w:val="auto"/>
          <w:sz w:val="24"/>
        </w:rPr>
        <w:t>中标后</w:t>
      </w:r>
      <w:r>
        <w:rPr>
          <w:rFonts w:hint="eastAsia" w:ascii="宋体" w:hAnsi="宋体"/>
          <w:color w:val="auto"/>
          <w:sz w:val="24"/>
          <w:szCs w:val="24"/>
        </w:rPr>
        <w:t>未缴</w:t>
      </w:r>
      <w:r>
        <w:rPr>
          <w:rFonts w:hint="eastAsia"/>
          <w:color w:val="auto"/>
          <w:sz w:val="24"/>
        </w:rPr>
        <w:t>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r>
        <w:rPr>
          <w:rFonts w:hint="eastAsia"/>
          <w:color w:val="auto"/>
          <w:sz w:val="24"/>
          <w:szCs w:val="24"/>
        </w:rPr>
        <w:t>。</w:t>
      </w:r>
    </w:p>
    <w:p>
      <w:pPr>
        <w:autoSpaceDE w:val="0"/>
        <w:autoSpaceDN w:val="0"/>
        <w:adjustRightInd w:val="0"/>
        <w:spacing w:line="380" w:lineRule="exact"/>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要求见磋商公告</w:t>
      </w:r>
    </w:p>
    <w:p>
      <w:pPr>
        <w:topLinePunct/>
        <w:adjustRightInd w:val="0"/>
        <w:snapToGrid w:val="0"/>
        <w:spacing w:line="380" w:lineRule="exact"/>
        <w:ind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投标文件（响应文件）应按第六章“投标文件格式”进行编写，如有必要，可以增加附页，作为投标文件（响应文件）的组成部分。磋商文件中未列明格式的，由投标人按一般通用格式自行设计编写。</w:t>
      </w:r>
    </w:p>
    <w:p>
      <w:pPr>
        <w:topLinePunct/>
        <w:adjustRightInd w:val="0"/>
        <w:snapToGrid w:val="0"/>
        <w:spacing w:line="380" w:lineRule="exact"/>
        <w:ind w:firstLine="566" w:firstLineChars="235"/>
        <w:rPr>
          <w:rFonts w:ascii="宋体" w:cs="楷体_GB2312"/>
          <w:b/>
          <w:color w:val="auto"/>
          <w:sz w:val="24"/>
          <w:lang w:val="zh-CN"/>
        </w:rPr>
      </w:pPr>
      <w:r>
        <w:rPr>
          <w:rFonts w:hint="eastAsia" w:ascii="宋体" w:hAnsi="宋体" w:cs="楷体_GB2312"/>
          <w:b/>
          <w:color w:val="auto"/>
          <w:sz w:val="24"/>
          <w:lang w:val="zh-CN"/>
        </w:rPr>
        <w:t>投标文件编制后，需录入导入磋商公告所述“安阳市政府采购投标文件编制系统</w:t>
      </w:r>
      <w:r>
        <w:rPr>
          <w:rFonts w:hint="eastAsia" w:ascii="宋体" w:cs="楷体_GB2312"/>
          <w:b/>
          <w:color w:val="auto"/>
          <w:sz w:val="24"/>
          <w:lang w:val="zh-CN"/>
        </w:rPr>
        <w:t>”</w:t>
      </w:r>
      <w:r>
        <w:rPr>
          <w:rFonts w:hint="eastAsia" w:ascii="宋体" w:hAnsi="宋体" w:cs="楷体_GB2312"/>
          <w:b/>
          <w:color w:val="auto"/>
          <w:sz w:val="24"/>
          <w:lang w:val="zh-CN"/>
        </w:rPr>
        <w:t>，经电子签名并加密后、在响应文件提交截止时间前，上传至磋商公告所述网上电子交易系统。</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pPr>
        <w:adjustRightInd w:val="0"/>
        <w:snapToGrid w:val="0"/>
        <w:spacing w:line="380" w:lineRule="exact"/>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磋商文件有关标段内容（范围）、技术要求、售后服务、交验期、投标有效期等实质性内容作出响应。在满足磋商文件实质性要求的基础上，可以提出比磋商文件要求更有利于采购人的承诺。</w:t>
      </w:r>
    </w:p>
    <w:p>
      <w:pPr>
        <w:adjustRightInd w:val="0"/>
        <w:snapToGrid w:val="0"/>
        <w:spacing w:line="380" w:lineRule="exact"/>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磋商文件要求有任何不同之处，应按《技术偏差表》、《其他偏差表》格式逐一填列。投标文件（响应文件）与磋商文件所有要求存在偏差而未填列的，磋商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pPr>
        <w:autoSpaceDE w:val="0"/>
        <w:autoSpaceDN w:val="0"/>
        <w:adjustRightInd w:val="0"/>
        <w:snapToGrid w:val="0"/>
        <w:spacing w:line="380" w:lineRule="exact"/>
        <w:ind w:firstLine="539"/>
        <w:rPr>
          <w:rFonts w:ascii="宋体" w:cs="楷体_GB2312"/>
          <w:bCs/>
          <w:color w:val="auto"/>
          <w:sz w:val="24"/>
        </w:rPr>
      </w:pPr>
      <w:r>
        <w:rPr>
          <w:rFonts w:ascii="宋体" w:hAnsi="宋体" w:cs="楷体_GB2312"/>
          <w:bCs/>
          <w:color w:val="auto"/>
          <w:sz w:val="24"/>
          <w:lang w:val="zh-CN"/>
        </w:rPr>
        <w:t xml:space="preserve">3.7.4 </w:t>
      </w:r>
      <w:r>
        <w:rPr>
          <w:rFonts w:hint="eastAsia" w:ascii="宋体" w:hAnsi="宋体" w:cs="楷体_GB2312"/>
          <w:bCs/>
          <w:color w:val="auto"/>
          <w:sz w:val="24"/>
          <w:lang w:val="zh-CN"/>
        </w:rPr>
        <w:t>投标文件（响应文件）</w:t>
      </w:r>
      <w:r>
        <w:rPr>
          <w:rFonts w:hint="eastAsia" w:ascii="宋体" w:hAnsi="宋体" w:cs="楷体_GB2312"/>
          <w:bCs/>
          <w:color w:val="auto"/>
          <w:sz w:val="24"/>
        </w:rPr>
        <w:t>应</w:t>
      </w:r>
      <w:r>
        <w:rPr>
          <w:rFonts w:hint="eastAsia" w:ascii="宋体" w:hAnsi="宋体" w:cs="楷体_GB2312"/>
          <w:bCs/>
          <w:color w:val="auto"/>
          <w:sz w:val="24"/>
          <w:lang w:val="zh-CN"/>
        </w:rPr>
        <w:t>按磋商文件相关要求（含格式上标注的要求）、</w:t>
      </w:r>
      <w:r>
        <w:rPr>
          <w:rFonts w:hint="eastAsia" w:ascii="宋体" w:hAnsi="宋体" w:cs="楷体_GB2312"/>
          <w:bCs/>
          <w:color w:val="auto"/>
          <w:sz w:val="24"/>
        </w:rPr>
        <w:t>使用供应商企业数字证书进行电子签章和供应商法定代表人数字证书进行电子签名、并加密，没有使用供应商企业数字证书和供应商法定代表人数字证书进行电子签名并加密的响应文件，属于未按照磋商文件要求进行签署。</w:t>
      </w:r>
    </w:p>
    <w:p>
      <w:pPr>
        <w:autoSpaceDE w:val="0"/>
        <w:autoSpaceDN w:val="0"/>
        <w:adjustRightInd w:val="0"/>
        <w:snapToGrid w:val="0"/>
        <w:spacing w:line="380" w:lineRule="exact"/>
        <w:ind w:firstLine="539"/>
        <w:rPr>
          <w:rFonts w:ascii="宋体" w:cs="楷体_GB2312"/>
          <w:bCs/>
          <w:color w:val="auto"/>
          <w:sz w:val="24"/>
        </w:rPr>
      </w:pPr>
      <w:r>
        <w:rPr>
          <w:rFonts w:hint="eastAsia" w:ascii="宋体" w:hAnsi="宋体" w:cs="楷体_GB2312"/>
          <w:bCs/>
          <w:color w:val="auto"/>
          <w:sz w:val="24"/>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与法人签章具有同等法律效力。</w:t>
      </w:r>
    </w:p>
    <w:p>
      <w:pPr>
        <w:adjustRightInd w:val="0"/>
        <w:snapToGrid w:val="0"/>
        <w:spacing w:line="380" w:lineRule="exact"/>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投标人可对本磋商文件“标段一览表”中所列的所有标段进行分别投标，也可选择其中一个标段或几个标段投标，但不得将磋商文件规定的同一标段的内容拆开投标，否则将按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20" w:name="_Toc30613"/>
      <w:bookmarkStart w:id="21" w:name="_Toc26366092"/>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0"/>
      <w:bookmarkEnd w:id="21"/>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投标文件（响应文件）的加密和标记：</w:t>
      </w:r>
    </w:p>
    <w:p>
      <w:pPr>
        <w:autoSpaceDE w:val="0"/>
        <w:autoSpaceDN w:val="0"/>
        <w:adjustRightInd w:val="0"/>
        <w:snapToGrid w:val="0"/>
        <w:spacing w:line="380" w:lineRule="exact"/>
        <w:ind w:firstLine="539"/>
        <w:rPr>
          <w:rFonts w:ascii="宋体" w:cs="楷体_GB2312"/>
          <w:b/>
          <w:color w:val="auto"/>
          <w:sz w:val="24"/>
          <w:lang w:val="zh-CN"/>
        </w:rPr>
      </w:pPr>
      <w:bookmarkStart w:id="22"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投标文件（响应文件）应当按网上电子交易系统要求进行加密和标记，在投标文件（响应文件）提交截止时间前，将加密的投标文件（响应文件）上传至磋商公告所述网上电子交易系统。</w:t>
      </w:r>
    </w:p>
    <w:p>
      <w:pPr>
        <w:autoSpaceDE w:val="0"/>
        <w:autoSpaceDN w:val="0"/>
        <w:adjustRightInd w:val="0"/>
        <w:snapToGrid w:val="0"/>
        <w:spacing w:line="380" w:lineRule="exact"/>
        <w:ind w:firstLine="539"/>
        <w:rPr>
          <w:rFonts w:ascii="宋体" w:cs="楷体_GB2312"/>
          <w:b/>
          <w:color w:val="auto"/>
          <w:sz w:val="24"/>
          <w:lang w:val="zh-CN"/>
        </w:rPr>
      </w:pPr>
      <w:bookmarkStart w:id="23"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的、网上电子交易系统将据系统设定拒收其投标文件（响应文件），投标人应自负该项风险，采购代理机构对可能产生的误投或提前启封概不负责。</w:t>
      </w:r>
      <w:bookmarkEnd w:id="22"/>
      <w:bookmarkEnd w:id="23"/>
      <w:bookmarkStart w:id="24" w:name="_Toc296602445"/>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4"/>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在投标文件（响应文件）提交截止时间前，将加密的投标文件（响应文件）上传至磋商公告所述网上电子交易系统（在网上电子交易系统，凭企业数字证书登录投标用户入口的“政府采购”系统上传）。投标人应在上传时认真检查上传投标文件是否完整、正确。</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基于网上电子交易的系统要求及特点，只接受基于符合网上电子交易系统要求的投标，其他如纸制、送达、电报、电话、电子邮件等形式的投标概不接受。</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4.3.1 </w:t>
      </w:r>
      <w:r>
        <w:rPr>
          <w:rFonts w:hint="eastAsia" w:ascii="宋体" w:hAnsi="宋体" w:cs="楷体_GB2312"/>
          <w:b/>
          <w:color w:val="auto"/>
          <w:sz w:val="24"/>
          <w:lang w:val="zh-CN"/>
        </w:rPr>
        <w:t>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4.3.2 </w:t>
      </w:r>
      <w:r>
        <w:rPr>
          <w:rFonts w:hint="eastAsia" w:ascii="宋体" w:hAnsi="宋体" w:cs="楷体_GB2312"/>
          <w:b/>
          <w:color w:val="auto"/>
          <w:sz w:val="24"/>
          <w:lang w:val="zh-CN"/>
        </w:rPr>
        <w:t>投标人在投标文件（响应文件）提交截止时间后不得自行修改或撤回其投标，否则其投标保证金不予退还。</w:t>
      </w:r>
    </w:p>
    <w:p>
      <w:pPr>
        <w:autoSpaceDE w:val="0"/>
        <w:autoSpaceDN w:val="0"/>
        <w:adjustRightInd w:val="0"/>
        <w:snapToGrid w:val="0"/>
        <w:spacing w:line="380" w:lineRule="exact"/>
        <w:ind w:firstLine="539"/>
        <w:outlineLvl w:val="1"/>
        <w:rPr>
          <w:rFonts w:ascii="宋体" w:cs="楷体_GB2312"/>
          <w:color w:val="auto"/>
          <w:sz w:val="24"/>
          <w:lang w:val="zh-CN"/>
        </w:rPr>
      </w:pPr>
      <w:bookmarkStart w:id="25" w:name="_Toc26366093"/>
      <w:bookmarkStart w:id="26" w:name="_Toc9451"/>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5"/>
      <w:bookmarkEnd w:id="26"/>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采购人和采购代理机构按磋商公告规定的时间和地点于网上（磋商公告所述网上电子交易系统）公开开标。</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5.1.2 </w:t>
      </w:r>
      <w:r>
        <w:rPr>
          <w:rFonts w:hint="eastAsia" w:ascii="宋体" w:hAnsi="宋体" w:cs="楷体_GB2312"/>
          <w:b/>
          <w:color w:val="auto"/>
          <w:sz w:val="24"/>
          <w:lang w:val="zh-CN"/>
        </w:rPr>
        <w:t>投标人需在开标前打开磋商公告所述网上电子交易系统，凭企业数字证书登录投标用户入口的“政府采购”系统，并进入本项目相匹配的网上开标室。</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5.2.1 </w:t>
      </w:r>
      <w:r>
        <w:rPr>
          <w:rFonts w:hint="eastAsia" w:ascii="宋体" w:hAnsi="宋体" w:cs="楷体_GB2312"/>
          <w:b/>
          <w:color w:val="auto"/>
          <w:sz w:val="24"/>
          <w:lang w:val="zh-CN"/>
        </w:rPr>
        <w:t>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投标单位自行承担相应后果。解密完成后，投标人的报价将在系统界面上显示。</w:t>
      </w:r>
    </w:p>
    <w:p>
      <w:pPr>
        <w:autoSpaceDE w:val="0"/>
        <w:autoSpaceDN w:val="0"/>
        <w:adjustRightInd w:val="0"/>
        <w:snapToGrid w:val="0"/>
        <w:spacing w:line="380" w:lineRule="exact"/>
        <w:ind w:firstLine="539"/>
        <w:rPr>
          <w:rFonts w:asci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b/>
          <w:color w:val="auto"/>
          <w:sz w:val="24"/>
          <w:lang w:val="zh-CN"/>
        </w:rPr>
        <w:t xml:space="preserve">5.2.2 </w:t>
      </w:r>
      <w:r>
        <w:rPr>
          <w:rFonts w:hint="eastAsia" w:ascii="宋体" w:hAnsi="宋体" w:cs="楷体_GB2312"/>
          <w:b/>
          <w:color w:val="auto"/>
          <w:sz w:val="24"/>
          <w:lang w:val="zh-CN"/>
        </w:rPr>
        <w:t>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line="380" w:lineRule="exact"/>
        <w:ind w:firstLine="539"/>
        <w:outlineLvl w:val="1"/>
        <w:rPr>
          <w:rFonts w:ascii="宋体" w:cs="楷体_GB2312"/>
          <w:color w:val="auto"/>
          <w:sz w:val="24"/>
          <w:lang w:val="zh-CN"/>
        </w:rPr>
      </w:pPr>
      <w:bookmarkStart w:id="27" w:name="_Toc26919"/>
      <w:bookmarkStart w:id="28" w:name="_Toc26366094"/>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7"/>
      <w:bookmarkEnd w:id="28"/>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磋商小组</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评审工作由依法组建的磋商小组负责。</w:t>
      </w:r>
      <w:r>
        <w:rPr>
          <w:rFonts w:hint="eastAsia" w:ascii="宋体" w:hAnsi="宋体" w:cs="楷体_GB2312"/>
          <w:color w:val="auto"/>
          <w:sz w:val="24"/>
          <w:highlight w:val="none"/>
          <w:lang w:val="zh-CN"/>
        </w:rPr>
        <w:t>磋商小组由采购人代表</w:t>
      </w:r>
      <w:r>
        <w:rPr>
          <w:rFonts w:hint="eastAsia" w:ascii="宋体" w:hAnsi="宋体" w:cs="楷体_GB2312"/>
          <w:color w:val="auto"/>
          <w:sz w:val="24"/>
          <w:lang w:val="zh-CN"/>
        </w:rPr>
        <w:t>和评审专家共</w:t>
      </w:r>
      <w:r>
        <w:rPr>
          <w:rFonts w:ascii="宋体" w:hAnsi="宋体" w:cs="楷体_GB2312"/>
          <w:color w:val="auto"/>
          <w:sz w:val="24"/>
          <w:lang w:val="zh-CN"/>
        </w:rPr>
        <w:t>3</w:t>
      </w:r>
      <w:r>
        <w:rPr>
          <w:rFonts w:hint="eastAsia" w:ascii="宋体" w:hAnsi="宋体" w:cs="楷体_GB2312"/>
          <w:color w:val="auto"/>
          <w:sz w:val="24"/>
          <w:lang w:val="zh-CN"/>
        </w:rPr>
        <w:t>人以上单数组成，其中评审专家人数不少于磋商小组成员总数的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6.3.1 </w:t>
      </w:r>
      <w:r>
        <w:rPr>
          <w:rFonts w:hint="eastAsia" w:ascii="宋体" w:hAnsi="宋体" w:cs="楷体_GB2312"/>
          <w:color w:val="auto"/>
          <w:sz w:val="24"/>
          <w:lang w:val="zh-CN"/>
        </w:rPr>
        <w:t>评审工作在磋商小组内独立进行。磋商小组按照第四章“评审办法”规定的方法、评审因素、标准和程序对投标文件进行评审。第四章“评审办法”没有规定的方法、评审因素和标准，不作为评审依据。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6.3.2 </w:t>
      </w:r>
      <w:r>
        <w:rPr>
          <w:rFonts w:hint="eastAsia" w:ascii="宋体" w:hAnsi="宋体" w:cs="楷体_GB2312"/>
          <w:color w:val="auto"/>
          <w:sz w:val="24"/>
          <w:lang w:val="zh-CN"/>
        </w:rPr>
        <w:t>在开标、评审期间，投标人不得向磋商小组成员询问情况，不得进行旨在影响评审结果的活动。</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款磋商规则。</w:t>
      </w:r>
    </w:p>
    <w:p>
      <w:pPr>
        <w:autoSpaceDE w:val="0"/>
        <w:autoSpaceDN w:val="0"/>
        <w:adjustRightInd w:val="0"/>
        <w:snapToGrid w:val="0"/>
        <w:spacing w:line="380" w:lineRule="exact"/>
        <w:ind w:firstLine="539"/>
        <w:rPr>
          <w:rFonts w:ascii="宋体" w:cs="楷体_GB2312"/>
          <w:color w:val="auto"/>
          <w:sz w:val="24"/>
          <w:lang w:val="zh-CN"/>
        </w:rPr>
      </w:pP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29" w:name="_Toc12902"/>
      <w:bookmarkStart w:id="30" w:name="_Toc26366095"/>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9"/>
      <w:bookmarkEnd w:id="30"/>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除投标人须知前附表规定授权磋商小组直接确定成交供应商外，采购人应当自收到评审报告之日起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采购代理机构在成交供应商确定后</w:t>
      </w:r>
      <w:r>
        <w:rPr>
          <w:rFonts w:ascii="宋体" w:hAnsi="宋体" w:cs="楷体_GB2312"/>
          <w:color w:val="auto"/>
          <w:sz w:val="24"/>
          <w:lang w:val="zh-CN"/>
        </w:rPr>
        <w:t>2</w:t>
      </w:r>
      <w:r>
        <w:rPr>
          <w:rFonts w:hint="eastAsia" w:ascii="宋体" w:hAnsi="宋体" w:cs="楷体_GB2312"/>
          <w:color w:val="auto"/>
          <w:sz w:val="24"/>
          <w:lang w:val="zh-CN"/>
        </w:rPr>
        <w:t>个工作日内，在磋商公告所述媒体公告成交结果。同时向成交供应商发出成交通知书。成交结果公告期限为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pPr>
        <w:autoSpaceDE w:val="0"/>
        <w:autoSpaceDN w:val="0"/>
        <w:adjustRightInd w:val="0"/>
        <w:snapToGrid w:val="0"/>
        <w:spacing w:line="380" w:lineRule="exact"/>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pPr>
        <w:adjustRightInd w:val="0"/>
        <w:snapToGrid w:val="0"/>
        <w:spacing w:line="380" w:lineRule="exact"/>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7.5.1 </w:t>
      </w:r>
      <w:r>
        <w:rPr>
          <w:rFonts w:hint="eastAsia" w:ascii="宋体" w:hAnsi="宋体" w:cs="楷体_GB2312"/>
          <w:color w:val="auto"/>
          <w:sz w:val="24"/>
          <w:lang w:val="zh-CN"/>
        </w:rPr>
        <w:t>在签订合同前，成交供应商应按投标人须知前附表规定向采购人提交履约保证金。</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项要求提交履约保证金的，视为放弃成交资格，其投标保证金不予退还，给采购人及采购代理机构造成的损失超过投标保证金数额的，成交供应商还应当对超过部分予以赔偿。</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line="380" w:lineRule="exact"/>
        <w:ind w:firstLine="539"/>
        <w:rPr>
          <w:rFonts w:ascii="宋体"/>
          <w:color w:val="auto"/>
          <w:sz w:val="24"/>
        </w:rPr>
      </w:pPr>
      <w:r>
        <w:rPr>
          <w:rFonts w:ascii="宋体" w:hAnsi="宋体"/>
          <w:color w:val="auto"/>
          <w:sz w:val="24"/>
        </w:rPr>
        <w:t xml:space="preserve">7.6.1 </w:t>
      </w:r>
      <w:r>
        <w:rPr>
          <w:rFonts w:hint="eastAsia" w:ascii="宋体" w:hAnsi="宋体"/>
          <w:color w:val="auto"/>
          <w:sz w:val="24"/>
        </w:rPr>
        <w:t>成交供应商应在《成交通知书》发出之日起</w:t>
      </w:r>
      <w:r>
        <w:rPr>
          <w:rFonts w:ascii="宋体" w:hAnsi="宋体"/>
          <w:color w:val="auto"/>
          <w:sz w:val="24"/>
        </w:rPr>
        <w:t>30</w:t>
      </w:r>
      <w:r>
        <w:rPr>
          <w:rFonts w:hint="eastAsia" w:ascii="宋体" w:hAnsi="宋体"/>
          <w:color w:val="auto"/>
          <w:sz w:val="24"/>
        </w:rPr>
        <w:t>日内，按照磋商文件确定的合同文本以及成交标的、技术和服务等事项与采购人签订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拒签合同的，取消其成交资格，其投标保证金不予退还；给采购人造成的损失超过投标保证金数额的，成交供应商还应当对超过部分予以赔偿。</w:t>
      </w:r>
    </w:p>
    <w:p>
      <w:pPr>
        <w:widowControl w:val="0"/>
        <w:adjustRightInd w:val="0"/>
        <w:snapToGrid w:val="0"/>
        <w:spacing w:line="380" w:lineRule="exact"/>
        <w:ind w:firstLine="566"/>
        <w:rPr>
          <w:rFonts w:ascii="宋体"/>
          <w:color w:val="auto"/>
          <w:sz w:val="24"/>
          <w:szCs w:val="24"/>
        </w:rPr>
      </w:pPr>
      <w:r>
        <w:rPr>
          <w:rFonts w:ascii="宋体" w:hAnsi="宋体"/>
          <w:color w:val="auto"/>
          <w:sz w:val="24"/>
          <w:szCs w:val="24"/>
        </w:rPr>
        <w:t xml:space="preserve">7.6.3 </w:t>
      </w:r>
      <w:r>
        <w:rPr>
          <w:rFonts w:hint="eastAsia" w:ascii="宋体" w:hAnsi="宋体"/>
          <w:color w:val="auto"/>
          <w:sz w:val="24"/>
          <w:szCs w:val="24"/>
        </w:rPr>
        <w:t>合同生效：成交供应商与采购人签订的合同，双方签字后盖章生效，并在</w:t>
      </w:r>
      <w:r>
        <w:rPr>
          <w:rFonts w:ascii="宋体" w:hAnsi="宋体"/>
          <w:color w:val="auto"/>
          <w:sz w:val="24"/>
          <w:szCs w:val="24"/>
        </w:rPr>
        <w:t>7</w:t>
      </w:r>
      <w:r>
        <w:rPr>
          <w:rFonts w:hint="eastAsia" w:ascii="宋体" w:hAnsi="宋体"/>
          <w:color w:val="auto"/>
          <w:sz w:val="24"/>
          <w:szCs w:val="24"/>
        </w:rPr>
        <w:t>个工作日内报同级政府采购监管部门备案。</w:t>
      </w:r>
    </w:p>
    <w:p>
      <w:pPr>
        <w:widowControl w:val="0"/>
        <w:adjustRightInd w:val="0"/>
        <w:snapToGrid w:val="0"/>
        <w:spacing w:line="380" w:lineRule="exact"/>
        <w:ind w:firstLine="549"/>
        <w:rPr>
          <w:rFonts w:ascii="宋体"/>
          <w:color w:val="auto"/>
          <w:sz w:val="24"/>
          <w:szCs w:val="24"/>
        </w:rPr>
      </w:pPr>
      <w:r>
        <w:rPr>
          <w:rFonts w:ascii="宋体" w:hAnsi="宋体"/>
          <w:color w:val="auto"/>
          <w:sz w:val="24"/>
          <w:szCs w:val="24"/>
        </w:rPr>
        <w:t>7.6.4</w:t>
      </w:r>
      <w:r>
        <w:rPr>
          <w:rFonts w:hint="eastAsia" w:ascii="宋体" w:hAnsi="宋体"/>
          <w:color w:val="auto"/>
          <w:sz w:val="24"/>
          <w:szCs w:val="24"/>
        </w:rPr>
        <w:t>《成交通知书》、磋商文件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等，均为签订合同的依据。所定合同不得对磋商文件和成交供应商的投标文件作实质性修改，采购人和成交供应商不得私下订立背离合同实质性内容的协议。</w:t>
      </w:r>
    </w:p>
    <w:p>
      <w:pPr>
        <w:widowControl w:val="0"/>
        <w:adjustRightInd w:val="0"/>
        <w:snapToGrid w:val="0"/>
        <w:spacing w:line="380" w:lineRule="exact"/>
        <w:ind w:firstLine="549"/>
        <w:rPr>
          <w:rFonts w:asci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评审会后，成交供应商、采购人之间擅自私下磋商、变更中标（成交）标的、价格及磋商标文件实质性内容的，有关部门将按《中华人民共和国政府采购法》及相关法规的规定处理。</w:t>
      </w:r>
    </w:p>
    <w:p>
      <w:pPr>
        <w:widowControl w:val="0"/>
        <w:adjustRightInd w:val="0"/>
        <w:snapToGrid w:val="0"/>
        <w:spacing w:line="380" w:lineRule="exact"/>
        <w:ind w:firstLine="549"/>
        <w:rPr>
          <w:color w:val="auto"/>
          <w:sz w:val="24"/>
          <w:szCs w:val="24"/>
        </w:rPr>
      </w:pPr>
      <w:r>
        <w:rPr>
          <w:rFonts w:ascii="宋体" w:hAnsi="宋体"/>
          <w:color w:val="auto"/>
          <w:sz w:val="24"/>
          <w:szCs w:val="24"/>
        </w:rPr>
        <w:t xml:space="preserve">7.6.6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pPr>
        <w:widowControl w:val="0"/>
        <w:adjustRightInd w:val="0"/>
        <w:snapToGrid w:val="0"/>
        <w:spacing w:line="380" w:lineRule="exact"/>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line="380" w:lineRule="exact"/>
        <w:ind w:firstLine="555"/>
        <w:rPr>
          <w:rFonts w:asci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pPr>
        <w:widowControl w:val="0"/>
        <w:adjustRightInd w:val="0"/>
        <w:snapToGrid w:val="0"/>
        <w:spacing w:line="380" w:lineRule="exact"/>
        <w:ind w:firstLine="555"/>
        <w:rPr>
          <w:color w:val="auto"/>
          <w:sz w:val="24"/>
          <w:szCs w:val="24"/>
        </w:rPr>
      </w:pPr>
      <w:r>
        <w:rPr>
          <w:rFonts w:ascii="宋体" w:hAnsi="宋体"/>
          <w:b/>
          <w:color w:val="auto"/>
          <w:sz w:val="24"/>
          <w:szCs w:val="24"/>
        </w:rPr>
        <w:t>7.7.2</w:t>
      </w:r>
      <w:r>
        <w:rPr>
          <w:rFonts w:hint="eastAsia" w:ascii="宋体" w:hAnsi="宋体"/>
          <w:color w:val="auto"/>
          <w:sz w:val="24"/>
          <w:szCs w:val="24"/>
        </w:rPr>
        <w:t>采购人需追加或减少的货物和服务金额达到</w:t>
      </w:r>
      <w:r>
        <w:rPr>
          <w:rFonts w:hint="eastAsia"/>
          <w:color w:val="auto"/>
          <w:sz w:val="24"/>
          <w:szCs w:val="24"/>
        </w:rPr>
        <w:t>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line="380" w:lineRule="exact"/>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1" w:name="_Toc25791"/>
      <w:bookmarkStart w:id="32" w:name="_Toc26366096"/>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1"/>
      <w:bookmarkEnd w:id="32"/>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8.1 </w:t>
      </w:r>
      <w:r>
        <w:rPr>
          <w:rFonts w:hint="eastAsia" w:ascii="宋体" w:hAnsi="宋体" w:cs="楷体_GB2312"/>
          <w:color w:val="auto"/>
          <w:sz w:val="24"/>
          <w:lang w:val="zh-CN"/>
        </w:rPr>
        <w:t>验收时间：所供货物，具备正常使用及验收条件时，由采购人成立验收工作组根据招标文件参数逐一核对验收。</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8.2 </w:t>
      </w:r>
      <w:r>
        <w:rPr>
          <w:rFonts w:hint="eastAsia" w:ascii="宋体" w:hAnsi="宋体" w:cs="楷体_GB2312"/>
          <w:color w:val="auto"/>
          <w:sz w:val="24"/>
          <w:lang w:val="zh-CN"/>
        </w:rPr>
        <w:t>验收工作组：合同履约验收工作应成立验收工作组专门负责，直接参与该项目政府采购活动的主要负责人不得作为验收工作的主要负责人，验收工作组应不少于三人。验收工作应当邀请采购项目评审专家参加验收；验收工作由采购人组织，成员应由采购人代表、评审专家组成，采购人代表必须含采购人纪检人员。大型、复杂或者技术性很强的政府采购项目，应当邀请国家认可的质量检测机构参加验收工作；国家规定强制性检测的采购项目，采购人必须委托国家认可专业检测机构进行验收。</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8.3 </w:t>
      </w:r>
      <w:r>
        <w:rPr>
          <w:rFonts w:hint="eastAsia" w:ascii="宋体" w:hAnsi="宋体" w:cs="楷体_GB2312"/>
          <w:color w:val="auto"/>
          <w:sz w:val="24"/>
          <w:lang w:val="zh-CN"/>
        </w:rPr>
        <w:t>验收报告：验收后，由采购人及专家等出具检测验收报告，国家规定强制性检测的采购项目应附国家认可的专业检测机构出具的验收报告。</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8.4 </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8.5 </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3" w:name="_Toc26366097"/>
      <w:bookmarkStart w:id="34" w:name="_Toc29601"/>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3"/>
      <w:bookmarkEnd w:id="34"/>
    </w:p>
    <w:p>
      <w:pPr>
        <w:widowControl w:val="0"/>
        <w:adjustRightInd w:val="0"/>
        <w:snapToGrid w:val="0"/>
        <w:spacing w:line="380" w:lineRule="exact"/>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5" w:name="_Toc9380"/>
      <w:bookmarkStart w:id="36" w:name="_Toc26366098"/>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5"/>
      <w:bookmarkEnd w:id="36"/>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中标（成交）服务费等：见投标人须知前附表</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同义解释。磋商文件中：“投标”同义“提交响应文件”，“投标人”同义“提交响应文件的供应商”，“投标文件”同义“响应文件”，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，“中标”同义“成交”，“成交人”同义“成交供应商</w:t>
      </w:r>
      <w:r>
        <w:rPr>
          <w:rFonts w:hint="eastAsia" w:ascii="宋体" w:cs="楷体_GB2312"/>
          <w:color w:val="auto"/>
          <w:sz w:val="24"/>
          <w:lang w:val="zh-CN"/>
        </w:rPr>
        <w:t>”</w:t>
      </w:r>
      <w:r>
        <w:rPr>
          <w:rFonts w:hint="eastAsia" w:ascii="宋体" w:hAnsi="宋体" w:cs="楷体_GB2312"/>
          <w:color w:val="auto"/>
          <w:sz w:val="24"/>
          <w:lang w:val="zh-CN"/>
        </w:rPr>
        <w:t>。</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磋商文件中法定代表人一词相应包含表示证照标示的负责人；投标人资格条件中包含自然人的，磋商文件中法定代表人一词相应包含表示自然人，自然人应由其本人签署投标文件、参加投标，不应再授权他人。</w:t>
      </w:r>
    </w:p>
    <w:p>
      <w:pPr>
        <w:widowControl w:val="0"/>
        <w:autoSpaceDE w:val="0"/>
        <w:autoSpaceDN w:val="0"/>
        <w:adjustRightInd w:val="0"/>
        <w:spacing w:line="380" w:lineRule="exact"/>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磋商文件第一章至第四章各章中，用序号标示条、款、项、目，例如：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line="380" w:lineRule="exact"/>
        <w:ind w:firstLine="480" w:firstLineChars="200"/>
        <w:jc w:val="left"/>
        <w:textAlignment w:val="auto"/>
        <w:rPr>
          <w:rFonts w:ascii="宋体" w:hAnsi="宋体" w:cs="楷体_GB2312"/>
          <w:color w:val="auto"/>
          <w:sz w:val="24"/>
          <w:szCs w:val="22"/>
        </w:rPr>
      </w:pPr>
      <w:r>
        <w:rPr>
          <w:rFonts w:hint="eastAsia" w:ascii="宋体" w:hAnsi="宋体" w:cs="楷体_GB2312"/>
          <w:color w:val="auto"/>
          <w:sz w:val="24"/>
          <w:szCs w:val="22"/>
        </w:rPr>
        <w:t xml:space="preserve">10.5 </w:t>
      </w:r>
      <w:r>
        <w:rPr>
          <w:rFonts w:hint="eastAsia" w:ascii="宋体" w:hAnsi="宋体" w:cs="楷体_GB2312"/>
          <w:b/>
          <w:bCs/>
          <w:color w:val="auto"/>
          <w:sz w:val="24"/>
          <w:szCs w:val="22"/>
          <w:lang w:val="zh-CN"/>
        </w:rPr>
        <w:t>代理服务费</w:t>
      </w:r>
      <w:r>
        <w:rPr>
          <w:rFonts w:hint="eastAsia" w:ascii="宋体" w:hAnsi="宋体" w:cs="楷体_GB2312"/>
          <w:b/>
          <w:bCs/>
          <w:color w:val="auto"/>
          <w:sz w:val="24"/>
          <w:szCs w:val="22"/>
        </w:rPr>
        <w:t>:</w:t>
      </w:r>
    </w:p>
    <w:p>
      <w:pPr>
        <w:widowControl w:val="0"/>
        <w:autoSpaceDE w:val="0"/>
        <w:autoSpaceDN w:val="0"/>
        <w:adjustRightInd w:val="0"/>
        <w:spacing w:line="380" w:lineRule="exact"/>
        <w:ind w:firstLine="480" w:firstLineChars="200"/>
        <w:jc w:val="left"/>
        <w:textAlignment w:val="auto"/>
        <w:rPr>
          <w:rFonts w:ascii="宋体" w:hAnsi="宋体"/>
          <w:color w:val="auto"/>
          <w:sz w:val="24"/>
        </w:rPr>
      </w:pPr>
      <w:r>
        <w:rPr>
          <w:rFonts w:hint="eastAsia" w:ascii="宋体" w:hAnsi="宋体"/>
          <w:color w:val="auto"/>
          <w:sz w:val="24"/>
        </w:rPr>
        <w:t>详见投标人须知。</w:t>
      </w:r>
    </w:p>
    <w:p>
      <w:pPr>
        <w:spacing w:line="380" w:lineRule="exact"/>
        <w:ind w:firstLine="281" w:firstLineChars="100"/>
      </w:pPr>
      <w:bookmarkStart w:id="37" w:name="_Toc26366099"/>
      <w:bookmarkStart w:id="38" w:name="_Toc19027"/>
      <w:bookmarkStart w:id="39" w:name="_Toc423723402"/>
      <w:r>
        <w:rPr>
          <w:rFonts w:ascii="黑体" w:hAnsi="宋体" w:eastAsia="黑体" w:cs="黑体"/>
          <w:b/>
          <w:bCs/>
          <w:sz w:val="28"/>
          <w:szCs w:val="28"/>
        </w:rPr>
        <w:t xml:space="preserve">11.河南省政府采购合同融资政策告知函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各供应商：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欢迎贵公司参与河南省政府采购活动！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贷款渠道和提供贷款的金融机构，可在河南省政府采购网“河南省政府采购合同融资平台”查询联系</w:t>
      </w:r>
    </w:p>
    <w:p>
      <w:pPr>
        <w:widowControl w:val="0"/>
        <w:snapToGrid w:val="0"/>
        <w:spacing w:line="360" w:lineRule="auto"/>
        <w:ind w:firstLine="567"/>
        <w:outlineLvl w:val="0"/>
        <w:rPr>
          <w:rFonts w:ascii="黑体" w:hAnsi="黑体" w:eastAsia="黑体"/>
          <w:b/>
          <w:color w:val="auto"/>
          <w:sz w:val="36"/>
          <w:szCs w:val="36"/>
          <w:lang w:val="zh-CN"/>
        </w:rPr>
      </w:pPr>
    </w:p>
    <w:p>
      <w:pPr>
        <w:spacing w:line="240" w:lineRule="auto"/>
        <w:jc w:val="left"/>
        <w:textAlignment w:val="auto"/>
        <w:rPr>
          <w:rFonts w:ascii="黑体" w:hAnsi="黑体" w:eastAsia="黑体"/>
          <w:b/>
          <w:color w:val="auto"/>
          <w:sz w:val="36"/>
          <w:szCs w:val="36"/>
          <w:lang w:val="zh-CN"/>
        </w:rPr>
      </w:pPr>
      <w:r>
        <w:rPr>
          <w:rFonts w:ascii="黑体" w:hAnsi="黑体" w:eastAsia="黑体"/>
          <w:b/>
          <w:color w:val="auto"/>
          <w:sz w:val="36"/>
          <w:szCs w:val="36"/>
          <w:lang w:val="zh-CN"/>
        </w:rPr>
        <w:br w:type="page"/>
      </w:r>
    </w:p>
    <w:p>
      <w:pPr>
        <w:widowControl w:val="0"/>
        <w:snapToGrid w:val="0"/>
        <w:spacing w:line="360" w:lineRule="auto"/>
        <w:ind w:firstLine="567"/>
        <w:jc w:val="center"/>
        <w:outlineLvl w:val="0"/>
        <w:rPr>
          <w:rFonts w:ascii="黑体" w:hAnsi="黑体" w:eastAsia="黑体"/>
          <w:b/>
          <w:color w:val="auto"/>
          <w:sz w:val="36"/>
          <w:szCs w:val="36"/>
          <w:lang w:val="zh-CN"/>
        </w:rPr>
      </w:pPr>
      <w:r>
        <w:rPr>
          <w:rFonts w:hint="eastAsia" w:ascii="黑体" w:hAnsi="黑体" w:eastAsia="黑体"/>
          <w:b/>
          <w:color w:val="auto"/>
          <w:sz w:val="36"/>
          <w:szCs w:val="36"/>
          <w:lang w:val="zh-CN"/>
        </w:rPr>
        <w:t>第四章</w:t>
      </w:r>
      <w:r>
        <w:rPr>
          <w:rFonts w:hint="eastAsia" w:ascii="黑体" w:hAnsi="黑体" w:eastAsia="黑体"/>
          <w:b/>
          <w:color w:val="auto"/>
          <w:sz w:val="36"/>
          <w:szCs w:val="36"/>
          <w:lang w:val="en-US" w:eastAsia="zh-CN"/>
        </w:rPr>
        <w:t xml:space="preserve">  </w:t>
      </w:r>
      <w:r>
        <w:rPr>
          <w:rFonts w:hint="eastAsia" w:ascii="黑体" w:hAnsi="黑体" w:eastAsia="黑体"/>
          <w:b/>
          <w:color w:val="auto"/>
          <w:sz w:val="36"/>
          <w:szCs w:val="36"/>
          <w:lang w:val="zh-CN"/>
        </w:rPr>
        <w:t>评审办法</w:t>
      </w:r>
      <w:bookmarkEnd w:id="37"/>
      <w:bookmarkEnd w:id="38"/>
      <w:bookmarkEnd w:id="39"/>
    </w:p>
    <w:p>
      <w:pPr>
        <w:widowControl w:val="0"/>
        <w:snapToGrid w:val="0"/>
        <w:spacing w:line="360" w:lineRule="auto"/>
        <w:ind w:firstLine="567"/>
        <w:jc w:val="center"/>
        <w:outlineLvl w:val="0"/>
        <w:rPr>
          <w:b/>
          <w:color w:val="auto"/>
          <w:sz w:val="24"/>
          <w:szCs w:val="24"/>
        </w:rPr>
      </w:pPr>
    </w:p>
    <w:p>
      <w:pPr>
        <w:spacing w:line="500" w:lineRule="exact"/>
        <w:jc w:val="left"/>
        <w:outlineLvl w:val="1"/>
        <w:rPr>
          <w:rFonts w:ascii="黑体" w:hAnsi="黑体" w:eastAsia="黑体"/>
          <w:b/>
          <w:color w:val="auto"/>
          <w:sz w:val="28"/>
          <w:szCs w:val="28"/>
          <w:lang w:val="zh-CN"/>
        </w:rPr>
      </w:pPr>
      <w:bookmarkStart w:id="40" w:name="_Toc26366100"/>
      <w:bookmarkStart w:id="41" w:name="_Toc31252"/>
      <w:r>
        <w:rPr>
          <w:rFonts w:hint="eastAsia" w:ascii="黑体" w:hAnsi="黑体" w:eastAsia="黑体"/>
          <w:b/>
          <w:color w:val="auto"/>
          <w:sz w:val="28"/>
          <w:szCs w:val="28"/>
        </w:rPr>
        <w:t>评审办法前附表</w:t>
      </w:r>
      <w:bookmarkEnd w:id="40"/>
      <w:bookmarkEnd w:id="41"/>
    </w:p>
    <w:tbl>
      <w:tblPr>
        <w:tblStyle w:val="2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32"/>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32"/>
              <w:jc w:val="center"/>
              <w:rPr>
                <w:rFonts w:hAnsi="宋体"/>
                <w:b/>
                <w:color w:val="auto"/>
                <w:szCs w:val="24"/>
              </w:rPr>
            </w:pPr>
            <w:r>
              <w:rPr>
                <w:rFonts w:hint="eastAsia" w:hAnsi="宋体"/>
                <w:b/>
                <w:color w:val="auto"/>
                <w:szCs w:val="24"/>
              </w:rPr>
              <w:t>评审因素</w:t>
            </w:r>
          </w:p>
        </w:tc>
        <w:tc>
          <w:tcPr>
            <w:tcW w:w="5736" w:type="dxa"/>
            <w:vAlign w:val="center"/>
          </w:tcPr>
          <w:p>
            <w:pPr>
              <w:pStyle w:val="32"/>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32"/>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32"/>
              <w:jc w:val="center"/>
              <w:rPr>
                <w:rFonts w:hAnsi="宋体"/>
                <w:color w:val="auto"/>
                <w:szCs w:val="24"/>
              </w:rPr>
            </w:pPr>
            <w:r>
              <w:rPr>
                <w:rFonts w:hint="eastAsia" w:hAnsi="宋体"/>
                <w:color w:val="auto"/>
                <w:szCs w:val="24"/>
              </w:rPr>
              <w:t>资</w:t>
            </w:r>
          </w:p>
          <w:p>
            <w:pPr>
              <w:pStyle w:val="32"/>
              <w:jc w:val="center"/>
              <w:rPr>
                <w:rFonts w:hAnsi="宋体"/>
                <w:color w:val="auto"/>
                <w:szCs w:val="24"/>
              </w:rPr>
            </w:pPr>
            <w:r>
              <w:rPr>
                <w:rFonts w:hint="eastAsia" w:hAnsi="宋体"/>
                <w:color w:val="auto"/>
                <w:szCs w:val="24"/>
              </w:rPr>
              <w:t>格</w:t>
            </w:r>
          </w:p>
          <w:p>
            <w:pPr>
              <w:pStyle w:val="32"/>
              <w:jc w:val="center"/>
              <w:rPr>
                <w:rFonts w:hAnsi="宋体"/>
                <w:color w:val="auto"/>
                <w:szCs w:val="24"/>
              </w:rPr>
            </w:pPr>
            <w:r>
              <w:rPr>
                <w:rFonts w:hint="eastAsia" w:hAnsi="宋体"/>
                <w:color w:val="auto"/>
                <w:szCs w:val="24"/>
              </w:rPr>
              <w:t>性</w:t>
            </w:r>
          </w:p>
          <w:p>
            <w:pPr>
              <w:pStyle w:val="32"/>
              <w:jc w:val="center"/>
              <w:rPr>
                <w:rFonts w:hAnsi="宋体"/>
                <w:color w:val="auto"/>
                <w:szCs w:val="24"/>
              </w:rPr>
            </w:pPr>
            <w:r>
              <w:rPr>
                <w:rFonts w:hint="eastAsia" w:hAnsi="宋体"/>
                <w:color w:val="auto"/>
                <w:szCs w:val="24"/>
              </w:rPr>
              <w:t>审</w:t>
            </w:r>
          </w:p>
          <w:p>
            <w:pPr>
              <w:pStyle w:val="32"/>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第一章“磋商公告”第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符合第一章“磋商公告”第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p>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符合第三章“投标单位须知”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32"/>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32"/>
              <w:spacing w:line="360" w:lineRule="auto"/>
              <w:jc w:val="center"/>
              <w:rPr>
                <w:rFonts w:hAnsi="宋体"/>
                <w:color w:val="auto"/>
                <w:szCs w:val="24"/>
              </w:rPr>
            </w:pPr>
            <w:r>
              <w:rPr>
                <w:rFonts w:hint="eastAsia" w:hAnsi="宋体"/>
                <w:color w:val="auto"/>
                <w:szCs w:val="24"/>
              </w:rPr>
              <w:t>符</w:t>
            </w:r>
          </w:p>
          <w:p>
            <w:pPr>
              <w:pStyle w:val="32"/>
              <w:spacing w:line="360" w:lineRule="auto"/>
              <w:jc w:val="center"/>
              <w:rPr>
                <w:rFonts w:hAnsi="宋体"/>
                <w:color w:val="auto"/>
                <w:szCs w:val="24"/>
              </w:rPr>
            </w:pPr>
            <w:r>
              <w:rPr>
                <w:rFonts w:hint="eastAsia" w:hAnsi="宋体"/>
                <w:color w:val="auto"/>
                <w:szCs w:val="24"/>
              </w:rPr>
              <w:t>合</w:t>
            </w:r>
          </w:p>
          <w:p>
            <w:pPr>
              <w:pStyle w:val="32"/>
              <w:spacing w:line="360" w:lineRule="auto"/>
              <w:jc w:val="center"/>
              <w:rPr>
                <w:rFonts w:hAnsi="宋体"/>
                <w:color w:val="auto"/>
                <w:szCs w:val="24"/>
              </w:rPr>
            </w:pPr>
            <w:r>
              <w:rPr>
                <w:rFonts w:hint="eastAsia" w:hAnsi="宋体"/>
                <w:color w:val="auto"/>
                <w:szCs w:val="24"/>
              </w:rPr>
              <w:t>性</w:t>
            </w:r>
          </w:p>
          <w:p>
            <w:pPr>
              <w:pStyle w:val="32"/>
              <w:spacing w:line="360" w:lineRule="auto"/>
              <w:jc w:val="center"/>
              <w:rPr>
                <w:rFonts w:hAnsi="宋体"/>
                <w:color w:val="auto"/>
                <w:szCs w:val="24"/>
              </w:rPr>
            </w:pPr>
            <w:r>
              <w:rPr>
                <w:rFonts w:hint="eastAsia" w:hAnsi="宋体"/>
                <w:color w:val="auto"/>
                <w:szCs w:val="24"/>
              </w:rPr>
              <w:t>审</w:t>
            </w:r>
          </w:p>
          <w:p>
            <w:pPr>
              <w:pStyle w:val="32"/>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32"/>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32"/>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3.7.4</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Align w:val="center"/>
          </w:tcPr>
          <w:p>
            <w:pPr>
              <w:pStyle w:val="32"/>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restart"/>
            <w:vAlign w:val="center"/>
          </w:tcPr>
          <w:p>
            <w:pPr>
              <w:pStyle w:val="32"/>
              <w:snapToGrid w:val="0"/>
              <w:jc w:val="center"/>
              <w:rPr>
                <w:rFonts w:hAnsi="宋体"/>
                <w:color w:val="auto"/>
                <w:szCs w:val="24"/>
              </w:rPr>
            </w:pPr>
            <w:r>
              <w:rPr>
                <w:rFonts w:hint="eastAsia" w:hAnsi="宋体"/>
                <w:color w:val="auto"/>
                <w:szCs w:val="24"/>
              </w:rPr>
              <w:t>响应程度</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合同履行期限</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3</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32"/>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9</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磋商文件总体响应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1.3.1</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64" w:type="dxa"/>
            <w:vAlign w:val="center"/>
          </w:tcPr>
          <w:p>
            <w:pPr>
              <w:pStyle w:val="32"/>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32"/>
              <w:jc w:val="center"/>
              <w:rPr>
                <w:rFonts w:hAnsi="宋体"/>
                <w:color w:val="auto"/>
                <w:szCs w:val="24"/>
              </w:rPr>
            </w:pPr>
            <w:r>
              <w:rPr>
                <w:rFonts w:hint="eastAsia" w:hAnsi="宋体"/>
                <w:color w:val="auto"/>
                <w:szCs w:val="24"/>
              </w:rPr>
              <w:t>详细评审</w:t>
            </w:r>
          </w:p>
        </w:tc>
        <w:tc>
          <w:tcPr>
            <w:tcW w:w="3177" w:type="dxa"/>
            <w:gridSpan w:val="2"/>
            <w:vAlign w:val="center"/>
          </w:tcPr>
          <w:p>
            <w:pPr>
              <w:pStyle w:val="32"/>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按照第四章“评审办法”第</w:t>
            </w:r>
            <w:r>
              <w:rPr>
                <w:rFonts w:hAnsi="宋体"/>
                <w:color w:val="auto"/>
                <w:szCs w:val="24"/>
              </w:rPr>
              <w:t>4</w:t>
            </w:r>
            <w:r>
              <w:rPr>
                <w:rFonts w:hint="eastAsia" w:hAnsi="宋体"/>
                <w:color w:val="auto"/>
                <w:szCs w:val="24"/>
              </w:rPr>
              <w:t>条规定</w:t>
            </w:r>
          </w:p>
        </w:tc>
      </w:tr>
    </w:tbl>
    <w:p>
      <w:pPr>
        <w:jc w:val="center"/>
      </w:pPr>
      <w:r>
        <w:rPr>
          <w:rFonts w:ascii="黑体" w:hAnsi="黑体" w:eastAsia="黑体" w:cs="楷体_GB2312"/>
          <w:b/>
          <w:bCs/>
          <w:color w:val="auto"/>
          <w:sz w:val="28"/>
          <w:szCs w:val="28"/>
          <w:lang w:val="zh-CN"/>
        </w:rPr>
        <w:br w:type="page"/>
      </w:r>
      <w:bookmarkStart w:id="42" w:name="_Toc26366101"/>
      <w:bookmarkStart w:id="43" w:name="_Toc26518"/>
      <w:r>
        <w:rPr>
          <w:rFonts w:hint="eastAsia" w:ascii="黑体" w:hAnsi="黑体" w:eastAsia="黑体"/>
          <w:b/>
          <w:color w:val="auto"/>
          <w:sz w:val="28"/>
          <w:szCs w:val="28"/>
        </w:rPr>
        <w:t>评审办法前附表-----分值构成与评分标准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110"/>
        <w:gridCol w:w="983"/>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652"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分值构成</w:t>
            </w:r>
          </w:p>
          <w:p>
            <w:pPr>
              <w:jc w:val="center"/>
              <w:rPr>
                <w:rFonts w:ascii="宋体" w:hAnsi="宋体" w:cs="宋体"/>
              </w:rPr>
            </w:pPr>
            <w:r>
              <w:rPr>
                <w:rFonts w:hint="eastAsia" w:ascii="宋体" w:hAnsi="宋体" w:cs="宋体"/>
              </w:rPr>
              <w:t>（总分100分）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xml:space="preserve">报价部分：30 分 </w:t>
            </w:r>
          </w:p>
          <w:p>
            <w:pPr>
              <w:rPr>
                <w:rFonts w:ascii="宋体" w:hAnsi="宋体" w:cs="宋体"/>
              </w:rPr>
            </w:pPr>
            <w:r>
              <w:rPr>
                <w:rFonts w:hint="eastAsia" w:ascii="宋体" w:hAnsi="宋体" w:cs="宋体"/>
              </w:rPr>
              <w:t>技术部分：</w:t>
            </w:r>
            <w:r>
              <w:rPr>
                <w:rFonts w:hint="eastAsia" w:ascii="宋体" w:hAnsi="宋体" w:cs="宋体"/>
                <w:lang w:val="en-US" w:eastAsia="zh-CN"/>
              </w:rPr>
              <w:t>50</w:t>
            </w:r>
            <w:r>
              <w:rPr>
                <w:rFonts w:hint="eastAsia" w:ascii="宋体" w:hAnsi="宋体" w:cs="宋体"/>
              </w:rPr>
              <w:t xml:space="preserve"> 分 </w:t>
            </w:r>
          </w:p>
          <w:p>
            <w:pPr>
              <w:rPr>
                <w:rFonts w:ascii="宋体" w:hAnsi="宋体" w:cs="宋体"/>
              </w:rPr>
            </w:pPr>
            <w:r>
              <w:rPr>
                <w:rFonts w:hint="eastAsia" w:ascii="宋体" w:hAnsi="宋体" w:cs="宋体"/>
              </w:rPr>
              <w:t>综合部分：</w:t>
            </w:r>
            <w:r>
              <w:rPr>
                <w:rFonts w:hint="eastAsia" w:ascii="宋体" w:hAnsi="宋体" w:cs="宋体"/>
                <w:lang w:val="en-US" w:eastAsia="zh-CN"/>
              </w:rPr>
              <w:t>2</w:t>
            </w:r>
            <w:r>
              <w:rPr>
                <w:rFonts w:hint="eastAsia" w:ascii="宋体" w:hAnsi="宋体" w:cs="宋体"/>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评审分项</w:t>
            </w:r>
          </w:p>
        </w:tc>
        <w:tc>
          <w:tcPr>
            <w:tcW w:w="108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评分因素</w:t>
            </w:r>
          </w:p>
        </w:tc>
        <w:tc>
          <w:tcPr>
            <w:tcW w:w="3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报价</w:t>
            </w:r>
          </w:p>
          <w:p>
            <w:pPr>
              <w:jc w:val="center"/>
              <w:rPr>
                <w:rFonts w:ascii="宋体" w:hAnsi="宋体" w:cs="宋体"/>
              </w:rPr>
            </w:pPr>
            <w:r>
              <w:rPr>
                <w:rFonts w:hint="eastAsia" w:ascii="宋体" w:hAnsi="宋体" w:cs="宋体"/>
              </w:rPr>
              <w:t>部分</w:t>
            </w:r>
          </w:p>
          <w:p>
            <w:pPr>
              <w:jc w:val="center"/>
              <w:rPr>
                <w:rFonts w:ascii="宋体" w:hAnsi="宋体" w:cs="宋体"/>
              </w:rPr>
            </w:pPr>
            <w:r>
              <w:rPr>
                <w:rFonts w:hint="eastAsia" w:ascii="宋体" w:hAnsi="宋体" w:cs="宋体"/>
              </w:rPr>
              <w:t>（30分）</w:t>
            </w:r>
          </w:p>
        </w:tc>
        <w:tc>
          <w:tcPr>
            <w:tcW w:w="108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投标报价得分计算方法</w:t>
            </w:r>
          </w:p>
        </w:tc>
        <w:tc>
          <w:tcPr>
            <w:tcW w:w="3347" w:type="pct"/>
            <w:tcBorders>
              <w:top w:val="single" w:color="auto" w:sz="4" w:space="0"/>
              <w:left w:val="single" w:color="auto" w:sz="4" w:space="0"/>
              <w:bottom w:val="single" w:color="auto" w:sz="4" w:space="0"/>
              <w:right w:val="single" w:color="auto" w:sz="4" w:space="0"/>
            </w:tcBorders>
            <w:vAlign w:val="center"/>
          </w:tcPr>
          <w:p>
            <w:r>
              <w:rPr>
                <w:rFonts w:hint="eastAsia"/>
              </w:rPr>
              <w:t>投标报价价格分统一采用低价优先法计算，即满足招标文件要求且投标价格最低的投标报价为评标基准价，其价格分为30 满分。其他投标人的价格分统一按照下列公式计算：投标报价得分=（评标基准价/投标报价）×</w:t>
            </w:r>
            <w:r>
              <w:rPr>
                <w:rFonts w:hint="eastAsia"/>
                <w:lang w:val="en-US" w:eastAsia="zh-CN"/>
              </w:rPr>
              <w:t>3</w:t>
            </w:r>
            <w:r>
              <w:rPr>
                <w:rFonts w:hint="eastAsia"/>
              </w:rPr>
              <w:t>0。</w:t>
            </w:r>
          </w:p>
          <w:p>
            <w:pPr>
              <w:ind w:firstLine="211" w:firstLineChars="100"/>
              <w:outlineLvl w:val="0"/>
              <w:rPr>
                <w:rFonts w:ascii="宋体" w:hAnsi="宋体"/>
              </w:rPr>
            </w:pPr>
            <w:r>
              <w:rPr>
                <w:rFonts w:hint="eastAsia"/>
                <w:b/>
                <w:bCs/>
              </w:rPr>
              <w:t>（如投标人中出现明显低价或不符合招标参数要求的服务市场价格的投标报价，评标委员会各成员需对此类报价进行综合审查及评定，如发现恶意竞标行为予以废标处理，上报主管部门进行相应处罚）</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62" w:type="pct"/>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技术</w:t>
            </w:r>
          </w:p>
          <w:p>
            <w:pPr>
              <w:jc w:val="center"/>
              <w:rPr>
                <w:rFonts w:ascii="宋体" w:hAnsi="宋体" w:cs="宋体"/>
              </w:rPr>
            </w:pPr>
            <w:r>
              <w:rPr>
                <w:rFonts w:hint="eastAsia" w:ascii="宋体" w:hAnsi="宋体" w:cs="宋体"/>
              </w:rPr>
              <w:t>部分</w:t>
            </w:r>
          </w:p>
          <w:p>
            <w:pPr>
              <w:jc w:val="center"/>
              <w:rPr>
                <w:rFonts w:ascii="宋体" w:hAnsi="宋体" w:cs="宋体"/>
              </w:rPr>
            </w:pPr>
            <w:r>
              <w:rPr>
                <w:rFonts w:hint="eastAsia" w:ascii="宋体" w:hAnsi="宋体" w:cs="宋体"/>
              </w:rPr>
              <w:t>（</w:t>
            </w:r>
            <w:r>
              <w:rPr>
                <w:rFonts w:hint="eastAsia" w:ascii="宋体" w:hAnsi="宋体" w:cs="宋体"/>
                <w:lang w:val="en-US" w:eastAsia="zh-CN"/>
              </w:rPr>
              <w:t>50</w:t>
            </w:r>
            <w:r>
              <w:rPr>
                <w:rFonts w:hint="eastAsia" w:ascii="宋体" w:hAnsi="宋体" w:cs="宋体"/>
              </w:rPr>
              <w:t>分）</w:t>
            </w:r>
          </w:p>
        </w:tc>
        <w:tc>
          <w:tcPr>
            <w:tcW w:w="108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技术参数</w:t>
            </w:r>
          </w:p>
          <w:p>
            <w:pPr>
              <w:jc w:val="center"/>
              <w:rPr>
                <w:rFonts w:ascii="宋体" w:hAnsi="宋体" w:cs="宋体"/>
              </w:rPr>
            </w:pPr>
            <w:r>
              <w:rPr>
                <w:rFonts w:hint="eastAsia" w:ascii="宋体" w:hAnsi="宋体"/>
              </w:rPr>
              <w:t>（</w:t>
            </w:r>
            <w:r>
              <w:rPr>
                <w:rFonts w:hint="eastAsia" w:ascii="宋体" w:hAnsi="宋体"/>
                <w:lang w:val="en-US" w:eastAsia="zh-CN"/>
              </w:rPr>
              <w:t>25</w:t>
            </w:r>
            <w:r>
              <w:rPr>
                <w:rFonts w:hint="eastAsia" w:ascii="宋体" w:hAnsi="宋体"/>
              </w:rPr>
              <w:t>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所投产品技术参数满足招标文件要求得25分；每有一项负偏差扣</w:t>
            </w:r>
            <w:r>
              <w:rPr>
                <w:rFonts w:hint="eastAsia" w:ascii="宋体" w:hAnsi="宋体" w:cs="宋体"/>
                <w:lang w:val="en-US" w:eastAsia="zh-CN"/>
              </w:rPr>
              <w:t>0.5</w:t>
            </w:r>
            <w:r>
              <w:rPr>
                <w:rFonts w:hint="eastAsia" w:ascii="宋体" w:hAnsi="宋体" w:cs="宋体"/>
              </w:rPr>
              <w:t>分，扣完为止</w:t>
            </w:r>
            <w:r>
              <w:rPr>
                <w:rFonts w:hint="eastAsia" w:ascii="宋体" w:hAnsi="宋体" w:cs="宋体"/>
                <w:lang w:eastAsia="zh-CN"/>
              </w:rPr>
              <w:t>，</w:t>
            </w:r>
            <w:r>
              <w:rPr>
                <w:rFonts w:hint="eastAsia" w:ascii="宋体" w:hAnsi="宋体" w:cs="宋体"/>
                <w:lang w:val="en-US" w:eastAsia="zh-CN"/>
              </w:rPr>
              <w:t>若此项得0分的投标单位视为未对招标文件作实质性响应，予以废标处理。</w:t>
            </w:r>
            <w:r>
              <w:rPr>
                <w:rFonts w:hint="eastAsia" w:ascii="宋体" w:hAnsi="宋体" w:cs="宋体"/>
              </w:rPr>
              <w:t>（技术指标需提供生产厂家技术支撑材料，以产品检验报告、NSCC认证具体数值为准）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562" w:type="pct"/>
            <w:vMerge w:val="continue"/>
            <w:tcBorders>
              <w:left w:val="single" w:color="auto" w:sz="4" w:space="0"/>
              <w:right w:val="single" w:color="auto" w:sz="4" w:space="0"/>
            </w:tcBorders>
            <w:vAlign w:val="center"/>
          </w:tcPr>
          <w:p>
            <w:pPr>
              <w:jc w:val="center"/>
              <w:rPr>
                <w:rFonts w:ascii="宋体" w:hAnsi="宋体" w:cs="宋体"/>
              </w:rPr>
            </w:pPr>
          </w:p>
        </w:tc>
        <w:tc>
          <w:tcPr>
            <w:tcW w:w="578" w:type="pct"/>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sz w:val="22"/>
              </w:rPr>
              <w:t>技术方案</w:t>
            </w:r>
            <w:r>
              <w:rPr>
                <w:rFonts w:hint="eastAsia" w:ascii="宋体" w:hAnsi="宋体"/>
              </w:rPr>
              <w:t xml:space="preserve">（15分） </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2"/>
                <w:lang w:val="en-US" w:eastAsia="zh-CN"/>
              </w:rPr>
            </w:pPr>
            <w:r>
              <w:rPr>
                <w:rFonts w:hint="eastAsia"/>
                <w:sz w:val="22"/>
                <w:lang w:val="en-US" w:eastAsia="zh-CN"/>
              </w:rPr>
              <w:t>供货方案</w:t>
            </w:r>
          </w:p>
          <w:p>
            <w:pPr>
              <w:jc w:val="center"/>
              <w:rPr>
                <w:rFonts w:hint="eastAsia" w:eastAsia="宋体"/>
                <w:sz w:val="22"/>
                <w:lang w:val="en-US" w:eastAsia="zh-CN"/>
              </w:rPr>
            </w:pPr>
            <w:r>
              <w:rPr>
                <w:rFonts w:hint="eastAsia"/>
                <w:sz w:val="22"/>
                <w:lang w:val="en-US" w:eastAsia="zh-CN"/>
              </w:rPr>
              <w:t>（5分）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（1）方案功能十分完善、提出了针对性的解决思路，方案整体完整度优秀和可行性高，得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ascii="宋体" w:hAnsi="宋体" w:cs="宋体"/>
                <w:highlight w:val="none"/>
              </w:rPr>
            </w:pPr>
            <w:r>
              <w:rPr>
                <w:rFonts w:hint="eastAsia" w:ascii="宋体" w:hAnsi="宋体" w:cs="宋体"/>
                <w:highlight w:val="none"/>
              </w:rPr>
              <w:t>（2）方案基本功能较为全面，方案整体和完整程度良好，得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（3）方案功能基本满足、方案整体完整度和可行性一般，得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p>
            <w:pPr>
              <w:pStyle w:val="2"/>
            </w:pPr>
            <w:r>
              <w:rPr>
                <w:rFonts w:hint="eastAsia"/>
              </w:rPr>
              <w:t>（4）没有方案，得0分。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62" w:type="pct"/>
            <w:vMerge w:val="continue"/>
            <w:tcBorders>
              <w:left w:val="single" w:color="auto" w:sz="4" w:space="0"/>
              <w:right w:val="single" w:color="auto" w:sz="4" w:space="0"/>
            </w:tcBorders>
            <w:vAlign w:val="center"/>
          </w:tcPr>
          <w:p>
            <w:pPr>
              <w:jc w:val="center"/>
              <w:rPr>
                <w:rFonts w:ascii="宋体" w:hAnsi="宋体" w:cs="宋体"/>
              </w:rPr>
            </w:pPr>
          </w:p>
        </w:tc>
        <w:tc>
          <w:tcPr>
            <w:tcW w:w="578" w:type="pct"/>
            <w:vMerge w:val="continue"/>
            <w:tcBorders>
              <w:left w:val="single" w:color="auto" w:sz="4" w:space="0"/>
              <w:bottom w:val="single" w:color="auto" w:sz="4" w:space="0"/>
              <w:right w:val="single" w:color="auto" w:sz="4" w:space="0"/>
            </w:tcBorders>
            <w:vAlign w:val="center"/>
          </w:tcPr>
          <w:p>
            <w:pPr>
              <w:jc w:val="center"/>
              <w:rPr>
                <w:rFonts w:hint="eastAsia"/>
                <w:sz w:val="22"/>
              </w:rPr>
            </w:pP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2"/>
                <w:lang w:eastAsia="zh-CN"/>
              </w:rPr>
            </w:pPr>
            <w:r>
              <w:rPr>
                <w:rFonts w:hint="eastAsia"/>
                <w:sz w:val="22"/>
                <w:lang w:eastAsia="zh-CN"/>
              </w:rPr>
              <w:t>安装方案</w:t>
            </w:r>
          </w:p>
          <w:p>
            <w:pPr>
              <w:jc w:val="center"/>
              <w:rPr>
                <w:rFonts w:hint="eastAsia" w:eastAsia="宋体"/>
                <w:sz w:val="22"/>
                <w:lang w:eastAsia="zh-CN"/>
              </w:rPr>
            </w:pPr>
            <w:r>
              <w:rPr>
                <w:rFonts w:hint="eastAsia"/>
                <w:sz w:val="22"/>
                <w:lang w:eastAsia="zh-CN"/>
              </w:rPr>
              <w:t>（5分）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（1）方案功能十分完善、提出了针对性的解决思路，方案整体完整度优秀和可行性高，得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（2）方案基本功能较为全面，方案整体和完整程度良好，得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（3）方案功能基本满足、方案整体完整度和可行性一般，得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（4）没有方案，得0分。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562" w:type="pct"/>
            <w:vMerge w:val="continue"/>
            <w:tcBorders>
              <w:left w:val="single" w:color="auto" w:sz="4" w:space="0"/>
              <w:right w:val="single" w:color="auto" w:sz="4" w:space="0"/>
            </w:tcBorders>
            <w:vAlign w:val="center"/>
          </w:tcPr>
          <w:p>
            <w:pPr>
              <w:jc w:val="center"/>
              <w:rPr>
                <w:rFonts w:ascii="宋体" w:hAnsi="宋体" w:cs="宋体"/>
              </w:rPr>
            </w:pPr>
          </w:p>
        </w:tc>
        <w:tc>
          <w:tcPr>
            <w:tcW w:w="578" w:type="pct"/>
            <w:vMerge w:val="continue"/>
            <w:tcBorders>
              <w:left w:val="single" w:color="auto" w:sz="4" w:space="0"/>
              <w:bottom w:val="single" w:color="auto" w:sz="4" w:space="0"/>
              <w:right w:val="single" w:color="auto" w:sz="4" w:space="0"/>
            </w:tcBorders>
            <w:vAlign w:val="center"/>
          </w:tcPr>
          <w:p>
            <w:pPr>
              <w:jc w:val="center"/>
              <w:rPr>
                <w:rFonts w:hint="eastAsia"/>
                <w:sz w:val="22"/>
              </w:rPr>
            </w:pP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2"/>
                <w:lang w:eastAsia="zh-CN"/>
              </w:rPr>
            </w:pPr>
            <w:r>
              <w:rPr>
                <w:rFonts w:hint="eastAsia"/>
                <w:sz w:val="22"/>
                <w:lang w:eastAsia="zh-CN"/>
              </w:rPr>
              <w:t>维护方案</w:t>
            </w:r>
          </w:p>
          <w:p>
            <w:pPr>
              <w:jc w:val="center"/>
              <w:rPr>
                <w:rFonts w:hint="eastAsia" w:eastAsia="宋体"/>
                <w:sz w:val="22"/>
                <w:lang w:eastAsia="zh-CN"/>
              </w:rPr>
            </w:pPr>
            <w:r>
              <w:rPr>
                <w:rFonts w:hint="eastAsia"/>
                <w:sz w:val="22"/>
                <w:lang w:eastAsia="zh-CN"/>
              </w:rPr>
              <w:t>（5分）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（1）方案功能十分完善、提出了针对性的解决思路，方案整体完整度优秀和可行性高，得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（2）方案基本功能较为全面，方案整体和完整程度良好，得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（3）方案功能基本满足、方案整体完整度和可行性一般，得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（4）没有方案，得0分。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2" w:type="pct"/>
            <w:vMerge w:val="continue"/>
            <w:tcBorders>
              <w:left w:val="single" w:color="auto" w:sz="4" w:space="0"/>
              <w:right w:val="single" w:color="auto" w:sz="4" w:space="0"/>
            </w:tcBorders>
            <w:vAlign w:val="center"/>
          </w:tcPr>
          <w:p>
            <w:pPr>
              <w:jc w:val="center"/>
              <w:rPr>
                <w:rFonts w:ascii="宋体" w:hAnsi="宋体" w:cs="宋体"/>
              </w:rPr>
            </w:pPr>
          </w:p>
        </w:tc>
        <w:tc>
          <w:tcPr>
            <w:tcW w:w="108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投标产品保险(10分)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所投健身器材产品制造商投保产品质量险、产品责任险、公众责任险，每种险种累计赔偿限额均≥3000 万得10分,每种险种累计赔偿限额均≥2000 万得6分，每种险种累计赔偿限额均≥1000 万得4分，其他不得分。（投标文件内附证明材料原件扫描件，缺项或不符不得分）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2" w:type="pct"/>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rPr>
              <w:t>综合部分（</w:t>
            </w:r>
            <w:r>
              <w:rPr>
                <w:rFonts w:hint="eastAsia" w:ascii="宋体" w:hAnsi="宋体" w:cs="宋体"/>
                <w:lang w:val="en-US" w:eastAsia="zh-CN"/>
              </w:rPr>
              <w:t>20</w:t>
            </w:r>
            <w:r>
              <w:rPr>
                <w:rFonts w:hint="eastAsia" w:ascii="宋体" w:hAnsi="宋体" w:cs="宋体"/>
              </w:rPr>
              <w:t>分）</w:t>
            </w:r>
          </w:p>
        </w:tc>
        <w:tc>
          <w:tcPr>
            <w:tcW w:w="1089" w:type="pct"/>
            <w:gridSpan w:val="2"/>
            <w:tcBorders>
              <w:top w:val="single" w:color="auto" w:sz="4" w:space="0"/>
              <w:left w:val="single" w:color="auto" w:sz="4" w:space="0"/>
              <w:right w:val="single" w:color="auto" w:sz="6" w:space="0"/>
            </w:tcBorders>
            <w:vAlign w:val="center"/>
          </w:tcPr>
          <w:p>
            <w:pPr>
              <w:jc w:val="center"/>
              <w:rPr>
                <w:rFonts w:ascii="宋体" w:hAnsi="宋体"/>
              </w:rPr>
            </w:pPr>
            <w:r>
              <w:rPr>
                <w:rFonts w:hint="eastAsia"/>
              </w:rPr>
              <w:t>体系认证情况（</w:t>
            </w:r>
            <w:r>
              <w:rPr>
                <w:rFonts w:hint="eastAsia"/>
                <w:lang w:val="en-US" w:eastAsia="zh-CN"/>
              </w:rPr>
              <w:t>6</w:t>
            </w:r>
            <w:r>
              <w:rPr>
                <w:rFonts w:hint="eastAsia"/>
              </w:rPr>
              <w:t>分）</w:t>
            </w:r>
          </w:p>
        </w:tc>
        <w:tc>
          <w:tcPr>
            <w:tcW w:w="3347" w:type="pct"/>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textAlignment w:val="baseline"/>
              <w:rPr>
                <w:rFonts w:ascii="宋体" w:hAnsi="宋体" w:cs="宋体"/>
                <w:highlight w:val="none"/>
              </w:rPr>
            </w:pPr>
            <w:r>
              <w:rPr>
                <w:rFonts w:hint="eastAsia" w:ascii="宋体" w:hAnsi="宋体" w:cs="宋体"/>
                <w:highlight w:val="none"/>
              </w:rPr>
              <w:t>（</w:t>
            </w:r>
            <w:r>
              <w:rPr>
                <w:rFonts w:ascii="宋体" w:hAnsi="宋体" w:cs="宋体"/>
                <w:highlight w:val="none"/>
              </w:rPr>
              <w:t>1</w:t>
            </w:r>
            <w:r>
              <w:rPr>
                <w:rFonts w:hint="eastAsia" w:ascii="宋体" w:hAnsi="宋体" w:cs="宋体"/>
                <w:highlight w:val="none"/>
              </w:rPr>
              <w:t>）供应商或生产厂家具有《质量管理体系认证证书》</w:t>
            </w:r>
            <w:r>
              <w:rPr>
                <w:rFonts w:hint="eastAsia" w:ascii="宋体" w:hAnsi="宋体" w:cs="宋体"/>
                <w:highlight w:val="none"/>
                <w:lang w:eastAsia="zh-CN"/>
              </w:rPr>
              <w:t>且在有效期内</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p>
          <w:p>
            <w:pPr>
              <w:pStyle w:val="2"/>
              <w:keepNext w:val="0"/>
              <w:keepLines w:val="0"/>
              <w:pageBreakBefore w:val="0"/>
              <w:widowControl/>
              <w:kinsoku/>
              <w:wordWrap/>
              <w:overflowPunct/>
              <w:topLinePunct w:val="0"/>
              <w:autoSpaceDE/>
              <w:autoSpaceDN/>
              <w:bidi w:val="0"/>
              <w:adjustRightInd/>
              <w:snapToGrid/>
              <w:spacing w:after="0"/>
              <w:textAlignment w:val="baseline"/>
              <w:rPr>
                <w:rFonts w:ascii="宋体" w:hAnsi="宋体" w:cs="宋体"/>
                <w:highlight w:val="none"/>
              </w:rPr>
            </w:pPr>
            <w:r>
              <w:rPr>
                <w:rFonts w:hint="eastAsia" w:ascii="宋体" w:hAnsi="宋体" w:cs="宋体"/>
                <w:highlight w:val="none"/>
              </w:rPr>
              <w:t>（</w:t>
            </w:r>
            <w:r>
              <w:rPr>
                <w:rFonts w:ascii="宋体" w:hAnsi="宋体" w:cs="宋体"/>
                <w:highlight w:val="none"/>
              </w:rPr>
              <w:t>2</w:t>
            </w:r>
            <w:r>
              <w:rPr>
                <w:rFonts w:hint="eastAsia" w:ascii="宋体" w:hAnsi="宋体" w:cs="宋体"/>
                <w:highlight w:val="none"/>
              </w:rPr>
              <w:t>）供应商或生产厂家具有《环境管理体系认证证书》</w:t>
            </w:r>
            <w:r>
              <w:rPr>
                <w:rFonts w:hint="eastAsia" w:ascii="宋体" w:hAnsi="宋体" w:cs="宋体"/>
                <w:highlight w:val="none"/>
                <w:lang w:eastAsia="zh-CN"/>
              </w:rPr>
              <w:t>且在有效期内</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p>
          <w:p>
            <w:pPr>
              <w:pStyle w:val="2"/>
              <w:keepNext w:val="0"/>
              <w:keepLines w:val="0"/>
              <w:pageBreakBefore w:val="0"/>
              <w:widowControl/>
              <w:kinsoku/>
              <w:wordWrap/>
              <w:overflowPunct/>
              <w:topLinePunct w:val="0"/>
              <w:autoSpaceDE/>
              <w:autoSpaceDN/>
              <w:bidi w:val="0"/>
              <w:adjustRightInd/>
              <w:snapToGrid/>
              <w:spacing w:after="0"/>
              <w:textAlignment w:val="baseline"/>
              <w:rPr>
                <w:rFonts w:ascii="宋体" w:hAnsi="宋体" w:cs="宋体"/>
                <w:highlight w:val="none"/>
              </w:rPr>
            </w:pPr>
            <w:r>
              <w:rPr>
                <w:rFonts w:hint="eastAsia" w:ascii="宋体" w:hAnsi="宋体" w:cs="宋体"/>
                <w:highlight w:val="none"/>
              </w:rPr>
              <w:t>（</w:t>
            </w:r>
            <w:r>
              <w:rPr>
                <w:rFonts w:ascii="宋体" w:hAnsi="宋体" w:cs="宋体"/>
                <w:highlight w:val="none"/>
              </w:rPr>
              <w:t>3</w:t>
            </w:r>
            <w:r>
              <w:rPr>
                <w:rFonts w:hint="eastAsia" w:ascii="宋体" w:hAnsi="宋体" w:cs="宋体"/>
                <w:highlight w:val="none"/>
              </w:rPr>
              <w:t>）供应商或生产厂家具有《职业健康安全管理体系认证证书》</w:t>
            </w:r>
            <w:r>
              <w:rPr>
                <w:rFonts w:hint="eastAsia" w:ascii="宋体" w:hAnsi="宋体" w:cs="宋体"/>
                <w:highlight w:val="none"/>
                <w:lang w:eastAsia="zh-CN"/>
              </w:rPr>
              <w:t>且在有效期内</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562" w:type="pct"/>
            <w:vMerge w:val="continue"/>
            <w:tcBorders>
              <w:left w:val="single" w:color="auto" w:sz="4" w:space="0"/>
              <w:right w:val="single" w:color="auto" w:sz="4" w:space="0"/>
            </w:tcBorders>
            <w:vAlign w:val="center"/>
          </w:tcPr>
          <w:p>
            <w:pPr>
              <w:jc w:val="center"/>
              <w:rPr>
                <w:rFonts w:ascii="宋体" w:hAnsi="宋体" w:cs="宋体"/>
              </w:rPr>
            </w:pPr>
          </w:p>
        </w:tc>
        <w:tc>
          <w:tcPr>
            <w:tcW w:w="1089" w:type="pct"/>
            <w:gridSpan w:val="2"/>
            <w:tcBorders>
              <w:top w:val="single" w:color="auto" w:sz="4" w:space="0"/>
              <w:left w:val="single" w:color="auto" w:sz="4" w:space="0"/>
              <w:right w:val="single" w:color="auto" w:sz="6" w:space="0"/>
            </w:tcBorders>
            <w:vAlign w:val="center"/>
          </w:tcPr>
          <w:p>
            <w:pPr>
              <w:jc w:val="center"/>
            </w:pPr>
            <w:r>
              <w:rPr>
                <w:rFonts w:hint="eastAsia" w:ascii="宋体" w:hAnsi="宋体"/>
              </w:rPr>
              <w:t>业绩(</w:t>
            </w:r>
            <w:r>
              <w:rPr>
                <w:rFonts w:hint="eastAsia" w:ascii="宋体" w:hAnsi="宋体"/>
                <w:lang w:val="en-US" w:eastAsia="zh-CN"/>
              </w:rPr>
              <w:t>8</w:t>
            </w:r>
            <w:r>
              <w:rPr>
                <w:rFonts w:hint="eastAsia" w:ascii="宋体" w:hAnsi="宋体"/>
              </w:rPr>
              <w:t>分)</w:t>
            </w:r>
          </w:p>
        </w:tc>
        <w:tc>
          <w:tcPr>
            <w:tcW w:w="3347" w:type="pct"/>
            <w:tcBorders>
              <w:top w:val="single" w:color="auto" w:sz="4" w:space="0"/>
              <w:left w:val="single" w:color="auto" w:sz="6" w:space="0"/>
              <w:right w:val="single" w:color="auto" w:sz="6" w:space="0"/>
            </w:tcBorders>
            <w:vAlign w:val="center"/>
          </w:tcPr>
          <w:p>
            <w:pPr>
              <w:rPr>
                <w:rFonts w:ascii="宋体" w:hAnsi="宋体" w:cs="宋体"/>
                <w:highlight w:val="none"/>
              </w:rPr>
            </w:pPr>
            <w:r>
              <w:rPr>
                <w:rFonts w:hint="eastAsia" w:ascii="宋体" w:hAnsi="宋体" w:cs="宋体"/>
                <w:highlight w:val="none"/>
              </w:rPr>
              <w:t>供应商</w:t>
            </w:r>
            <w:r>
              <w:rPr>
                <w:rFonts w:hint="eastAsia" w:ascii="宋体" w:hAnsi="宋体" w:cs="宋体"/>
                <w:highlight w:val="none"/>
                <w:lang w:eastAsia="zh-CN"/>
              </w:rPr>
              <w:t>或生产厂家</w:t>
            </w:r>
            <w:r>
              <w:rPr>
                <w:rFonts w:hint="eastAsia" w:ascii="宋体" w:hAnsi="宋体" w:cs="宋体"/>
                <w:highlight w:val="none"/>
              </w:rPr>
              <w:t>提供2020 年</w:t>
            </w:r>
            <w:r>
              <w:rPr>
                <w:rFonts w:ascii="宋体" w:hAnsi="宋体" w:cs="宋体"/>
                <w:highlight w:val="none"/>
              </w:rPr>
              <w:t>1</w:t>
            </w:r>
            <w:r>
              <w:rPr>
                <w:rFonts w:hint="eastAsia" w:ascii="宋体" w:hAnsi="宋体" w:cs="宋体"/>
                <w:highlight w:val="none"/>
              </w:rPr>
              <w:t>月1日以来完成类似项目业绩，每有一份得4分，最多得</w:t>
            </w:r>
            <w:r>
              <w:rPr>
                <w:rFonts w:hint="eastAsia" w:ascii="宋体" w:hAnsi="宋体" w:cs="宋体"/>
                <w:highlight w:val="none"/>
                <w:lang w:val="en-US" w:eastAsia="zh-CN"/>
              </w:rPr>
              <w:t>8</w:t>
            </w:r>
            <w:r>
              <w:rPr>
                <w:rFonts w:hint="eastAsia" w:ascii="宋体" w:hAnsi="宋体" w:cs="宋体"/>
                <w:highlight w:val="none"/>
              </w:rPr>
              <w:t>分。（以合同签订时间为准，投标文件附中标通知书扫描件、合同扫描件，缺项不得分）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62" w:type="pct"/>
            <w:vMerge w:val="continue"/>
            <w:tcBorders>
              <w:left w:val="single" w:color="auto" w:sz="4" w:space="0"/>
              <w:right w:val="single" w:color="auto" w:sz="4" w:space="0"/>
            </w:tcBorders>
            <w:vAlign w:val="center"/>
          </w:tcPr>
          <w:p>
            <w:pPr>
              <w:jc w:val="center"/>
              <w:rPr>
                <w:rFonts w:ascii="宋体" w:hAnsi="宋体" w:cs="宋体"/>
              </w:rPr>
            </w:pPr>
          </w:p>
        </w:tc>
        <w:tc>
          <w:tcPr>
            <w:tcW w:w="1089" w:type="pct"/>
            <w:gridSpan w:val="2"/>
            <w:tcBorders>
              <w:left w:val="single" w:color="auto" w:sz="4" w:space="0"/>
              <w:right w:val="single" w:color="auto" w:sz="6" w:space="0"/>
            </w:tcBorders>
            <w:vAlign w:val="center"/>
          </w:tcPr>
          <w:p>
            <w:pPr>
              <w:jc w:val="center"/>
              <w:rPr>
                <w:rFonts w:ascii="宋体" w:hAnsi="宋体"/>
              </w:rPr>
            </w:pPr>
            <w:r>
              <w:rPr>
                <w:rFonts w:hint="eastAsia" w:ascii="宋体" w:hAnsi="宋体"/>
              </w:rPr>
              <w:t>服务</w:t>
            </w:r>
            <w:r>
              <w:rPr>
                <w:rFonts w:hint="eastAsia" w:ascii="宋体" w:hAnsi="宋体"/>
                <w:lang w:eastAsia="zh-CN"/>
              </w:rPr>
              <w:t>承诺</w:t>
            </w:r>
            <w:r>
              <w:rPr>
                <w:rFonts w:hint="eastAsia" w:ascii="宋体" w:hAnsi="宋体"/>
              </w:rPr>
              <w:t>（</w:t>
            </w:r>
            <w:r>
              <w:rPr>
                <w:rFonts w:hint="eastAsia" w:ascii="宋体" w:hAnsi="宋体"/>
                <w:lang w:val="en-US" w:eastAsia="zh-CN"/>
              </w:rPr>
              <w:t>6</w:t>
            </w:r>
            <w:r>
              <w:rPr>
                <w:rFonts w:hint="eastAsia" w:ascii="宋体" w:hAnsi="宋体"/>
              </w:rPr>
              <w:t>分）</w:t>
            </w:r>
          </w:p>
        </w:tc>
        <w:tc>
          <w:tcPr>
            <w:tcW w:w="3347" w:type="pct"/>
            <w:tcBorders>
              <w:top w:val="single" w:color="auto" w:sz="4" w:space="0"/>
              <w:left w:val="single" w:color="auto" w:sz="6" w:space="0"/>
              <w:bottom w:val="single" w:color="auto" w:sz="4" w:space="0"/>
              <w:right w:val="single" w:color="auto" w:sz="6" w:space="0"/>
            </w:tcBorders>
            <w:vAlign w:val="center"/>
          </w:tcPr>
          <w:p>
            <w:pPr>
              <w:jc w:val="left"/>
              <w:rPr>
                <w:rFonts w:hint="eastAsia" w:ascii="宋体" w:hAnsi="宋体" w:cs="宋体"/>
                <w:highlight w:val="none"/>
              </w:rPr>
            </w:pPr>
            <w:r>
              <w:rPr>
                <w:rFonts w:hint="eastAsia" w:ascii="宋体" w:hAnsi="宋体" w:cs="宋体"/>
                <w:highlight w:val="none"/>
              </w:rPr>
              <w:t>优惠条款和内容能使招标人在经济上受益的，针对招标工程的特点和要求，结合自身的条件和潜力，为</w:t>
            </w:r>
            <w:r>
              <w:rPr>
                <w:rFonts w:hint="eastAsia" w:ascii="宋体" w:hAnsi="宋体" w:cs="宋体"/>
                <w:highlight w:val="none"/>
                <w:lang w:eastAsia="zh-CN"/>
              </w:rPr>
              <w:t>采购</w:t>
            </w:r>
            <w:r>
              <w:rPr>
                <w:rFonts w:hint="eastAsia" w:ascii="宋体" w:hAnsi="宋体" w:cs="宋体"/>
                <w:highlight w:val="none"/>
              </w:rPr>
              <w:t>人排忧解难，有利于提高工程质量，加快工程进度等方面的承诺：</w:t>
            </w:r>
          </w:p>
          <w:p>
            <w:pPr>
              <w:jc w:val="left"/>
              <w:rPr>
                <w:rFonts w:hint="eastAsia" w:ascii="宋体" w:hAnsi="宋体" w:cs="宋体"/>
                <w:highlight w:val="none"/>
              </w:rPr>
            </w:pPr>
            <w:r>
              <w:rPr>
                <w:rFonts w:hint="eastAsia" w:ascii="宋体" w:hAnsi="宋体" w:cs="宋体"/>
                <w:highlight w:val="none"/>
              </w:rPr>
              <w:t>（1）服务承诺内容十分详细、方式具体并有切实可行，得</w:t>
            </w:r>
            <w:r>
              <w:rPr>
                <w:rFonts w:hint="eastAsia" w:ascii="宋体" w:hAnsi="宋体" w:cs="宋体"/>
                <w:highlight w:val="none"/>
                <w:lang w:val="en-US" w:eastAsia="zh-CN"/>
              </w:rPr>
              <w:t>6</w:t>
            </w:r>
            <w:r>
              <w:rPr>
                <w:rFonts w:hint="eastAsia" w:ascii="宋体" w:hAnsi="宋体" w:cs="宋体"/>
                <w:highlight w:val="none"/>
              </w:rPr>
              <w:t>分。</w:t>
            </w:r>
          </w:p>
          <w:p>
            <w:pPr>
              <w:jc w:val="left"/>
              <w:rPr>
                <w:rFonts w:hint="eastAsia" w:ascii="宋体" w:hAnsi="宋体" w:cs="宋体"/>
                <w:highlight w:val="none"/>
              </w:rPr>
            </w:pPr>
            <w:r>
              <w:rPr>
                <w:rFonts w:hint="eastAsia" w:ascii="宋体" w:hAnsi="宋体" w:cs="宋体"/>
                <w:highlight w:val="none"/>
              </w:rPr>
              <w:t>（2）服务承诺内容详细、方式切实可行，得</w:t>
            </w:r>
            <w:r>
              <w:rPr>
                <w:rFonts w:hint="eastAsia" w:ascii="宋体" w:hAnsi="宋体" w:cs="宋体"/>
                <w:highlight w:val="none"/>
                <w:lang w:val="en-US" w:eastAsia="zh-CN"/>
              </w:rPr>
              <w:t>4</w:t>
            </w:r>
            <w:r>
              <w:rPr>
                <w:rFonts w:hint="eastAsia" w:ascii="宋体" w:hAnsi="宋体" w:cs="宋体"/>
                <w:highlight w:val="none"/>
              </w:rPr>
              <w:t>分。</w:t>
            </w:r>
          </w:p>
          <w:p>
            <w:pPr>
              <w:jc w:val="left"/>
              <w:rPr>
                <w:rFonts w:ascii="宋体" w:hAnsi="宋体" w:cs="宋体"/>
                <w:highlight w:val="none"/>
              </w:rPr>
            </w:pPr>
            <w:r>
              <w:rPr>
                <w:rFonts w:hint="eastAsia" w:ascii="宋体" w:hAnsi="宋体" w:cs="宋体"/>
                <w:highlight w:val="none"/>
              </w:rPr>
              <w:t>（3）服务承诺内容、方式</w:t>
            </w:r>
            <w:r>
              <w:rPr>
                <w:rFonts w:hint="eastAsia" w:ascii="宋体" w:hAnsi="宋体" w:cs="宋体"/>
                <w:highlight w:val="none"/>
                <w:lang w:eastAsia="zh-CN"/>
              </w:rPr>
              <w:t>基本</w:t>
            </w:r>
            <w:r>
              <w:rPr>
                <w:rFonts w:hint="eastAsia" w:ascii="宋体" w:hAnsi="宋体" w:cs="宋体"/>
                <w:highlight w:val="none"/>
              </w:rPr>
              <w:t>可行，得</w:t>
            </w:r>
            <w:r>
              <w:rPr>
                <w:rFonts w:hint="eastAsia" w:ascii="宋体" w:hAnsi="宋体" w:cs="宋体"/>
                <w:highlight w:val="none"/>
                <w:lang w:val="en-US" w:eastAsia="zh-CN"/>
              </w:rPr>
              <w:t>2</w:t>
            </w:r>
            <w:r>
              <w:rPr>
                <w:rFonts w:hint="eastAsia" w:ascii="宋体" w:hAnsi="宋体" w:cs="宋体"/>
                <w:highlight w:val="none"/>
              </w:rPr>
              <w:t>分。</w:t>
            </w:r>
          </w:p>
        </w:tc>
      </w:tr>
    </w:tbl>
    <w:p>
      <w:pPr>
        <w:spacing w:line="380" w:lineRule="exact"/>
        <w:jc w:val="left"/>
        <w:textAlignment w:val="auto"/>
        <w:rPr>
          <w:rFonts w:ascii="黑体" w:hAnsi="黑体" w:eastAsia="黑体" w:cs="楷体_GB2312"/>
          <w:b/>
          <w:bCs/>
          <w:color w:val="auto"/>
          <w:sz w:val="28"/>
          <w:szCs w:val="28"/>
        </w:rPr>
      </w:pPr>
    </w:p>
    <w:p>
      <w:pPr>
        <w:spacing w:line="380" w:lineRule="exact"/>
        <w:ind w:firstLine="281" w:firstLineChars="100"/>
        <w:jc w:val="left"/>
        <w:textAlignment w:val="auto"/>
        <w:rPr>
          <w:rFonts w:ascii="黑体" w:hAnsi="黑体" w:eastAsia="黑体" w:cs="楷体_GB2312"/>
          <w:b/>
          <w:bCs/>
          <w:color w:val="auto"/>
          <w:sz w:val="28"/>
          <w:szCs w:val="28"/>
          <w:lang w:val="zh-CN"/>
        </w:rPr>
      </w:pPr>
      <w:r>
        <w:rPr>
          <w:rFonts w:hint="eastAsia" w:ascii="黑体" w:hAnsi="黑体" w:eastAsia="黑体" w:cs="楷体_GB2312"/>
          <w:b/>
          <w:bCs/>
          <w:color w:val="auto"/>
          <w:sz w:val="28"/>
          <w:szCs w:val="28"/>
        </w:rPr>
        <w:t>1.</w:t>
      </w:r>
      <w:r>
        <w:rPr>
          <w:rFonts w:hint="eastAsia" w:ascii="黑体" w:hAnsi="黑体" w:eastAsia="黑体" w:cs="楷体_GB2312"/>
          <w:b/>
          <w:bCs/>
          <w:color w:val="auto"/>
          <w:sz w:val="28"/>
          <w:szCs w:val="28"/>
          <w:lang w:val="zh-CN"/>
        </w:rPr>
        <w:t>评审方法（评定成交的标准）</w:t>
      </w:r>
      <w:bookmarkEnd w:id="42"/>
      <w:bookmarkEnd w:id="43"/>
    </w:p>
    <w:p>
      <w:pPr>
        <w:autoSpaceDE w:val="0"/>
        <w:autoSpaceDN w:val="0"/>
        <w:adjustRightInd w:val="0"/>
        <w:snapToGrid w:val="0"/>
        <w:spacing w:line="380" w:lineRule="exact"/>
        <w:ind w:firstLine="482" w:firstLineChars="200"/>
        <w:jc w:val="left"/>
        <w:rPr>
          <w:rFonts w:hint="eastAsia" w:ascii="宋体" w:eastAsia="宋体"/>
          <w:b/>
          <w:color w:val="auto"/>
          <w:sz w:val="24"/>
          <w:lang w:eastAsia="zh-CN"/>
        </w:rPr>
      </w:pPr>
      <w:bookmarkStart w:id="44" w:name="OLE_LINK33"/>
      <w:r>
        <w:rPr>
          <w:rFonts w:hint="eastAsia"/>
          <w:b/>
          <w:color w:val="auto"/>
          <w:sz w:val="24"/>
          <w:szCs w:val="24"/>
        </w:rPr>
        <w:t>经磋商确定最终采购需求和提交最后报价的供应商后，由磋商小组采用综合评分法对提交最后报价的供应商的《响应文件》和最后报价进行综合评分。按照评审得分由高到低的顺序</w:t>
      </w:r>
      <w:r>
        <w:rPr>
          <w:rFonts w:hint="eastAsia"/>
          <w:b/>
          <w:color w:val="auto"/>
          <w:sz w:val="24"/>
          <w:szCs w:val="24"/>
          <w:lang w:eastAsia="zh-CN"/>
        </w:rPr>
        <w:t>推荐三名</w:t>
      </w:r>
      <w:r>
        <w:rPr>
          <w:rFonts w:hint="eastAsia"/>
          <w:b/>
          <w:color w:val="auto"/>
          <w:sz w:val="24"/>
          <w:szCs w:val="24"/>
        </w:rPr>
        <w:t>成交</w:t>
      </w:r>
      <w:r>
        <w:rPr>
          <w:rFonts w:hint="eastAsia"/>
          <w:b/>
          <w:color w:val="auto"/>
          <w:sz w:val="24"/>
          <w:szCs w:val="24"/>
          <w:lang w:eastAsia="zh-CN"/>
        </w:rPr>
        <w:t>候选人</w:t>
      </w:r>
      <w:bookmarkEnd w:id="44"/>
      <w:r>
        <w:rPr>
          <w:rFonts w:hint="eastAsia"/>
          <w:b/>
          <w:color w:val="auto"/>
          <w:sz w:val="24"/>
          <w:szCs w:val="24"/>
          <w:lang w:eastAsia="zh-CN"/>
        </w:rPr>
        <w:t>。</w:t>
      </w:r>
    </w:p>
    <w:p>
      <w:pPr>
        <w:pStyle w:val="32"/>
        <w:snapToGrid w:val="0"/>
        <w:spacing w:line="380" w:lineRule="exact"/>
        <w:ind w:firstLine="422" w:firstLineChars="150"/>
        <w:jc w:val="both"/>
        <w:outlineLvl w:val="1"/>
        <w:rPr>
          <w:rFonts w:ascii="黑体" w:hAnsi="黑体" w:eastAsia="黑体" w:cs="楷体_GB2312"/>
          <w:b/>
          <w:bCs/>
          <w:color w:val="auto"/>
          <w:sz w:val="28"/>
          <w:szCs w:val="28"/>
          <w:u w:color="000000"/>
          <w:lang w:val="zh-CN"/>
        </w:rPr>
      </w:pPr>
      <w:bookmarkStart w:id="45" w:name="_Toc26366102"/>
      <w:bookmarkStart w:id="46" w:name="_Toc423723403"/>
      <w:bookmarkStart w:id="47" w:name="_Toc19247"/>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45"/>
      <w:bookmarkEnd w:id="46"/>
      <w:bookmarkEnd w:id="47"/>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line="380" w:lineRule="exact"/>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line="380" w:lineRule="exact"/>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pPr>
        <w:pStyle w:val="32"/>
        <w:snapToGrid w:val="0"/>
        <w:spacing w:line="380" w:lineRule="exact"/>
        <w:ind w:firstLine="562" w:firstLineChars="200"/>
        <w:jc w:val="both"/>
        <w:outlineLvl w:val="1"/>
        <w:rPr>
          <w:rFonts w:ascii="黑体" w:hAnsi="黑体" w:eastAsia="黑体" w:cs="楷体_GB2312"/>
          <w:b/>
          <w:bCs/>
          <w:color w:val="auto"/>
          <w:sz w:val="28"/>
          <w:szCs w:val="28"/>
          <w:u w:color="000000"/>
          <w:lang w:val="zh-CN"/>
        </w:rPr>
      </w:pPr>
      <w:bookmarkStart w:id="48" w:name="_Toc29880"/>
      <w:bookmarkStart w:id="49" w:name="_Toc423723405"/>
      <w:bookmarkStart w:id="50" w:name="_Toc26366103"/>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8"/>
      <w:bookmarkEnd w:id="49"/>
      <w:bookmarkEnd w:id="50"/>
    </w:p>
    <w:p>
      <w:pPr>
        <w:autoSpaceDE w:val="0"/>
        <w:autoSpaceDN w:val="0"/>
        <w:adjustRightInd w:val="0"/>
        <w:snapToGrid w:val="0"/>
        <w:spacing w:line="380" w:lineRule="exact"/>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磋商小组按标段进行评审</w:t>
      </w:r>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确认磋商文件</w:t>
      </w:r>
    </w:p>
    <w:p>
      <w:pPr>
        <w:pStyle w:val="32"/>
        <w:snapToGrid w:val="0"/>
        <w:spacing w:line="380" w:lineRule="exact"/>
        <w:ind w:firstLine="480" w:firstLineChars="200"/>
        <w:jc w:val="both"/>
        <w:rPr>
          <w:rFonts w:hAnsi="宋体"/>
          <w:color w:val="auto"/>
        </w:rPr>
      </w:pPr>
      <w:r>
        <w:rPr>
          <w:rFonts w:hAnsi="宋体"/>
          <w:color w:val="auto"/>
        </w:rPr>
        <w:t xml:space="preserve">3.1.1 </w:t>
      </w:r>
      <w:r>
        <w:rPr>
          <w:rFonts w:hint="eastAsia" w:hAnsi="宋体"/>
          <w:color w:val="auto"/>
        </w:rPr>
        <w:t>磋商小组确认磋商文件，磋商文件内容违反国家有关强制性规定的，磋商小组应当停止评审并向采购人或者采购代理机构书面说明情况。</w:t>
      </w:r>
    </w:p>
    <w:p>
      <w:pPr>
        <w:pStyle w:val="32"/>
        <w:snapToGrid w:val="0"/>
        <w:spacing w:line="380" w:lineRule="exact"/>
        <w:ind w:firstLine="480" w:firstLineChars="200"/>
        <w:jc w:val="both"/>
        <w:rPr>
          <w:rFonts w:hAnsi="宋体"/>
          <w:color w:val="auto"/>
        </w:rPr>
      </w:pPr>
      <w:r>
        <w:rPr>
          <w:rFonts w:hAnsi="宋体"/>
          <w:color w:val="auto"/>
        </w:rPr>
        <w:t xml:space="preserve">3.1.2  </w:t>
      </w:r>
      <w:r>
        <w:rPr>
          <w:rFonts w:hint="eastAsia" w:hAnsi="宋体"/>
          <w:color w:val="auto"/>
        </w:rPr>
        <w:t>磋商小组</w:t>
      </w:r>
      <w:r>
        <w:rPr>
          <w:rFonts w:hint="eastAsia" w:ascii="??" w:hAnsi="??" w:cs="宋体"/>
          <w:color w:val="auto"/>
          <w:szCs w:val="21"/>
        </w:rPr>
        <w:t>要求解释</w:t>
      </w:r>
      <w:r>
        <w:rPr>
          <w:rFonts w:hint="eastAsia" w:hAnsi="宋体"/>
          <w:color w:val="auto"/>
        </w:rPr>
        <w:t>磋商文件的，书面提出需解释的相关磋商文件的具体内容后、由采购代理机构或者采购人进行书面解释。</w:t>
      </w:r>
    </w:p>
    <w:p>
      <w:pPr>
        <w:autoSpaceDE w:val="0"/>
        <w:autoSpaceDN w:val="0"/>
        <w:adjustRightInd w:val="0"/>
        <w:snapToGrid w:val="0"/>
        <w:spacing w:line="380" w:lineRule="exact"/>
        <w:ind w:firstLine="482" w:firstLineChars="200"/>
        <w:jc w:val="left"/>
        <w:rPr>
          <w:rFonts w:ascii="黑体" w:hAnsi="黑体" w:eastAsia="黑体"/>
          <w:b/>
          <w:color w:val="auto"/>
          <w:sz w:val="24"/>
        </w:rPr>
      </w:pPr>
      <w:bookmarkStart w:id="51" w:name="_Toc423723406"/>
      <w:r>
        <w:rPr>
          <w:rFonts w:ascii="黑体" w:hAnsi="黑体" w:eastAsia="黑体"/>
          <w:b/>
          <w:color w:val="auto"/>
          <w:sz w:val="24"/>
        </w:rPr>
        <w:t>3.2</w:t>
      </w:r>
      <w:bookmarkEnd w:id="51"/>
      <w:r>
        <w:rPr>
          <w:rFonts w:hint="eastAsia" w:ascii="黑体" w:hAnsi="黑体" w:eastAsia="黑体"/>
          <w:b/>
          <w:color w:val="auto"/>
          <w:sz w:val="24"/>
        </w:rPr>
        <w:t>初步评审</w:t>
      </w:r>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磋商小组依据本章第</w:t>
      </w:r>
      <w:r>
        <w:rPr>
          <w:rFonts w:ascii="宋体" w:hAnsi="宋体"/>
          <w:color w:val="auto"/>
          <w:sz w:val="24"/>
        </w:rPr>
        <w:t>1.1</w:t>
      </w:r>
      <w:r>
        <w:rPr>
          <w:rFonts w:hint="eastAsia" w:ascii="宋体" w:hAnsi="宋体"/>
          <w:color w:val="auto"/>
          <w:sz w:val="24"/>
        </w:rPr>
        <w:t>、</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）投标人不符合国家或者磋商文件规定的资格条件；</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（2）投标联合体不符合磋商文件规定；</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（3）投标文件的签字盖章不符合磋商文件规定；</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（4）投标报价高于磋商公告公布的采购预算；</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（5）同一投标人提交两个以上不同的投标文件（响应文件）或者投标报价，投标文件（响应文件）的每种报价有两个报价或其他选择性报价的。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（6）投标文件（响应文件）没有对磋商文件的实质性要求和条件作出实质性响应，或不符合磋商文件的实质性要求和条件；</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（7）投标文件（响应文件）附有采购项目不能接受的条件或不符合国家强制性规定的；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（8）单位负责人为同一人或者存在控股、管理关系的不同单位，参加同一项目（标段）投标的；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（9）为采购项目提供整体设计、规范编制或者项目管理、监理、检测等服务的供应商，不得再参加该采购项目的其他采购活动。</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0）提供虚假材料谋取中标（成交）的；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1）投标人有串通投标、行贿等违法行为。其中，有下列情形之一的，视为投标人相互串通投标：</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◆不同投标人的投标保证金从同一单位或者个人的账户转出。</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3.2.3 </w:t>
      </w:r>
      <w:r>
        <w:rPr>
          <w:rFonts w:hint="eastAsia" w:ascii="宋体" w:hAnsi="宋体"/>
          <w:b/>
          <w:color w:val="auto"/>
          <w:sz w:val="24"/>
        </w:rPr>
        <w:t>未实质性响应磋商文件的响应文件按无效处理，磋商小组应当通过评审界面的对话框告知有关供应商。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b/>
          <w:color w:val="auto"/>
          <w:sz w:val="24"/>
        </w:rPr>
        <w:t>投标将被拒绝。</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磋商小组负责审查确定每一投标项目是否对磋商文件的实质性要求作出了实质性的响应，而没有重大偏离和保留。实质性响应的投标是指投标符合磋商文件的所有条款、条件和规定且没有重大偏离和保留（重大偏离和保留是指影响到磋商文件和投标人的义务的规定，而纠正这些偏离将影响到其他提交实质性响应投标人的公平竞争地位）。</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磋商小组判断投标文件（响应文件）的响应性仅基于投标文件（响应文件）本身而不靠外部证据。</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磋商小组拒绝被确定为非实质性响应的投标人，投标人不得通过修正或撤销不符之处而使其投标成为实质性响应的投标。</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pPr>
        <w:widowControl w:val="0"/>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pPr>
        <w:widowControl w:val="0"/>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3.3.1 </w:t>
      </w:r>
      <w:r>
        <w:rPr>
          <w:rFonts w:hint="eastAsia" w:ascii="宋体" w:hAnsi="宋体"/>
          <w:color w:val="auto"/>
          <w:sz w:val="24"/>
        </w:rPr>
        <w:t>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widowControl w:val="0"/>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3.3.2 </w:t>
      </w:r>
      <w:r>
        <w:rPr>
          <w:rFonts w:hint="eastAsia" w:ascii="宋体" w:hAnsi="宋体"/>
          <w:color w:val="auto"/>
          <w:sz w:val="24"/>
        </w:rPr>
        <w:t>如磋商小组一致认为最低投标或某些分项报价明显不合理，有降低质量、不能诚信履约的可能时，磋商小组有权要求投标人作出解释。如投标人不能作出合理解释，磋商小组在取得多数一致意见后，可确定该投标人不能中标（成交）。</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pPr>
        <w:autoSpaceDE w:val="0"/>
        <w:autoSpaceDN w:val="0"/>
        <w:adjustRightInd w:val="0"/>
        <w:snapToGrid w:val="0"/>
        <w:spacing w:line="380" w:lineRule="exact"/>
        <w:ind w:firstLine="569" w:firstLineChars="236"/>
        <w:jc w:val="left"/>
        <w:rPr>
          <w:rFonts w:ascii="宋体"/>
          <w:b/>
          <w:color w:val="auto"/>
          <w:sz w:val="24"/>
        </w:rPr>
      </w:pPr>
      <w:r>
        <w:rPr>
          <w:rFonts w:hint="eastAsia" w:ascii="宋体" w:hAnsi="宋体"/>
          <w:b/>
          <w:color w:val="auto"/>
          <w:sz w:val="24"/>
        </w:rPr>
        <w:t>投标文件（响应文件）的澄清在磋商公告所述网上电子交易系统进行。</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3.4.1 </w:t>
      </w:r>
      <w:r>
        <w:rPr>
          <w:rFonts w:hint="eastAsia" w:ascii="宋体" w:hAnsi="宋体"/>
          <w:b/>
          <w:color w:val="auto"/>
          <w:sz w:val="24"/>
        </w:rPr>
        <w:t>评审期间，投标人法定代表人须时刻关注电子开标室并保持通讯畅通。如因通讯不畅导致投标人无法及时澄清而被认定为无效响应等后果的，由投标人自行承担。</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为有助于对投标文件（响应文件）进行审查、评估和比较，磋商小组有权个别的向投标人提出质疑，请投标人澄清其投标内容。</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磋商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3.4.4</w:t>
      </w:r>
      <w:r>
        <w:rPr>
          <w:rFonts w:hint="eastAsia" w:ascii="宋体" w:hAnsi="宋体"/>
          <w:b/>
          <w:color w:val="auto"/>
          <w:sz w:val="24"/>
        </w:rPr>
        <w:t>　投标人的澄清、说明或者更正应当采用书面形式，应加盖投标人电子签章或其法定代表人电子签名。并将澄清等内容作为附件上传至系统中。</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投标人的澄清文件是投标文件（响应文件）的组成部分，并取代投标文件（响应文件）中被澄清的部分。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澄清文件应按磋商小组规定的时间提交。</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磋商规则</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hint="eastAsia" w:ascii="宋体" w:hAnsi="宋体"/>
          <w:b/>
          <w:color w:val="auto"/>
          <w:sz w:val="24"/>
        </w:rPr>
        <w:t>评审磋商在磋商公告所述网上电子交易系统进行。</w:t>
      </w:r>
    </w:p>
    <w:p>
      <w:pPr>
        <w:autoSpaceDE w:val="0"/>
        <w:autoSpaceDN w:val="0"/>
        <w:adjustRightInd w:val="0"/>
        <w:snapToGrid w:val="0"/>
        <w:spacing w:line="380" w:lineRule="exact"/>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本次政府采购采取竞争性磋商方式。磋商小组将据评审情况就所投货物的技术、服务、价格等事项与有关投标人分别进行磋商。磋商的任何一方不得将与磋商有关的技术资料、价格和其他信息透露给其他供应商。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磋商小组根据磋商文件规定的程序、评定成交的标准等事项与实质性响应磋商文件要求的投标人进行磋商。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磋商小组所有成员集中与单一投标人分别进行磋商，并给予所有参加磋商的投标人平等的磋商机会。</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在磋商过程中，磋商小组可以根据磋商文件和磋商情况实质性变动采购需求中的技术、服务要求以及合同草案条款，磋商文件中的其他内容将不再变动。实质性变动的内容，经采购人代表确认</w:t>
      </w:r>
      <w:r>
        <w:rPr>
          <w:rFonts w:hint="eastAsia" w:ascii="宋体" w:hAnsi="宋体"/>
          <w:bCs/>
          <w:color w:val="auto"/>
          <w:sz w:val="24"/>
        </w:rPr>
        <w:t>后</w:t>
      </w:r>
      <w:r>
        <w:rPr>
          <w:rFonts w:hint="eastAsia" w:ascii="宋体" w:hAnsi="宋体"/>
          <w:b/>
          <w:color w:val="auto"/>
          <w:sz w:val="24"/>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对磋商文件作出的实质性变动是磋商文件的有效组成部分，。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投标人应当按照磋商文件的变动情况和磋商小组的要求重新提交投标文件（响应文件）或修订投标文件相应条款，</w:t>
      </w:r>
      <w:r>
        <w:rPr>
          <w:rFonts w:hint="eastAsia" w:ascii="宋体" w:hAnsi="宋体"/>
          <w:b/>
          <w:color w:val="auto"/>
          <w:sz w:val="24"/>
        </w:rPr>
        <w:t>并应加盖投标人或其法定代表人的电子签名。</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价格磋商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磋商小组应当要求所有继续参加磋商的供应商在规定时间内提交最后报价，提交最后报价的供应商不得少于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3.5.8 </w:t>
      </w:r>
      <w:r>
        <w:rPr>
          <w:rFonts w:hint="eastAsia" w:ascii="宋体" w:hAnsi="宋体"/>
          <w:color w:val="auto"/>
          <w:sz w:val="24"/>
        </w:rPr>
        <w:t>磋商文件的实质性变动影响到投标人因此无法继续参加磋商的，投标人可以在提交最后报价之前退出磋商。此情况的投标保证金将予以退还，其响应文件按无效处理的投标人，所提交的最后报价也按无效处理。</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3.5.9 </w:t>
      </w:r>
      <w:r>
        <w:rPr>
          <w:rFonts w:hint="eastAsia" w:ascii="宋体" w:hAnsi="宋体"/>
          <w:b/>
          <w:color w:val="auto"/>
          <w:sz w:val="24"/>
        </w:rPr>
        <w:t>投标人提交最后报价应在系统中填列分项报价，分项报价自动汇总价。</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3.5.10 </w:t>
      </w:r>
      <w:r>
        <w:rPr>
          <w:rFonts w:hint="eastAsia"/>
          <w:b/>
          <w:color w:val="auto"/>
          <w:sz w:val="24"/>
          <w:szCs w:val="24"/>
        </w:rPr>
        <w:t>本项目在开标后只进行一轮报价，即最后报价。网上交易系统中管理员发起最后报价后，</w:t>
      </w:r>
      <w:r>
        <w:rPr>
          <w:rFonts w:hint="eastAsia" w:ascii="宋体" w:hAnsi="宋体"/>
          <w:b/>
          <w:color w:val="auto"/>
          <w:sz w:val="24"/>
        </w:rPr>
        <w:t>如投标人未在指定时限内提交最后报价，视为该供应商根据磋商情况退出磋商。</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3.5.11 </w:t>
      </w:r>
      <w:r>
        <w:rPr>
          <w:rFonts w:hint="eastAsia" w:ascii="宋体" w:hAnsi="宋体"/>
          <w:b/>
          <w:color w:val="auto"/>
          <w:sz w:val="24"/>
        </w:rPr>
        <w:t>投标人在网上报价过程中，如遇到网上投标系统的操作问题，可通过网上预留的咨询电话进行咨询。投标人因未按照要求进行操作、投标单位办理的数字证书失效等其他自身原因导致响应文件错误或无效的，磋商小组将认定其为无效投标。</w:t>
      </w:r>
    </w:p>
    <w:p>
      <w:pPr>
        <w:autoSpaceDE w:val="0"/>
        <w:autoSpaceDN w:val="0"/>
        <w:adjustRightInd w:val="0"/>
        <w:snapToGrid w:val="0"/>
        <w:spacing w:line="380" w:lineRule="exact"/>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：磋商小组对排名第一的、报价最低的、投标或相应文件被认定为无效的情形进行按磋商文件实质性要求重点复核。</w:t>
      </w:r>
    </w:p>
    <w:p>
      <w:pPr>
        <w:autoSpaceDE w:val="0"/>
        <w:autoSpaceDN w:val="0"/>
        <w:adjustRightInd w:val="0"/>
        <w:snapToGrid w:val="0"/>
        <w:spacing w:line="380" w:lineRule="exact"/>
        <w:ind w:firstLine="569" w:firstLineChars="236"/>
        <w:jc w:val="left"/>
        <w:rPr>
          <w:rFonts w:ascii="黑体" w:hAnsi="黑体" w:eastAsia="黑体"/>
          <w:b/>
          <w:color w:val="auto"/>
          <w:sz w:val="24"/>
        </w:rPr>
      </w:pPr>
      <w:bookmarkStart w:id="52" w:name="_Toc423723408"/>
      <w:r>
        <w:rPr>
          <w:rFonts w:ascii="黑体" w:hAnsi="黑体" w:eastAsia="黑体"/>
          <w:b/>
          <w:color w:val="auto"/>
          <w:sz w:val="24"/>
        </w:rPr>
        <w:t xml:space="preserve">3.7 </w:t>
      </w:r>
      <w:r>
        <w:rPr>
          <w:rFonts w:hint="eastAsia" w:ascii="黑体" w:hAnsi="黑体" w:eastAsia="黑体"/>
          <w:b/>
          <w:color w:val="auto"/>
          <w:sz w:val="24"/>
        </w:rPr>
        <w:t>评审结果</w:t>
      </w:r>
      <w:bookmarkEnd w:id="52"/>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 xml:space="preserve">3.7 .1 </w:t>
      </w:r>
      <w:r>
        <w:rPr>
          <w:rFonts w:hint="eastAsia" w:ascii="宋体" w:hAnsi="宋体"/>
          <w:color w:val="auto"/>
          <w:sz w:val="24"/>
        </w:rPr>
        <w:t>磋商小组从质量和服务均能满足磋商文件实质性响应要求的投标人中，按照</w:t>
      </w:r>
      <w:r>
        <w:rPr>
          <w:rFonts w:hint="eastAsia" w:ascii="宋体" w:hAnsi="宋体"/>
          <w:color w:val="auto"/>
          <w:sz w:val="24"/>
          <w:lang w:eastAsia="zh-CN"/>
        </w:rPr>
        <w:t>最后得分</w:t>
      </w:r>
      <w:r>
        <w:rPr>
          <w:rFonts w:hint="eastAsia" w:ascii="宋体" w:hAnsi="宋体"/>
          <w:color w:val="auto"/>
          <w:sz w:val="24"/>
        </w:rPr>
        <w:t>（扣除经评审合格的“价格扣除”，见本章第</w:t>
      </w:r>
      <w:r>
        <w:rPr>
          <w:rFonts w:ascii="宋体" w:hAnsi="宋体"/>
          <w:color w:val="auto"/>
          <w:sz w:val="24"/>
        </w:rPr>
        <w:t>4</w:t>
      </w:r>
      <w:r>
        <w:rPr>
          <w:rFonts w:hint="eastAsia" w:ascii="宋体" w:hAnsi="宋体"/>
          <w:color w:val="auto"/>
          <w:sz w:val="24"/>
        </w:rPr>
        <w:t>条）由高到低的顺序提出</w:t>
      </w:r>
      <w:r>
        <w:rPr>
          <w:rFonts w:ascii="宋体" w:hAnsi="宋体"/>
          <w:color w:val="auto"/>
          <w:sz w:val="24"/>
        </w:rPr>
        <w:t>3</w:t>
      </w:r>
      <w:r>
        <w:rPr>
          <w:rFonts w:hint="eastAsia" w:ascii="宋体" w:hAnsi="宋体"/>
          <w:color w:val="auto"/>
          <w:sz w:val="24"/>
        </w:rPr>
        <w:t>名成交候选人，并编写书面评审报告。</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3.7.2 </w:t>
      </w:r>
      <w:r>
        <w:rPr>
          <w:rFonts w:hint="eastAsia" w:ascii="宋体" w:hAnsi="宋体"/>
          <w:color w:val="auto"/>
          <w:sz w:val="24"/>
        </w:rPr>
        <w:t>确定成交供应商：按第三章“投标人须知前”</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磋商终止</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3.8.1 </w:t>
      </w:r>
      <w:r>
        <w:rPr>
          <w:rFonts w:hint="eastAsia" w:ascii="宋体" w:hAnsi="宋体"/>
          <w:color w:val="auto"/>
          <w:sz w:val="24"/>
        </w:rPr>
        <w:t>出现下列情形之一的，终止竞争性磋商活动：</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）因情况变化，不再符合规定的竞争性磋商方式适用情形的；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）在采购过程中符合竞争要求的供应商或者报价未超过采购预算的供应商不足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color w:val="auto"/>
          <w:sz w:val="24"/>
        </w:rPr>
        <w:t>.</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3.8.2 </w:t>
      </w:r>
      <w:r>
        <w:rPr>
          <w:rFonts w:hint="eastAsia" w:ascii="宋体" w:hAnsi="宋体"/>
          <w:color w:val="auto"/>
          <w:sz w:val="24"/>
        </w:rPr>
        <w:t>磋商小组要在采购项目（标段）磋商失败时，出具磋商文件是否存在不合理条款的论证意见，要协助采购人、采购代理机构、财政部门答复质疑或处理投诉事项。　</w:t>
      </w:r>
    </w:p>
    <w:p>
      <w:pPr>
        <w:autoSpaceDE w:val="0"/>
        <w:autoSpaceDN w:val="0"/>
        <w:adjustRightInd w:val="0"/>
        <w:snapToGrid w:val="0"/>
        <w:spacing w:line="380" w:lineRule="exact"/>
        <w:ind w:firstLine="566" w:firstLineChars="236"/>
        <w:jc w:val="left"/>
        <w:rPr>
          <w:rFonts w:ascii="宋体"/>
          <w:color w:val="auto"/>
          <w:sz w:val="24"/>
        </w:rPr>
      </w:pPr>
    </w:p>
    <w:p>
      <w:pPr>
        <w:widowControl w:val="0"/>
        <w:adjustRightInd w:val="0"/>
        <w:snapToGrid w:val="0"/>
        <w:spacing w:line="380" w:lineRule="exact"/>
        <w:ind w:firstLine="556"/>
        <w:jc w:val="left"/>
        <w:outlineLvl w:val="1"/>
        <w:rPr>
          <w:rFonts w:ascii="黑体" w:hAnsi="黑体" w:eastAsia="黑体" w:cs="楷体_GB2312"/>
          <w:b/>
          <w:bCs/>
          <w:color w:val="auto"/>
          <w:sz w:val="28"/>
          <w:szCs w:val="28"/>
          <w:highlight w:val="none"/>
          <w:lang w:val="zh-CN"/>
        </w:rPr>
      </w:pPr>
      <w:bookmarkStart w:id="53" w:name="_Toc26366104"/>
      <w:bookmarkStart w:id="54" w:name="_Toc12559"/>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53"/>
      <w:bookmarkEnd w:id="54"/>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lang w:val="en-US" w:eastAsia="zh-CN"/>
        </w:rPr>
        <w:t>本次政府采购项目专门面向中小企业，专门面向中小企业的采购项目无价格扣除</w:t>
      </w:r>
      <w:r>
        <w:rPr>
          <w:rFonts w:hint="eastAsia" w:ascii="宋体" w:hAnsi="宋体"/>
          <w:color w:val="auto"/>
          <w:sz w:val="24"/>
          <w:szCs w:val="24"/>
          <w:highlight w:val="none"/>
        </w:rPr>
        <w:t>。</w:t>
      </w:r>
    </w:p>
    <w:p>
      <w:pPr>
        <w:adjustRightInd w:val="0"/>
        <w:snapToGrid w:val="0"/>
        <w:spacing w:line="380" w:lineRule="exact"/>
        <w:ind w:firstLine="480" w:firstLineChars="200"/>
        <w:rPr>
          <w:rFonts w:asci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本次政府采购项目对小型和微型企业产品价格扣除的对象应当同时符合以下条件：</w:t>
      </w:r>
    </w:p>
    <w:p>
      <w:pPr>
        <w:adjustRightInd w:val="0"/>
        <w:snapToGrid w:val="0"/>
        <w:spacing w:line="380" w:lineRule="exact"/>
        <w:ind w:firstLine="600" w:firstLineChars="25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）投标人为小型和微型企业；</w:t>
      </w:r>
    </w:p>
    <w:p>
      <w:pPr>
        <w:adjustRightInd w:val="0"/>
        <w:snapToGrid w:val="0"/>
        <w:spacing w:line="380" w:lineRule="exact"/>
        <w:ind w:firstLine="6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）提供本企业制造的货物、承担的工程或者服务，或者提供其他小型和微型企业制造的货物。本项所称货物不包括使用大型企业注册商标的货物。</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ascii="宋体" w:hAnsi="宋体"/>
          <w:color w:val="auto"/>
          <w:sz w:val="24"/>
          <w:szCs w:val="24"/>
          <w:highlight w:val="none"/>
        </w:rPr>
        <w:t>4.3</w:t>
      </w:r>
      <w:r>
        <w:rPr>
          <w:rFonts w:hint="eastAsia" w:ascii="宋体" w:hAnsi="宋体"/>
          <w:color w:val="auto"/>
          <w:sz w:val="24"/>
          <w:szCs w:val="24"/>
          <w:highlight w:val="none"/>
        </w:rPr>
        <w:t>本次政府采购项目对小型和微型企业产品的价格扣除的界定依据（未按要求提供相关资料的，不享受价格扣除扶持政策）：</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）参加本次政府采购活动的中小企业应按附件格式提供《中小企业声明函》；</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）提供其他小型和微型企业制造的货物的投标人，应同时提供产品制造企业《中小企业声明函》复印件（加盖投标人公章）</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注：产品制造企业《中小企业声明函》自开出之日起至投标截止日应在</w:t>
      </w:r>
      <w:r>
        <w:rPr>
          <w:rFonts w:ascii="宋体" w:hAnsi="宋体"/>
          <w:color w:val="auto"/>
          <w:sz w:val="24"/>
          <w:szCs w:val="24"/>
          <w:highlight w:val="none"/>
        </w:rPr>
        <w:t>1</w:t>
      </w:r>
      <w:r>
        <w:rPr>
          <w:rFonts w:hint="eastAsia" w:ascii="宋体" w:hAnsi="宋体"/>
          <w:color w:val="auto"/>
          <w:sz w:val="24"/>
          <w:szCs w:val="24"/>
          <w:highlight w:val="none"/>
        </w:rPr>
        <w:t>年内，超出期限的将不被认可。投标截止日产品制造企业规模发生变化的，应如实陈述，否则将视为提供虚假材料。</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）联合体各方均为小型、微型企业的，联合体视同为小型、微型企业，享受本次政府采购项目的扶持政策。联合体各方均应按附件格式提供《中小企业声明函》。</w:t>
      </w:r>
    </w:p>
    <w:p>
      <w:pPr>
        <w:widowControl w:val="0"/>
        <w:adjustRightInd w:val="0"/>
        <w:snapToGrid w:val="0"/>
        <w:spacing w:line="380" w:lineRule="exact"/>
        <w:ind w:firstLine="55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）投标人对申报的小型和微型企业产品的价格扣除事项在报价表如实认真填列。</w:t>
      </w:r>
    </w:p>
    <w:p>
      <w:pPr>
        <w:widowControl w:val="0"/>
        <w:adjustRightInd w:val="0"/>
        <w:snapToGrid w:val="0"/>
        <w:spacing w:line="380" w:lineRule="exact"/>
        <w:ind w:firstLine="510"/>
        <w:rPr>
          <w:rFonts w:ascii="宋体"/>
          <w:color w:val="auto"/>
          <w:sz w:val="24"/>
          <w:szCs w:val="24"/>
          <w:highlight w:val="none"/>
        </w:rPr>
      </w:pPr>
      <w:r>
        <w:rPr>
          <w:rFonts w:ascii="宋体" w:hAnsi="宋体"/>
          <w:color w:val="auto"/>
          <w:sz w:val="24"/>
          <w:szCs w:val="24"/>
          <w:highlight w:val="none"/>
        </w:rPr>
        <w:t xml:space="preserve">4.4 </w:t>
      </w:r>
      <w:r>
        <w:rPr>
          <w:rFonts w:hint="eastAsia" w:ascii="宋体" w:hAnsi="宋体"/>
          <w:color w:val="auto"/>
          <w:sz w:val="24"/>
          <w:szCs w:val="24"/>
          <w:highlight w:val="none"/>
        </w:rPr>
        <w:t>磋商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olor w:val="auto"/>
          <w:sz w:val="24"/>
          <w:szCs w:val="24"/>
          <w:highlight w:val="none"/>
        </w:rPr>
        <w:t>30%</w:t>
      </w:r>
      <w:r>
        <w:rPr>
          <w:rFonts w:hint="eastAsia" w:ascii="宋体" w:hAnsi="宋体"/>
          <w:color w:val="auto"/>
          <w:sz w:val="24"/>
          <w:szCs w:val="24"/>
          <w:highlight w:val="none"/>
        </w:rPr>
        <w:t>以上的，给予联合体</w:t>
      </w:r>
      <w:r>
        <w:rPr>
          <w:rFonts w:ascii="宋体" w:hAnsi="宋体"/>
          <w:color w:val="auto"/>
          <w:sz w:val="24"/>
          <w:szCs w:val="24"/>
          <w:highlight w:val="none"/>
        </w:rPr>
        <w:t>2%</w:t>
      </w:r>
      <w:r>
        <w:rPr>
          <w:rFonts w:hint="eastAsia" w:ascii="宋体" w:hAnsi="宋体"/>
          <w:color w:val="auto"/>
          <w:sz w:val="24"/>
          <w:szCs w:val="24"/>
          <w:highlight w:val="none"/>
        </w:rPr>
        <w:t>的价格扣除。</w:t>
      </w:r>
    </w:p>
    <w:p>
      <w:pPr>
        <w:widowControl w:val="0"/>
        <w:adjustRightInd w:val="0"/>
        <w:snapToGrid w:val="0"/>
        <w:spacing w:line="380" w:lineRule="exact"/>
        <w:ind w:firstLine="555"/>
        <w:rPr>
          <w:rFonts w:ascii="宋体" w:cs="宋体"/>
          <w:color w:val="auto"/>
          <w:sz w:val="24"/>
          <w:szCs w:val="24"/>
          <w:highlight w:val="none"/>
        </w:rPr>
      </w:pPr>
      <w:r>
        <w:rPr>
          <w:rFonts w:ascii="宋体" w:hAnsi="宋体"/>
          <w:color w:val="auto"/>
          <w:sz w:val="24"/>
          <w:szCs w:val="24"/>
          <w:highlight w:val="none"/>
        </w:rPr>
        <w:t>4.5</w:t>
      </w:r>
      <w:r>
        <w:rPr>
          <w:rFonts w:hint="eastAsia" w:ascii="宋体" w:hAnsi="宋体"/>
          <w:color w:val="auto"/>
          <w:sz w:val="24"/>
          <w:szCs w:val="24"/>
          <w:highlight w:val="none"/>
        </w:rPr>
        <w:t>监狱企业、</w:t>
      </w:r>
      <w:r>
        <w:rPr>
          <w:rFonts w:hint="eastAsia" w:ascii="宋体" w:hAnsi="宋体" w:cs="宋体"/>
          <w:color w:val="auto"/>
          <w:sz w:val="24"/>
          <w:szCs w:val="24"/>
          <w:highlight w:val="none"/>
        </w:rPr>
        <w:t>符合法定条件的残疾人福利性单位</w:t>
      </w:r>
      <w:r>
        <w:rPr>
          <w:rFonts w:hint="eastAsia" w:ascii="宋体" w:hAnsi="宋体"/>
          <w:color w:val="auto"/>
          <w:sz w:val="24"/>
          <w:szCs w:val="24"/>
          <w:highlight w:val="none"/>
        </w:rPr>
        <w:t>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color w:val="auto"/>
          <w:sz w:val="24"/>
          <w:szCs w:val="24"/>
          <w:highlight w:val="none"/>
        </w:rPr>
        <w:t>符合法定条件的残疾人福利性单位提供财库〔</w:t>
      </w:r>
      <w:r>
        <w:rPr>
          <w:rFonts w:ascii="宋体" w:hAnsi="宋体" w:cs="宋体"/>
          <w:color w:val="auto"/>
          <w:sz w:val="24"/>
          <w:szCs w:val="24"/>
          <w:highlight w:val="none"/>
        </w:rPr>
        <w:t>2017</w:t>
      </w:r>
      <w:r>
        <w:rPr>
          <w:rFonts w:hint="eastAsia" w:ascii="宋体" w:hAnsi="宋体" w:cs="宋体"/>
          <w:color w:val="auto"/>
          <w:sz w:val="24"/>
          <w:szCs w:val="24"/>
          <w:highlight w:val="none"/>
        </w:rPr>
        <w:t>〕</w:t>
      </w:r>
      <w:r>
        <w:rPr>
          <w:rFonts w:ascii="宋体" w:hAnsi="宋体" w:cs="宋体"/>
          <w:color w:val="auto"/>
          <w:sz w:val="24"/>
          <w:szCs w:val="24"/>
          <w:highlight w:val="none"/>
        </w:rPr>
        <w:t>141</w:t>
      </w:r>
      <w:r>
        <w:rPr>
          <w:rFonts w:hint="eastAsia" w:ascii="宋体" w:hAnsi="宋体" w:cs="宋体"/>
          <w:color w:val="auto"/>
          <w:sz w:val="24"/>
          <w:szCs w:val="24"/>
          <w:highlight w:val="none"/>
        </w:rPr>
        <w:t>号规定的《残疾人福利性单位声明函》，残疾人福利性单位属于小型、微型企业的，不重复享受政策。</w:t>
      </w:r>
    </w:p>
    <w:p>
      <w:pPr>
        <w:widowControl w:val="0"/>
        <w:adjustRightInd w:val="0"/>
        <w:snapToGrid w:val="0"/>
        <w:spacing w:line="380" w:lineRule="exact"/>
        <w:ind w:firstLine="555"/>
        <w:rPr>
          <w:rFonts w:ascii="宋体" w:cs="宋体"/>
          <w:color w:val="auto"/>
          <w:sz w:val="24"/>
          <w:szCs w:val="24"/>
          <w:highlight w:val="none"/>
        </w:rPr>
      </w:pPr>
      <w:r>
        <w:rPr>
          <w:rFonts w:ascii="宋体" w:hAnsi="宋体"/>
          <w:color w:val="auto"/>
          <w:sz w:val="24"/>
          <w:szCs w:val="24"/>
          <w:highlight w:val="none"/>
        </w:rPr>
        <w:t>4.5.1</w:t>
      </w:r>
      <w:r>
        <w:rPr>
          <w:rFonts w:hint="eastAsia" w:ascii="宋体" w:hAnsi="宋体" w:cs="宋体"/>
          <w:color w:val="auto"/>
          <w:sz w:val="24"/>
          <w:szCs w:val="24"/>
          <w:highlight w:val="none"/>
        </w:rPr>
        <w:t>享受政府采购支持政策的残疾人福利性单位应当同时满足以下条件：</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）安置的残疾人占本单位在职职工人数的比例不低于</w:t>
      </w:r>
      <w:r>
        <w:rPr>
          <w:rFonts w:ascii="宋体" w:hAnsi="宋体" w:cs="宋体"/>
          <w:color w:val="auto"/>
          <w:sz w:val="24"/>
          <w:szCs w:val="24"/>
          <w:highlight w:val="none"/>
        </w:rPr>
        <w:t>25%</w:t>
      </w:r>
      <w:r>
        <w:rPr>
          <w:rFonts w:hint="eastAsia" w:ascii="宋体" w:hAnsi="宋体" w:cs="宋体"/>
          <w:color w:val="auto"/>
          <w:sz w:val="24"/>
          <w:szCs w:val="24"/>
          <w:highlight w:val="none"/>
        </w:rPr>
        <w:t>（含</w:t>
      </w:r>
      <w:r>
        <w:rPr>
          <w:rFonts w:ascii="宋体" w:hAnsi="宋体" w:cs="宋体"/>
          <w:color w:val="auto"/>
          <w:sz w:val="24"/>
          <w:szCs w:val="24"/>
          <w:highlight w:val="none"/>
        </w:rPr>
        <w:t>25%</w:t>
      </w:r>
      <w:r>
        <w:rPr>
          <w:rFonts w:hint="eastAsia" w:ascii="宋体" w:hAnsi="宋体" w:cs="宋体"/>
          <w:color w:val="auto"/>
          <w:sz w:val="24"/>
          <w:szCs w:val="24"/>
          <w:highlight w:val="none"/>
        </w:rPr>
        <w:t>），并且安置的残疾人人数不少于</w:t>
      </w:r>
      <w:r>
        <w:rPr>
          <w:rFonts w:ascii="宋体" w:hAnsi="宋体" w:cs="宋体"/>
          <w:color w:val="auto"/>
          <w:sz w:val="24"/>
          <w:szCs w:val="24"/>
          <w:highlight w:val="none"/>
        </w:rPr>
        <w:t>10</w:t>
      </w:r>
      <w:r>
        <w:rPr>
          <w:rFonts w:hint="eastAsia" w:ascii="宋体" w:hAnsi="宋体" w:cs="宋体"/>
          <w:color w:val="auto"/>
          <w:sz w:val="24"/>
          <w:szCs w:val="24"/>
          <w:highlight w:val="none"/>
        </w:rPr>
        <w:t>人（含</w:t>
      </w:r>
      <w:r>
        <w:rPr>
          <w:rFonts w:ascii="宋体" w:hAnsi="宋体" w:cs="宋体"/>
          <w:color w:val="auto"/>
          <w:sz w:val="24"/>
          <w:szCs w:val="24"/>
          <w:highlight w:val="none"/>
        </w:rPr>
        <w:t>10</w:t>
      </w:r>
      <w:r>
        <w:rPr>
          <w:rFonts w:hint="eastAsia" w:ascii="宋体" w:hAnsi="宋体" w:cs="宋体"/>
          <w:color w:val="auto"/>
          <w:sz w:val="24"/>
          <w:szCs w:val="24"/>
          <w:highlight w:val="none"/>
        </w:rPr>
        <w:t>人）；</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）依法与安置的每位残疾人签订了一年以上（含一年）的劳动合同或服务协议；</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）为安置的每位残疾人按月足额缴纳了基本养老保险、基本医疗保险、失业保险、工伤保险和生育保险等社会保险费；</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）通过银行等金融机构向安置的每位残疾人，按月支付了不低于单位所在区县适用的经省级人民政府批准的月最低工资标准的工资；</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）提供本单位制造的货物、承担的工程或者服务（以下简称产品），或者提供其他残疾人福利性单位制造的货物（不包括使用非残疾人福利性单位注册商标的货物）。</w:t>
      </w:r>
    </w:p>
    <w:p>
      <w:pPr>
        <w:widowControl w:val="0"/>
        <w:adjustRightInd w:val="0"/>
        <w:snapToGrid w:val="0"/>
        <w:spacing w:line="380" w:lineRule="exact"/>
        <w:ind w:firstLine="555"/>
        <w:rPr>
          <w:rFonts w:hint="eastAsia"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8</w:t>
      </w:r>
      <w:r>
        <w:rPr>
          <w:rFonts w:hint="eastAsia" w:ascii="宋体" w:hAnsi="宋体" w:cs="宋体"/>
          <w:color w:val="auto"/>
          <w:sz w:val="24"/>
          <w:szCs w:val="24"/>
          <w:highlight w:val="none"/>
        </w:rPr>
        <w:t>级）》的自然人，包括具有劳动条件和劳动意愿的精神残疾人。在职职工人数是指与残疾人福利性单位建立劳动关系并依法签订劳动合同或者服务协议的雇员人数。</w:t>
      </w:r>
    </w:p>
    <w:p>
      <w:pPr>
        <w:pStyle w:val="2"/>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pStyle w:val="2"/>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4.7中标、成交投标人享受中小企业扶持政策的，中标、成交投标人的《中小企业声明函》将随中标、成交结果公开。</w:t>
      </w:r>
    </w:p>
    <w:p>
      <w:pPr>
        <w:pStyle w:val="2"/>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4.8政府采购监督检查、投诉处理及政府采购行政处罚中对中小企业的认定，由货物制造商或者工程、服务投标人注册登记所在地的县级以上人民政府中小企业主管部门负责。</w:t>
      </w:r>
    </w:p>
    <w:p>
      <w:pPr>
        <w:pStyle w:val="2"/>
        <w:keepNext w:val="0"/>
        <w:keepLines w:val="0"/>
        <w:pageBreakBefore w:val="0"/>
        <w:widowControl/>
        <w:kinsoku/>
        <w:wordWrap/>
        <w:overflowPunct/>
        <w:topLinePunct w:val="0"/>
        <w:autoSpaceDE/>
        <w:autoSpaceDN/>
        <w:bidi w:val="0"/>
        <w:adjustRightInd w:val="0"/>
        <w:snapToGrid w:val="0"/>
        <w:spacing w:after="0" w:line="380" w:lineRule="exact"/>
        <w:ind w:firstLine="480" w:firstLineChars="200"/>
        <w:textAlignment w:val="baseline"/>
        <w:rPr>
          <w:rFonts w:hint="default" w:eastAsia="宋体"/>
          <w:lang w:val="en-US" w:eastAsia="zh-CN"/>
        </w:rPr>
      </w:pPr>
      <w:r>
        <w:rPr>
          <w:rFonts w:hint="eastAsia" w:ascii="宋体" w:hAnsi="宋体" w:cs="宋体"/>
          <w:color w:val="auto"/>
          <w:sz w:val="24"/>
          <w:szCs w:val="24"/>
          <w:highlight w:val="none"/>
          <w:lang w:val="en-US" w:eastAsia="zh-CN"/>
        </w:rPr>
        <w:t>4.9供应商按照财库〔2020〕46号规定及谈判文件要求提供声明函内容不实的，属于提供虚假材料谋取中标、成交，依照《中华人民共和国政府采购法》等国家有关规定追究相应责任。</w:t>
      </w:r>
    </w:p>
    <w:p>
      <w:pPr>
        <w:widowControl w:val="0"/>
        <w:adjustRightInd w:val="0"/>
        <w:snapToGrid w:val="0"/>
        <w:spacing w:line="380" w:lineRule="exact"/>
        <w:ind w:firstLine="555"/>
        <w:rPr>
          <w:color w:val="000000" w:themeColor="text1"/>
          <w:sz w:val="24"/>
          <w:szCs w:val="24"/>
        </w:rPr>
      </w:pPr>
      <w:r>
        <w:rPr>
          <w:rFonts w:hint="eastAsia" w:ascii="宋体" w:hAnsi="宋体"/>
          <w:b/>
          <w:bCs/>
          <w:color w:val="auto"/>
          <w:sz w:val="24"/>
          <w:szCs w:val="24"/>
          <w:highlight w:val="none"/>
        </w:rPr>
        <w:t>本次采购项目中小企业所属行业分类为：</w:t>
      </w:r>
      <w:r>
        <w:rPr>
          <w:rFonts w:hint="eastAsia" w:ascii="宋体" w:hAnsi="宋体"/>
          <w:b/>
          <w:bCs/>
          <w:color w:val="auto"/>
          <w:sz w:val="24"/>
          <w:szCs w:val="24"/>
          <w:highlight w:val="none"/>
          <w:lang w:eastAsia="zh-CN"/>
        </w:rPr>
        <w:t>商务服务业</w:t>
      </w:r>
      <w:r>
        <w:rPr>
          <w:rFonts w:hint="eastAsia" w:ascii="宋体" w:hAnsi="宋体"/>
          <w:b/>
          <w:bCs/>
          <w:color w:val="auto"/>
          <w:sz w:val="24"/>
          <w:szCs w:val="24"/>
          <w:highlight w:val="none"/>
        </w:rPr>
        <w:t>。</w:t>
      </w:r>
      <w:r>
        <w:rPr>
          <w:color w:val="000000" w:themeColor="text1"/>
          <w:sz w:val="24"/>
          <w:szCs w:val="24"/>
        </w:rPr>
        <w:br w:type="page"/>
      </w:r>
    </w:p>
    <w:p>
      <w:pPr>
        <w:jc w:val="center"/>
        <w:rPr>
          <w:b/>
          <w:bCs/>
          <w:sz w:val="44"/>
          <w:szCs w:val="44"/>
        </w:rPr>
      </w:pPr>
      <w:r>
        <w:rPr>
          <w:rFonts w:hint="eastAsia"/>
          <w:b/>
          <w:bCs/>
          <w:sz w:val="44"/>
          <w:szCs w:val="44"/>
        </w:rPr>
        <w:t>第五章  合同条款及格式</w:t>
      </w:r>
    </w:p>
    <w:p>
      <w:pPr>
        <w:jc w:val="center"/>
      </w:pPr>
      <w:bookmarkStart w:id="55" w:name="_Toc26366105"/>
      <w:bookmarkStart w:id="56" w:name="_Toc16321"/>
      <w:r>
        <w:rPr>
          <w:rFonts w:ascii="黑体" w:hAnsi="宋体" w:eastAsia="黑体" w:cs="黑体"/>
          <w:b/>
          <w:bCs/>
          <w:sz w:val="30"/>
          <w:szCs w:val="30"/>
        </w:rPr>
        <w:t>服 务 合 同</w:t>
      </w:r>
    </w:p>
    <w:p>
      <w:pPr>
        <w:jc w:val="center"/>
      </w:pPr>
      <w:r>
        <w:rPr>
          <w:rFonts w:ascii="TimesNewRomanPS-BoldMT" w:hAnsi="TimesNewRomanPS-BoldMT" w:eastAsia="TimesNewRomanPS-BoldMT" w:cs="TimesNewRomanPS-BoldMT"/>
          <w:b/>
          <w:bCs/>
          <w:sz w:val="30"/>
          <w:szCs w:val="30"/>
        </w:rPr>
        <w:t>(</w:t>
      </w:r>
      <w:r>
        <w:rPr>
          <w:rFonts w:hint="eastAsia" w:ascii="黑体" w:hAnsi="宋体" w:eastAsia="黑体" w:cs="黑体"/>
          <w:b/>
          <w:bCs/>
          <w:sz w:val="30"/>
          <w:szCs w:val="30"/>
        </w:rPr>
        <w:t>仅供参考，具体以实际签订为准</w:t>
      </w:r>
      <w:r>
        <w:rPr>
          <w:rFonts w:ascii="TimesNewRomanPS-BoldMT" w:hAnsi="TimesNewRomanPS-BoldMT" w:eastAsia="TimesNewRomanPS-BoldMT" w:cs="TimesNewRomanPS-BoldMT"/>
          <w:b/>
          <w:bCs/>
          <w:sz w:val="30"/>
          <w:szCs w:val="30"/>
        </w:rPr>
        <w:t>)</w:t>
      </w:r>
    </w:p>
    <w:p>
      <w:pPr>
        <w:ind w:firstLine="480" w:firstLineChars="200"/>
        <w:jc w:val="left"/>
      </w:pPr>
      <w:r>
        <w:rPr>
          <w:rFonts w:hint="eastAsia" w:ascii="宋体" w:hAnsi="宋体" w:cs="宋体"/>
          <w:sz w:val="24"/>
          <w:szCs w:val="24"/>
        </w:rPr>
        <w:t xml:space="preserve">甲方：（采购人） </w:t>
      </w:r>
    </w:p>
    <w:p>
      <w:pPr>
        <w:ind w:firstLine="480" w:firstLineChars="200"/>
        <w:jc w:val="left"/>
      </w:pPr>
      <w:r>
        <w:rPr>
          <w:rFonts w:hint="eastAsia" w:ascii="宋体" w:hAnsi="宋体" w:cs="宋体"/>
          <w:sz w:val="24"/>
          <w:szCs w:val="24"/>
        </w:rPr>
        <w:t xml:space="preserve">乙方：（供应商） </w:t>
      </w:r>
    </w:p>
    <w:p>
      <w:pPr>
        <w:ind w:firstLine="480" w:firstLineChars="200"/>
        <w:jc w:val="left"/>
      </w:pPr>
      <w:r>
        <w:rPr>
          <w:rFonts w:hint="eastAsia" w:ascii="宋体" w:hAnsi="宋体" w:cs="宋体"/>
          <w:sz w:val="24"/>
          <w:szCs w:val="24"/>
        </w:rPr>
        <w:t xml:space="preserve">甲、乙双方持代理公司2023年 月 日签发的（采购人及项目名称）〔项目编号： 〕成交通知书，根据采购文件及其修改补充澄清、投标文件及其修改补充澄清的内容，经双方平等协商一致，达成以下合同条款 ： </w:t>
      </w:r>
    </w:p>
    <w:p>
      <w:pPr>
        <w:ind w:firstLine="480" w:firstLineChars="200"/>
        <w:jc w:val="left"/>
        <w:rPr>
          <w:rFonts w:ascii="宋体" w:hAnsi="宋体" w:cs="宋体"/>
          <w:sz w:val="24"/>
          <w:szCs w:val="24"/>
        </w:rPr>
      </w:pPr>
      <w:r>
        <w:rPr>
          <w:rFonts w:hint="eastAsia" w:ascii="宋体" w:hAnsi="宋体" w:cs="宋体"/>
          <w:sz w:val="24"/>
          <w:szCs w:val="24"/>
        </w:rPr>
        <w:t xml:space="preserve">一、本合同所指服务为此次竞争性磋商的服务，包括（详细注明内容），合同 </w:t>
      </w:r>
    </w:p>
    <w:p>
      <w:pPr>
        <w:ind w:firstLine="480" w:firstLineChars="200"/>
        <w:jc w:val="left"/>
        <w:rPr>
          <w:rFonts w:ascii="宋体" w:hAnsi="宋体" w:cs="宋体"/>
          <w:sz w:val="24"/>
          <w:szCs w:val="24"/>
        </w:rPr>
      </w:pPr>
      <w:r>
        <w:rPr>
          <w:rFonts w:hint="eastAsia" w:ascii="宋体" w:hAnsi="宋体" w:cs="宋体"/>
          <w:sz w:val="24"/>
          <w:szCs w:val="24"/>
        </w:rPr>
        <w:t xml:space="preserve">总价款为元（大写： ）。 </w:t>
      </w:r>
    </w:p>
    <w:p>
      <w:pPr>
        <w:ind w:firstLine="480" w:firstLineChars="200"/>
        <w:jc w:val="left"/>
        <w:rPr>
          <w:rFonts w:ascii="宋体" w:hAnsi="宋体" w:cs="宋体"/>
          <w:sz w:val="24"/>
          <w:szCs w:val="24"/>
        </w:rPr>
      </w:pPr>
      <w:r>
        <w:rPr>
          <w:rFonts w:hint="eastAsia" w:ascii="宋体" w:hAnsi="宋体" w:cs="宋体"/>
          <w:sz w:val="24"/>
          <w:szCs w:val="24"/>
        </w:rPr>
        <w:t>本合同为固定总价合同，不因人工、费用、材料和设备等价格的波动而影响合同价格。</w:t>
      </w:r>
    </w:p>
    <w:p>
      <w:pPr>
        <w:ind w:firstLine="480" w:firstLineChars="200"/>
        <w:jc w:val="left"/>
        <w:rPr>
          <w:rFonts w:ascii="宋体" w:hAnsi="宋体" w:cs="宋体"/>
          <w:sz w:val="24"/>
          <w:szCs w:val="24"/>
        </w:rPr>
      </w:pPr>
      <w:r>
        <w:rPr>
          <w:rFonts w:hint="eastAsia" w:ascii="宋体" w:hAnsi="宋体" w:cs="宋体"/>
          <w:sz w:val="24"/>
          <w:szCs w:val="24"/>
        </w:rPr>
        <w:t xml:space="preserve">二、服务质量要求及乙方对质量负责条件和期限： </w:t>
      </w:r>
    </w:p>
    <w:p>
      <w:pPr>
        <w:ind w:firstLine="480" w:firstLineChars="200"/>
        <w:jc w:val="left"/>
        <w:rPr>
          <w:rFonts w:ascii="宋体" w:hAnsi="宋体" w:cs="宋体"/>
          <w:sz w:val="24"/>
          <w:szCs w:val="24"/>
        </w:rPr>
      </w:pPr>
      <w:r>
        <w:rPr>
          <w:rFonts w:hint="eastAsia" w:ascii="宋体" w:hAnsi="宋体" w:cs="宋体"/>
          <w:sz w:val="24"/>
          <w:szCs w:val="24"/>
        </w:rPr>
        <w:t xml:space="preserve">按国家及行业标准、采购文件及响应文件等相应条款制订 </w:t>
      </w:r>
    </w:p>
    <w:p>
      <w:pPr>
        <w:ind w:firstLine="480" w:firstLineChars="200"/>
        <w:jc w:val="left"/>
        <w:rPr>
          <w:rFonts w:ascii="宋体" w:hAnsi="宋体" w:cs="宋体"/>
          <w:sz w:val="24"/>
          <w:szCs w:val="24"/>
        </w:rPr>
      </w:pPr>
      <w:r>
        <w:rPr>
          <w:rFonts w:hint="eastAsia" w:ascii="宋体" w:hAnsi="宋体" w:cs="宋体"/>
          <w:sz w:val="24"/>
          <w:szCs w:val="24"/>
        </w:rPr>
        <w:t xml:space="preserve">三、服务时间、地点、方式： </w:t>
      </w:r>
    </w:p>
    <w:p>
      <w:pPr>
        <w:ind w:firstLine="480" w:firstLineChars="200"/>
        <w:jc w:val="left"/>
        <w:rPr>
          <w:rFonts w:ascii="宋体" w:hAnsi="宋体" w:cs="宋体"/>
          <w:sz w:val="24"/>
          <w:szCs w:val="24"/>
        </w:rPr>
      </w:pPr>
      <w:r>
        <w:rPr>
          <w:rFonts w:hint="eastAsia" w:ascii="宋体" w:hAnsi="宋体" w:cs="宋体"/>
          <w:sz w:val="24"/>
          <w:szCs w:val="24"/>
        </w:rPr>
        <w:t xml:space="preserve">按国家及行业标准、采购文件及响应文件等相应条款制订 </w:t>
      </w:r>
    </w:p>
    <w:p>
      <w:pPr>
        <w:ind w:firstLine="480" w:firstLineChars="200"/>
        <w:jc w:val="left"/>
        <w:rPr>
          <w:rFonts w:ascii="宋体" w:hAnsi="宋体" w:cs="宋体"/>
          <w:sz w:val="24"/>
          <w:szCs w:val="24"/>
        </w:rPr>
      </w:pPr>
      <w:r>
        <w:rPr>
          <w:rFonts w:hint="eastAsia" w:ascii="宋体" w:hAnsi="宋体" w:cs="宋体"/>
          <w:sz w:val="24"/>
          <w:szCs w:val="24"/>
        </w:rPr>
        <w:t xml:space="preserve">四、验收程序和要求 </w:t>
      </w:r>
    </w:p>
    <w:p>
      <w:pPr>
        <w:ind w:firstLine="480" w:firstLineChars="200"/>
        <w:jc w:val="left"/>
        <w:rPr>
          <w:rFonts w:ascii="宋体" w:hAnsi="宋体" w:cs="宋体"/>
          <w:sz w:val="24"/>
          <w:szCs w:val="24"/>
        </w:rPr>
      </w:pPr>
      <w:r>
        <w:rPr>
          <w:rFonts w:hint="eastAsia" w:ascii="宋体" w:hAnsi="宋体" w:cs="宋体"/>
          <w:sz w:val="24"/>
          <w:szCs w:val="24"/>
        </w:rPr>
        <w:t xml:space="preserve">1、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 </w:t>
      </w:r>
    </w:p>
    <w:p>
      <w:pPr>
        <w:ind w:firstLine="480" w:firstLineChars="200"/>
        <w:jc w:val="left"/>
        <w:rPr>
          <w:rFonts w:ascii="宋体" w:hAnsi="宋体" w:cs="宋体"/>
          <w:sz w:val="24"/>
          <w:szCs w:val="24"/>
        </w:rPr>
      </w:pPr>
      <w:r>
        <w:rPr>
          <w:rFonts w:hint="eastAsia" w:ascii="宋体" w:hAnsi="宋体" w:cs="宋体"/>
          <w:sz w:val="24"/>
          <w:szCs w:val="24"/>
        </w:rPr>
        <w:t xml:space="preserve">2、验收工作组：合同履约验收工作应成立验收工作组专门负责。 </w:t>
      </w:r>
    </w:p>
    <w:p>
      <w:pPr>
        <w:ind w:firstLine="480" w:firstLineChars="200"/>
        <w:jc w:val="left"/>
        <w:rPr>
          <w:rFonts w:ascii="宋体" w:hAnsi="宋体" w:cs="宋体"/>
          <w:sz w:val="24"/>
          <w:szCs w:val="24"/>
        </w:rPr>
      </w:pPr>
      <w:r>
        <w:rPr>
          <w:rFonts w:hint="eastAsia" w:ascii="宋体" w:hAnsi="宋体" w:cs="宋体"/>
          <w:sz w:val="24"/>
          <w:szCs w:val="24"/>
        </w:rPr>
        <w:t xml:space="preserve">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 </w:t>
      </w:r>
    </w:p>
    <w:p>
      <w:pPr>
        <w:ind w:firstLine="480" w:firstLineChars="200"/>
        <w:jc w:val="left"/>
        <w:rPr>
          <w:rFonts w:ascii="宋体" w:hAnsi="宋体" w:cs="宋体"/>
          <w:sz w:val="24"/>
          <w:szCs w:val="24"/>
        </w:rPr>
      </w:pPr>
      <w:r>
        <w:rPr>
          <w:rFonts w:hint="eastAsia" w:ascii="宋体" w:hAnsi="宋体" w:cs="宋体"/>
          <w:sz w:val="24"/>
          <w:szCs w:val="24"/>
        </w:rPr>
        <w:t>2.1、政府采购合同金额在 10 万元以下（含 10 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pPr>
        <w:ind w:firstLine="480" w:firstLineChars="200"/>
        <w:jc w:val="left"/>
        <w:rPr>
          <w:rFonts w:ascii="宋体" w:hAnsi="宋体" w:cs="宋体"/>
          <w:sz w:val="24"/>
          <w:szCs w:val="24"/>
        </w:rPr>
      </w:pPr>
      <w:r>
        <w:rPr>
          <w:rFonts w:hint="eastAsia" w:ascii="宋体" w:hAnsi="宋体" w:cs="宋体"/>
          <w:sz w:val="24"/>
          <w:szCs w:val="24"/>
        </w:rPr>
        <w:t xml:space="preserve"> 2.2、政府采购合同金额 50 万元以下的（含 50 万元）的项目，验收工作组应不少于三人；政府采购合同金额 50 万元以上的项目，验收工作组应由采购人领导牵头，财务、审计、监察、资产管理、技术等部门人员参与，成员不少于五人。验收工作原则上应当邀请采购项目评审专家参加验收；大型、复杂或者技术性很强的政府采购项目，应当邀请国家认可的质量检测机构参加验收工作；国家规定强制性检测的采购项目，采购人必须委托国家认可专业检测机构进行验收。 </w:t>
      </w:r>
    </w:p>
    <w:p>
      <w:pPr>
        <w:ind w:firstLine="480" w:firstLineChars="200"/>
        <w:jc w:val="left"/>
        <w:rPr>
          <w:rFonts w:ascii="宋体" w:hAnsi="宋体" w:cs="宋体"/>
          <w:sz w:val="24"/>
          <w:szCs w:val="24"/>
        </w:rPr>
      </w:pPr>
      <w:r>
        <w:rPr>
          <w:rFonts w:hint="eastAsia" w:ascii="宋体" w:hAnsi="宋体" w:cs="宋体"/>
          <w:sz w:val="24"/>
          <w:szCs w:val="24"/>
        </w:rPr>
        <w:t xml:space="preserve">3、验收时，验收小组按照采购合同的约定对每一项技术、服务、安全标准的履约情况进行确认。验收时需要进行破坏性试验的，供应商应进行充分的配合并提供备品备件。 </w:t>
      </w:r>
    </w:p>
    <w:p>
      <w:pPr>
        <w:ind w:firstLine="480" w:firstLineChars="200"/>
        <w:jc w:val="left"/>
        <w:rPr>
          <w:rFonts w:ascii="宋体" w:hAnsi="宋体" w:cs="宋体"/>
          <w:sz w:val="24"/>
          <w:szCs w:val="24"/>
        </w:rPr>
      </w:pPr>
      <w:r>
        <w:rPr>
          <w:rFonts w:hint="eastAsia" w:ascii="宋体" w:hAnsi="宋体" w:cs="宋体"/>
          <w:sz w:val="24"/>
          <w:szCs w:val="24"/>
        </w:rPr>
        <w:t xml:space="preserve">4、验收报告：验收后，由采购人及专家等出具验收报告（自行验收的，由采购人出具），国家规定强制性检测的采购项目应附国家认可的专业检测机构出具的验收报告。 </w:t>
      </w:r>
    </w:p>
    <w:p>
      <w:pPr>
        <w:ind w:firstLine="480" w:firstLineChars="200"/>
        <w:jc w:val="left"/>
        <w:rPr>
          <w:rFonts w:ascii="宋体" w:hAnsi="宋体" w:cs="宋体"/>
          <w:sz w:val="24"/>
          <w:szCs w:val="24"/>
        </w:rPr>
      </w:pPr>
      <w:r>
        <w:rPr>
          <w:rFonts w:hint="eastAsia" w:ascii="宋体" w:hAnsi="宋体" w:cs="宋体"/>
          <w:sz w:val="24"/>
          <w:szCs w:val="24"/>
        </w:rPr>
        <w:t xml:space="preserve">5、验收中发现中标人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 </w:t>
      </w:r>
    </w:p>
    <w:p>
      <w:pPr>
        <w:ind w:firstLine="480" w:firstLineChars="200"/>
        <w:jc w:val="left"/>
        <w:rPr>
          <w:rFonts w:ascii="宋体" w:hAnsi="宋体" w:cs="宋体"/>
          <w:sz w:val="24"/>
          <w:szCs w:val="24"/>
        </w:rPr>
      </w:pPr>
      <w:r>
        <w:rPr>
          <w:rFonts w:hint="eastAsia" w:ascii="宋体" w:hAnsi="宋体" w:cs="宋体"/>
          <w:sz w:val="24"/>
          <w:szCs w:val="24"/>
        </w:rPr>
        <w:t xml:space="preserve">五、履约保证金： 。 </w:t>
      </w:r>
    </w:p>
    <w:p>
      <w:pPr>
        <w:ind w:firstLine="480" w:firstLineChars="200"/>
        <w:jc w:val="left"/>
        <w:rPr>
          <w:rFonts w:ascii="宋体" w:hAnsi="宋体" w:cs="宋体"/>
          <w:sz w:val="24"/>
          <w:szCs w:val="24"/>
        </w:rPr>
      </w:pPr>
      <w:r>
        <w:rPr>
          <w:rFonts w:hint="eastAsia" w:ascii="宋体" w:hAnsi="宋体" w:cs="宋体"/>
          <w:sz w:val="24"/>
          <w:szCs w:val="24"/>
        </w:rPr>
        <w:t xml:space="preserve">六、付款程序： </w:t>
      </w:r>
    </w:p>
    <w:p>
      <w:pPr>
        <w:pStyle w:val="2"/>
        <w:rPr>
          <w:rFonts w:hint="default" w:eastAsia="宋体"/>
          <w:highlight w:val="yellow"/>
          <w:lang w:val="en-US" w:eastAsia="zh-CN"/>
        </w:rPr>
      </w:pPr>
      <w:r>
        <w:rPr>
          <w:rFonts w:hint="eastAsia"/>
          <w:highlight w:val="none"/>
          <w:lang w:val="en-US" w:eastAsia="zh-CN"/>
        </w:rPr>
        <w:t xml:space="preserve">          验收合格后一次性付清</w:t>
      </w:r>
    </w:p>
    <w:p>
      <w:pPr>
        <w:ind w:firstLine="480" w:firstLineChars="200"/>
        <w:jc w:val="left"/>
        <w:rPr>
          <w:rFonts w:ascii="宋体" w:hAnsi="宋体" w:cs="宋体"/>
          <w:sz w:val="24"/>
          <w:szCs w:val="24"/>
        </w:rPr>
      </w:pPr>
      <w:r>
        <w:rPr>
          <w:rFonts w:hint="eastAsia" w:ascii="宋体" w:hAnsi="宋体" w:cs="宋体"/>
          <w:sz w:val="24"/>
          <w:szCs w:val="24"/>
        </w:rPr>
        <w:t xml:space="preserve">七、合同遵行《保障中小企业款项支付条例》。 </w:t>
      </w:r>
    </w:p>
    <w:p>
      <w:pPr>
        <w:ind w:firstLine="480" w:firstLineChars="200"/>
        <w:jc w:val="left"/>
        <w:rPr>
          <w:rFonts w:ascii="宋体" w:hAnsi="宋体" w:cs="宋体"/>
          <w:sz w:val="24"/>
          <w:szCs w:val="24"/>
        </w:rPr>
      </w:pPr>
      <w:r>
        <w:rPr>
          <w:rFonts w:hint="eastAsia" w:ascii="宋体" w:hAnsi="宋体" w:cs="宋体"/>
          <w:sz w:val="24"/>
          <w:szCs w:val="24"/>
        </w:rPr>
        <w:t xml:space="preserve">八、责任和义务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1、甲方的责任和义务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（1）对乙方给予必要的协助。 </w:t>
      </w:r>
    </w:p>
    <w:p>
      <w:pPr>
        <w:ind w:firstLine="480" w:firstLineChars="200"/>
        <w:jc w:val="left"/>
        <w:rPr>
          <w:rFonts w:ascii="宋体" w:hAnsi="宋体" w:cs="宋体"/>
          <w:sz w:val="24"/>
          <w:szCs w:val="24"/>
        </w:rPr>
      </w:pPr>
      <w:r>
        <w:rPr>
          <w:rFonts w:hint="eastAsia" w:ascii="宋体" w:hAnsi="宋体" w:cs="宋体"/>
          <w:sz w:val="24"/>
          <w:szCs w:val="24"/>
        </w:rPr>
        <w:t xml:space="preserve">（2）按时验收、及时支付资金； </w:t>
      </w:r>
    </w:p>
    <w:p>
      <w:pPr>
        <w:ind w:firstLine="480" w:firstLineChars="200"/>
        <w:jc w:val="left"/>
        <w:rPr>
          <w:rFonts w:ascii="宋体" w:hAnsi="宋体" w:cs="宋体"/>
          <w:sz w:val="24"/>
          <w:szCs w:val="24"/>
        </w:rPr>
      </w:pPr>
      <w:r>
        <w:rPr>
          <w:rFonts w:hint="eastAsia" w:ascii="宋体" w:hAnsi="宋体" w:cs="宋体"/>
          <w:sz w:val="24"/>
          <w:szCs w:val="24"/>
        </w:rPr>
        <w:t xml:space="preserve">（3）遵守国家法律法规，不得要求乙方虚开发票，不得向乙方索要“好处”、“回扣”、“礼品”，或要求乙方提供合同以外的其他物品或服务； </w:t>
      </w:r>
    </w:p>
    <w:p>
      <w:pPr>
        <w:ind w:firstLine="480" w:firstLineChars="200"/>
        <w:jc w:val="left"/>
        <w:rPr>
          <w:rFonts w:ascii="宋体" w:hAnsi="宋体" w:cs="宋体"/>
          <w:sz w:val="24"/>
          <w:szCs w:val="24"/>
        </w:rPr>
      </w:pPr>
      <w:r>
        <w:rPr>
          <w:rFonts w:hint="eastAsia" w:ascii="宋体" w:hAnsi="宋体" w:cs="宋体"/>
          <w:sz w:val="24"/>
          <w:szCs w:val="24"/>
        </w:rPr>
        <w:t xml:space="preserve">（4）对乙方未按合同约定履约在验收报告中注明违约情形和事项，并应及时通知财政部门。违反相关法规的向相关行政执法部门举报。 </w:t>
      </w:r>
    </w:p>
    <w:p>
      <w:pPr>
        <w:ind w:firstLine="480" w:firstLineChars="200"/>
        <w:jc w:val="left"/>
        <w:rPr>
          <w:rFonts w:ascii="宋体" w:hAnsi="宋体" w:cs="宋体"/>
          <w:sz w:val="24"/>
          <w:szCs w:val="24"/>
        </w:rPr>
      </w:pPr>
      <w:r>
        <w:rPr>
          <w:rFonts w:hint="eastAsia" w:ascii="宋体" w:hAnsi="宋体" w:cs="宋体"/>
          <w:sz w:val="24"/>
          <w:szCs w:val="24"/>
        </w:rPr>
        <w:t xml:space="preserve">（5）其他法律法规规定应尽的义务。 </w:t>
      </w:r>
    </w:p>
    <w:p>
      <w:pPr>
        <w:ind w:firstLine="480" w:firstLineChars="200"/>
        <w:jc w:val="left"/>
        <w:rPr>
          <w:rFonts w:ascii="宋体" w:hAnsi="宋体" w:cs="宋体"/>
          <w:sz w:val="24"/>
          <w:szCs w:val="24"/>
        </w:rPr>
      </w:pPr>
      <w:r>
        <w:rPr>
          <w:rFonts w:hint="eastAsia" w:ascii="宋体" w:hAnsi="宋体" w:cs="宋体"/>
          <w:sz w:val="24"/>
          <w:szCs w:val="24"/>
        </w:rPr>
        <w:t xml:space="preserve">2、乙方的责任和义务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（1）严格按采购文件要求与投标文件的质量及服务承诺执行，保质、按期履行。 </w:t>
      </w:r>
    </w:p>
    <w:p>
      <w:pPr>
        <w:ind w:firstLine="480" w:firstLineChars="200"/>
        <w:jc w:val="left"/>
        <w:rPr>
          <w:rFonts w:ascii="宋体" w:hAnsi="宋体" w:cs="宋体"/>
          <w:sz w:val="24"/>
          <w:szCs w:val="24"/>
        </w:rPr>
      </w:pPr>
      <w:r>
        <w:rPr>
          <w:rFonts w:hint="eastAsia" w:ascii="宋体" w:hAnsi="宋体" w:cs="宋体"/>
          <w:sz w:val="24"/>
          <w:szCs w:val="24"/>
        </w:rPr>
        <w:t xml:space="preserve">（2）不得将合同权利义务全部或部分转让给第三人。 </w:t>
      </w:r>
    </w:p>
    <w:p>
      <w:pPr>
        <w:ind w:firstLine="480" w:firstLineChars="200"/>
        <w:jc w:val="left"/>
        <w:rPr>
          <w:rFonts w:ascii="宋体" w:hAnsi="宋体" w:cs="宋体"/>
          <w:sz w:val="24"/>
          <w:szCs w:val="24"/>
        </w:rPr>
      </w:pPr>
      <w:r>
        <w:rPr>
          <w:rFonts w:hint="eastAsia" w:ascii="宋体" w:hAnsi="宋体" w:cs="宋体"/>
          <w:sz w:val="24"/>
          <w:szCs w:val="24"/>
        </w:rPr>
        <w:t xml:space="preserve">（3）验收合格前，对货物和人员的安全负责，应采取安全措施，确保人员、材料、设备和设施的安全，防止货物验收合格前的人身伤害和财产损失；应对其履行合同所雇佣的全部人员的工伤事故承担责任。 </w:t>
      </w:r>
    </w:p>
    <w:p>
      <w:pPr>
        <w:ind w:firstLine="480" w:firstLineChars="200"/>
        <w:jc w:val="left"/>
        <w:rPr>
          <w:rFonts w:ascii="宋体" w:hAnsi="宋体" w:cs="宋体"/>
          <w:sz w:val="24"/>
          <w:szCs w:val="24"/>
        </w:rPr>
      </w:pPr>
      <w:r>
        <w:rPr>
          <w:rFonts w:hint="eastAsia" w:ascii="宋体" w:hAnsi="宋体" w:cs="宋体"/>
          <w:sz w:val="24"/>
          <w:szCs w:val="24"/>
        </w:rPr>
        <w:t xml:space="preserve">（4）遵守法律、依法纳税 </w:t>
      </w:r>
    </w:p>
    <w:p>
      <w:pPr>
        <w:ind w:firstLine="480" w:firstLineChars="200"/>
        <w:jc w:val="left"/>
        <w:rPr>
          <w:rFonts w:ascii="宋体" w:hAnsi="宋体" w:cs="宋体"/>
          <w:sz w:val="24"/>
          <w:szCs w:val="24"/>
        </w:rPr>
      </w:pPr>
      <w:r>
        <w:rPr>
          <w:rFonts w:hint="eastAsia" w:ascii="宋体" w:hAnsi="宋体" w:cs="宋体"/>
          <w:sz w:val="24"/>
          <w:szCs w:val="24"/>
        </w:rPr>
        <w:t xml:space="preserve">（5）遵守职业道德和行业规范，坚决杜绝送礼、回扣、报销费用等一切不正当竞争行为和商业贿赂行为；对甲方索要回扣、礼品等违规行为，向同级财政局政府采购监督管理科及相关执法机关举报。 </w:t>
      </w:r>
    </w:p>
    <w:p>
      <w:pPr>
        <w:ind w:firstLine="480" w:firstLineChars="200"/>
        <w:jc w:val="left"/>
        <w:rPr>
          <w:rFonts w:ascii="宋体" w:hAnsi="宋体" w:cs="宋体"/>
          <w:sz w:val="24"/>
          <w:szCs w:val="24"/>
        </w:rPr>
      </w:pPr>
      <w:r>
        <w:rPr>
          <w:rFonts w:hint="eastAsia" w:ascii="宋体" w:hAnsi="宋体" w:cs="宋体"/>
          <w:sz w:val="24"/>
          <w:szCs w:val="24"/>
        </w:rPr>
        <w:t xml:space="preserve">（6）其他法律法规规定应尽的义务。 </w:t>
      </w:r>
    </w:p>
    <w:p>
      <w:pPr>
        <w:ind w:firstLine="480" w:firstLineChars="200"/>
        <w:jc w:val="left"/>
        <w:rPr>
          <w:rFonts w:ascii="宋体" w:hAnsi="宋体" w:cs="宋体"/>
          <w:sz w:val="24"/>
          <w:szCs w:val="24"/>
        </w:rPr>
      </w:pPr>
      <w:r>
        <w:rPr>
          <w:rFonts w:hint="eastAsia" w:ascii="宋体" w:hAnsi="宋体" w:cs="宋体"/>
          <w:sz w:val="24"/>
          <w:szCs w:val="24"/>
        </w:rPr>
        <w:t xml:space="preserve">九、违约责任： </w:t>
      </w:r>
    </w:p>
    <w:p>
      <w:pPr>
        <w:ind w:firstLine="480" w:firstLineChars="200"/>
        <w:jc w:val="left"/>
        <w:rPr>
          <w:rFonts w:ascii="宋体" w:hAnsi="宋体" w:cs="宋体"/>
          <w:sz w:val="24"/>
          <w:szCs w:val="24"/>
        </w:rPr>
      </w:pPr>
      <w:r>
        <w:rPr>
          <w:rFonts w:hint="eastAsia" w:ascii="宋体" w:hAnsi="宋体" w:cs="宋体"/>
          <w:sz w:val="24"/>
          <w:szCs w:val="24"/>
        </w:rPr>
        <w:t xml:space="preserve">1、甲方无正当理由拒付款项的，向乙方偿付拒收拒付部分款项总额 %的违约金。 </w:t>
      </w:r>
    </w:p>
    <w:p>
      <w:pPr>
        <w:ind w:firstLine="480" w:firstLineChars="200"/>
        <w:jc w:val="left"/>
        <w:rPr>
          <w:rFonts w:ascii="宋体" w:hAnsi="宋体" w:cs="宋体"/>
          <w:sz w:val="24"/>
          <w:szCs w:val="24"/>
        </w:rPr>
      </w:pPr>
      <w:r>
        <w:rPr>
          <w:rFonts w:hint="eastAsia" w:ascii="宋体" w:hAnsi="宋体" w:cs="宋体"/>
          <w:sz w:val="24"/>
          <w:szCs w:val="24"/>
        </w:rPr>
        <w:t xml:space="preserve">2、乙方提供服务不符合合同规定，甲方有权拒付相关款项。 </w:t>
      </w:r>
    </w:p>
    <w:p>
      <w:pPr>
        <w:ind w:firstLine="480" w:firstLineChars="200"/>
        <w:jc w:val="left"/>
        <w:rPr>
          <w:rFonts w:ascii="宋体" w:hAnsi="宋体" w:cs="宋体"/>
          <w:sz w:val="24"/>
          <w:szCs w:val="24"/>
        </w:rPr>
      </w:pPr>
      <w:r>
        <w:rPr>
          <w:rFonts w:hint="eastAsia" w:ascii="宋体" w:hAnsi="宋体" w:cs="宋体"/>
          <w:sz w:val="24"/>
          <w:szCs w:val="24"/>
        </w:rPr>
        <w:t xml:space="preserve">3、乙方逾期，乙方向甲方每日偿付 %赔偿费。 </w:t>
      </w:r>
    </w:p>
    <w:p>
      <w:pPr>
        <w:ind w:firstLine="480" w:firstLineChars="200"/>
        <w:jc w:val="left"/>
        <w:rPr>
          <w:rFonts w:ascii="宋体" w:hAnsi="宋体" w:cs="宋体"/>
          <w:sz w:val="24"/>
          <w:szCs w:val="24"/>
        </w:rPr>
      </w:pPr>
      <w:r>
        <w:rPr>
          <w:rFonts w:hint="eastAsia" w:ascii="宋体" w:hAnsi="宋体" w:cs="宋体"/>
          <w:sz w:val="24"/>
          <w:szCs w:val="24"/>
        </w:rPr>
        <w:t xml:space="preserve">十、《采购文件》及其修改补充、投标文件及其修改补充澄清均为本合同的组 </w:t>
      </w:r>
    </w:p>
    <w:p>
      <w:pPr>
        <w:ind w:firstLine="480" w:firstLineChars="200"/>
        <w:jc w:val="left"/>
        <w:rPr>
          <w:rFonts w:ascii="宋体" w:hAnsi="宋体" w:cs="宋体"/>
          <w:sz w:val="24"/>
          <w:szCs w:val="24"/>
        </w:rPr>
      </w:pPr>
      <w:r>
        <w:rPr>
          <w:rFonts w:hint="eastAsia" w:ascii="宋体" w:hAnsi="宋体" w:cs="宋体"/>
          <w:sz w:val="24"/>
          <w:szCs w:val="24"/>
        </w:rPr>
        <w:t xml:space="preserve">成部分。 </w:t>
      </w:r>
    </w:p>
    <w:p>
      <w:pPr>
        <w:ind w:firstLine="480" w:firstLineChars="200"/>
        <w:jc w:val="left"/>
        <w:rPr>
          <w:rFonts w:ascii="宋体" w:hAnsi="宋体" w:cs="宋体"/>
          <w:sz w:val="24"/>
          <w:szCs w:val="24"/>
        </w:rPr>
      </w:pPr>
      <w:r>
        <w:rPr>
          <w:rFonts w:hint="eastAsia" w:ascii="宋体" w:hAnsi="宋体" w:cs="宋体"/>
          <w:sz w:val="24"/>
          <w:szCs w:val="24"/>
        </w:rPr>
        <w:t xml:space="preserve">十一、本合同发生争议时双方应按合同条款协商解决。双方协商不成的，可以 </w:t>
      </w:r>
    </w:p>
    <w:p>
      <w:pPr>
        <w:ind w:firstLine="480" w:firstLineChars="200"/>
        <w:jc w:val="left"/>
        <w:rPr>
          <w:rFonts w:ascii="宋体" w:hAnsi="宋体" w:cs="宋体"/>
          <w:sz w:val="24"/>
          <w:szCs w:val="24"/>
        </w:rPr>
      </w:pPr>
      <w:r>
        <w:rPr>
          <w:rFonts w:hint="eastAsia" w:ascii="宋体" w:hAnsi="宋体" w:cs="宋体"/>
          <w:sz w:val="24"/>
          <w:szCs w:val="24"/>
        </w:rPr>
        <w:t xml:space="preserve">根据仲裁协议向当地仲裁机构申请仲裁。当事人没有订立仲裁协议或者仲裁协议无 </w:t>
      </w:r>
    </w:p>
    <w:p>
      <w:pPr>
        <w:ind w:firstLine="480" w:firstLineChars="200"/>
        <w:jc w:val="left"/>
        <w:rPr>
          <w:rFonts w:ascii="宋体" w:hAnsi="宋体" w:cs="宋体"/>
          <w:sz w:val="24"/>
          <w:szCs w:val="24"/>
        </w:rPr>
      </w:pPr>
      <w:r>
        <w:rPr>
          <w:rFonts w:hint="eastAsia" w:ascii="宋体" w:hAnsi="宋体" w:cs="宋体"/>
          <w:sz w:val="24"/>
          <w:szCs w:val="24"/>
        </w:rPr>
        <w:t xml:space="preserve">效的，可以向当地人民法院起诉。 </w:t>
      </w:r>
    </w:p>
    <w:p>
      <w:pPr>
        <w:ind w:firstLine="480" w:firstLineChars="200"/>
        <w:jc w:val="left"/>
        <w:rPr>
          <w:rFonts w:ascii="宋体" w:hAnsi="宋体" w:cs="宋体"/>
          <w:sz w:val="24"/>
          <w:szCs w:val="24"/>
        </w:rPr>
      </w:pPr>
      <w:r>
        <w:rPr>
          <w:rFonts w:hint="eastAsia" w:ascii="宋体" w:hAnsi="宋体" w:cs="宋体"/>
          <w:sz w:val="24"/>
          <w:szCs w:val="24"/>
        </w:rPr>
        <w:t xml:space="preserve">十二、合同生效及其它： </w:t>
      </w:r>
    </w:p>
    <w:p>
      <w:pPr>
        <w:ind w:firstLine="480" w:firstLineChars="200"/>
        <w:jc w:val="left"/>
        <w:rPr>
          <w:rFonts w:ascii="宋体" w:hAnsi="宋体" w:cs="宋体"/>
          <w:sz w:val="24"/>
          <w:szCs w:val="24"/>
        </w:rPr>
      </w:pPr>
      <w:r>
        <w:rPr>
          <w:rFonts w:hint="eastAsia" w:ascii="宋体" w:hAnsi="宋体" w:cs="宋体"/>
          <w:sz w:val="24"/>
          <w:szCs w:val="24"/>
        </w:rPr>
        <w:t xml:space="preserve">本合同经甲乙双方代表签字、加盖公章和骑缝章后生效。本合同一式 份， </w:t>
      </w:r>
    </w:p>
    <w:p>
      <w:pPr>
        <w:ind w:firstLine="480" w:firstLineChars="200"/>
        <w:jc w:val="left"/>
        <w:rPr>
          <w:rFonts w:ascii="宋体" w:hAnsi="宋体" w:cs="宋体"/>
          <w:sz w:val="24"/>
          <w:szCs w:val="24"/>
        </w:rPr>
      </w:pPr>
      <w:r>
        <w:rPr>
          <w:rFonts w:hint="eastAsia" w:ascii="宋体" w:hAnsi="宋体" w:cs="宋体"/>
          <w:sz w:val="24"/>
          <w:szCs w:val="24"/>
        </w:rPr>
        <w:t xml:space="preserve">甲乙双方各持 份。 </w:t>
      </w:r>
    </w:p>
    <w:p>
      <w:pPr>
        <w:ind w:firstLine="480" w:firstLineChars="200"/>
        <w:jc w:val="left"/>
        <w:rPr>
          <w:rFonts w:ascii="宋体" w:hAnsi="宋体" w:cs="宋体"/>
          <w:sz w:val="24"/>
          <w:szCs w:val="24"/>
        </w:rPr>
      </w:pPr>
      <w:r>
        <w:rPr>
          <w:rFonts w:hint="eastAsia" w:ascii="宋体" w:hAnsi="宋体" w:cs="宋体"/>
          <w:sz w:val="24"/>
          <w:szCs w:val="24"/>
        </w:rPr>
        <w:t xml:space="preserve">甲方应当自政府采购合同签订之日起 2 个工作日内进行合同公告及备案。合同 </w:t>
      </w:r>
    </w:p>
    <w:p>
      <w:pPr>
        <w:ind w:firstLine="480" w:firstLineChars="200"/>
        <w:jc w:val="left"/>
        <w:rPr>
          <w:rFonts w:ascii="宋体" w:hAnsi="宋体" w:cs="宋体"/>
          <w:sz w:val="24"/>
          <w:szCs w:val="24"/>
        </w:rPr>
      </w:pPr>
      <w:r>
        <w:rPr>
          <w:rFonts w:hint="eastAsia" w:ascii="宋体" w:hAnsi="宋体" w:cs="宋体"/>
          <w:sz w:val="24"/>
          <w:szCs w:val="24"/>
        </w:rPr>
        <w:t xml:space="preserve">《磋商文件》 50 公告需由甲方登陆“安阳市政府采购网”电子化政府采购系统，及时上传政府采购 </w:t>
      </w:r>
    </w:p>
    <w:p>
      <w:pPr>
        <w:ind w:firstLine="480" w:firstLineChars="200"/>
        <w:jc w:val="left"/>
        <w:rPr>
          <w:rFonts w:ascii="宋体" w:hAnsi="宋体" w:cs="宋体"/>
          <w:sz w:val="24"/>
          <w:szCs w:val="24"/>
        </w:rPr>
      </w:pPr>
      <w:r>
        <w:rPr>
          <w:rFonts w:hint="eastAsia" w:ascii="宋体" w:hAnsi="宋体" w:cs="宋体"/>
          <w:sz w:val="24"/>
          <w:szCs w:val="24"/>
        </w:rPr>
        <w:t xml:space="preserve">合同及附件进行合同备案，合同备案的同时系统将自动进行合同公告。 </w:t>
      </w:r>
    </w:p>
    <w:p>
      <w:pPr>
        <w:jc w:val="left"/>
      </w:pPr>
      <w:r>
        <w:rPr>
          <w:rFonts w:hint="eastAsia" w:ascii="宋体" w:hAnsi="宋体" w:cs="宋体"/>
          <w:sz w:val="24"/>
          <w:szCs w:val="24"/>
        </w:rPr>
        <w:t xml:space="preserve">甲方：                         乙方： </w:t>
      </w:r>
    </w:p>
    <w:p>
      <w:pPr>
        <w:jc w:val="left"/>
      </w:pPr>
      <w:r>
        <w:rPr>
          <w:rFonts w:hint="eastAsia" w:ascii="宋体" w:hAnsi="宋体" w:cs="宋体"/>
          <w:sz w:val="24"/>
          <w:szCs w:val="24"/>
        </w:rPr>
        <w:t xml:space="preserve">地址：                         地址： </w:t>
      </w:r>
    </w:p>
    <w:p>
      <w:pPr>
        <w:jc w:val="left"/>
      </w:pPr>
      <w:r>
        <w:rPr>
          <w:rFonts w:hint="eastAsia" w:ascii="宋体" w:hAnsi="宋体" w:cs="宋体"/>
          <w:sz w:val="24"/>
          <w:szCs w:val="24"/>
        </w:rPr>
        <w:t xml:space="preserve">法定代表人：                   法定代表人： </w:t>
      </w:r>
    </w:p>
    <w:p>
      <w:pPr>
        <w:jc w:val="left"/>
      </w:pPr>
      <w:r>
        <w:rPr>
          <w:rFonts w:hint="eastAsia" w:ascii="宋体" w:hAnsi="宋体" w:cs="宋体"/>
          <w:sz w:val="24"/>
          <w:szCs w:val="24"/>
        </w:rPr>
        <w:t xml:space="preserve">委托代理人：                   委托代理人： </w:t>
      </w:r>
    </w:p>
    <w:p>
      <w:pPr>
        <w:jc w:val="left"/>
      </w:pPr>
      <w:r>
        <w:rPr>
          <w:rFonts w:hint="eastAsia" w:ascii="宋体" w:hAnsi="宋体" w:cs="宋体"/>
          <w:sz w:val="24"/>
          <w:szCs w:val="24"/>
        </w:rPr>
        <w:t xml:space="preserve">电话：                         电话： </w:t>
      </w:r>
    </w:p>
    <w:p>
      <w:pPr>
        <w:jc w:val="left"/>
      </w:pPr>
      <w:r>
        <w:rPr>
          <w:rFonts w:hint="eastAsia" w:ascii="宋体" w:hAnsi="宋体" w:cs="宋体"/>
          <w:sz w:val="24"/>
          <w:szCs w:val="24"/>
        </w:rPr>
        <w:t xml:space="preserve">开户银行：                     开户银行： </w:t>
      </w:r>
    </w:p>
    <w:p>
      <w:pPr>
        <w:jc w:val="left"/>
      </w:pPr>
      <w:r>
        <w:rPr>
          <w:rFonts w:hint="eastAsia" w:ascii="宋体" w:hAnsi="宋体" w:cs="宋体"/>
          <w:sz w:val="24"/>
          <w:szCs w:val="24"/>
        </w:rPr>
        <w:t xml:space="preserve">银行账号：                     银行账号： </w:t>
      </w:r>
    </w:p>
    <w:p>
      <w:pPr>
        <w:jc w:val="left"/>
      </w:pPr>
      <w:r>
        <w:rPr>
          <w:rFonts w:hint="eastAsia" w:ascii="宋体" w:hAnsi="宋体" w:cs="宋体"/>
          <w:sz w:val="24"/>
          <w:szCs w:val="24"/>
        </w:rPr>
        <w:t>签约时间：                     签约地点</w:t>
      </w:r>
    </w:p>
    <w:p>
      <w:pPr>
        <w:spacing w:line="240" w:lineRule="auto"/>
        <w:jc w:val="left"/>
        <w:textAlignment w:val="auto"/>
        <w:rPr>
          <w:rFonts w:ascii="黑体" w:hAnsi="黑体" w:eastAsia="黑体"/>
          <w:b/>
          <w:color w:val="auto"/>
          <w:sz w:val="36"/>
          <w:szCs w:val="36"/>
          <w:lang w:val="zh-CN"/>
        </w:rPr>
      </w:pPr>
      <w:r>
        <w:rPr>
          <w:rFonts w:ascii="黑体" w:hAnsi="黑体" w:eastAsia="黑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r>
        <w:rPr>
          <w:rFonts w:hint="eastAsia" w:ascii="黑体" w:hAnsi="黑体" w:eastAsia="黑体"/>
          <w:b/>
          <w:color w:val="auto"/>
          <w:sz w:val="36"/>
          <w:szCs w:val="36"/>
          <w:lang w:val="zh-CN"/>
        </w:rPr>
        <w:t>第六章</w:t>
      </w:r>
      <w:r>
        <w:rPr>
          <w:rFonts w:hint="eastAsia" w:ascii="黑体" w:hAnsi="黑体" w:eastAsia="黑体"/>
          <w:b/>
          <w:color w:val="auto"/>
          <w:sz w:val="36"/>
          <w:szCs w:val="36"/>
          <w:lang w:val="en-US" w:eastAsia="zh-CN"/>
        </w:rPr>
        <w:t xml:space="preserve">  </w:t>
      </w:r>
      <w:r>
        <w:rPr>
          <w:rFonts w:hint="eastAsia" w:ascii="黑体" w:hAnsi="黑体" w:eastAsia="黑体"/>
          <w:b/>
          <w:color w:val="auto"/>
          <w:sz w:val="36"/>
          <w:szCs w:val="36"/>
          <w:lang w:val="zh-CN"/>
        </w:rPr>
        <w:t>投标文件格式</w:t>
      </w:r>
      <w:bookmarkEnd w:id="55"/>
      <w:bookmarkEnd w:id="56"/>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jc w:val="center"/>
      </w:pPr>
      <w:r>
        <w:rPr>
          <w:rFonts w:ascii="黑体" w:hAnsi="宋体" w:eastAsia="黑体" w:cs="黑体"/>
          <w:b/>
          <w:bCs/>
          <w:sz w:val="72"/>
          <w:szCs w:val="72"/>
        </w:rPr>
        <w:t>项 目</w:t>
      </w:r>
    </w:p>
    <w:p>
      <w:pPr>
        <w:jc w:val="center"/>
        <w:rPr>
          <w:rFonts w:ascii="黑体" w:hAnsi="宋体" w:eastAsia="黑体" w:cs="黑体"/>
          <w:b/>
          <w:bCs/>
          <w:sz w:val="72"/>
          <w:szCs w:val="72"/>
        </w:rPr>
      </w:pPr>
    </w:p>
    <w:p>
      <w:pPr>
        <w:jc w:val="center"/>
        <w:rPr>
          <w:rFonts w:ascii="黑体" w:hAnsi="宋体" w:eastAsia="黑体" w:cs="黑体"/>
          <w:b/>
          <w:bCs/>
          <w:sz w:val="72"/>
          <w:szCs w:val="72"/>
        </w:rPr>
      </w:pPr>
    </w:p>
    <w:p>
      <w:pPr>
        <w:jc w:val="center"/>
      </w:pPr>
      <w:r>
        <w:rPr>
          <w:rFonts w:hint="eastAsia" w:ascii="黑体" w:hAnsi="宋体" w:eastAsia="黑体" w:cs="黑体"/>
          <w:b/>
          <w:bCs/>
          <w:sz w:val="72"/>
          <w:szCs w:val="72"/>
        </w:rPr>
        <w:t>符合性响应文件</w:t>
      </w:r>
    </w:p>
    <w:p>
      <w:pPr>
        <w:ind w:firstLine="3200" w:firstLineChars="1000"/>
        <w:jc w:val="left"/>
      </w:pPr>
      <w:r>
        <w:rPr>
          <w:rFonts w:hint="eastAsia" w:ascii="宋体" w:hAnsi="宋体" w:cs="宋体"/>
          <w:sz w:val="32"/>
          <w:szCs w:val="32"/>
        </w:rPr>
        <w:t>项目编号：</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pPr>
      <w:r>
        <w:rPr>
          <w:rFonts w:hint="eastAsia" w:ascii="宋体" w:hAnsi="宋体" w:cs="宋体"/>
          <w:sz w:val="28"/>
          <w:szCs w:val="28"/>
        </w:rPr>
        <w:t xml:space="preserve">供应商：（加盖电子签章） </w:t>
      </w:r>
    </w:p>
    <w:p>
      <w:pPr>
        <w:jc w:val="left"/>
      </w:pPr>
      <w:r>
        <w:rPr>
          <w:rFonts w:hint="eastAsia" w:ascii="宋体" w:hAnsi="宋体" w:cs="宋体"/>
          <w:sz w:val="28"/>
          <w:szCs w:val="28"/>
        </w:rPr>
        <w:t xml:space="preserve">法定代表人：（加盖电子签名） </w:t>
      </w:r>
    </w:p>
    <w:p>
      <w:pPr>
        <w:jc w:val="left"/>
      </w:pPr>
      <w:r>
        <w:rPr>
          <w:rFonts w:hint="eastAsia" w:ascii="宋体" w:hAnsi="宋体" w:cs="宋体"/>
          <w:sz w:val="28"/>
          <w:szCs w:val="28"/>
        </w:rPr>
        <w:t xml:space="preserve">投标日期：年 月 日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1 、 投 标 书</w:t>
      </w:r>
    </w:p>
    <w:p>
      <w:pPr>
        <w:jc w:val="left"/>
      </w:pPr>
      <w:r>
        <w:rPr>
          <w:rFonts w:hint="eastAsia" w:ascii="宋体" w:hAnsi="宋体" w:cs="宋体"/>
          <w:sz w:val="24"/>
          <w:szCs w:val="24"/>
        </w:rPr>
        <w:t>致： （采购人）</w:t>
      </w:r>
    </w:p>
    <w:p>
      <w:pPr>
        <w:spacing w:line="500" w:lineRule="exact"/>
        <w:ind w:firstLine="480" w:firstLineChars="200"/>
        <w:jc w:val="left"/>
      </w:pPr>
      <w:r>
        <w:rPr>
          <w:rFonts w:hint="eastAsia" w:ascii="宋体" w:hAnsi="宋体" w:cs="宋体"/>
          <w:sz w:val="24"/>
          <w:szCs w:val="24"/>
        </w:rPr>
        <w:t xml:space="preserve">根据贵方竞争性磋商（项目名称） 的《磋商文件》（项目编号： ），经详细研究，我们决定参加该项目的采购活动并按要求提交《响应文件》。我们郑重声明对我单位提交的所有投标资料的真实准确完整承担完全责任、并对之负法律责任。 </w:t>
      </w:r>
    </w:p>
    <w:p>
      <w:pPr>
        <w:spacing w:line="500" w:lineRule="exact"/>
        <w:jc w:val="left"/>
      </w:pPr>
      <w:r>
        <w:rPr>
          <w:rFonts w:hint="eastAsia" w:ascii="宋体" w:hAnsi="宋体" w:cs="宋体"/>
          <w:sz w:val="24"/>
          <w:szCs w:val="24"/>
        </w:rPr>
        <w:t xml:space="preserve">（1）投标书。 </w:t>
      </w:r>
    </w:p>
    <w:p>
      <w:pPr>
        <w:spacing w:line="500" w:lineRule="exact"/>
        <w:jc w:val="left"/>
      </w:pPr>
      <w:r>
        <w:rPr>
          <w:rFonts w:hint="eastAsia" w:ascii="宋体" w:hAnsi="宋体" w:cs="宋体"/>
          <w:sz w:val="24"/>
          <w:szCs w:val="24"/>
        </w:rPr>
        <w:t xml:space="preserve">（2）开标一览表 </w:t>
      </w:r>
    </w:p>
    <w:p>
      <w:pPr>
        <w:spacing w:line="500" w:lineRule="exact"/>
        <w:jc w:val="left"/>
      </w:pPr>
      <w:r>
        <w:rPr>
          <w:rFonts w:hint="eastAsia" w:ascii="宋体" w:hAnsi="宋体" w:cs="宋体"/>
          <w:sz w:val="24"/>
          <w:szCs w:val="24"/>
        </w:rPr>
        <w:t xml:space="preserve">（3）分项报价 </w:t>
      </w:r>
    </w:p>
    <w:p>
      <w:pPr>
        <w:spacing w:line="500" w:lineRule="exact"/>
        <w:jc w:val="left"/>
        <w:rPr>
          <w:rFonts w:hint="eastAsia" w:ascii="宋体" w:hAnsi="宋体" w:cs="宋体"/>
          <w:sz w:val="24"/>
          <w:szCs w:val="24"/>
        </w:rPr>
      </w:pPr>
      <w:r>
        <w:rPr>
          <w:rFonts w:hint="eastAsia" w:ascii="宋体" w:hAnsi="宋体" w:cs="宋体"/>
          <w:sz w:val="24"/>
          <w:szCs w:val="24"/>
        </w:rPr>
        <w:t xml:space="preserve">（4）响应产品清单及具体技术参数 </w:t>
      </w:r>
    </w:p>
    <w:p>
      <w:pPr>
        <w:spacing w:line="500" w:lineRule="exact"/>
        <w:jc w:val="left"/>
        <w:rPr>
          <w:rFonts w:hint="eastAsia" w:ascii="宋体" w:hAnsi="宋体" w:cs="宋体"/>
          <w:sz w:val="24"/>
          <w:szCs w:val="24"/>
        </w:rPr>
      </w:pPr>
      <w:r>
        <w:rPr>
          <w:rFonts w:hint="eastAsia" w:ascii="宋体" w:hAnsi="宋体" w:cs="宋体"/>
          <w:sz w:val="24"/>
          <w:szCs w:val="24"/>
        </w:rPr>
        <w:t xml:space="preserve">（5）技术偏差表 </w:t>
      </w:r>
    </w:p>
    <w:p>
      <w:pPr>
        <w:spacing w:line="500" w:lineRule="exact"/>
        <w:jc w:val="left"/>
        <w:rPr>
          <w:rFonts w:hint="eastAsia" w:ascii="宋体" w:hAnsi="宋体" w:cs="宋体"/>
          <w:sz w:val="24"/>
          <w:szCs w:val="24"/>
        </w:rPr>
      </w:pPr>
      <w:r>
        <w:rPr>
          <w:rFonts w:hint="eastAsia" w:ascii="宋体" w:hAnsi="宋体" w:cs="宋体"/>
          <w:sz w:val="24"/>
          <w:szCs w:val="24"/>
        </w:rPr>
        <w:t xml:space="preserve">（6）其他偏差表 </w:t>
      </w:r>
    </w:p>
    <w:p>
      <w:pPr>
        <w:spacing w:line="500" w:lineRule="exact"/>
        <w:jc w:val="left"/>
        <w:rPr>
          <w:rFonts w:hint="eastAsia" w:ascii="宋体" w:hAnsi="宋体" w:cs="宋体"/>
          <w:sz w:val="24"/>
          <w:szCs w:val="24"/>
        </w:rPr>
      </w:pPr>
      <w:r>
        <w:rPr>
          <w:rFonts w:hint="eastAsia" w:ascii="宋体" w:hAnsi="宋体" w:cs="宋体"/>
          <w:sz w:val="24"/>
          <w:szCs w:val="24"/>
        </w:rPr>
        <w:t xml:space="preserve">（7）售后服务计划 </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（8）反商业贿赂承诺书</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（9） 履约承诺书</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（10）采购项目及技术服务要求所需的其他材料（按条款需要）</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（11）供应商人须知所需的其他材料（按条款需要）</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（12）评审办法所需的其他材料（按条款需要）</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（13）供应商认为有必要提交的其它材料</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（14）关于资格的声明函</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（15）法定代表人身份证明或法定代表人授权委托书</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（16）投标承诺函（以投标承诺函形式替代投标保证金）</w:t>
      </w:r>
    </w:p>
    <w:p>
      <w:pPr>
        <w:spacing w:line="500" w:lineRule="exact"/>
        <w:jc w:val="left"/>
      </w:pPr>
      <w:r>
        <w:rPr>
          <w:rFonts w:hint="eastAsia" w:ascii="宋体" w:hAnsi="宋体" w:cs="宋体"/>
          <w:sz w:val="24"/>
          <w:szCs w:val="24"/>
          <w:lang w:val="zh-CN"/>
        </w:rPr>
        <w:t>（17）资格要求相关证明材料（文件）</w:t>
      </w:r>
      <w:r>
        <w:rPr>
          <w:rFonts w:hint="eastAsia" w:ascii="宋体" w:hAnsi="宋体" w:cs="宋体"/>
          <w:sz w:val="24"/>
          <w:szCs w:val="24"/>
        </w:rPr>
        <w:t xml:space="preserve"> </w:t>
      </w:r>
    </w:p>
    <w:p>
      <w:pPr>
        <w:spacing w:line="500" w:lineRule="exact"/>
        <w:jc w:val="left"/>
      </w:pPr>
      <w:r>
        <w:rPr>
          <w:rFonts w:hint="eastAsia" w:ascii="宋体" w:hAnsi="宋体" w:cs="宋体"/>
          <w:sz w:val="24"/>
          <w:szCs w:val="24"/>
        </w:rPr>
        <w:t xml:space="preserve">......... </w:t>
      </w:r>
    </w:p>
    <w:p>
      <w:pPr>
        <w:spacing w:line="500" w:lineRule="exact"/>
        <w:jc w:val="left"/>
      </w:pPr>
      <w:r>
        <w:rPr>
          <w:rFonts w:hint="eastAsia" w:ascii="宋体" w:hAnsi="宋体" w:cs="宋体"/>
          <w:sz w:val="24"/>
          <w:szCs w:val="24"/>
        </w:rPr>
        <w:t xml:space="preserve">据此函，签字代表宣布同意如下： </w:t>
      </w:r>
    </w:p>
    <w:p>
      <w:pPr>
        <w:spacing w:line="500" w:lineRule="exact"/>
        <w:jc w:val="left"/>
        <w:rPr>
          <w:rFonts w:ascii="宋体" w:hAnsi="宋体" w:cs="宋体"/>
          <w:sz w:val="24"/>
          <w:szCs w:val="24"/>
        </w:rPr>
      </w:pPr>
      <w:r>
        <w:rPr>
          <w:rFonts w:hint="eastAsia" w:ascii="宋体" w:hAnsi="宋体" w:cs="宋体"/>
          <w:sz w:val="24"/>
          <w:szCs w:val="24"/>
        </w:rPr>
        <w:t xml:space="preserve">1.所附“《响应文件》开标一览表”中规定的应提供和交付的投标总价为：元 ，即 （文字表述），合同履行期限（服务期限）： ，服务地点： 。 </w:t>
      </w:r>
    </w:p>
    <w:p>
      <w:pPr>
        <w:spacing w:line="500" w:lineRule="exact"/>
        <w:jc w:val="left"/>
      </w:pPr>
      <w:r>
        <w:rPr>
          <w:rFonts w:hint="eastAsia" w:ascii="宋体" w:hAnsi="宋体" w:cs="宋体"/>
          <w:sz w:val="24"/>
          <w:szCs w:val="24"/>
        </w:rPr>
        <w:t xml:space="preserve">2.如果我单位的投标书被接受，我单位将履行《磋商文件》中规定的每一项要求，按期、按质、按量履行合同。 </w:t>
      </w:r>
    </w:p>
    <w:p>
      <w:pPr>
        <w:spacing w:line="500" w:lineRule="exact"/>
        <w:jc w:val="left"/>
      </w:pPr>
      <w:r>
        <w:rPr>
          <w:rFonts w:hint="eastAsia" w:ascii="宋体" w:hAnsi="宋体" w:cs="宋体"/>
          <w:sz w:val="24"/>
          <w:szCs w:val="24"/>
        </w:rPr>
        <w:t xml:space="preserve">3. 我单位愿按《中华人民共和国民法典》履行我单位的全部责任。 </w:t>
      </w:r>
    </w:p>
    <w:p>
      <w:pPr>
        <w:spacing w:line="500" w:lineRule="exact"/>
        <w:jc w:val="left"/>
      </w:pPr>
      <w:r>
        <w:rPr>
          <w:rFonts w:hint="eastAsia" w:ascii="宋体" w:hAnsi="宋体" w:cs="宋体"/>
          <w:sz w:val="24"/>
          <w:szCs w:val="24"/>
        </w:rPr>
        <w:t xml:space="preserve">4. 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 </w:t>
      </w:r>
    </w:p>
    <w:p>
      <w:pPr>
        <w:spacing w:line="500" w:lineRule="exact"/>
        <w:jc w:val="left"/>
        <w:rPr>
          <w:rFonts w:ascii="宋体" w:hAnsi="宋体" w:cs="宋体"/>
          <w:sz w:val="24"/>
          <w:szCs w:val="24"/>
        </w:rPr>
      </w:pPr>
      <w:r>
        <w:rPr>
          <w:rFonts w:hint="eastAsia" w:ascii="宋体" w:hAnsi="宋体" w:cs="宋体"/>
          <w:sz w:val="24"/>
          <w:szCs w:val="24"/>
        </w:rPr>
        <w:t xml:space="preserve">5.《响应文件》自开启日起有效期为 90 日历天。 </w:t>
      </w:r>
    </w:p>
    <w:p>
      <w:pPr>
        <w:spacing w:line="500" w:lineRule="exact"/>
        <w:jc w:val="left"/>
      </w:pPr>
      <w:r>
        <w:rPr>
          <w:rFonts w:hint="eastAsia" w:ascii="宋体" w:hAnsi="宋体" w:cs="宋体"/>
          <w:sz w:val="24"/>
          <w:szCs w:val="24"/>
        </w:rPr>
        <w:t xml:space="preserve">6.我单位承诺按照《磋商文件》规定的付款方式执行。 </w:t>
      </w:r>
    </w:p>
    <w:p>
      <w:pPr>
        <w:spacing w:line="500" w:lineRule="exact"/>
        <w:jc w:val="left"/>
      </w:pPr>
      <w:r>
        <w:rPr>
          <w:rFonts w:hint="eastAsia" w:ascii="宋体" w:hAnsi="宋体" w:cs="宋体"/>
          <w:sz w:val="24"/>
          <w:szCs w:val="24"/>
        </w:rPr>
        <w:t xml:space="preserve">7.如果在规定的开标时间后，我单位在投标有效期内撤回投标的，依据磋商文件“第三章 3.5.5 违背承诺的责任追究措施”，我单位承担相应法律责任及违约责任。 </w:t>
      </w:r>
    </w:p>
    <w:p>
      <w:pPr>
        <w:spacing w:line="500" w:lineRule="exact"/>
        <w:jc w:val="left"/>
      </w:pPr>
      <w:r>
        <w:rPr>
          <w:rFonts w:hint="eastAsia" w:ascii="宋体" w:hAnsi="宋体" w:cs="宋体"/>
          <w:sz w:val="24"/>
          <w:szCs w:val="24"/>
        </w:rPr>
        <w:t xml:space="preserve">8. 我单位同意提供按照贵方可能要求的与磋商有关的一切数据或资料，理解贵方不一定要接受最低价的投标或收到的任何投标。 </w:t>
      </w:r>
    </w:p>
    <w:p>
      <w:pPr>
        <w:spacing w:line="500" w:lineRule="exact"/>
        <w:jc w:val="left"/>
      </w:pPr>
      <w:r>
        <w:rPr>
          <w:rFonts w:hint="eastAsia" w:ascii="宋体" w:hAnsi="宋体" w:cs="宋体"/>
          <w:sz w:val="24"/>
          <w:szCs w:val="24"/>
        </w:rPr>
        <w:t xml:space="preserve">9.与本投标有关的一切正式往来请寄： </w:t>
      </w:r>
    </w:p>
    <w:p>
      <w:pPr>
        <w:spacing w:line="500" w:lineRule="exact"/>
        <w:jc w:val="left"/>
        <w:rPr>
          <w:rFonts w:ascii="宋体" w:hAnsi="宋体" w:cs="宋体"/>
          <w:sz w:val="24"/>
          <w:szCs w:val="24"/>
        </w:rPr>
      </w:pPr>
    </w:p>
    <w:p>
      <w:pPr>
        <w:spacing w:line="500" w:lineRule="exact"/>
        <w:jc w:val="left"/>
        <w:rPr>
          <w:rFonts w:ascii="宋体" w:hAnsi="宋体" w:cs="宋体"/>
          <w:sz w:val="24"/>
          <w:szCs w:val="24"/>
        </w:rPr>
      </w:pPr>
    </w:p>
    <w:p>
      <w:pPr>
        <w:spacing w:line="500" w:lineRule="exact"/>
        <w:jc w:val="left"/>
      </w:pPr>
      <w:r>
        <w:rPr>
          <w:rFonts w:hint="eastAsia" w:ascii="宋体" w:hAnsi="宋体" w:cs="宋体"/>
          <w:sz w:val="24"/>
          <w:szCs w:val="24"/>
        </w:rPr>
        <w:t xml:space="preserve">地址： 邮政编码： </w:t>
      </w:r>
    </w:p>
    <w:p>
      <w:pPr>
        <w:spacing w:line="500" w:lineRule="exact"/>
        <w:jc w:val="left"/>
      </w:pPr>
      <w:r>
        <w:rPr>
          <w:rFonts w:hint="eastAsia" w:ascii="宋体" w:hAnsi="宋体" w:cs="宋体"/>
          <w:sz w:val="24"/>
          <w:szCs w:val="24"/>
        </w:rPr>
        <w:t xml:space="preserve">电话： 传真： </w:t>
      </w:r>
    </w:p>
    <w:p>
      <w:pPr>
        <w:spacing w:line="500" w:lineRule="exact"/>
        <w:jc w:val="left"/>
      </w:pPr>
      <w:r>
        <w:rPr>
          <w:rFonts w:hint="eastAsia" w:ascii="宋体" w:hAnsi="宋体" w:cs="宋体"/>
          <w:sz w:val="24"/>
          <w:szCs w:val="24"/>
        </w:rPr>
        <w:t xml:space="preserve">供应商（电子签章）： </w:t>
      </w:r>
    </w:p>
    <w:p>
      <w:pPr>
        <w:spacing w:line="500" w:lineRule="exact"/>
        <w:jc w:val="left"/>
      </w:pPr>
      <w:r>
        <w:rPr>
          <w:rFonts w:hint="eastAsia" w:ascii="宋体" w:hAnsi="宋体" w:cs="宋体"/>
          <w:sz w:val="24"/>
          <w:szCs w:val="24"/>
        </w:rPr>
        <w:t xml:space="preserve">法定代表人（电子签名）： </w:t>
      </w:r>
    </w:p>
    <w:p>
      <w:pPr>
        <w:spacing w:line="500" w:lineRule="exact"/>
        <w:jc w:val="left"/>
      </w:pPr>
      <w:r>
        <w:rPr>
          <w:rFonts w:hint="eastAsia" w:ascii="宋体" w:hAnsi="宋体" w:cs="宋体"/>
          <w:sz w:val="24"/>
          <w:szCs w:val="24"/>
        </w:rPr>
        <w:t xml:space="preserve">日期： 年月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2、 开标一览表</w:t>
      </w:r>
    </w:p>
    <w:p>
      <w:pPr>
        <w:spacing w:line="600" w:lineRule="exact"/>
        <w:jc w:val="left"/>
      </w:pPr>
      <w:r>
        <w:rPr>
          <w:rFonts w:hint="eastAsia" w:ascii="宋体" w:hAnsi="宋体" w:cs="宋体"/>
          <w:b/>
          <w:bCs/>
          <w:sz w:val="24"/>
          <w:szCs w:val="24"/>
        </w:rPr>
        <w:t xml:space="preserve">注：供应商需在“安阳市政府采购投标文件编制系统”中、按系统要求填列开 </w:t>
      </w:r>
    </w:p>
    <w:p>
      <w:pPr>
        <w:spacing w:line="600" w:lineRule="exact"/>
        <w:jc w:val="left"/>
      </w:pPr>
      <w:r>
        <w:rPr>
          <w:rFonts w:hint="eastAsia" w:ascii="宋体" w:hAnsi="宋体" w:cs="宋体"/>
          <w:b/>
          <w:bCs/>
          <w:sz w:val="24"/>
          <w:szCs w:val="24"/>
        </w:rPr>
        <w:t xml:space="preserve">标一览表，系统中填列的开标一览表为供应商《投标文件》的一部分。 </w:t>
      </w:r>
    </w:p>
    <w:p>
      <w:pPr>
        <w:spacing w:line="600" w:lineRule="exact"/>
        <w:jc w:val="left"/>
        <w:rPr>
          <w:rFonts w:ascii="宋体" w:hAnsi="宋体" w:cs="宋体"/>
          <w:b/>
          <w:bCs/>
          <w:sz w:val="24"/>
          <w:szCs w:val="24"/>
        </w:rPr>
      </w:pPr>
    </w:p>
    <w:p>
      <w:pPr>
        <w:spacing w:line="600" w:lineRule="exact"/>
        <w:jc w:val="left"/>
      </w:pPr>
      <w:r>
        <w:rPr>
          <w:rFonts w:hint="eastAsia" w:ascii="宋体" w:hAnsi="宋体" w:cs="宋体"/>
          <w:b/>
          <w:bCs/>
          <w:sz w:val="24"/>
          <w:szCs w:val="24"/>
        </w:rPr>
        <w:t xml:space="preserve">基于电子化交易的特点，供应商上传解密后的《开标一览表》、《分项报价表》、 </w:t>
      </w:r>
    </w:p>
    <w:p>
      <w:pPr>
        <w:spacing w:line="600" w:lineRule="exact"/>
        <w:jc w:val="left"/>
      </w:pPr>
      <w:r>
        <w:rPr>
          <w:rFonts w:hint="eastAsia" w:ascii="宋体" w:hAnsi="宋体" w:cs="宋体"/>
          <w:b/>
          <w:bCs/>
          <w:sz w:val="24"/>
          <w:szCs w:val="24"/>
        </w:rPr>
        <w:t xml:space="preserve">《符合性响应文件》、《资格性证明文件》，构成《投标文件》的组成部分。 </w:t>
      </w:r>
    </w:p>
    <w:p>
      <w:pPr>
        <w:spacing w:line="600" w:lineRule="exact"/>
        <w:jc w:val="left"/>
        <w:rPr>
          <w:rFonts w:ascii="宋体" w:hAnsi="宋体" w:cs="宋体"/>
          <w:b/>
          <w:bCs/>
          <w:sz w:val="24"/>
          <w:szCs w:val="24"/>
        </w:rPr>
      </w:pPr>
    </w:p>
    <w:p>
      <w:pPr>
        <w:spacing w:line="600" w:lineRule="exact"/>
        <w:jc w:val="left"/>
      </w:pPr>
      <w:r>
        <w:rPr>
          <w:rFonts w:hint="eastAsia" w:ascii="宋体" w:hAnsi="宋体" w:cs="宋体"/>
          <w:b/>
          <w:bCs/>
          <w:sz w:val="24"/>
          <w:szCs w:val="24"/>
        </w:rPr>
        <w:t xml:space="preserve">《开标一览表》、《分项报价表》无需另行填列。 </w:t>
      </w:r>
    </w:p>
    <w:p>
      <w:pPr>
        <w:spacing w:line="600" w:lineRule="exact"/>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3、分项报价</w:t>
      </w:r>
    </w:p>
    <w:p>
      <w:pPr>
        <w:spacing w:line="60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注：1、供应商需在“安阳市政府采购投标文件编制系统”中、按系统要求填列分项报价，系统中填列的分项报价为供应商《投标文件》的一部分。 </w:t>
      </w:r>
    </w:p>
    <w:p>
      <w:pPr>
        <w:spacing w:line="600" w:lineRule="exact"/>
        <w:jc w:val="left"/>
        <w:rPr>
          <w:rFonts w:ascii="宋体" w:hAnsi="宋体" w:cs="宋体"/>
          <w:b/>
          <w:bCs/>
          <w:sz w:val="24"/>
          <w:szCs w:val="24"/>
        </w:rPr>
      </w:pPr>
    </w:p>
    <w:p>
      <w:pPr>
        <w:spacing w:line="600" w:lineRule="exact"/>
        <w:ind w:firstLine="482" w:firstLineChars="200"/>
        <w:jc w:val="left"/>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 xml:space="preserve">、基于电子化交易的特点，供应商上传解密后的《开标一览表》、《分项报价表》、《符合性响应文件》、《资格性证明文件》，构成《投标文件》的组成部分。 </w:t>
      </w:r>
    </w:p>
    <w:p>
      <w:pPr>
        <w:spacing w:line="600" w:lineRule="exact"/>
        <w:jc w:val="left"/>
        <w:rPr>
          <w:rFonts w:ascii="宋体" w:hAnsi="宋体" w:cs="宋体"/>
          <w:b/>
          <w:bCs/>
          <w:sz w:val="24"/>
          <w:szCs w:val="24"/>
        </w:rPr>
      </w:pPr>
      <w:r>
        <w:rPr>
          <w:rFonts w:hint="eastAsia" w:ascii="宋体" w:hAnsi="宋体" w:cs="宋体"/>
          <w:b/>
          <w:bCs/>
          <w:sz w:val="24"/>
          <w:szCs w:val="24"/>
        </w:rPr>
        <w:t xml:space="preserve">《开标一览表》、《分项报价表》无需另行填列。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4、响应产品清单及具体技术参数</w:t>
      </w:r>
    </w:p>
    <w:p>
      <w:pPr>
        <w:jc w:val="center"/>
      </w:pPr>
      <w:r>
        <w:rPr>
          <w:rFonts w:hint="eastAsia" w:ascii="宋体" w:hAnsi="宋体" w:cs="宋体"/>
          <w:b/>
          <w:bCs/>
          <w:sz w:val="24"/>
          <w:szCs w:val="24"/>
        </w:rPr>
        <w:t>（格式自定）</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jc w:val="center"/>
      </w:pPr>
      <w:r>
        <w:rPr>
          <w:rFonts w:hint="eastAsia" w:ascii="黑体" w:hAnsi="宋体" w:eastAsia="黑体" w:cs="黑体"/>
          <w:b/>
          <w:bCs/>
          <w:sz w:val="30"/>
          <w:szCs w:val="30"/>
        </w:rPr>
        <w:t>5、技术偏差表</w:t>
      </w:r>
    </w:p>
    <w:p>
      <w:pPr>
        <w:jc w:val="left"/>
        <w:rPr>
          <w:rFonts w:ascii="宋体" w:hAnsi="宋体" w:cs="宋体"/>
          <w:sz w:val="24"/>
          <w:szCs w:val="24"/>
        </w:rPr>
      </w:pPr>
    </w:p>
    <w:tbl>
      <w:tblPr>
        <w:tblStyle w:val="25"/>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661"/>
        <w:gridCol w:w="1666"/>
        <w:gridCol w:w="1666"/>
        <w:gridCol w:w="166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序号</w:t>
            </w:r>
          </w:p>
        </w:tc>
        <w:tc>
          <w:tcPr>
            <w:tcW w:w="2661" w:type="dxa"/>
            <w:vAlign w:val="center"/>
          </w:tcPr>
          <w:p>
            <w:pPr>
              <w:jc w:val="left"/>
              <w:rPr>
                <w:rFonts w:hint="eastAsia" w:ascii="宋体" w:hAnsi="宋体" w:cs="宋体"/>
                <w:sz w:val="24"/>
                <w:szCs w:val="24"/>
              </w:rPr>
            </w:pPr>
            <w:r>
              <w:rPr>
                <w:rFonts w:hint="eastAsia" w:ascii="宋体" w:hAnsi="宋体" w:cs="宋体"/>
                <w:sz w:val="24"/>
                <w:szCs w:val="24"/>
              </w:rPr>
              <w:t>产品名称</w:t>
            </w:r>
          </w:p>
        </w:tc>
        <w:tc>
          <w:tcPr>
            <w:tcW w:w="1666" w:type="dxa"/>
            <w:vAlign w:val="center"/>
          </w:tcPr>
          <w:p>
            <w:pPr>
              <w:jc w:val="left"/>
              <w:rPr>
                <w:rFonts w:hint="eastAsia" w:ascii="宋体" w:hAnsi="宋体" w:cs="宋体"/>
                <w:sz w:val="24"/>
                <w:szCs w:val="24"/>
              </w:rPr>
            </w:pPr>
            <w:r>
              <w:rPr>
                <w:rFonts w:hint="eastAsia" w:ascii="宋体" w:hAnsi="宋体" w:cs="宋体"/>
                <w:sz w:val="24"/>
                <w:szCs w:val="24"/>
              </w:rPr>
              <w:t>技术参数</w:t>
            </w:r>
          </w:p>
        </w:tc>
        <w:tc>
          <w:tcPr>
            <w:tcW w:w="1666" w:type="dxa"/>
            <w:vAlign w:val="center"/>
          </w:tcPr>
          <w:p>
            <w:pPr>
              <w:jc w:val="left"/>
              <w:rPr>
                <w:rFonts w:hint="eastAsia" w:ascii="宋体" w:hAnsi="宋体" w:cs="宋体"/>
                <w:sz w:val="24"/>
                <w:szCs w:val="24"/>
              </w:rPr>
            </w:pPr>
            <w:r>
              <w:rPr>
                <w:rFonts w:hint="eastAsia" w:ascii="宋体" w:hAnsi="宋体" w:cs="宋体"/>
                <w:sz w:val="24"/>
                <w:szCs w:val="24"/>
              </w:rPr>
              <w:t>单位</w:t>
            </w:r>
          </w:p>
        </w:tc>
        <w:tc>
          <w:tcPr>
            <w:tcW w:w="1666" w:type="dxa"/>
            <w:vAlign w:val="center"/>
          </w:tcPr>
          <w:p>
            <w:pPr>
              <w:jc w:val="left"/>
              <w:rPr>
                <w:rFonts w:hint="eastAsia" w:ascii="宋体" w:hAnsi="宋体" w:cs="宋体"/>
                <w:sz w:val="24"/>
                <w:szCs w:val="24"/>
              </w:rPr>
            </w:pPr>
            <w:r>
              <w:rPr>
                <w:rFonts w:hint="eastAsia" w:ascii="宋体" w:hAnsi="宋体" w:cs="宋体"/>
                <w:sz w:val="24"/>
                <w:szCs w:val="24"/>
              </w:rPr>
              <w:t>数量</w:t>
            </w:r>
          </w:p>
        </w:tc>
        <w:tc>
          <w:tcPr>
            <w:tcW w:w="1666" w:type="dxa"/>
            <w:vAlign w:val="center"/>
          </w:tcPr>
          <w:p>
            <w:pPr>
              <w:jc w:val="left"/>
              <w:rPr>
                <w:rFonts w:hint="eastAsia" w:ascii="宋体" w:hAnsi="宋体" w:cs="宋体"/>
                <w:sz w:val="24"/>
                <w:szCs w:val="24"/>
              </w:rPr>
            </w:pPr>
            <w:r>
              <w:rPr>
                <w:rFonts w:hint="eastAsia" w:ascii="宋体" w:hAnsi="宋体" w:cs="宋体"/>
                <w:sz w:val="24"/>
                <w:szCs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1</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2</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3</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4</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5</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6</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7</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8</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9</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671" w:type="dxa"/>
            <w:vAlign w:val="center"/>
          </w:tcPr>
          <w:p>
            <w:pPr>
              <w:jc w:val="left"/>
              <w:rPr>
                <w:rFonts w:hint="eastAsia" w:ascii="宋体" w:hAnsi="宋体" w:cs="宋体"/>
                <w:sz w:val="24"/>
                <w:szCs w:val="24"/>
              </w:rPr>
            </w:pPr>
            <w:r>
              <w:rPr>
                <w:rFonts w:hint="eastAsia" w:ascii="宋体" w:hAnsi="宋体" w:cs="宋体"/>
                <w:sz w:val="24"/>
                <w:szCs w:val="24"/>
              </w:rPr>
              <w:t>.....</w:t>
            </w:r>
          </w:p>
        </w:tc>
        <w:tc>
          <w:tcPr>
            <w:tcW w:w="2661"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c>
          <w:tcPr>
            <w:tcW w:w="1666" w:type="dxa"/>
            <w:vAlign w:val="center"/>
          </w:tcPr>
          <w:p>
            <w:pPr>
              <w:jc w:val="left"/>
              <w:rPr>
                <w:rFonts w:hint="eastAsia" w:ascii="宋体" w:hAnsi="宋体" w:cs="宋体"/>
                <w:sz w:val="24"/>
                <w:szCs w:val="24"/>
              </w:rPr>
            </w:pPr>
          </w:p>
        </w:tc>
      </w:tr>
    </w:tbl>
    <w:p>
      <w:pPr>
        <w:jc w:val="left"/>
        <w:rPr>
          <w:rFonts w:hint="eastAsia"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rPr>
          <w:rFonts w:ascii="宋体" w:hAnsi="宋体" w:cs="宋体"/>
          <w:sz w:val="24"/>
          <w:szCs w:val="24"/>
        </w:rPr>
      </w:pPr>
      <w:r>
        <w:rPr>
          <w:rFonts w:hint="eastAsia" w:ascii="宋体" w:hAnsi="宋体" w:cs="宋体"/>
          <w:sz w:val="24"/>
          <w:szCs w:val="24"/>
        </w:rPr>
        <w:t>日期：年 月 日</w:t>
      </w:r>
    </w:p>
    <w:p>
      <w:pPr>
        <w:rPr>
          <w:rFonts w:ascii="宋体" w:hAnsi="宋体" w:cs="宋体"/>
          <w:sz w:val="24"/>
          <w:szCs w:val="24"/>
        </w:rPr>
      </w:pPr>
      <w:r>
        <w:rPr>
          <w:rFonts w:hint="eastAsia" w:ascii="宋体" w:hAnsi="宋体" w:cs="宋体"/>
          <w:sz w:val="24"/>
          <w:szCs w:val="24"/>
        </w:rPr>
        <w:br w:type="page"/>
      </w:r>
    </w:p>
    <w:tbl>
      <w:tblPr>
        <w:tblStyle w:val="2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32"/>
        <w:gridCol w:w="3503"/>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3032" w:type="dxa"/>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磋商文件要求条款</w:t>
            </w:r>
          </w:p>
        </w:tc>
        <w:tc>
          <w:tcPr>
            <w:tcW w:w="3503" w:type="dxa"/>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响应文件条款</w:t>
            </w:r>
          </w:p>
        </w:tc>
        <w:tc>
          <w:tcPr>
            <w:tcW w:w="2470" w:type="dxa"/>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3"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3032" w:type="dxa"/>
          </w:tcPr>
          <w:p>
            <w:pPr>
              <w:jc w:val="both"/>
              <w:rPr>
                <w:rFonts w:hint="eastAsia" w:ascii="宋体" w:hAnsi="宋体" w:eastAsia="宋体" w:cs="宋体"/>
                <w:b w:val="0"/>
                <w:bCs w:val="0"/>
                <w:sz w:val="24"/>
                <w:szCs w:val="24"/>
              </w:rPr>
            </w:pPr>
          </w:p>
        </w:tc>
        <w:tc>
          <w:tcPr>
            <w:tcW w:w="3503" w:type="dxa"/>
          </w:tcPr>
          <w:p>
            <w:pPr>
              <w:jc w:val="both"/>
              <w:rPr>
                <w:rFonts w:hint="eastAsia" w:ascii="宋体" w:hAnsi="宋体" w:eastAsia="宋体" w:cs="宋体"/>
                <w:b w:val="0"/>
                <w:bCs w:val="0"/>
                <w:sz w:val="24"/>
                <w:szCs w:val="24"/>
              </w:rPr>
            </w:pPr>
          </w:p>
        </w:tc>
        <w:tc>
          <w:tcPr>
            <w:tcW w:w="2470" w:type="dxa"/>
          </w:tcPr>
          <w:p>
            <w:pPr>
              <w:jc w:val="both"/>
              <w:rPr>
                <w:rFonts w:hint="eastAsia" w:ascii="宋体" w:hAnsi="宋体" w:eastAsia="宋体" w:cs="宋体"/>
                <w:b w:val="0"/>
                <w:bCs w:val="0"/>
                <w:sz w:val="24"/>
                <w:szCs w:val="24"/>
              </w:rPr>
            </w:pPr>
          </w:p>
        </w:tc>
      </w:tr>
    </w:tbl>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注：1、“技术偏差表”应详细注明与《磋商文件》中各项技术要求有何不同，并说明其符合性（优于、或低于《磋商文件》要求）。</w:t>
      </w: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jc w:val="center"/>
        <w:rPr>
          <w:rFonts w:hint="eastAsia" w:ascii="黑体" w:hAnsi="宋体" w:eastAsia="黑体" w:cs="黑体"/>
          <w:b/>
          <w:bCs/>
          <w:sz w:val="30"/>
          <w:szCs w:val="30"/>
        </w:rPr>
      </w:pPr>
      <w:r>
        <w:rPr>
          <w:rFonts w:hint="eastAsia" w:ascii="黑体" w:hAnsi="宋体" w:eastAsia="黑体" w:cs="黑体"/>
          <w:b/>
          <w:bCs/>
          <w:sz w:val="30"/>
          <w:szCs w:val="30"/>
        </w:rPr>
        <w:t>6、其他偏差表</w:t>
      </w:r>
    </w:p>
    <w:tbl>
      <w:tblPr>
        <w:tblStyle w:val="2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32"/>
        <w:gridCol w:w="3503"/>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3032"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磋商文件要求条款</w:t>
            </w:r>
          </w:p>
        </w:tc>
        <w:tc>
          <w:tcPr>
            <w:tcW w:w="350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响应文件条款</w:t>
            </w:r>
          </w:p>
        </w:tc>
        <w:tc>
          <w:tcPr>
            <w:tcW w:w="247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3"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3032" w:type="dxa"/>
          </w:tcPr>
          <w:p>
            <w:pPr>
              <w:rPr>
                <w:rFonts w:hint="eastAsia" w:ascii="宋体" w:hAnsi="宋体" w:eastAsia="宋体" w:cs="宋体"/>
                <w:b w:val="0"/>
                <w:bCs w:val="0"/>
                <w:sz w:val="24"/>
                <w:szCs w:val="24"/>
              </w:rPr>
            </w:pPr>
          </w:p>
        </w:tc>
        <w:tc>
          <w:tcPr>
            <w:tcW w:w="3503" w:type="dxa"/>
          </w:tcPr>
          <w:p>
            <w:pPr>
              <w:rPr>
                <w:rFonts w:hint="eastAsia" w:ascii="宋体" w:hAnsi="宋体" w:eastAsia="宋体" w:cs="宋体"/>
                <w:b w:val="0"/>
                <w:bCs w:val="0"/>
                <w:sz w:val="24"/>
                <w:szCs w:val="24"/>
              </w:rPr>
            </w:pPr>
          </w:p>
        </w:tc>
        <w:tc>
          <w:tcPr>
            <w:tcW w:w="2470" w:type="dxa"/>
          </w:tcPr>
          <w:p>
            <w:pPr>
              <w:rPr>
                <w:rFonts w:hint="eastAsia" w:ascii="宋体" w:hAnsi="宋体" w:eastAsia="宋体" w:cs="宋体"/>
                <w:b w:val="0"/>
                <w:bCs w:val="0"/>
                <w:sz w:val="24"/>
                <w:szCs w:val="24"/>
              </w:rPr>
            </w:pPr>
          </w:p>
        </w:tc>
      </w:tr>
    </w:tbl>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注：如投标条款与《磋商文件》要求一致，仍需在本表填列“与《磋商文件》所有条款要求一致，无偏差”字样。 </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rPr>
        <w:t>供应商（电子签章）：</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法定代表人（电子签名）：</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w:t>
      </w:r>
    </w:p>
    <w:p>
      <w:pPr>
        <w:rPr>
          <w:rFonts w:ascii="黑体" w:hAnsi="宋体" w:eastAsia="黑体" w:cs="黑体"/>
          <w:b/>
          <w:bCs/>
          <w:sz w:val="30"/>
          <w:szCs w:val="30"/>
        </w:rPr>
      </w:pPr>
      <w:r>
        <w:rPr>
          <w:rFonts w:hint="eastAsia" w:ascii="黑体" w:hAnsi="宋体" w:eastAsia="黑体" w:cs="黑体"/>
          <w:b/>
          <w:bCs/>
          <w:sz w:val="30"/>
          <w:szCs w:val="30"/>
        </w:rPr>
        <w:br w:type="page"/>
      </w:r>
    </w:p>
    <w:p>
      <w:pPr>
        <w:pStyle w:val="32"/>
        <w:rPr>
          <w:rFonts w:hint="eastAsia"/>
          <w:lang w:val="en-US" w:eastAsia="zh-CN"/>
        </w:rPr>
      </w:pPr>
      <w:r>
        <w:rPr>
          <w:rFonts w:hint="eastAsia"/>
          <w:lang w:val="en-US" w:eastAsia="zh-CN"/>
        </w:rPr>
        <w:t xml:space="preserve">                                 </w:t>
      </w:r>
      <w:r>
        <w:rPr>
          <w:rFonts w:hint="eastAsia" w:ascii="黑体" w:hAnsi="黑体" w:eastAsia="黑体" w:cs="黑体"/>
          <w:b/>
          <w:bCs/>
          <w:sz w:val="30"/>
          <w:szCs w:val="30"/>
          <w:lang w:val="en-US" w:eastAsia="zh-CN"/>
        </w:rPr>
        <w:t>7、售后服务计划</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jc w:val="center"/>
        <w:rPr>
          <w:rFonts w:hint="eastAsia"/>
          <w:lang w:val="en-US" w:eastAsia="zh-CN"/>
        </w:rPr>
      </w:pPr>
      <w:r>
        <w:rPr>
          <w:rFonts w:hint="eastAsia"/>
          <w:b/>
          <w:bCs/>
          <w:lang w:val="en-US" w:eastAsia="zh-CN"/>
        </w:rPr>
        <w:t>格式自拟</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r>
        <w:rPr>
          <w:rFonts w:hint="eastAsia"/>
          <w:lang w:val="en-US" w:eastAsia="zh-CN"/>
        </w:rPr>
        <w:t>供应商（电子签章）：</w:t>
      </w:r>
    </w:p>
    <w:p>
      <w:pPr>
        <w:pStyle w:val="32"/>
        <w:rPr>
          <w:rFonts w:hint="eastAsia"/>
          <w:lang w:val="en-US" w:eastAsia="zh-CN"/>
        </w:rPr>
      </w:pPr>
      <w:r>
        <w:rPr>
          <w:rFonts w:hint="eastAsia"/>
          <w:lang w:val="en-US" w:eastAsia="zh-CN"/>
        </w:rPr>
        <w:t>法定代表人（电子签名）：</w:t>
      </w:r>
    </w:p>
    <w:p>
      <w:pPr>
        <w:pStyle w:val="32"/>
        <w:rPr>
          <w:rFonts w:hint="eastAsia"/>
          <w:lang w:val="en-US" w:eastAsia="zh-CN"/>
        </w:rPr>
      </w:pPr>
      <w:r>
        <w:rPr>
          <w:rFonts w:hint="eastAsia"/>
          <w:lang w:val="en-US" w:eastAsia="zh-CN"/>
        </w:rPr>
        <w:t>日期：年月 日</w:t>
      </w:r>
    </w:p>
    <w:p>
      <w:pPr>
        <w:pStyle w:val="32"/>
        <w:rPr>
          <w:rFonts w:hint="eastAsia"/>
          <w:lang w:val="en-US" w:eastAsia="zh-CN"/>
        </w:rPr>
      </w:pPr>
      <w:r>
        <w:rPr>
          <w:rFonts w:hint="eastAsia"/>
          <w:lang w:val="en-US" w:eastAsia="zh-CN"/>
        </w:rPr>
        <w:br w:type="page"/>
      </w:r>
    </w:p>
    <w:p>
      <w:pPr>
        <w:pStyle w:val="32"/>
        <w:jc w:val="center"/>
        <w:rPr>
          <w:rFonts w:hint="eastAsia"/>
          <w:lang w:val="en-US" w:eastAsia="zh-CN"/>
        </w:rPr>
      </w:pPr>
      <w:r>
        <w:rPr>
          <w:rFonts w:hint="eastAsia" w:ascii="黑体" w:hAnsi="黑体" w:eastAsia="黑体" w:cs="黑体"/>
          <w:b/>
          <w:bCs/>
          <w:sz w:val="30"/>
          <w:szCs w:val="30"/>
          <w:lang w:val="en-US" w:eastAsia="zh-CN"/>
        </w:rPr>
        <w:t>8、反商业贿赂承诺书</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我公司承诺：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在采购活动中，我公司保证做到：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一、公平竞争参加本次采购活动。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三、若出现上述行为，我公司及其参与投标的工作人员愿意接受按照国家法律法规等有关规定给予的处罚。 </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r>
        <w:rPr>
          <w:rFonts w:hint="eastAsia"/>
          <w:lang w:val="en-US" w:eastAsia="zh-CN"/>
        </w:rPr>
        <w:t xml:space="preserve">供应商（电子签章）： </w:t>
      </w:r>
    </w:p>
    <w:p>
      <w:pPr>
        <w:pStyle w:val="32"/>
        <w:rPr>
          <w:rFonts w:hint="eastAsia"/>
          <w:lang w:val="en-US" w:eastAsia="zh-CN"/>
        </w:rPr>
      </w:pPr>
      <w:r>
        <w:rPr>
          <w:rFonts w:hint="eastAsia"/>
          <w:lang w:val="en-US" w:eastAsia="zh-CN"/>
        </w:rPr>
        <w:t xml:space="preserve">法定代表人（电子签名）： </w:t>
      </w:r>
    </w:p>
    <w:p>
      <w:pPr>
        <w:pStyle w:val="32"/>
        <w:rPr>
          <w:rFonts w:hint="eastAsia"/>
          <w:lang w:val="en-US" w:eastAsia="zh-CN"/>
        </w:rPr>
      </w:pPr>
      <w:r>
        <w:rPr>
          <w:rFonts w:hint="eastAsia"/>
          <w:lang w:val="en-US" w:eastAsia="zh-CN"/>
        </w:rPr>
        <w:t xml:space="preserve">日期 ： 年 月 日 </w:t>
      </w:r>
    </w:p>
    <w:p>
      <w:pPr>
        <w:pStyle w:val="32"/>
        <w:rPr>
          <w:rFonts w:hint="eastAsia"/>
          <w:lang w:val="en-US" w:eastAsia="zh-CN"/>
        </w:rPr>
      </w:pPr>
      <w:r>
        <w:rPr>
          <w:rFonts w:hint="eastAsia"/>
          <w:lang w:val="en-US" w:eastAsia="zh-CN"/>
        </w:rPr>
        <w:br w:type="page"/>
      </w:r>
    </w:p>
    <w:p>
      <w:pPr>
        <w:pStyle w:val="32"/>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9、履约承诺书</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一、我单位承诺： </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 </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二）我单位《响应文件》开启前已详细勘察现场，并按采购人现场条件及采购要求编制响应报价；我单位的响应报价括《磋商文件》所述报价组成的所有内容、并包括《磋商文件》未列明而与采购项目相关的、必须的所有款项及费用等达到交付使用及验收条件的所有一切风险、责任和义务的费用。 </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我单位保证按《磋商文件》要求及投标承诺的质量诚信履约。 </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 </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二、我单位承诺： </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lang w:val="en-US" w:eastAsia="zh-CN"/>
        </w:rPr>
      </w:pPr>
      <w:r>
        <w:rPr>
          <w:rFonts w:hint="eastAsia"/>
          <w:lang w:val="en-US" w:eastAsia="zh-CN"/>
        </w:rPr>
        <w:t xml:space="preserve">除法律规定的不可抗力因素外，我单位中标后以任何理由（包括违背上述承诺的事项）提出不能满足《磋商文件》技术、交验期等要求或不能实现投标承诺的或提出变更的，我单位将无条件接受违约处理、并放弃我单位中标资格。我单位知悉违约责任及其处理，并无条件接受：依据磋商文件“第三章 3.5.5 违背承诺的责任追究措施”，投标单位承担相应法律责任及违约责任；情节严重的，由财政部门列入不良行为记录名单，在一至三年内禁止参加政府采购活动，并予以通报，处以罚金，给采购人及他人造成损失的，承担相应的赔偿责任。 </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r>
        <w:rPr>
          <w:rFonts w:hint="eastAsia"/>
          <w:lang w:val="en-US" w:eastAsia="zh-CN"/>
        </w:rPr>
        <w:t>供应商（电子签章）：</w:t>
      </w:r>
    </w:p>
    <w:p>
      <w:pPr>
        <w:pStyle w:val="32"/>
        <w:rPr>
          <w:rFonts w:hint="eastAsia"/>
          <w:lang w:val="en-US" w:eastAsia="zh-CN"/>
        </w:rPr>
      </w:pPr>
      <w:r>
        <w:rPr>
          <w:rFonts w:hint="eastAsia"/>
          <w:lang w:val="en-US" w:eastAsia="zh-CN"/>
        </w:rPr>
        <w:t xml:space="preserve">法定代表人（电子签名）： </w:t>
      </w:r>
    </w:p>
    <w:p>
      <w:pPr>
        <w:pStyle w:val="32"/>
        <w:rPr>
          <w:rFonts w:hint="eastAsia"/>
          <w:lang w:val="en-US" w:eastAsia="zh-CN"/>
        </w:rPr>
      </w:pPr>
      <w:r>
        <w:rPr>
          <w:rFonts w:hint="eastAsia"/>
          <w:lang w:val="en-US" w:eastAsia="zh-CN"/>
        </w:rPr>
        <w:t xml:space="preserve">日期 ： 年 月 日 </w:t>
      </w:r>
    </w:p>
    <w:p>
      <w:pPr>
        <w:pStyle w:val="32"/>
        <w:rPr>
          <w:rFonts w:hint="eastAsia"/>
          <w:lang w:val="en-US" w:eastAsia="zh-CN"/>
        </w:rPr>
      </w:pPr>
      <w:r>
        <w:rPr>
          <w:rFonts w:hint="eastAsia"/>
          <w:lang w:val="en-US" w:eastAsia="zh-CN"/>
        </w:rPr>
        <w:br w:type="page"/>
      </w:r>
    </w:p>
    <w:p>
      <w:pPr>
        <w:pStyle w:val="32"/>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10、采购项目及服务要求所需的其他材料（按条款需要）</w:t>
      </w:r>
    </w:p>
    <w:p>
      <w:pPr>
        <w:pStyle w:val="32"/>
        <w:rPr>
          <w:rFonts w:hint="eastAsia"/>
          <w:lang w:val="en-US" w:eastAsia="zh-CN"/>
        </w:rPr>
      </w:pPr>
      <w:r>
        <w:rPr>
          <w:rFonts w:hint="eastAsia"/>
          <w:lang w:val="en-US" w:eastAsia="zh-CN"/>
        </w:rPr>
        <w:t>（按条款需要填列；并按条款要求电子签名&lt;签章&gt;。条款中对电子签名&lt;签章&gt;未作明确要求的，由法定代表人电子签名或供应商电子签章）</w:t>
      </w:r>
    </w:p>
    <w:p>
      <w:pPr>
        <w:pStyle w:val="32"/>
        <w:rPr>
          <w:rFonts w:hint="eastAsia"/>
          <w:lang w:val="en-US" w:eastAsia="zh-CN"/>
        </w:rPr>
      </w:pPr>
      <w:r>
        <w:rPr>
          <w:rFonts w:hint="eastAsia"/>
          <w:lang w:val="en-US" w:eastAsia="zh-CN"/>
        </w:rPr>
        <w:br w:type="page"/>
      </w:r>
    </w:p>
    <w:p>
      <w:pPr>
        <w:pStyle w:val="32"/>
        <w:rPr>
          <w:rFonts w:hint="eastAsia"/>
          <w:lang w:val="en-US" w:eastAsia="zh-CN"/>
        </w:rPr>
      </w:pPr>
      <w:r>
        <w:rPr>
          <w:rFonts w:hint="eastAsia" w:ascii="黑体" w:hAnsi="黑体" w:eastAsia="黑体" w:cs="黑体"/>
          <w:b/>
          <w:bCs/>
          <w:sz w:val="30"/>
          <w:szCs w:val="30"/>
          <w:lang w:val="en-US" w:eastAsia="zh-CN"/>
        </w:rPr>
        <w:t>11、供应商须知所需的其他材料（按条款需要）</w:t>
      </w:r>
      <w:r>
        <w:rPr>
          <w:rFonts w:hint="eastAsia"/>
          <w:lang w:val="en-US" w:eastAsia="zh-CN"/>
        </w:rPr>
        <w:t xml:space="preserve"> </w:t>
      </w:r>
    </w:p>
    <w:p>
      <w:pPr>
        <w:pStyle w:val="32"/>
        <w:rPr>
          <w:rFonts w:hint="eastAsia"/>
          <w:lang w:val="en-US" w:eastAsia="zh-CN"/>
        </w:rPr>
      </w:pPr>
      <w:r>
        <w:rPr>
          <w:rFonts w:hint="eastAsia"/>
          <w:lang w:val="en-US" w:eastAsia="zh-CN"/>
        </w:rPr>
        <w:t xml:space="preserve">（按条款需要填列；并按条款要求电子签名&lt;签章&gt;。条款中对电子签名&lt;签章&gt;未作明确要求的，由法定代表人电子签名或供应商电子签章） </w:t>
      </w:r>
    </w:p>
    <w:p>
      <w:pPr>
        <w:pStyle w:val="32"/>
        <w:rPr>
          <w:rFonts w:hint="eastAsia"/>
          <w:lang w:val="en-US" w:eastAsia="zh-CN"/>
        </w:rPr>
      </w:pPr>
      <w:r>
        <w:rPr>
          <w:rFonts w:hint="eastAsia"/>
          <w:lang w:val="en-US" w:eastAsia="zh-CN"/>
        </w:rPr>
        <w:br w:type="page"/>
      </w:r>
    </w:p>
    <w:p>
      <w:pPr>
        <w:pStyle w:val="32"/>
        <w:jc w:val="left"/>
        <w:rPr>
          <w:rFonts w:hint="eastAsia"/>
          <w:lang w:val="en-US" w:eastAsia="zh-CN"/>
        </w:rPr>
      </w:pPr>
      <w:r>
        <w:rPr>
          <w:rFonts w:hint="eastAsia" w:ascii="黑体" w:hAnsi="黑体" w:eastAsia="黑体" w:cs="黑体"/>
          <w:b/>
          <w:bCs/>
          <w:sz w:val="30"/>
          <w:szCs w:val="30"/>
          <w:lang w:val="en-US" w:eastAsia="zh-CN"/>
        </w:rPr>
        <w:t>12、评审办法所需的其他材料（按条款需要）</w:t>
      </w:r>
    </w:p>
    <w:p>
      <w:pPr>
        <w:pStyle w:val="32"/>
        <w:rPr>
          <w:rFonts w:hint="eastAsia"/>
          <w:lang w:val="en-US" w:eastAsia="zh-CN"/>
        </w:rPr>
      </w:pPr>
      <w:r>
        <w:rPr>
          <w:rFonts w:hint="eastAsia"/>
          <w:lang w:val="en-US" w:eastAsia="zh-CN"/>
        </w:rPr>
        <w:t xml:space="preserve">（按条款需要填列；并按条款要求电子签名&lt;签章&gt;。条款中对电子签名&lt;签章&gt;未作明确要求的，由法定代表人电子签名或供应商电子签章） </w:t>
      </w:r>
    </w:p>
    <w:p>
      <w:pPr>
        <w:pStyle w:val="32"/>
        <w:rPr>
          <w:rFonts w:hint="eastAsia"/>
          <w:lang w:val="en-US" w:eastAsia="zh-CN"/>
        </w:rPr>
      </w:pPr>
      <w:r>
        <w:rPr>
          <w:rFonts w:hint="eastAsia"/>
          <w:lang w:val="en-US" w:eastAsia="zh-CN"/>
        </w:rPr>
        <w:br w:type="page"/>
      </w: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13、供应商认为有必要提交的其它材料 </w:t>
      </w:r>
    </w:p>
    <w:p>
      <w:pPr>
        <w:pStyle w:val="32"/>
        <w:rPr>
          <w:rFonts w:hint="eastAsia"/>
          <w:lang w:val="en-US" w:eastAsia="zh-CN"/>
        </w:rPr>
      </w:pPr>
      <w:r>
        <w:rPr>
          <w:rFonts w:hint="eastAsia"/>
          <w:lang w:val="en-US" w:eastAsia="zh-CN"/>
        </w:rPr>
        <w:t xml:space="preserve">（按条款需要填列；并按条款要求电子签名&lt;签章&gt;。条款中对电子签名&lt;签章&gt;未作明确要求的，由法定代表人电子签名或供应商电子签章） </w:t>
      </w:r>
    </w:p>
    <w:p>
      <w:pPr>
        <w:pStyle w:val="32"/>
        <w:rPr>
          <w:rFonts w:hint="eastAsia"/>
          <w:lang w:val="en-US" w:eastAsia="zh-CN"/>
        </w:rPr>
      </w:pPr>
      <w:r>
        <w:rPr>
          <w:rFonts w:hint="eastAsia"/>
          <w:lang w:val="en-US" w:eastAsia="zh-CN"/>
        </w:rPr>
        <w:br w:type="page"/>
      </w:r>
    </w:p>
    <w:p>
      <w:pPr>
        <w:pStyle w:val="32"/>
        <w:jc w:val="center"/>
        <w:rPr>
          <w:rFonts w:hint="eastAsia" w:ascii="黑体" w:hAnsi="黑体" w:eastAsia="黑体" w:cs="黑体"/>
          <w:sz w:val="72"/>
          <w:szCs w:val="72"/>
          <w:lang w:val="en-US" w:eastAsia="zh-CN"/>
        </w:rPr>
      </w:pPr>
    </w:p>
    <w:p>
      <w:pPr>
        <w:pStyle w:val="32"/>
        <w:jc w:val="center"/>
        <w:rPr>
          <w:rFonts w:hint="eastAsia" w:ascii="黑体" w:hAnsi="黑体" w:eastAsia="黑体" w:cs="黑体"/>
          <w:sz w:val="72"/>
          <w:szCs w:val="72"/>
          <w:lang w:val="en-US" w:eastAsia="zh-CN"/>
        </w:rPr>
      </w:pPr>
    </w:p>
    <w:p>
      <w:pPr>
        <w:pStyle w:val="32"/>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项 目</w:t>
      </w:r>
    </w:p>
    <w:p>
      <w:pPr>
        <w:pStyle w:val="32"/>
        <w:jc w:val="center"/>
        <w:rPr>
          <w:rFonts w:hint="eastAsia" w:ascii="黑体" w:hAnsi="黑体" w:eastAsia="黑体" w:cs="黑体"/>
          <w:lang w:val="en-US" w:eastAsia="zh-CN"/>
        </w:rPr>
      </w:pPr>
    </w:p>
    <w:p>
      <w:pPr>
        <w:pStyle w:val="32"/>
        <w:jc w:val="center"/>
        <w:rPr>
          <w:rFonts w:hint="eastAsia" w:ascii="黑体" w:hAnsi="黑体" w:eastAsia="黑体" w:cs="黑体"/>
          <w:lang w:val="en-US" w:eastAsia="zh-CN"/>
        </w:rPr>
      </w:pPr>
    </w:p>
    <w:p>
      <w:pPr>
        <w:pStyle w:val="32"/>
        <w:jc w:val="center"/>
        <w:rPr>
          <w:rFonts w:hint="eastAsia" w:ascii="黑体" w:hAnsi="黑体" w:eastAsia="黑体" w:cs="黑体"/>
          <w:sz w:val="52"/>
          <w:szCs w:val="52"/>
          <w:lang w:val="en-US" w:eastAsia="zh-CN"/>
        </w:rPr>
      </w:pPr>
    </w:p>
    <w:p>
      <w:pPr>
        <w:pStyle w:val="32"/>
        <w:jc w:val="center"/>
        <w:rPr>
          <w:rFonts w:hint="eastAsia" w:ascii="黑体" w:hAnsi="黑体" w:eastAsia="黑体" w:cs="黑体"/>
          <w:sz w:val="52"/>
          <w:szCs w:val="52"/>
          <w:lang w:val="en-US" w:eastAsia="zh-CN"/>
        </w:rPr>
      </w:pPr>
    </w:p>
    <w:p>
      <w:pPr>
        <w:pStyle w:val="32"/>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资格性证明文件</w:t>
      </w:r>
    </w:p>
    <w:p>
      <w:pPr>
        <w:pStyle w:val="32"/>
        <w:jc w:val="center"/>
        <w:rPr>
          <w:rFonts w:hint="eastAsia" w:ascii="黑体" w:hAnsi="黑体" w:eastAsia="黑体" w:cs="黑体"/>
          <w:sz w:val="52"/>
          <w:szCs w:val="52"/>
          <w:lang w:val="en-US" w:eastAsia="zh-CN"/>
        </w:rPr>
      </w:pPr>
      <w:r>
        <w:rPr>
          <w:rFonts w:hint="eastAsia" w:ascii="黑体" w:hAnsi="黑体" w:eastAsia="黑体" w:cs="黑体"/>
          <w:sz w:val="32"/>
          <w:szCs w:val="32"/>
          <w:lang w:val="en-US" w:eastAsia="zh-CN"/>
        </w:rPr>
        <w:t>项目编号：</w:t>
      </w:r>
    </w:p>
    <w:p>
      <w:pPr>
        <w:pStyle w:val="32"/>
        <w:jc w:val="center"/>
        <w:rPr>
          <w:rFonts w:hint="eastAsia" w:ascii="黑体" w:hAnsi="黑体" w:eastAsia="黑体" w:cs="黑体"/>
          <w:lang w:val="en-US" w:eastAsia="zh-CN"/>
        </w:rPr>
      </w:pPr>
    </w:p>
    <w:p>
      <w:pPr>
        <w:pStyle w:val="32"/>
        <w:jc w:val="center"/>
        <w:rPr>
          <w:rFonts w:hint="eastAsia" w:ascii="黑体" w:hAnsi="黑体" w:eastAsia="黑体" w:cs="黑体"/>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sz w:val="30"/>
          <w:szCs w:val="30"/>
          <w:lang w:val="en-US" w:eastAsia="zh-CN"/>
        </w:rPr>
      </w:pPr>
      <w:r>
        <w:rPr>
          <w:rFonts w:hint="eastAsia"/>
          <w:sz w:val="30"/>
          <w:szCs w:val="30"/>
          <w:lang w:val="en-US" w:eastAsia="zh-CN"/>
        </w:rPr>
        <w:t xml:space="preserve">供应商： （加盖电子签章） </w:t>
      </w:r>
    </w:p>
    <w:p>
      <w:pPr>
        <w:pStyle w:val="32"/>
        <w:rPr>
          <w:rFonts w:hint="eastAsia"/>
          <w:sz w:val="30"/>
          <w:szCs w:val="30"/>
          <w:lang w:val="en-US" w:eastAsia="zh-CN"/>
        </w:rPr>
      </w:pPr>
      <w:r>
        <w:rPr>
          <w:rFonts w:hint="eastAsia"/>
          <w:sz w:val="30"/>
          <w:szCs w:val="30"/>
          <w:lang w:val="en-US" w:eastAsia="zh-CN"/>
        </w:rPr>
        <w:t xml:space="preserve">法定代表人： （加盖电子签名） </w:t>
      </w:r>
    </w:p>
    <w:p>
      <w:pPr>
        <w:pStyle w:val="32"/>
        <w:rPr>
          <w:rFonts w:hint="eastAsia"/>
          <w:sz w:val="30"/>
          <w:szCs w:val="30"/>
          <w:lang w:val="en-US" w:eastAsia="zh-CN"/>
        </w:rPr>
      </w:pPr>
      <w:r>
        <w:rPr>
          <w:rFonts w:hint="eastAsia"/>
          <w:sz w:val="30"/>
          <w:szCs w:val="30"/>
          <w:lang w:val="en-US" w:eastAsia="zh-CN"/>
        </w:rPr>
        <w:t xml:space="preserve">投标日期： 年 月 日 </w:t>
      </w:r>
    </w:p>
    <w:p>
      <w:pPr>
        <w:pStyle w:val="32"/>
        <w:rPr>
          <w:rFonts w:hint="eastAsia"/>
          <w:sz w:val="30"/>
          <w:szCs w:val="30"/>
          <w:lang w:val="en-US" w:eastAsia="zh-CN"/>
        </w:rPr>
      </w:pPr>
      <w:r>
        <w:rPr>
          <w:rFonts w:hint="eastAsia"/>
          <w:sz w:val="30"/>
          <w:szCs w:val="30"/>
          <w:lang w:val="en-US" w:eastAsia="zh-CN"/>
        </w:rPr>
        <w:br w:type="page"/>
      </w:r>
    </w:p>
    <w:p>
      <w:pPr>
        <w:pStyle w:val="32"/>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目 录</w:t>
      </w:r>
    </w:p>
    <w:p>
      <w:pPr>
        <w:pStyle w:val="32"/>
        <w:rPr>
          <w:rFonts w:hint="eastAsia"/>
          <w:lang w:val="en-US" w:eastAsia="zh-CN"/>
        </w:rPr>
      </w:pPr>
      <w:r>
        <w:rPr>
          <w:rFonts w:hint="eastAsia"/>
          <w:lang w:val="en-US" w:eastAsia="zh-CN"/>
        </w:rPr>
        <w:t xml:space="preserve">14、关于资格的声明函 </w:t>
      </w:r>
    </w:p>
    <w:p>
      <w:pPr>
        <w:pStyle w:val="32"/>
        <w:rPr>
          <w:rFonts w:hint="eastAsia"/>
          <w:lang w:val="en-US" w:eastAsia="zh-CN"/>
        </w:rPr>
      </w:pPr>
      <w:r>
        <w:rPr>
          <w:rFonts w:hint="eastAsia"/>
          <w:lang w:val="en-US" w:eastAsia="zh-CN"/>
        </w:rPr>
        <w:t xml:space="preserve">15、法定代表人身份证明或法定代表人授权委托书 </w:t>
      </w:r>
    </w:p>
    <w:p>
      <w:pPr>
        <w:pStyle w:val="32"/>
        <w:rPr>
          <w:rFonts w:hint="eastAsia"/>
          <w:lang w:val="en-US" w:eastAsia="zh-CN"/>
        </w:rPr>
      </w:pPr>
      <w:r>
        <w:rPr>
          <w:rFonts w:hint="eastAsia"/>
          <w:lang w:val="en-US" w:eastAsia="zh-CN"/>
        </w:rPr>
        <w:t>16、投标承诺函（以投标承诺函形式，替代投标保证金的相关承诺事项）</w:t>
      </w:r>
    </w:p>
    <w:p>
      <w:pPr>
        <w:pStyle w:val="32"/>
        <w:rPr>
          <w:rFonts w:hint="eastAsia"/>
          <w:lang w:val="en-US" w:eastAsia="zh-CN"/>
        </w:rPr>
      </w:pPr>
      <w:r>
        <w:rPr>
          <w:rFonts w:hint="eastAsia"/>
          <w:lang w:val="en-US" w:eastAsia="zh-CN"/>
        </w:rPr>
        <w:t>17、资格要求相关证明材料（文件）</w:t>
      </w:r>
    </w:p>
    <w:p>
      <w:pPr>
        <w:pStyle w:val="32"/>
        <w:rPr>
          <w:rFonts w:hint="eastAsia"/>
          <w:lang w:val="en-US" w:eastAsia="zh-CN"/>
        </w:rPr>
      </w:pPr>
      <w:r>
        <w:rPr>
          <w:rFonts w:hint="eastAsia"/>
          <w:lang w:val="en-US" w:eastAsia="zh-CN"/>
        </w:rPr>
        <w:t xml:space="preserve">17-1、《中小企业声明函》； </w:t>
      </w:r>
    </w:p>
    <w:p>
      <w:pPr>
        <w:pStyle w:val="32"/>
        <w:rPr>
          <w:rFonts w:hint="eastAsia"/>
          <w:lang w:val="en-US" w:eastAsia="zh-CN"/>
        </w:rPr>
      </w:pPr>
      <w:r>
        <w:rPr>
          <w:rFonts w:hint="eastAsia"/>
          <w:lang w:val="en-US" w:eastAsia="zh-CN"/>
        </w:rPr>
        <w:t xml:space="preserve">17-2、小微企业产品价格扣除明细表（如符合条件时填写*） </w:t>
      </w:r>
    </w:p>
    <w:p>
      <w:pPr>
        <w:pStyle w:val="32"/>
        <w:rPr>
          <w:rFonts w:hint="eastAsia"/>
          <w:lang w:val="en-US" w:eastAsia="zh-CN"/>
        </w:rPr>
      </w:pPr>
      <w:r>
        <w:rPr>
          <w:rFonts w:hint="eastAsia"/>
          <w:lang w:val="en-US" w:eastAsia="zh-CN"/>
        </w:rPr>
        <w:t xml:space="preserve">17-3 残疾人福利性单位声明函（如符合条件时填写*） </w:t>
      </w:r>
    </w:p>
    <w:p>
      <w:pPr>
        <w:pStyle w:val="32"/>
        <w:rPr>
          <w:rFonts w:hint="eastAsia"/>
          <w:lang w:val="en-US" w:eastAsia="zh-CN"/>
        </w:rPr>
      </w:pPr>
      <w:r>
        <w:rPr>
          <w:rFonts w:hint="eastAsia"/>
          <w:lang w:val="en-US" w:eastAsia="zh-CN"/>
        </w:rPr>
        <w:t xml:space="preserve">17-4、供应商负责人控股、设计等相关承诺书 </w:t>
      </w:r>
    </w:p>
    <w:p>
      <w:pPr>
        <w:pStyle w:val="32"/>
        <w:rPr>
          <w:rFonts w:hint="eastAsia"/>
          <w:lang w:val="en-US" w:eastAsia="zh-CN"/>
        </w:rPr>
      </w:pPr>
      <w:r>
        <w:rPr>
          <w:rFonts w:hint="eastAsia"/>
          <w:lang w:val="en-US" w:eastAsia="zh-CN"/>
        </w:rPr>
        <w:t xml:space="preserve">17-5、其他资格证明材料 </w:t>
      </w:r>
    </w:p>
    <w:p>
      <w:pPr>
        <w:pStyle w:val="32"/>
        <w:rPr>
          <w:rFonts w:hint="eastAsia"/>
          <w:lang w:val="en-US" w:eastAsia="zh-CN"/>
        </w:rPr>
      </w:pPr>
      <w:r>
        <w:rPr>
          <w:rFonts w:hint="eastAsia"/>
          <w:lang w:val="en-US" w:eastAsia="zh-CN"/>
        </w:rPr>
        <w:br w:type="page"/>
      </w:r>
    </w:p>
    <w:p>
      <w:pPr>
        <w:pStyle w:val="32"/>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14、关于资格的声明函</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河南求实工程造价咨询有限公司：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lang w:val="en-US" w:eastAsia="zh-CN"/>
        </w:rPr>
      </w:pPr>
      <w:r>
        <w:rPr>
          <w:rFonts w:hint="eastAsia"/>
          <w:lang w:val="en-US" w:eastAsia="zh-CN"/>
        </w:rPr>
        <w:t xml:space="preserve">关于贵方项目编号为   的磋商公告，本签字人愿意参加投标，提供磋商文件中规定的产品及服务，并声明提交下列文件是准确的、真实的和有效的。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1. 《磋商文件》第一章“磋商公告”第二条所要求的资格性证明文件（证件或证明资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料或承诺）。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2. 采购项目中必须的其他证件。 </w:t>
      </w:r>
    </w:p>
    <w:p>
      <w:pPr>
        <w:pStyle w:val="32"/>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lang w:val="en-US" w:eastAsia="zh-CN"/>
        </w:rPr>
      </w:pPr>
      <w:r>
        <w:rPr>
          <w:rFonts w:hint="eastAsia"/>
          <w:lang w:val="en-US" w:eastAsia="zh-CN"/>
        </w:rPr>
        <w:t xml:space="preserve">3. 本签字人确认资格文件中的说明是真实的、准确的。 </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r>
        <w:rPr>
          <w:rFonts w:hint="eastAsia"/>
          <w:lang w:val="en-US" w:eastAsia="zh-CN"/>
        </w:rPr>
        <w:t>供应商（电子签章）：</w:t>
      </w:r>
    </w:p>
    <w:p>
      <w:pPr>
        <w:pStyle w:val="32"/>
        <w:rPr>
          <w:rFonts w:hint="eastAsia"/>
          <w:lang w:val="en-US" w:eastAsia="zh-CN"/>
        </w:rPr>
      </w:pPr>
      <w:r>
        <w:rPr>
          <w:rFonts w:hint="eastAsia"/>
          <w:lang w:val="en-US" w:eastAsia="zh-CN"/>
        </w:rPr>
        <w:t>法定代表人（电子签名）：</w:t>
      </w:r>
    </w:p>
    <w:p>
      <w:pPr>
        <w:pStyle w:val="32"/>
        <w:rPr>
          <w:rFonts w:hint="eastAsia"/>
          <w:lang w:val="en-US" w:eastAsia="zh-CN"/>
        </w:rPr>
      </w:pPr>
      <w:r>
        <w:rPr>
          <w:rFonts w:hint="eastAsia"/>
          <w:lang w:val="en-US" w:eastAsia="zh-CN"/>
        </w:rPr>
        <w:t xml:space="preserve">日期 ： 年 月 日 </w:t>
      </w:r>
    </w:p>
    <w:p>
      <w:pPr>
        <w:pStyle w:val="32"/>
        <w:rPr>
          <w:rFonts w:hint="eastAsia"/>
          <w:lang w:val="en-US" w:eastAsia="zh-CN"/>
        </w:rPr>
      </w:pPr>
      <w:r>
        <w:rPr>
          <w:rFonts w:hint="eastAsia"/>
          <w:lang w:val="en-US" w:eastAsia="zh-CN"/>
        </w:rPr>
        <w:br w:type="page"/>
      </w:r>
    </w:p>
    <w:p>
      <w:pPr>
        <w:pStyle w:val="32"/>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15、法定代表人身份证明或法定代表人授权委托书</w:t>
      </w:r>
    </w:p>
    <w:p>
      <w:pPr>
        <w:pStyle w:val="32"/>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720" w:firstLineChars="300"/>
        <w:textAlignment w:val="auto"/>
        <w:rPr>
          <w:rFonts w:hint="eastAsia"/>
          <w:lang w:val="en-US" w:eastAsia="zh-CN"/>
        </w:rPr>
      </w:pPr>
      <w:r>
        <w:rPr>
          <w:rFonts w:hint="eastAsia"/>
          <w:lang w:val="en-US" w:eastAsia="zh-CN"/>
        </w:rPr>
        <w:t>本授权书声明：注册于</w:t>
      </w:r>
      <w:r>
        <w:rPr>
          <w:rFonts w:hint="eastAsia"/>
          <w:u w:val="single"/>
          <w:lang w:val="en-US" w:eastAsia="zh-CN"/>
        </w:rPr>
        <w:t>　　　　　　　</w:t>
      </w:r>
      <w:r>
        <w:rPr>
          <w:rFonts w:hint="eastAsia"/>
          <w:lang w:val="en-US" w:eastAsia="zh-CN"/>
        </w:rPr>
        <w:t>（注册地址）的</w:t>
      </w:r>
      <w:r>
        <w:rPr>
          <w:rFonts w:hint="eastAsia"/>
          <w:u w:val="single"/>
          <w:lang w:val="en-US" w:eastAsia="zh-CN"/>
        </w:rPr>
        <w:t>　　　　　　</w:t>
      </w:r>
      <w:r>
        <w:rPr>
          <w:rFonts w:hint="eastAsia"/>
          <w:lang w:val="en-US" w:eastAsia="zh-CN"/>
        </w:rPr>
        <w:t>公司的在下面签字的</w:t>
      </w:r>
      <w:r>
        <w:rPr>
          <w:rFonts w:hint="eastAsia"/>
          <w:u w:val="single"/>
          <w:lang w:val="en-US" w:eastAsia="zh-CN"/>
        </w:rPr>
        <w:t xml:space="preserve">       </w:t>
      </w:r>
      <w:r>
        <w:rPr>
          <w:rFonts w:hint="eastAsia"/>
          <w:lang w:val="en-US" w:eastAsia="zh-CN"/>
        </w:rPr>
        <w:t>（企业法定代表人姓名、职务）代表本公司授权</w:t>
      </w:r>
      <w:r>
        <w:rPr>
          <w:rFonts w:hint="eastAsia"/>
          <w:u w:val="single"/>
          <w:lang w:val="en-US" w:eastAsia="zh-CN"/>
        </w:rPr>
        <w:t>　　　　　　　　　</w:t>
      </w:r>
      <w:r>
        <w:rPr>
          <w:rFonts w:hint="eastAsia"/>
          <w:lang w:val="en-US" w:eastAsia="zh-CN"/>
        </w:rPr>
        <w:t>（单位）的在下面签字的</w:t>
      </w:r>
      <w:r>
        <w:rPr>
          <w:rFonts w:hint="eastAsia"/>
          <w:u w:val="single"/>
          <w:lang w:val="en-US" w:eastAsia="zh-CN"/>
        </w:rPr>
        <w:tab/>
      </w:r>
      <w:r>
        <w:rPr>
          <w:rFonts w:hint="eastAsia"/>
          <w:u w:val="single"/>
          <w:lang w:val="en-US" w:eastAsia="zh-CN"/>
        </w:rPr>
        <w:tab/>
      </w:r>
      <w:r>
        <w:rPr>
          <w:rFonts w:hint="eastAsia"/>
          <w:lang w:val="en-US" w:eastAsia="zh-CN"/>
        </w:rPr>
        <w:t>（被授权人的姓名、职务）为本公司的合法代理人，就项目编号为 的</w:t>
      </w:r>
      <w:r>
        <w:rPr>
          <w:rFonts w:hint="eastAsia"/>
          <w:u w:val="single"/>
          <w:lang w:val="en-US" w:eastAsia="zh-CN"/>
        </w:rPr>
        <w:t xml:space="preserve">    （项目名称）  </w:t>
      </w:r>
      <w:r>
        <w:rPr>
          <w:rFonts w:hint="eastAsia"/>
          <w:lang w:val="en-US" w:eastAsia="zh-CN"/>
        </w:rPr>
        <w:t>的投标及合同的执行、完成和售后服务，以本公司名义处理一切与之有关的事务。</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本授权书于 </w:t>
      </w:r>
      <w:r>
        <w:rPr>
          <w:rFonts w:hint="eastAsia"/>
          <w:u w:val="single"/>
          <w:lang w:val="en-US" w:eastAsia="zh-CN"/>
        </w:rPr>
        <w:t xml:space="preserve"> </w:t>
      </w:r>
      <w:r>
        <w:rPr>
          <w:rFonts w:hint="eastAsia"/>
          <w:u w:val="single"/>
          <w:lang w:val="en-US" w:eastAsia="zh-CN"/>
        </w:rPr>
        <w:tab/>
      </w:r>
      <w:r>
        <w:rPr>
          <w:rFonts w:hint="eastAsia"/>
          <w:lang w:val="en-US" w:eastAsia="zh-CN"/>
        </w:rPr>
        <w:t>年</w:t>
      </w:r>
      <w:r>
        <w:rPr>
          <w:rFonts w:hint="eastAsia"/>
          <w:u w:val="single"/>
          <w:lang w:val="en-US" w:eastAsia="zh-CN"/>
        </w:rPr>
        <w:tab/>
      </w:r>
      <w:r>
        <w:rPr>
          <w:rFonts w:hint="eastAsia"/>
          <w:lang w:val="en-US" w:eastAsia="zh-CN"/>
        </w:rPr>
        <w:t>月</w:t>
      </w:r>
      <w:r>
        <w:rPr>
          <w:rFonts w:hint="eastAsia"/>
          <w:u w:val="single"/>
          <w:lang w:val="en-US" w:eastAsia="zh-CN"/>
        </w:rPr>
        <w:tab/>
      </w:r>
      <w:r>
        <w:rPr>
          <w:rFonts w:hint="eastAsia"/>
          <w:u w:val="single"/>
          <w:lang w:val="en-US" w:eastAsia="zh-CN"/>
        </w:rPr>
        <w:t xml:space="preserve"> </w:t>
      </w:r>
      <w:r>
        <w:rPr>
          <w:rFonts w:hint="eastAsia"/>
          <w:lang w:val="en-US" w:eastAsia="zh-CN"/>
        </w:rPr>
        <w:t>日签字生效，特此声明。</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单位名称（公章）：</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地址：</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法定代表人签字：</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联系电话：</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代理人（被授权人）签字：</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联系电话：</w:t>
      </w:r>
    </w:p>
    <w:p>
      <w:pPr>
        <w:pStyle w:val="32"/>
        <w:rPr>
          <w:rFonts w:hint="eastAsia"/>
          <w:lang w:val="en-US" w:eastAsia="zh-CN"/>
        </w:rPr>
      </w:pPr>
    </w:p>
    <w:p>
      <w:pPr>
        <w:pStyle w:val="32"/>
        <w:rPr>
          <w:rFonts w:hint="eastAsia"/>
          <w:lang w:val="en-US" w:eastAsia="zh-CN"/>
        </w:rPr>
      </w:pPr>
    </w:p>
    <w:tbl>
      <w:tblPr>
        <w:tblStyle w:val="24"/>
        <w:tblW w:w="922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5" w:hRule="atLeast"/>
        </w:trPr>
        <w:tc>
          <w:tcPr>
            <w:tcW w:w="9225" w:type="dxa"/>
            <w:tcBorders>
              <w:top w:val="single" w:color="000000" w:sz="8" w:space="0"/>
              <w:left w:val="single" w:color="000000" w:sz="8" w:space="0"/>
              <w:bottom w:val="single" w:color="000000" w:sz="8" w:space="0"/>
              <w:right w:val="single" w:color="000000" w:sz="8" w:space="0"/>
            </w:tcBorders>
          </w:tcPr>
          <w:p>
            <w:pPr>
              <w:pStyle w:val="32"/>
              <w:rPr>
                <w:rFonts w:hint="eastAsia"/>
                <w:lang w:val="en-US" w:eastAsia="zh-CN"/>
              </w:rPr>
            </w:pPr>
            <w:r>
              <w:rPr>
                <w:rFonts w:hint="eastAsia"/>
                <w:lang w:val="en-US" w:eastAsia="zh-CN"/>
              </w:rPr>
              <w:t>法定代表人及被授权人身份证复印件</w:t>
            </w:r>
          </w:p>
        </w:tc>
      </w:tr>
    </w:tbl>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16、投标承诺函（以投标承诺函形式，替代投标保证金的相关承诺事项）</w:t>
      </w:r>
    </w:p>
    <w:p>
      <w:pPr>
        <w:pStyle w:val="32"/>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致：</w:t>
      </w:r>
      <w:r>
        <w:rPr>
          <w:rFonts w:hint="eastAsia"/>
          <w:u w:val="single"/>
          <w:lang w:val="en-US" w:eastAsia="zh-CN"/>
        </w:rPr>
        <w:t xml:space="preserve"> (采购人名称）</w:t>
      </w:r>
      <w:r>
        <w:rPr>
          <w:rFonts w:hint="eastAsia"/>
          <w:lang w:val="en-US" w:eastAsia="zh-CN"/>
        </w:rPr>
        <w:t xml:space="preserve"> 、河南求实工程造价咨询有限公司</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在项目编号为的</w:t>
      </w:r>
      <w:r>
        <w:rPr>
          <w:rFonts w:hint="eastAsia"/>
          <w:u w:val="single"/>
          <w:lang w:val="en-US" w:eastAsia="zh-CN"/>
        </w:rPr>
        <w:t xml:space="preserve"> （项目名称） </w:t>
      </w:r>
      <w:r>
        <w:rPr>
          <w:rFonts w:hint="eastAsia"/>
          <w:lang w:val="en-US" w:eastAsia="zh-CN"/>
        </w:rPr>
        <w:t xml:space="preserve">采购活动中，我单位承诺：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一、遵循公开、公平、公正和诚实信用的原则自愿参加本项目投标；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二、在政府采购活动中提供真实、准确、有效、合法的材料，不提供虚假材料；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三、按照招标文件规定，在提交投标文件截止时间后，在招标文件规定的投标有效期限内不撤回投标文件；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四、不与其他供应商、采购人或采购代理机构串通或恶意串通。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五、如我单位中标，除不可抗拒力或招标文件认可的情形外，我单位承诺及时领取中标通知书，在成交通知书规定时间、地点与采购人签订合同；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六、遵守法律法规及招标文件规定的其他情况；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七、按招标文件规定及时缴纳中标服务费。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八、违背上述承诺事项的，我单位无条件接受以下责任追究：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（一）法定责任：按照政府采购相关法规，处以罚款，列入不良行为记录名单，在一 至三年内禁止参加政府采购活动，有违法所得的，并处没收违法所得，情节严重的，由工商行政管理机关（市场监督机关）吊销营业执照；构成犯罪的，依法追究刑事责任。给采购人及他人造成损失的，愿承担相应的赔偿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（二）违约责任：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1、已中标的，中标（成交）无效；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2、支付采购人违约标的预算金额 2%的违约金；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3、中标后未缴中标服务费的，作为违约及违背诚实信用原则，在履行承诺前，代理机构将视我单位为失信企业、不予办理其后相关业务。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供应商（电子签章）：</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法定代表人（电子签名）：</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日期：年月日 </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17、资格要求相关证明材料（文件）</w:t>
      </w:r>
    </w:p>
    <w:p>
      <w:pPr>
        <w:pStyle w:val="32"/>
        <w:rPr>
          <w:rFonts w:hint="eastAsia"/>
          <w:b/>
          <w:bCs/>
          <w:lang w:val="en-US" w:eastAsia="zh-CN"/>
        </w:rPr>
      </w:pPr>
      <w:r>
        <w:rPr>
          <w:rFonts w:hint="eastAsia"/>
          <w:b/>
          <w:bCs/>
          <w:lang w:val="en-US" w:eastAsia="zh-CN"/>
        </w:rPr>
        <w:t>★★★【请注意：未按公告要求逐一提交资格证明资料的将导致无效投标，为近期常见的</w:t>
      </w:r>
    </w:p>
    <w:p>
      <w:pPr>
        <w:pStyle w:val="32"/>
        <w:rPr>
          <w:rFonts w:hint="eastAsia"/>
          <w:b/>
          <w:bCs/>
          <w:lang w:val="en-US" w:eastAsia="zh-CN"/>
        </w:rPr>
      </w:pPr>
      <w:r>
        <w:rPr>
          <w:rFonts w:hint="eastAsia"/>
          <w:b/>
          <w:bCs/>
          <w:lang w:val="en-US" w:eastAsia="zh-CN"/>
        </w:rPr>
        <w:t>因不仔细而缺少某一资格证明资料、导致无效，特此提醒】</w:t>
      </w:r>
    </w:p>
    <w:p>
      <w:pPr>
        <w:pStyle w:val="32"/>
        <w:rPr>
          <w:rFonts w:hint="eastAsia"/>
          <w:b/>
          <w:bCs/>
          <w:lang w:val="en-US" w:eastAsia="zh-CN"/>
        </w:rPr>
      </w:pPr>
      <w:r>
        <w:rPr>
          <w:rFonts w:hint="eastAsia"/>
          <w:b/>
          <w:bCs/>
          <w:lang w:val="en-US" w:eastAsia="zh-CN"/>
        </w:rPr>
        <w:t>★★★【请注意：未按竞争性磋商公告要求电子签名&lt;签章&gt;的将导致无效投标，特此提醒】</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17-1 中小企业声明函（如符合条件时填写*）</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(含联合体中的中小企业、签订分包意向协议的中小企业）的具体情况如下：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1.(标的名称)，属于（采购文件中明确的所属行业)行业， 制造商为（企业名称)，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从业人员 人，营业收入为_ 万元，资产总额为 _万元 1，属于（中型企业、小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型企业、微型企业）；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2. (标的名称)，属于（采购文件中明确的所属行业)行业， 制造商为（企业名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称)，从业人员 人，营业收入为_ 万元，资产总额为 _万元，属于（中型企业、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小 型企业、微型企业）；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以上企业，不属于大企业的分支机构，不存在控股股东为大企业的情形，也不存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在与大企业的负责人为同一人的情形。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本企业对上述声明内容的真实性负责。如有虚假，将依法承担相应责任。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企 业 名 称 （ 盖 章 ）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日期：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sz w:val="18"/>
          <w:szCs w:val="18"/>
          <w:lang w:val="en-US" w:eastAsia="zh-CN"/>
        </w:rPr>
      </w:pPr>
      <w:r>
        <w:rPr>
          <w:rFonts w:hint="eastAsia"/>
          <w:sz w:val="18"/>
          <w:szCs w:val="18"/>
          <w:lang w:val="en-US" w:eastAsia="zh-CN"/>
        </w:rPr>
        <w:t xml:space="preserve">注：1、从业人员、营业收入、资产总额填报上一年度数据，无上一年度数据的新成立企业可不填报。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sz w:val="18"/>
          <w:szCs w:val="18"/>
          <w:lang w:val="en-US" w:eastAsia="zh-CN"/>
        </w:rPr>
        <w:t>2、“专门面向中小企业采购”项目必须提供《中小企业声明函》。</w:t>
      </w:r>
      <w:r>
        <w:rPr>
          <w:rFonts w:hint="eastAsia"/>
          <w:lang w:val="en-US" w:eastAsia="zh-CN"/>
        </w:rPr>
        <w:t xml:space="preserve"> </w:t>
      </w:r>
    </w:p>
    <w:p>
      <w:pPr>
        <w:pStyle w:val="32"/>
        <w:rPr>
          <w:rFonts w:hint="eastAsia"/>
          <w:lang w:val="en-US" w:eastAsia="zh-CN"/>
        </w:rPr>
      </w:pPr>
      <w:r>
        <w:rPr>
          <w:rFonts w:hint="eastAsia"/>
          <w:lang w:val="en-US" w:eastAsia="zh-CN"/>
        </w:rPr>
        <w:br w:type="page"/>
      </w:r>
      <w:r>
        <w:rPr>
          <w:rFonts w:hint="eastAsia" w:ascii="黑体" w:hAnsi="黑体" w:eastAsia="黑体" w:cs="黑体"/>
          <w:b/>
          <w:bCs/>
          <w:sz w:val="30"/>
          <w:szCs w:val="30"/>
          <w:lang w:val="en-US" w:eastAsia="zh-CN"/>
        </w:rPr>
        <w:t>17-2 小微企业产品价格扣除明细表（如符合条件时填写*）</w:t>
      </w:r>
    </w:p>
    <w:p>
      <w:pPr>
        <w:pStyle w:val="32"/>
        <w:rPr>
          <w:rFonts w:hint="eastAsia"/>
          <w:lang w:val="en-US" w:eastAsia="zh-CN"/>
        </w:rPr>
      </w:pPr>
      <w:r>
        <w:rPr>
          <w:rFonts w:hint="eastAsia"/>
          <w:lang w:val="en-US" w:eastAsia="zh-CN"/>
        </w:rPr>
        <w:t xml:space="preserve">供应商名称： </w:t>
      </w:r>
    </w:p>
    <w:p>
      <w:pPr>
        <w:pStyle w:val="32"/>
        <w:rPr>
          <w:rFonts w:hint="eastAsia"/>
          <w:lang w:val="en-US" w:eastAsia="zh-CN"/>
        </w:rPr>
      </w:pPr>
      <w:r>
        <w:rPr>
          <w:rFonts w:hint="eastAsia"/>
          <w:lang w:val="en-US" w:eastAsia="zh-CN"/>
        </w:rPr>
        <w:t xml:space="preserve">项目名称： </w:t>
      </w:r>
    </w:p>
    <w:p>
      <w:pPr>
        <w:pStyle w:val="32"/>
        <w:rPr>
          <w:rFonts w:hint="eastAsia"/>
          <w:lang w:val="en-US" w:eastAsia="zh-CN"/>
        </w:rPr>
      </w:pPr>
      <w:r>
        <w:rPr>
          <w:rFonts w:hint="eastAsia"/>
          <w:lang w:val="en-US" w:eastAsia="zh-CN"/>
        </w:rPr>
        <w:t xml:space="preserve">项目编号： 单位：元/人民币 </w:t>
      </w:r>
    </w:p>
    <w:tbl>
      <w:tblPr>
        <w:tblStyle w:val="25"/>
        <w:tblW w:w="1059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50"/>
        <w:gridCol w:w="2113"/>
        <w:gridCol w:w="1028"/>
        <w:gridCol w:w="797"/>
        <w:gridCol w:w="818"/>
        <w:gridCol w:w="17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729" w:type="dxa"/>
            <w:vAlign w:val="center"/>
          </w:tcPr>
          <w:p>
            <w:pPr>
              <w:pStyle w:val="32"/>
              <w:rPr>
                <w:rFonts w:hint="eastAsia"/>
                <w:lang w:val="en-US" w:eastAsia="zh-CN"/>
              </w:rPr>
            </w:pPr>
            <w:r>
              <w:rPr>
                <w:rFonts w:hint="eastAsia"/>
                <w:lang w:val="en-US" w:eastAsia="zh-CN"/>
              </w:rPr>
              <w:t>序号</w:t>
            </w:r>
          </w:p>
        </w:tc>
        <w:tc>
          <w:tcPr>
            <w:tcW w:w="2050" w:type="dxa"/>
            <w:vAlign w:val="center"/>
          </w:tcPr>
          <w:p>
            <w:pPr>
              <w:pStyle w:val="32"/>
              <w:rPr>
                <w:rFonts w:hint="eastAsia"/>
                <w:lang w:val="en-US" w:eastAsia="zh-CN"/>
              </w:rPr>
            </w:pPr>
            <w:r>
              <w:rPr>
                <w:rFonts w:hint="eastAsia"/>
                <w:lang w:val="en-US" w:eastAsia="zh-CN"/>
              </w:rPr>
              <w:t>价格扣除货物（服务、工程）名称</w:t>
            </w:r>
          </w:p>
        </w:tc>
        <w:tc>
          <w:tcPr>
            <w:tcW w:w="2113" w:type="dxa"/>
            <w:vAlign w:val="center"/>
          </w:tcPr>
          <w:p>
            <w:pPr>
              <w:pStyle w:val="32"/>
              <w:rPr>
                <w:rFonts w:hint="eastAsia"/>
                <w:lang w:val="en-US" w:eastAsia="zh-CN"/>
              </w:rPr>
            </w:pPr>
            <w:r>
              <w:rPr>
                <w:rFonts w:hint="eastAsia"/>
                <w:lang w:val="en-US" w:eastAsia="zh-CN"/>
              </w:rPr>
              <w:t>价格扣除货物（服</w:t>
            </w:r>
          </w:p>
          <w:p>
            <w:pPr>
              <w:pStyle w:val="32"/>
              <w:rPr>
                <w:rFonts w:hint="eastAsia"/>
                <w:lang w:val="en-US" w:eastAsia="zh-CN"/>
              </w:rPr>
            </w:pPr>
            <w:r>
              <w:rPr>
                <w:rFonts w:hint="eastAsia"/>
                <w:lang w:val="en-US" w:eastAsia="zh-CN"/>
              </w:rPr>
              <w:t>务、工程）制造企</w:t>
            </w:r>
          </w:p>
          <w:p>
            <w:pPr>
              <w:pStyle w:val="32"/>
              <w:rPr>
                <w:rFonts w:hint="eastAsia"/>
                <w:lang w:val="en-US" w:eastAsia="zh-CN"/>
              </w:rPr>
            </w:pPr>
            <w:r>
              <w:rPr>
                <w:rFonts w:hint="eastAsia"/>
                <w:lang w:val="en-US" w:eastAsia="zh-CN"/>
              </w:rPr>
              <w:t>业（承担企业）</w:t>
            </w:r>
          </w:p>
        </w:tc>
        <w:tc>
          <w:tcPr>
            <w:tcW w:w="1028" w:type="dxa"/>
            <w:vAlign w:val="center"/>
          </w:tcPr>
          <w:p>
            <w:pPr>
              <w:pStyle w:val="32"/>
              <w:rPr>
                <w:rFonts w:hint="eastAsia"/>
                <w:lang w:val="en-US" w:eastAsia="zh-CN"/>
              </w:rPr>
            </w:pPr>
            <w:r>
              <w:rPr>
                <w:rFonts w:hint="eastAsia"/>
                <w:lang w:val="en-US" w:eastAsia="zh-CN"/>
              </w:rPr>
              <w:t>单位</w:t>
            </w:r>
          </w:p>
          <w:p>
            <w:pPr>
              <w:pStyle w:val="32"/>
              <w:rPr>
                <w:rFonts w:hint="eastAsia"/>
                <w:lang w:val="en-US" w:eastAsia="zh-CN"/>
              </w:rPr>
            </w:pPr>
            <w:r>
              <w:rPr>
                <w:rFonts w:hint="eastAsia"/>
                <w:lang w:val="en-US" w:eastAsia="zh-CN"/>
              </w:rPr>
              <w:t>数量</w:t>
            </w:r>
          </w:p>
        </w:tc>
        <w:tc>
          <w:tcPr>
            <w:tcW w:w="797" w:type="dxa"/>
            <w:vAlign w:val="center"/>
          </w:tcPr>
          <w:p>
            <w:pPr>
              <w:pStyle w:val="32"/>
              <w:rPr>
                <w:rFonts w:hint="eastAsia"/>
                <w:lang w:val="en-US" w:eastAsia="zh-CN"/>
              </w:rPr>
            </w:pPr>
            <w:r>
              <w:rPr>
                <w:rFonts w:hint="eastAsia"/>
                <w:lang w:val="en-US" w:eastAsia="zh-CN"/>
              </w:rPr>
              <w:t>单价</w:t>
            </w:r>
          </w:p>
        </w:tc>
        <w:tc>
          <w:tcPr>
            <w:tcW w:w="818" w:type="dxa"/>
            <w:vAlign w:val="center"/>
          </w:tcPr>
          <w:p>
            <w:pPr>
              <w:pStyle w:val="32"/>
              <w:rPr>
                <w:rFonts w:hint="eastAsia"/>
                <w:lang w:val="en-US" w:eastAsia="zh-CN"/>
              </w:rPr>
            </w:pPr>
            <w:r>
              <w:rPr>
                <w:rFonts w:hint="eastAsia"/>
                <w:lang w:val="en-US" w:eastAsia="zh-CN"/>
              </w:rPr>
              <w:t>小计</w:t>
            </w:r>
          </w:p>
        </w:tc>
        <w:tc>
          <w:tcPr>
            <w:tcW w:w="1749" w:type="dxa"/>
            <w:vAlign w:val="center"/>
          </w:tcPr>
          <w:p>
            <w:pPr>
              <w:pStyle w:val="32"/>
              <w:rPr>
                <w:rFonts w:hint="eastAsia"/>
                <w:lang w:val="en-US" w:eastAsia="zh-CN"/>
              </w:rPr>
            </w:pPr>
            <w:r>
              <w:rPr>
                <w:rFonts w:hint="eastAsia"/>
                <w:lang w:val="en-US" w:eastAsia="zh-CN"/>
              </w:rPr>
              <w:t>价格扣除金</w:t>
            </w:r>
          </w:p>
          <w:p>
            <w:pPr>
              <w:pStyle w:val="32"/>
              <w:rPr>
                <w:rFonts w:hint="eastAsia"/>
                <w:lang w:val="en-US" w:eastAsia="zh-CN"/>
              </w:rPr>
            </w:pPr>
            <w:r>
              <w:rPr>
                <w:rFonts w:hint="eastAsia"/>
                <w:lang w:val="en-US" w:eastAsia="zh-CN"/>
              </w:rPr>
              <w:t>额（小计×10%）</w:t>
            </w:r>
          </w:p>
        </w:tc>
        <w:tc>
          <w:tcPr>
            <w:tcW w:w="1311" w:type="dxa"/>
            <w:vAlign w:val="center"/>
          </w:tcPr>
          <w:p>
            <w:pPr>
              <w:pStyle w:val="32"/>
              <w:rPr>
                <w:rFonts w:hint="eastAsia"/>
                <w:lang w:val="en-US" w:eastAsia="zh-CN"/>
              </w:rPr>
            </w:pPr>
            <w:r>
              <w:rPr>
                <w:rFonts w:hint="eastAsia"/>
                <w:lang w:val="en-US" w:eastAsia="zh-CN"/>
              </w:rPr>
              <w:t>声明函页码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1</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2</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3</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4</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5</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6</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lang w:val="en-US" w:eastAsia="zh-CN"/>
              </w:rPr>
            </w:pPr>
            <w:r>
              <w:rPr>
                <w:rFonts w:hint="eastAsia"/>
                <w:lang w:val="en-US" w:eastAsia="zh-CN"/>
              </w:rPr>
              <w:t>7</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29" w:type="dxa"/>
          </w:tcPr>
          <w:p>
            <w:pPr>
              <w:pStyle w:val="32"/>
              <w:rPr>
                <w:rFonts w:hint="eastAsia"/>
                <w:lang w:val="en-US" w:eastAsia="zh-CN"/>
              </w:rPr>
            </w:pPr>
            <w:r>
              <w:rPr>
                <w:rFonts w:hint="eastAsia"/>
                <w:lang w:val="en-US" w:eastAsia="zh-CN"/>
              </w:rPr>
              <w:t>.....</w:t>
            </w:r>
          </w:p>
        </w:tc>
        <w:tc>
          <w:tcPr>
            <w:tcW w:w="2050" w:type="dxa"/>
          </w:tcPr>
          <w:p>
            <w:pPr>
              <w:pStyle w:val="32"/>
              <w:rPr>
                <w:rFonts w:hint="eastAsia"/>
                <w:lang w:val="en-US" w:eastAsia="zh-CN"/>
              </w:rPr>
            </w:pPr>
          </w:p>
        </w:tc>
        <w:tc>
          <w:tcPr>
            <w:tcW w:w="2113" w:type="dxa"/>
          </w:tcPr>
          <w:p>
            <w:pPr>
              <w:pStyle w:val="32"/>
              <w:rPr>
                <w:rFonts w:hint="eastAsia"/>
                <w:lang w:val="en-US" w:eastAsia="zh-CN"/>
              </w:rPr>
            </w:pPr>
          </w:p>
        </w:tc>
        <w:tc>
          <w:tcPr>
            <w:tcW w:w="1028" w:type="dxa"/>
          </w:tcPr>
          <w:p>
            <w:pPr>
              <w:pStyle w:val="32"/>
              <w:rPr>
                <w:rFonts w:hint="eastAsia"/>
                <w:lang w:val="en-US" w:eastAsia="zh-CN"/>
              </w:rPr>
            </w:pPr>
          </w:p>
        </w:tc>
        <w:tc>
          <w:tcPr>
            <w:tcW w:w="797" w:type="dxa"/>
          </w:tcPr>
          <w:p>
            <w:pPr>
              <w:pStyle w:val="32"/>
              <w:rPr>
                <w:rFonts w:hint="eastAsia"/>
                <w:lang w:val="en-US" w:eastAsia="zh-CN"/>
              </w:rPr>
            </w:pPr>
          </w:p>
        </w:tc>
        <w:tc>
          <w:tcPr>
            <w:tcW w:w="818" w:type="dxa"/>
          </w:tcPr>
          <w:p>
            <w:pPr>
              <w:pStyle w:val="32"/>
              <w:rPr>
                <w:rFonts w:hint="eastAsia"/>
                <w:lang w:val="en-US" w:eastAsia="zh-CN"/>
              </w:rPr>
            </w:pPr>
          </w:p>
        </w:tc>
        <w:tc>
          <w:tcPr>
            <w:tcW w:w="1749" w:type="dxa"/>
          </w:tcPr>
          <w:p>
            <w:pPr>
              <w:pStyle w:val="32"/>
              <w:rPr>
                <w:rFonts w:hint="eastAsia"/>
                <w:lang w:val="en-US" w:eastAsia="zh-CN"/>
              </w:rPr>
            </w:pPr>
          </w:p>
        </w:tc>
        <w:tc>
          <w:tcPr>
            <w:tcW w:w="1311" w:type="dxa"/>
          </w:tcPr>
          <w:p>
            <w:pPr>
              <w:pStyle w:val="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595" w:type="dxa"/>
            <w:gridSpan w:val="8"/>
          </w:tcPr>
          <w:p>
            <w:pPr>
              <w:pStyle w:val="32"/>
              <w:rPr>
                <w:rFonts w:hint="eastAsia"/>
                <w:lang w:val="en-US" w:eastAsia="zh-CN"/>
              </w:rPr>
            </w:pPr>
          </w:p>
        </w:tc>
      </w:tr>
    </w:tbl>
    <w:p>
      <w:pPr>
        <w:pStyle w:val="32"/>
        <w:rPr>
          <w:rFonts w:hint="eastAsia"/>
          <w:lang w:val="en-US" w:eastAsia="zh-CN"/>
        </w:rPr>
      </w:pPr>
    </w:p>
    <w:p>
      <w:pPr>
        <w:pStyle w:val="32"/>
        <w:rPr>
          <w:rFonts w:hint="eastAsia"/>
          <w:lang w:val="en-US" w:eastAsia="zh-CN"/>
        </w:rPr>
      </w:pPr>
      <w:r>
        <w:rPr>
          <w:rFonts w:hint="eastAsia"/>
          <w:lang w:val="en-US" w:eastAsia="zh-CN"/>
        </w:rPr>
        <w:t xml:space="preserve">备注：小型、微型企业的协议合同金额占到联合体协议合同总金额 30%以上的，给予联 </w:t>
      </w:r>
    </w:p>
    <w:p>
      <w:pPr>
        <w:pStyle w:val="32"/>
        <w:rPr>
          <w:rFonts w:hint="eastAsia"/>
          <w:lang w:val="en-US" w:eastAsia="zh-CN"/>
        </w:rPr>
      </w:pPr>
      <w:r>
        <w:rPr>
          <w:rFonts w:hint="eastAsia"/>
          <w:lang w:val="en-US" w:eastAsia="zh-CN"/>
        </w:rPr>
        <w:t xml:space="preserve">合体的价格扣除比例为 4%。 </w:t>
      </w:r>
    </w:p>
    <w:p>
      <w:pPr>
        <w:pStyle w:val="32"/>
        <w:rPr>
          <w:rFonts w:hint="eastAsia"/>
          <w:lang w:val="en-US" w:eastAsia="zh-CN"/>
        </w:rPr>
      </w:pPr>
    </w:p>
    <w:p>
      <w:pPr>
        <w:pStyle w:val="32"/>
        <w:rPr>
          <w:rFonts w:hint="eastAsia"/>
          <w:lang w:val="en-US" w:eastAsia="zh-CN"/>
        </w:rPr>
      </w:pPr>
      <w:r>
        <w:rPr>
          <w:rFonts w:hint="eastAsia"/>
          <w:lang w:val="en-US" w:eastAsia="zh-CN"/>
        </w:rPr>
        <w:t>法定代表人（电子签名）：</w:t>
      </w:r>
    </w:p>
    <w:p>
      <w:pPr>
        <w:pStyle w:val="32"/>
        <w:rPr>
          <w:rFonts w:hint="eastAsia"/>
          <w:lang w:val="en-US" w:eastAsia="zh-CN"/>
        </w:rPr>
      </w:pPr>
      <w:r>
        <w:rPr>
          <w:rFonts w:hint="eastAsia"/>
          <w:lang w:val="en-US" w:eastAsia="zh-CN"/>
        </w:rPr>
        <w:t>投标单位（电子签章）：</w:t>
      </w:r>
    </w:p>
    <w:p>
      <w:pPr>
        <w:pStyle w:val="32"/>
        <w:rPr>
          <w:rFonts w:hint="eastAsia"/>
          <w:lang w:val="en-US" w:eastAsia="zh-CN"/>
        </w:rPr>
      </w:pPr>
      <w:r>
        <w:rPr>
          <w:rFonts w:hint="eastAsia"/>
          <w:lang w:val="en-US" w:eastAsia="zh-CN"/>
        </w:rPr>
        <w:t xml:space="preserve">日 期： </w:t>
      </w:r>
    </w:p>
    <w:p>
      <w:pPr>
        <w:pStyle w:val="32"/>
        <w:rPr>
          <w:rFonts w:hint="eastAsia"/>
          <w:lang w:val="en-US" w:eastAsia="zh-CN"/>
        </w:rPr>
      </w:pPr>
      <w:r>
        <w:rPr>
          <w:rFonts w:hint="eastAsia"/>
          <w:lang w:val="en-US" w:eastAsia="zh-CN"/>
        </w:rPr>
        <w:br w:type="page"/>
      </w: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17-3 残疾人福利性单位声明函（如符合条件时填写*）</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本单位郑重声明，根据《财政部 民政部 中国残疾人联合会关于促进残疾人就业政</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府采购政策的通知》（财库〔2017〕141 号）的规定，本单位为符合条件的残疾人福利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性单位，且本单位参加______单位的______项目采购活动提供本单位制造的货物（由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本单位承担工程/提供服务），或者提供其他残疾人福利性单位制造的货物（不包括使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用非残疾人福利性单位注册商标的货物）。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本单位对上述声明的真实性负责。如有虚假，将依法承担相应责任。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单位名称（盖章）：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日期： </w:t>
      </w:r>
    </w:p>
    <w:p>
      <w:pPr>
        <w:pStyle w:val="32"/>
        <w:rPr>
          <w:rFonts w:hint="eastAsia"/>
          <w:lang w:val="en-US" w:eastAsia="zh-CN"/>
        </w:rPr>
      </w:pPr>
    </w:p>
    <w:p>
      <w:pPr>
        <w:pStyle w:val="32"/>
        <w:rPr>
          <w:rFonts w:hint="eastAsia"/>
          <w:lang w:val="en-US" w:eastAsia="zh-CN"/>
        </w:rPr>
      </w:pPr>
    </w:p>
    <w:p>
      <w:pPr>
        <w:pStyle w:val="32"/>
        <w:rPr>
          <w:rFonts w:hint="eastAsia"/>
          <w:sz w:val="21"/>
          <w:szCs w:val="21"/>
          <w:lang w:val="en-US" w:eastAsia="zh-CN"/>
        </w:rPr>
      </w:pPr>
      <w:r>
        <w:rPr>
          <w:rFonts w:hint="eastAsia"/>
          <w:sz w:val="21"/>
          <w:szCs w:val="21"/>
          <w:lang w:val="en-US" w:eastAsia="zh-CN"/>
        </w:rPr>
        <w:t xml:space="preserve">注：1、按政策规定：符合条件的残疾人福利性单位视同小型、微型企业。残疾人福利性单位属于小型、微型企业 </w:t>
      </w:r>
    </w:p>
    <w:p>
      <w:pPr>
        <w:pStyle w:val="32"/>
        <w:rPr>
          <w:rFonts w:hint="eastAsia"/>
          <w:sz w:val="21"/>
          <w:szCs w:val="21"/>
          <w:lang w:val="en-US" w:eastAsia="zh-CN"/>
        </w:rPr>
      </w:pPr>
      <w:r>
        <w:rPr>
          <w:rFonts w:hint="eastAsia"/>
          <w:sz w:val="21"/>
          <w:szCs w:val="21"/>
          <w:lang w:val="en-US" w:eastAsia="zh-CN"/>
        </w:rPr>
        <w:t xml:space="preserve">的，不重复享受政策。 </w:t>
      </w:r>
    </w:p>
    <w:p>
      <w:pPr>
        <w:pStyle w:val="32"/>
        <w:rPr>
          <w:rFonts w:hint="eastAsia"/>
          <w:sz w:val="21"/>
          <w:szCs w:val="21"/>
          <w:lang w:val="en-US" w:eastAsia="zh-CN"/>
        </w:rPr>
      </w:pPr>
      <w:r>
        <w:rPr>
          <w:rFonts w:hint="eastAsia"/>
          <w:sz w:val="21"/>
          <w:szCs w:val="21"/>
          <w:lang w:val="en-US" w:eastAsia="zh-CN"/>
        </w:rPr>
        <w:t xml:space="preserve">2、*本格式由符合促进残疾人就业政府采购政策条件的残疾人福利性单位填写，非残疾人福利性单位无需填写。本 </w:t>
      </w:r>
    </w:p>
    <w:p>
      <w:pPr>
        <w:pStyle w:val="32"/>
        <w:rPr>
          <w:rFonts w:hint="eastAsia"/>
          <w:sz w:val="21"/>
          <w:szCs w:val="21"/>
          <w:lang w:val="en-US" w:eastAsia="zh-CN"/>
        </w:rPr>
      </w:pPr>
      <w:r>
        <w:rPr>
          <w:rFonts w:hint="eastAsia"/>
          <w:sz w:val="21"/>
          <w:szCs w:val="21"/>
          <w:lang w:val="en-US" w:eastAsia="zh-CN"/>
        </w:rPr>
        <w:t xml:space="preserve">项目（专门面向中小企业采购）中，残疾人福利性单位属于中型企业、小型、微型企业的，可只填写“ 中小企业声明 </w:t>
      </w:r>
    </w:p>
    <w:p>
      <w:pPr>
        <w:pStyle w:val="32"/>
        <w:rPr>
          <w:rFonts w:hint="eastAsia"/>
          <w:sz w:val="21"/>
          <w:szCs w:val="21"/>
          <w:lang w:val="en-US" w:eastAsia="zh-CN"/>
        </w:rPr>
      </w:pPr>
      <w:r>
        <w:rPr>
          <w:rFonts w:hint="eastAsia"/>
          <w:sz w:val="21"/>
          <w:szCs w:val="21"/>
          <w:lang w:val="en-US" w:eastAsia="zh-CN"/>
        </w:rPr>
        <w:t xml:space="preserve">函”，不再填写“残疾人福利性单位声明函”。 </w:t>
      </w:r>
    </w:p>
    <w:p>
      <w:pPr>
        <w:pStyle w:val="32"/>
        <w:rPr>
          <w:rFonts w:hint="eastAsia"/>
          <w:sz w:val="21"/>
          <w:szCs w:val="21"/>
          <w:lang w:val="en-US" w:eastAsia="zh-CN"/>
        </w:rPr>
      </w:pPr>
      <w:r>
        <w:rPr>
          <w:rFonts w:hint="eastAsia"/>
          <w:sz w:val="21"/>
          <w:szCs w:val="21"/>
          <w:lang w:val="en-US" w:eastAsia="zh-CN"/>
        </w:rPr>
        <w:t xml:space="preserve">3、残疾人福利性单位填写“残疾人福利性单位声明函”后，仍需同时填写“中小企业声明函”、可在“中小企业 </w:t>
      </w:r>
    </w:p>
    <w:p>
      <w:pPr>
        <w:pStyle w:val="32"/>
        <w:rPr>
          <w:rFonts w:hint="eastAsia"/>
          <w:lang w:val="en-US" w:eastAsia="zh-CN"/>
        </w:rPr>
      </w:pPr>
      <w:r>
        <w:rPr>
          <w:rFonts w:hint="eastAsia"/>
          <w:sz w:val="21"/>
          <w:szCs w:val="21"/>
          <w:lang w:val="en-US" w:eastAsia="zh-CN"/>
        </w:rPr>
        <w:t>声明函”注明“属于符合条件的残疾人福利性单位、视同小型、微型企业”。</w:t>
      </w:r>
      <w:r>
        <w:rPr>
          <w:rFonts w:hint="eastAsia"/>
          <w:lang w:val="en-US" w:eastAsia="zh-CN"/>
        </w:rPr>
        <w:t xml:space="preserve"> </w:t>
      </w:r>
    </w:p>
    <w:p>
      <w:pPr>
        <w:pStyle w:val="32"/>
        <w:rPr>
          <w:rFonts w:hint="eastAsia"/>
          <w:lang w:val="en-US" w:eastAsia="zh-CN"/>
        </w:rPr>
      </w:pPr>
      <w:r>
        <w:rPr>
          <w:rFonts w:hint="eastAsia"/>
          <w:lang w:val="en-US" w:eastAsia="zh-CN"/>
        </w:rPr>
        <w:br w:type="page"/>
      </w: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17-4、供应商负责人控股、设计等相关承诺书</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致：</w:t>
      </w:r>
      <w:r>
        <w:rPr>
          <w:rFonts w:hint="eastAsia"/>
          <w:u w:val="single"/>
          <w:lang w:val="en-US" w:eastAsia="zh-CN"/>
        </w:rPr>
        <w:t xml:space="preserve"> (采购人名称）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在项目编号为的</w:t>
      </w:r>
      <w:r>
        <w:rPr>
          <w:rFonts w:hint="eastAsia"/>
          <w:u w:val="single"/>
          <w:lang w:val="en-US" w:eastAsia="zh-CN"/>
        </w:rPr>
        <w:t xml:space="preserve"> （项目名称）</w:t>
      </w:r>
      <w:r>
        <w:rPr>
          <w:rFonts w:hint="eastAsia"/>
          <w:lang w:val="en-US" w:eastAsia="zh-CN"/>
        </w:rPr>
        <w:t xml:space="preserve"> 招标活动中，我单位承诺满足以下要求：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一、单位负责人为同一人或者存在直接控股、管理关系的不同供应商，不参加同一合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同项下的政府采购活动。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二、没有为本项目提供整体设计、规范编制或者项目管理、监理、检测等服务。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三、若出现上述行为，我单位确认投标无效、承诺书虚假，接受相关部门按照国家法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律法规等有关规定对我单位虚假承诺所给予的处理。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供应商（电子签章）：</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法定代表人（电子签名）：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t xml:space="preserve">日期： 年 月 日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lang w:val="en-US" w:eastAsia="zh-CN"/>
        </w:rPr>
      </w:pPr>
      <w:r>
        <w:rPr>
          <w:rFonts w:hint="eastAsia"/>
          <w:lang w:val="en-US" w:eastAsia="zh-CN"/>
        </w:rPr>
        <w:br w:type="page"/>
      </w:r>
    </w:p>
    <w:p>
      <w:pPr>
        <w:pStyle w:val="32"/>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17-5、其他资格证明材料</w:t>
      </w:r>
    </w:p>
    <w:p>
      <w:pPr>
        <w:pStyle w:val="32"/>
        <w:rPr>
          <w:rFonts w:hint="eastAsia"/>
          <w:lang w:val="en-US" w:eastAsia="zh-CN"/>
        </w:rPr>
      </w:pPr>
      <w:r>
        <w:rPr>
          <w:rFonts w:hint="eastAsia"/>
          <w:lang w:val="en-US" w:eastAsia="zh-CN"/>
        </w:rPr>
        <w:t>按磋商文件要求提供的其他资格证明材料或供应商认为有必要提供的其他证明材料。</w:t>
      </w:r>
    </w:p>
    <w:p>
      <w:pPr>
        <w:pStyle w:val="32"/>
        <w:rPr>
          <w:rFonts w:hint="eastAsia"/>
          <w:lang w:val="en-US" w:eastAsia="zh-CN"/>
        </w:rPr>
      </w:pPr>
      <w:r>
        <w:rPr>
          <w:rFonts w:hint="eastAsia"/>
          <w:lang w:val="en-US" w:eastAsia="zh-CN"/>
        </w:rPr>
        <w:t>（按磋商文件要求电子签名&lt;签章&gt;。）</w:t>
      </w: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default" w:eastAsia="宋体"/>
          <w:lang w:val="en-US" w:eastAsia="zh-CN"/>
        </w:rPr>
      </w:pPr>
    </w:p>
    <w:sectPr>
      <w:footerReference r:id="rId12" w:type="default"/>
      <w:pgSz w:w="11905" w:h="16837"/>
      <w:pgMar w:top="1091" w:right="1106" w:bottom="993" w:left="1418" w:header="567" w:footer="56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center"/>
      <w:rPr>
        <w:rFonts w:ascii="宋体"/>
        <w:szCs w:val="21"/>
      </w:rPr>
    </w:pPr>
    <w:r>
      <w:pict>
        <v:shape id="Text Box 1026" o:spid="_x0000_s4097" o:spt="202" type="#_x0000_t202" style="position:absolute;left:0pt;margin-left:70.85pt;margin-top:799.35pt;height:14.15pt;width:453.5pt;mso-position-horizontal-relative:page;mso-position-vertical-relative:page;z-index:-251657216;mso-width-relative:page;mso-height-relative:page;" filled="f" stroked="f" coordsize="21600,21600" o:allowincell="f">
          <v:path/>
          <v:fill on="f" focussize="0,0"/>
          <v:stroke on="f" joinstyle="miter"/>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946"/>
        <w:tab w:val="left" w:pos="5794"/>
        <w:tab w:val="clear" w:pos="4153"/>
        <w:tab w:val="clear" w:pos="8306"/>
      </w:tabs>
      <w:ind w:right="360"/>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27598"/>
    </w:sdtPr>
    <w:sdt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sdtContent>
  </w:sdt>
  <w:p>
    <w:pPr>
      <w:widowControl w:val="0"/>
      <w:snapToGrid w:val="0"/>
      <w:spacing w:line="240" w:lineRule="atLeast"/>
      <w:ind w:right="21"/>
      <w:jc w:val="center"/>
      <w:rPr>
        <w:rFonts w:ascii="宋体"/>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946"/>
        <w:tab w:val="clear" w:pos="4153"/>
      </w:tabs>
      <w:ind w:right="360"/>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w:t>
    </w:r>
    <w:r>
      <w:t xml:space="preserve"> 26 -</w:t>
    </w:r>
    <w:r>
      <w:fldChar w:fldCharType="end"/>
    </w:r>
  </w:p>
  <w:p>
    <w:pPr>
      <w:widowControl w:val="0"/>
      <w:snapToGrid w:val="0"/>
      <w:spacing w:line="240" w:lineRule="atLeast"/>
      <w:ind w:right="21"/>
      <w:jc w:val="center"/>
      <w:rPr>
        <w:rFonts w:ascii="宋体"/>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RiOGRlYWU4NTNjNmYzYjVlYzU2ODA4MDYwMmU3ODQifQ=="/>
  </w:docVars>
  <w:rsids>
    <w:rsidRoot w:val="00172A27"/>
    <w:rsid w:val="00001D7A"/>
    <w:rsid w:val="00003844"/>
    <w:rsid w:val="00004B3A"/>
    <w:rsid w:val="00007CD8"/>
    <w:rsid w:val="00007E7D"/>
    <w:rsid w:val="0001069F"/>
    <w:rsid w:val="00013814"/>
    <w:rsid w:val="00013DB2"/>
    <w:rsid w:val="000146ED"/>
    <w:rsid w:val="00014792"/>
    <w:rsid w:val="0001616C"/>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37098"/>
    <w:rsid w:val="00037F43"/>
    <w:rsid w:val="000403D8"/>
    <w:rsid w:val="00040BE7"/>
    <w:rsid w:val="00041891"/>
    <w:rsid w:val="00042CA8"/>
    <w:rsid w:val="00042E06"/>
    <w:rsid w:val="00043821"/>
    <w:rsid w:val="00043CBA"/>
    <w:rsid w:val="0004440A"/>
    <w:rsid w:val="00044F84"/>
    <w:rsid w:val="00046A4B"/>
    <w:rsid w:val="00046D8E"/>
    <w:rsid w:val="00054E34"/>
    <w:rsid w:val="00055755"/>
    <w:rsid w:val="00057F78"/>
    <w:rsid w:val="00057F79"/>
    <w:rsid w:val="000602CF"/>
    <w:rsid w:val="0006134B"/>
    <w:rsid w:val="00061CB6"/>
    <w:rsid w:val="00062821"/>
    <w:rsid w:val="00064879"/>
    <w:rsid w:val="00067307"/>
    <w:rsid w:val="0007078A"/>
    <w:rsid w:val="00070FA8"/>
    <w:rsid w:val="00072488"/>
    <w:rsid w:val="00072834"/>
    <w:rsid w:val="000733DD"/>
    <w:rsid w:val="0007390E"/>
    <w:rsid w:val="00073A45"/>
    <w:rsid w:val="00073DBF"/>
    <w:rsid w:val="00074766"/>
    <w:rsid w:val="00075AA6"/>
    <w:rsid w:val="00077629"/>
    <w:rsid w:val="00077B71"/>
    <w:rsid w:val="00080AE9"/>
    <w:rsid w:val="00081801"/>
    <w:rsid w:val="00081C6C"/>
    <w:rsid w:val="000823AD"/>
    <w:rsid w:val="000829A8"/>
    <w:rsid w:val="00084330"/>
    <w:rsid w:val="00086B70"/>
    <w:rsid w:val="00086B8A"/>
    <w:rsid w:val="00087C16"/>
    <w:rsid w:val="0009004F"/>
    <w:rsid w:val="00090D6B"/>
    <w:rsid w:val="00090EB6"/>
    <w:rsid w:val="00091C5E"/>
    <w:rsid w:val="0009268E"/>
    <w:rsid w:val="00093A6B"/>
    <w:rsid w:val="00095619"/>
    <w:rsid w:val="000956CE"/>
    <w:rsid w:val="000A0EA2"/>
    <w:rsid w:val="000A152E"/>
    <w:rsid w:val="000A1C72"/>
    <w:rsid w:val="000A3FE8"/>
    <w:rsid w:val="000A4640"/>
    <w:rsid w:val="000A55EE"/>
    <w:rsid w:val="000A6CD3"/>
    <w:rsid w:val="000A7CCE"/>
    <w:rsid w:val="000B0EC6"/>
    <w:rsid w:val="000B1334"/>
    <w:rsid w:val="000B4758"/>
    <w:rsid w:val="000B53BD"/>
    <w:rsid w:val="000B5412"/>
    <w:rsid w:val="000B6571"/>
    <w:rsid w:val="000B6FC6"/>
    <w:rsid w:val="000C132C"/>
    <w:rsid w:val="000C1882"/>
    <w:rsid w:val="000C2342"/>
    <w:rsid w:val="000C2AA6"/>
    <w:rsid w:val="000C4BA5"/>
    <w:rsid w:val="000C540C"/>
    <w:rsid w:val="000D052A"/>
    <w:rsid w:val="000D1860"/>
    <w:rsid w:val="000D2631"/>
    <w:rsid w:val="000D493A"/>
    <w:rsid w:val="000D4B81"/>
    <w:rsid w:val="000D590C"/>
    <w:rsid w:val="000D69FD"/>
    <w:rsid w:val="000E02FC"/>
    <w:rsid w:val="000E0493"/>
    <w:rsid w:val="000E23D7"/>
    <w:rsid w:val="000E54A0"/>
    <w:rsid w:val="000E6D5E"/>
    <w:rsid w:val="000E7A7A"/>
    <w:rsid w:val="000F01A2"/>
    <w:rsid w:val="000F06AC"/>
    <w:rsid w:val="000F108C"/>
    <w:rsid w:val="000F1C87"/>
    <w:rsid w:val="000F3188"/>
    <w:rsid w:val="000F3D46"/>
    <w:rsid w:val="000F4146"/>
    <w:rsid w:val="000F71A3"/>
    <w:rsid w:val="000F7917"/>
    <w:rsid w:val="001017C0"/>
    <w:rsid w:val="00101EAB"/>
    <w:rsid w:val="00104BD4"/>
    <w:rsid w:val="001071F0"/>
    <w:rsid w:val="00107435"/>
    <w:rsid w:val="00110434"/>
    <w:rsid w:val="001118D4"/>
    <w:rsid w:val="00112E02"/>
    <w:rsid w:val="001137C6"/>
    <w:rsid w:val="001145B0"/>
    <w:rsid w:val="001158BB"/>
    <w:rsid w:val="001163D8"/>
    <w:rsid w:val="00117877"/>
    <w:rsid w:val="001215D2"/>
    <w:rsid w:val="00123128"/>
    <w:rsid w:val="001231C8"/>
    <w:rsid w:val="001234C9"/>
    <w:rsid w:val="00124FC4"/>
    <w:rsid w:val="00126132"/>
    <w:rsid w:val="001263CF"/>
    <w:rsid w:val="00131B13"/>
    <w:rsid w:val="00131CCB"/>
    <w:rsid w:val="00132364"/>
    <w:rsid w:val="001342A5"/>
    <w:rsid w:val="00135227"/>
    <w:rsid w:val="00137865"/>
    <w:rsid w:val="001378C9"/>
    <w:rsid w:val="001401E4"/>
    <w:rsid w:val="00142F99"/>
    <w:rsid w:val="001439BF"/>
    <w:rsid w:val="001443E8"/>
    <w:rsid w:val="001449BF"/>
    <w:rsid w:val="00144E92"/>
    <w:rsid w:val="001529BC"/>
    <w:rsid w:val="001532B2"/>
    <w:rsid w:val="001537D5"/>
    <w:rsid w:val="00153A06"/>
    <w:rsid w:val="00157D29"/>
    <w:rsid w:val="001641D5"/>
    <w:rsid w:val="00166170"/>
    <w:rsid w:val="001667B4"/>
    <w:rsid w:val="00166938"/>
    <w:rsid w:val="0016693E"/>
    <w:rsid w:val="0016783C"/>
    <w:rsid w:val="001678FA"/>
    <w:rsid w:val="001708C3"/>
    <w:rsid w:val="00170AE1"/>
    <w:rsid w:val="00170E55"/>
    <w:rsid w:val="001719D7"/>
    <w:rsid w:val="00171CF7"/>
    <w:rsid w:val="00172A27"/>
    <w:rsid w:val="00172A7E"/>
    <w:rsid w:val="0017374F"/>
    <w:rsid w:val="00175E3A"/>
    <w:rsid w:val="00180570"/>
    <w:rsid w:val="0018338A"/>
    <w:rsid w:val="00183C38"/>
    <w:rsid w:val="00183E58"/>
    <w:rsid w:val="001850F0"/>
    <w:rsid w:val="00185487"/>
    <w:rsid w:val="00186168"/>
    <w:rsid w:val="001863F6"/>
    <w:rsid w:val="00194451"/>
    <w:rsid w:val="0019697C"/>
    <w:rsid w:val="001A1BB5"/>
    <w:rsid w:val="001A1D5B"/>
    <w:rsid w:val="001A5320"/>
    <w:rsid w:val="001A6EC8"/>
    <w:rsid w:val="001A733E"/>
    <w:rsid w:val="001B2A9F"/>
    <w:rsid w:val="001B37F5"/>
    <w:rsid w:val="001B4914"/>
    <w:rsid w:val="001B5626"/>
    <w:rsid w:val="001B5F64"/>
    <w:rsid w:val="001B6072"/>
    <w:rsid w:val="001B7C99"/>
    <w:rsid w:val="001C050D"/>
    <w:rsid w:val="001C0CCA"/>
    <w:rsid w:val="001C29F2"/>
    <w:rsid w:val="001C2D34"/>
    <w:rsid w:val="001C2E7C"/>
    <w:rsid w:val="001C397C"/>
    <w:rsid w:val="001C3DAF"/>
    <w:rsid w:val="001C528B"/>
    <w:rsid w:val="001C6505"/>
    <w:rsid w:val="001D0DA4"/>
    <w:rsid w:val="001D14A1"/>
    <w:rsid w:val="001D17A7"/>
    <w:rsid w:val="001D22C4"/>
    <w:rsid w:val="001D2F63"/>
    <w:rsid w:val="001D3921"/>
    <w:rsid w:val="001D3B0B"/>
    <w:rsid w:val="001D4345"/>
    <w:rsid w:val="001D6398"/>
    <w:rsid w:val="001D6420"/>
    <w:rsid w:val="001E04F2"/>
    <w:rsid w:val="001E0705"/>
    <w:rsid w:val="001E0A3F"/>
    <w:rsid w:val="001E136C"/>
    <w:rsid w:val="001E1A46"/>
    <w:rsid w:val="001E1FAC"/>
    <w:rsid w:val="001E30AE"/>
    <w:rsid w:val="001E45BE"/>
    <w:rsid w:val="001E55A2"/>
    <w:rsid w:val="001E60A9"/>
    <w:rsid w:val="001E6216"/>
    <w:rsid w:val="001F1D57"/>
    <w:rsid w:val="001F3722"/>
    <w:rsid w:val="001F4C70"/>
    <w:rsid w:val="001F6308"/>
    <w:rsid w:val="001F6921"/>
    <w:rsid w:val="001F730F"/>
    <w:rsid w:val="001F7F37"/>
    <w:rsid w:val="00200253"/>
    <w:rsid w:val="00203A8F"/>
    <w:rsid w:val="00203DFD"/>
    <w:rsid w:val="002052BF"/>
    <w:rsid w:val="00205670"/>
    <w:rsid w:val="00205DC9"/>
    <w:rsid w:val="0020635B"/>
    <w:rsid w:val="002064E1"/>
    <w:rsid w:val="00210346"/>
    <w:rsid w:val="002107F2"/>
    <w:rsid w:val="00212022"/>
    <w:rsid w:val="002146E7"/>
    <w:rsid w:val="00214BF5"/>
    <w:rsid w:val="00214DD7"/>
    <w:rsid w:val="00214F54"/>
    <w:rsid w:val="002155C5"/>
    <w:rsid w:val="00215EE7"/>
    <w:rsid w:val="00216FC6"/>
    <w:rsid w:val="00221964"/>
    <w:rsid w:val="002228C6"/>
    <w:rsid w:val="002238AE"/>
    <w:rsid w:val="00225A8A"/>
    <w:rsid w:val="002276F4"/>
    <w:rsid w:val="0023012A"/>
    <w:rsid w:val="00231508"/>
    <w:rsid w:val="00231D21"/>
    <w:rsid w:val="0023255F"/>
    <w:rsid w:val="00233250"/>
    <w:rsid w:val="002341A2"/>
    <w:rsid w:val="00234AE5"/>
    <w:rsid w:val="0023609F"/>
    <w:rsid w:val="00237A15"/>
    <w:rsid w:val="00240733"/>
    <w:rsid w:val="00241D3A"/>
    <w:rsid w:val="0024269B"/>
    <w:rsid w:val="00244532"/>
    <w:rsid w:val="0024502A"/>
    <w:rsid w:val="0024541C"/>
    <w:rsid w:val="00247523"/>
    <w:rsid w:val="00247993"/>
    <w:rsid w:val="002511FE"/>
    <w:rsid w:val="00251E2D"/>
    <w:rsid w:val="002546DE"/>
    <w:rsid w:val="00254F6E"/>
    <w:rsid w:val="00255866"/>
    <w:rsid w:val="002574D7"/>
    <w:rsid w:val="002579EC"/>
    <w:rsid w:val="00257B22"/>
    <w:rsid w:val="002602F6"/>
    <w:rsid w:val="00261CA5"/>
    <w:rsid w:val="00262D1F"/>
    <w:rsid w:val="00264999"/>
    <w:rsid w:val="002665E4"/>
    <w:rsid w:val="002672A0"/>
    <w:rsid w:val="002673AF"/>
    <w:rsid w:val="0027067C"/>
    <w:rsid w:val="00270FE1"/>
    <w:rsid w:val="00271ABB"/>
    <w:rsid w:val="00271BB2"/>
    <w:rsid w:val="00272B6B"/>
    <w:rsid w:val="00272DEC"/>
    <w:rsid w:val="002734AE"/>
    <w:rsid w:val="00273FB6"/>
    <w:rsid w:val="00275945"/>
    <w:rsid w:val="002759A2"/>
    <w:rsid w:val="00276204"/>
    <w:rsid w:val="00276B43"/>
    <w:rsid w:val="00280E45"/>
    <w:rsid w:val="002810F8"/>
    <w:rsid w:val="0028181D"/>
    <w:rsid w:val="00281F3D"/>
    <w:rsid w:val="0028291D"/>
    <w:rsid w:val="00290D50"/>
    <w:rsid w:val="0029442F"/>
    <w:rsid w:val="00294947"/>
    <w:rsid w:val="0029595B"/>
    <w:rsid w:val="00295A34"/>
    <w:rsid w:val="00296060"/>
    <w:rsid w:val="00296501"/>
    <w:rsid w:val="002968C0"/>
    <w:rsid w:val="002975BF"/>
    <w:rsid w:val="002A0696"/>
    <w:rsid w:val="002A1E2B"/>
    <w:rsid w:val="002A2037"/>
    <w:rsid w:val="002A2B5C"/>
    <w:rsid w:val="002A35F6"/>
    <w:rsid w:val="002A4898"/>
    <w:rsid w:val="002A4F6F"/>
    <w:rsid w:val="002A5411"/>
    <w:rsid w:val="002A56EF"/>
    <w:rsid w:val="002A6D86"/>
    <w:rsid w:val="002A7073"/>
    <w:rsid w:val="002A7814"/>
    <w:rsid w:val="002B1A64"/>
    <w:rsid w:val="002B3090"/>
    <w:rsid w:val="002B5E0D"/>
    <w:rsid w:val="002C00FF"/>
    <w:rsid w:val="002C11FF"/>
    <w:rsid w:val="002C3082"/>
    <w:rsid w:val="002C3330"/>
    <w:rsid w:val="002C5287"/>
    <w:rsid w:val="002C7276"/>
    <w:rsid w:val="002D057C"/>
    <w:rsid w:val="002D0C0C"/>
    <w:rsid w:val="002D1708"/>
    <w:rsid w:val="002D1EC7"/>
    <w:rsid w:val="002D2579"/>
    <w:rsid w:val="002D40A9"/>
    <w:rsid w:val="002D6349"/>
    <w:rsid w:val="002D6B6F"/>
    <w:rsid w:val="002D7628"/>
    <w:rsid w:val="002D7A77"/>
    <w:rsid w:val="002D7BE8"/>
    <w:rsid w:val="002E098C"/>
    <w:rsid w:val="002E3E40"/>
    <w:rsid w:val="002E5D24"/>
    <w:rsid w:val="002E76EF"/>
    <w:rsid w:val="002E7E70"/>
    <w:rsid w:val="002F08C6"/>
    <w:rsid w:val="002F24F3"/>
    <w:rsid w:val="002F2754"/>
    <w:rsid w:val="002F37CB"/>
    <w:rsid w:val="002F4ADA"/>
    <w:rsid w:val="002F5465"/>
    <w:rsid w:val="002F7AD0"/>
    <w:rsid w:val="002F7EF3"/>
    <w:rsid w:val="002F7F3A"/>
    <w:rsid w:val="0030169A"/>
    <w:rsid w:val="00306123"/>
    <w:rsid w:val="00307CF1"/>
    <w:rsid w:val="0031007D"/>
    <w:rsid w:val="003110D4"/>
    <w:rsid w:val="00311B9B"/>
    <w:rsid w:val="003157D1"/>
    <w:rsid w:val="00316A48"/>
    <w:rsid w:val="00317222"/>
    <w:rsid w:val="00320497"/>
    <w:rsid w:val="00320DF9"/>
    <w:rsid w:val="003214B1"/>
    <w:rsid w:val="00322799"/>
    <w:rsid w:val="003241F1"/>
    <w:rsid w:val="0032468A"/>
    <w:rsid w:val="003253CE"/>
    <w:rsid w:val="0032576C"/>
    <w:rsid w:val="00331D60"/>
    <w:rsid w:val="00332C6F"/>
    <w:rsid w:val="00334316"/>
    <w:rsid w:val="00334CC7"/>
    <w:rsid w:val="003355B7"/>
    <w:rsid w:val="00336AAB"/>
    <w:rsid w:val="00342477"/>
    <w:rsid w:val="00342500"/>
    <w:rsid w:val="0034283D"/>
    <w:rsid w:val="00343634"/>
    <w:rsid w:val="00343968"/>
    <w:rsid w:val="00343A1D"/>
    <w:rsid w:val="00343D9C"/>
    <w:rsid w:val="00343E09"/>
    <w:rsid w:val="0035121B"/>
    <w:rsid w:val="003521AC"/>
    <w:rsid w:val="00352BA3"/>
    <w:rsid w:val="00352D4E"/>
    <w:rsid w:val="00354452"/>
    <w:rsid w:val="00356193"/>
    <w:rsid w:val="00356631"/>
    <w:rsid w:val="00356A9C"/>
    <w:rsid w:val="00357F64"/>
    <w:rsid w:val="0036067C"/>
    <w:rsid w:val="0036276F"/>
    <w:rsid w:val="003634F4"/>
    <w:rsid w:val="00363B02"/>
    <w:rsid w:val="003642B6"/>
    <w:rsid w:val="003655E9"/>
    <w:rsid w:val="00365BD8"/>
    <w:rsid w:val="003677A5"/>
    <w:rsid w:val="00367D22"/>
    <w:rsid w:val="00371760"/>
    <w:rsid w:val="00371CE6"/>
    <w:rsid w:val="00371DF2"/>
    <w:rsid w:val="00371F82"/>
    <w:rsid w:val="00376869"/>
    <w:rsid w:val="00377AE0"/>
    <w:rsid w:val="00380598"/>
    <w:rsid w:val="00381B01"/>
    <w:rsid w:val="003829D9"/>
    <w:rsid w:val="00383B17"/>
    <w:rsid w:val="00384A92"/>
    <w:rsid w:val="003854F3"/>
    <w:rsid w:val="00386518"/>
    <w:rsid w:val="003875CD"/>
    <w:rsid w:val="00387FBB"/>
    <w:rsid w:val="00391A61"/>
    <w:rsid w:val="00397B1C"/>
    <w:rsid w:val="00397E86"/>
    <w:rsid w:val="003A0C28"/>
    <w:rsid w:val="003A1388"/>
    <w:rsid w:val="003A1D20"/>
    <w:rsid w:val="003A258C"/>
    <w:rsid w:val="003A2BE3"/>
    <w:rsid w:val="003A37AB"/>
    <w:rsid w:val="003A40E7"/>
    <w:rsid w:val="003A4472"/>
    <w:rsid w:val="003A4DCD"/>
    <w:rsid w:val="003A67F1"/>
    <w:rsid w:val="003A78B7"/>
    <w:rsid w:val="003B0410"/>
    <w:rsid w:val="003B120C"/>
    <w:rsid w:val="003B2BDE"/>
    <w:rsid w:val="003B4A06"/>
    <w:rsid w:val="003B5D7B"/>
    <w:rsid w:val="003B5F19"/>
    <w:rsid w:val="003B600A"/>
    <w:rsid w:val="003B67A0"/>
    <w:rsid w:val="003B72E5"/>
    <w:rsid w:val="003C0BB3"/>
    <w:rsid w:val="003C0CDC"/>
    <w:rsid w:val="003C0E0B"/>
    <w:rsid w:val="003C1220"/>
    <w:rsid w:val="003C1D99"/>
    <w:rsid w:val="003C2C73"/>
    <w:rsid w:val="003C5626"/>
    <w:rsid w:val="003C6339"/>
    <w:rsid w:val="003C6B76"/>
    <w:rsid w:val="003C73F0"/>
    <w:rsid w:val="003D3B92"/>
    <w:rsid w:val="003D3B9C"/>
    <w:rsid w:val="003D4056"/>
    <w:rsid w:val="003D415D"/>
    <w:rsid w:val="003D46D1"/>
    <w:rsid w:val="003D5C3E"/>
    <w:rsid w:val="003D7EC2"/>
    <w:rsid w:val="003E10E4"/>
    <w:rsid w:val="003E1BD5"/>
    <w:rsid w:val="003E3AC3"/>
    <w:rsid w:val="003E58E5"/>
    <w:rsid w:val="003E58FF"/>
    <w:rsid w:val="003E5EE1"/>
    <w:rsid w:val="003E7C9B"/>
    <w:rsid w:val="003E7D25"/>
    <w:rsid w:val="003F0417"/>
    <w:rsid w:val="003F5953"/>
    <w:rsid w:val="003F65B6"/>
    <w:rsid w:val="003F688C"/>
    <w:rsid w:val="00400DD3"/>
    <w:rsid w:val="00403806"/>
    <w:rsid w:val="00403958"/>
    <w:rsid w:val="004073DB"/>
    <w:rsid w:val="0041074D"/>
    <w:rsid w:val="0041164C"/>
    <w:rsid w:val="004137F3"/>
    <w:rsid w:val="00414930"/>
    <w:rsid w:val="00414F84"/>
    <w:rsid w:val="00415470"/>
    <w:rsid w:val="00415CFA"/>
    <w:rsid w:val="00416388"/>
    <w:rsid w:val="00416486"/>
    <w:rsid w:val="00417D4F"/>
    <w:rsid w:val="0042046F"/>
    <w:rsid w:val="00421975"/>
    <w:rsid w:val="004223F4"/>
    <w:rsid w:val="004223F7"/>
    <w:rsid w:val="004237AF"/>
    <w:rsid w:val="00423A29"/>
    <w:rsid w:val="004266AA"/>
    <w:rsid w:val="00426990"/>
    <w:rsid w:val="004300B5"/>
    <w:rsid w:val="004342C9"/>
    <w:rsid w:val="004361FB"/>
    <w:rsid w:val="00440412"/>
    <w:rsid w:val="00440804"/>
    <w:rsid w:val="00441962"/>
    <w:rsid w:val="00443597"/>
    <w:rsid w:val="00443935"/>
    <w:rsid w:val="00443963"/>
    <w:rsid w:val="004439D6"/>
    <w:rsid w:val="004442B3"/>
    <w:rsid w:val="00444D59"/>
    <w:rsid w:val="00445E8D"/>
    <w:rsid w:val="00446551"/>
    <w:rsid w:val="00447654"/>
    <w:rsid w:val="00447C43"/>
    <w:rsid w:val="004513F9"/>
    <w:rsid w:val="00451DAE"/>
    <w:rsid w:val="00452F36"/>
    <w:rsid w:val="00453130"/>
    <w:rsid w:val="0045394E"/>
    <w:rsid w:val="00454535"/>
    <w:rsid w:val="00454B5D"/>
    <w:rsid w:val="00455B44"/>
    <w:rsid w:val="00456FA3"/>
    <w:rsid w:val="0045754E"/>
    <w:rsid w:val="00460E98"/>
    <w:rsid w:val="00461294"/>
    <w:rsid w:val="00461626"/>
    <w:rsid w:val="00462A9E"/>
    <w:rsid w:val="004640E1"/>
    <w:rsid w:val="00464905"/>
    <w:rsid w:val="00465462"/>
    <w:rsid w:val="00467D68"/>
    <w:rsid w:val="00471684"/>
    <w:rsid w:val="0047305B"/>
    <w:rsid w:val="0047493D"/>
    <w:rsid w:val="00475968"/>
    <w:rsid w:val="00475A0F"/>
    <w:rsid w:val="004771A7"/>
    <w:rsid w:val="00477DF1"/>
    <w:rsid w:val="004805E1"/>
    <w:rsid w:val="0048194E"/>
    <w:rsid w:val="00481D33"/>
    <w:rsid w:val="00481EFC"/>
    <w:rsid w:val="0048481A"/>
    <w:rsid w:val="00486D4E"/>
    <w:rsid w:val="0048733D"/>
    <w:rsid w:val="00487A10"/>
    <w:rsid w:val="00487F50"/>
    <w:rsid w:val="00492A68"/>
    <w:rsid w:val="0049352F"/>
    <w:rsid w:val="00494FF8"/>
    <w:rsid w:val="00496BBF"/>
    <w:rsid w:val="00497B97"/>
    <w:rsid w:val="00497E3B"/>
    <w:rsid w:val="004A0E42"/>
    <w:rsid w:val="004A28E9"/>
    <w:rsid w:val="004A4443"/>
    <w:rsid w:val="004A465C"/>
    <w:rsid w:val="004A5A5E"/>
    <w:rsid w:val="004A647D"/>
    <w:rsid w:val="004A6BB2"/>
    <w:rsid w:val="004A7816"/>
    <w:rsid w:val="004A791C"/>
    <w:rsid w:val="004B0321"/>
    <w:rsid w:val="004B0A0E"/>
    <w:rsid w:val="004B10CD"/>
    <w:rsid w:val="004B2765"/>
    <w:rsid w:val="004B6984"/>
    <w:rsid w:val="004C0028"/>
    <w:rsid w:val="004C05F2"/>
    <w:rsid w:val="004C1E04"/>
    <w:rsid w:val="004C1EBB"/>
    <w:rsid w:val="004C407E"/>
    <w:rsid w:val="004C506F"/>
    <w:rsid w:val="004C7A15"/>
    <w:rsid w:val="004D113A"/>
    <w:rsid w:val="004D11B7"/>
    <w:rsid w:val="004D2B82"/>
    <w:rsid w:val="004D57A0"/>
    <w:rsid w:val="004D5F36"/>
    <w:rsid w:val="004E0791"/>
    <w:rsid w:val="004E26E0"/>
    <w:rsid w:val="004E4340"/>
    <w:rsid w:val="004E44CC"/>
    <w:rsid w:val="004E50CC"/>
    <w:rsid w:val="004E587A"/>
    <w:rsid w:val="004E5CA5"/>
    <w:rsid w:val="004E6F0E"/>
    <w:rsid w:val="004F02F2"/>
    <w:rsid w:val="004F16A1"/>
    <w:rsid w:val="004F1918"/>
    <w:rsid w:val="004F2DDA"/>
    <w:rsid w:val="004F4B65"/>
    <w:rsid w:val="00502DF4"/>
    <w:rsid w:val="005034FC"/>
    <w:rsid w:val="00503F67"/>
    <w:rsid w:val="005044B9"/>
    <w:rsid w:val="005055E2"/>
    <w:rsid w:val="00506637"/>
    <w:rsid w:val="00507AFA"/>
    <w:rsid w:val="00507EF7"/>
    <w:rsid w:val="005106D5"/>
    <w:rsid w:val="005112F3"/>
    <w:rsid w:val="00517BF1"/>
    <w:rsid w:val="00517EF8"/>
    <w:rsid w:val="00520572"/>
    <w:rsid w:val="00520645"/>
    <w:rsid w:val="00520920"/>
    <w:rsid w:val="00520FCF"/>
    <w:rsid w:val="0052426A"/>
    <w:rsid w:val="00524C98"/>
    <w:rsid w:val="00524D6D"/>
    <w:rsid w:val="005252C0"/>
    <w:rsid w:val="00530143"/>
    <w:rsid w:val="00530857"/>
    <w:rsid w:val="00530CE7"/>
    <w:rsid w:val="00530DA1"/>
    <w:rsid w:val="005316A8"/>
    <w:rsid w:val="00535C65"/>
    <w:rsid w:val="0053682D"/>
    <w:rsid w:val="00540FEC"/>
    <w:rsid w:val="005414D6"/>
    <w:rsid w:val="00541F83"/>
    <w:rsid w:val="00542596"/>
    <w:rsid w:val="00542766"/>
    <w:rsid w:val="005430C7"/>
    <w:rsid w:val="005436C0"/>
    <w:rsid w:val="00543809"/>
    <w:rsid w:val="00543CB6"/>
    <w:rsid w:val="00543EC9"/>
    <w:rsid w:val="005444D4"/>
    <w:rsid w:val="005446B0"/>
    <w:rsid w:val="005475A9"/>
    <w:rsid w:val="00547E4F"/>
    <w:rsid w:val="00551DFC"/>
    <w:rsid w:val="0055211A"/>
    <w:rsid w:val="00554187"/>
    <w:rsid w:val="005544A0"/>
    <w:rsid w:val="00555958"/>
    <w:rsid w:val="005600E9"/>
    <w:rsid w:val="005605F8"/>
    <w:rsid w:val="005615D4"/>
    <w:rsid w:val="00563264"/>
    <w:rsid w:val="005650C2"/>
    <w:rsid w:val="00565A8C"/>
    <w:rsid w:val="0057294D"/>
    <w:rsid w:val="00573012"/>
    <w:rsid w:val="005731AA"/>
    <w:rsid w:val="00574068"/>
    <w:rsid w:val="00575709"/>
    <w:rsid w:val="00575BD3"/>
    <w:rsid w:val="005773BE"/>
    <w:rsid w:val="005804F3"/>
    <w:rsid w:val="00580954"/>
    <w:rsid w:val="005824F8"/>
    <w:rsid w:val="0058359D"/>
    <w:rsid w:val="00583A14"/>
    <w:rsid w:val="00583A5C"/>
    <w:rsid w:val="00583CA8"/>
    <w:rsid w:val="00584C19"/>
    <w:rsid w:val="005850D6"/>
    <w:rsid w:val="005858E3"/>
    <w:rsid w:val="0058643C"/>
    <w:rsid w:val="00586EDA"/>
    <w:rsid w:val="005927CD"/>
    <w:rsid w:val="0059343A"/>
    <w:rsid w:val="005964EC"/>
    <w:rsid w:val="005A0661"/>
    <w:rsid w:val="005A1FDF"/>
    <w:rsid w:val="005A225C"/>
    <w:rsid w:val="005A2BEB"/>
    <w:rsid w:val="005A39AF"/>
    <w:rsid w:val="005A4F1F"/>
    <w:rsid w:val="005A61BC"/>
    <w:rsid w:val="005A6732"/>
    <w:rsid w:val="005A7272"/>
    <w:rsid w:val="005A7EC2"/>
    <w:rsid w:val="005A7ECD"/>
    <w:rsid w:val="005B19C2"/>
    <w:rsid w:val="005B334E"/>
    <w:rsid w:val="005B3938"/>
    <w:rsid w:val="005B3FB5"/>
    <w:rsid w:val="005B6F4B"/>
    <w:rsid w:val="005B7E36"/>
    <w:rsid w:val="005C0EA7"/>
    <w:rsid w:val="005C2B60"/>
    <w:rsid w:val="005C3B65"/>
    <w:rsid w:val="005C3CA1"/>
    <w:rsid w:val="005C5A71"/>
    <w:rsid w:val="005C71EA"/>
    <w:rsid w:val="005D0B54"/>
    <w:rsid w:val="005D1546"/>
    <w:rsid w:val="005D168F"/>
    <w:rsid w:val="005D248A"/>
    <w:rsid w:val="005D2C74"/>
    <w:rsid w:val="005D2CB5"/>
    <w:rsid w:val="005D3412"/>
    <w:rsid w:val="005D3766"/>
    <w:rsid w:val="005D386F"/>
    <w:rsid w:val="005D4542"/>
    <w:rsid w:val="005D511D"/>
    <w:rsid w:val="005D5B94"/>
    <w:rsid w:val="005D72C1"/>
    <w:rsid w:val="005E1F1C"/>
    <w:rsid w:val="005E3DC5"/>
    <w:rsid w:val="005E4813"/>
    <w:rsid w:val="005E6935"/>
    <w:rsid w:val="005E6E82"/>
    <w:rsid w:val="005F0BC7"/>
    <w:rsid w:val="005F5CA4"/>
    <w:rsid w:val="005F6167"/>
    <w:rsid w:val="006031DC"/>
    <w:rsid w:val="0060336D"/>
    <w:rsid w:val="006035CB"/>
    <w:rsid w:val="00604122"/>
    <w:rsid w:val="0060535C"/>
    <w:rsid w:val="00606709"/>
    <w:rsid w:val="00613D71"/>
    <w:rsid w:val="00615523"/>
    <w:rsid w:val="00615DBE"/>
    <w:rsid w:val="006161C5"/>
    <w:rsid w:val="00625C51"/>
    <w:rsid w:val="00626E6E"/>
    <w:rsid w:val="006313EC"/>
    <w:rsid w:val="00633300"/>
    <w:rsid w:val="00633872"/>
    <w:rsid w:val="0063507E"/>
    <w:rsid w:val="006369CC"/>
    <w:rsid w:val="006374EF"/>
    <w:rsid w:val="00643CAC"/>
    <w:rsid w:val="00643E16"/>
    <w:rsid w:val="00645B00"/>
    <w:rsid w:val="00646631"/>
    <w:rsid w:val="00647F26"/>
    <w:rsid w:val="006536D6"/>
    <w:rsid w:val="00654B00"/>
    <w:rsid w:val="00655415"/>
    <w:rsid w:val="006555FF"/>
    <w:rsid w:val="006560FF"/>
    <w:rsid w:val="00657569"/>
    <w:rsid w:val="00662875"/>
    <w:rsid w:val="00663399"/>
    <w:rsid w:val="006635A7"/>
    <w:rsid w:val="006649C6"/>
    <w:rsid w:val="00665634"/>
    <w:rsid w:val="006656A2"/>
    <w:rsid w:val="00665738"/>
    <w:rsid w:val="00666247"/>
    <w:rsid w:val="006679EB"/>
    <w:rsid w:val="00671EF7"/>
    <w:rsid w:val="0067360D"/>
    <w:rsid w:val="00674F5E"/>
    <w:rsid w:val="006763B3"/>
    <w:rsid w:val="006829A4"/>
    <w:rsid w:val="00682F0F"/>
    <w:rsid w:val="00683222"/>
    <w:rsid w:val="00685F1B"/>
    <w:rsid w:val="00686A7A"/>
    <w:rsid w:val="00686F46"/>
    <w:rsid w:val="00687B51"/>
    <w:rsid w:val="006900BC"/>
    <w:rsid w:val="006907CD"/>
    <w:rsid w:val="00692DDF"/>
    <w:rsid w:val="00692F23"/>
    <w:rsid w:val="00693530"/>
    <w:rsid w:val="0069376A"/>
    <w:rsid w:val="00694554"/>
    <w:rsid w:val="00695074"/>
    <w:rsid w:val="006A077D"/>
    <w:rsid w:val="006A1725"/>
    <w:rsid w:val="006A211F"/>
    <w:rsid w:val="006A4311"/>
    <w:rsid w:val="006A5EAE"/>
    <w:rsid w:val="006A76FE"/>
    <w:rsid w:val="006B46DC"/>
    <w:rsid w:val="006B666A"/>
    <w:rsid w:val="006B7F89"/>
    <w:rsid w:val="006C3846"/>
    <w:rsid w:val="006C3BF0"/>
    <w:rsid w:val="006C4725"/>
    <w:rsid w:val="006D221B"/>
    <w:rsid w:val="006D2A8C"/>
    <w:rsid w:val="006D441C"/>
    <w:rsid w:val="006D4845"/>
    <w:rsid w:val="006D4A35"/>
    <w:rsid w:val="006D7235"/>
    <w:rsid w:val="006D7839"/>
    <w:rsid w:val="006D7B10"/>
    <w:rsid w:val="006E02B1"/>
    <w:rsid w:val="006E157D"/>
    <w:rsid w:val="006E3615"/>
    <w:rsid w:val="006E52FE"/>
    <w:rsid w:val="006E6DDB"/>
    <w:rsid w:val="006F0AC4"/>
    <w:rsid w:val="006F0C4D"/>
    <w:rsid w:val="006F2CEE"/>
    <w:rsid w:val="006F5195"/>
    <w:rsid w:val="006F5426"/>
    <w:rsid w:val="006F61C3"/>
    <w:rsid w:val="006F65DD"/>
    <w:rsid w:val="006F6DCC"/>
    <w:rsid w:val="006F7546"/>
    <w:rsid w:val="00700495"/>
    <w:rsid w:val="00700BDF"/>
    <w:rsid w:val="00701A39"/>
    <w:rsid w:val="00701FD1"/>
    <w:rsid w:val="00702286"/>
    <w:rsid w:val="0070375B"/>
    <w:rsid w:val="00703A40"/>
    <w:rsid w:val="00704400"/>
    <w:rsid w:val="0070485D"/>
    <w:rsid w:val="00705060"/>
    <w:rsid w:val="00705E1B"/>
    <w:rsid w:val="00705F0C"/>
    <w:rsid w:val="007064D1"/>
    <w:rsid w:val="00706598"/>
    <w:rsid w:val="00710F95"/>
    <w:rsid w:val="007115D6"/>
    <w:rsid w:val="007132C1"/>
    <w:rsid w:val="00714445"/>
    <w:rsid w:val="007214D5"/>
    <w:rsid w:val="0072283F"/>
    <w:rsid w:val="00722DD9"/>
    <w:rsid w:val="0072306E"/>
    <w:rsid w:val="007269A4"/>
    <w:rsid w:val="00733E60"/>
    <w:rsid w:val="00734BF0"/>
    <w:rsid w:val="007358D4"/>
    <w:rsid w:val="007362E1"/>
    <w:rsid w:val="00736312"/>
    <w:rsid w:val="007375A2"/>
    <w:rsid w:val="00737D3F"/>
    <w:rsid w:val="00742808"/>
    <w:rsid w:val="00743133"/>
    <w:rsid w:val="00745330"/>
    <w:rsid w:val="00745EC9"/>
    <w:rsid w:val="00745FC7"/>
    <w:rsid w:val="00746653"/>
    <w:rsid w:val="0075061D"/>
    <w:rsid w:val="007506CA"/>
    <w:rsid w:val="00751747"/>
    <w:rsid w:val="00753442"/>
    <w:rsid w:val="00754000"/>
    <w:rsid w:val="0075584E"/>
    <w:rsid w:val="00760447"/>
    <w:rsid w:val="00760C76"/>
    <w:rsid w:val="007616E0"/>
    <w:rsid w:val="007623A6"/>
    <w:rsid w:val="007664AC"/>
    <w:rsid w:val="007664B3"/>
    <w:rsid w:val="00770264"/>
    <w:rsid w:val="00771BDB"/>
    <w:rsid w:val="00772449"/>
    <w:rsid w:val="007756E1"/>
    <w:rsid w:val="0078108E"/>
    <w:rsid w:val="007830D5"/>
    <w:rsid w:val="007830DD"/>
    <w:rsid w:val="00784AE6"/>
    <w:rsid w:val="00784CA4"/>
    <w:rsid w:val="00784D51"/>
    <w:rsid w:val="0078521D"/>
    <w:rsid w:val="00786F98"/>
    <w:rsid w:val="00787769"/>
    <w:rsid w:val="0079060C"/>
    <w:rsid w:val="007910EF"/>
    <w:rsid w:val="00791384"/>
    <w:rsid w:val="0079276C"/>
    <w:rsid w:val="0079564C"/>
    <w:rsid w:val="00797162"/>
    <w:rsid w:val="00797A49"/>
    <w:rsid w:val="007A0227"/>
    <w:rsid w:val="007A1908"/>
    <w:rsid w:val="007A31E6"/>
    <w:rsid w:val="007A3201"/>
    <w:rsid w:val="007A4951"/>
    <w:rsid w:val="007A59FD"/>
    <w:rsid w:val="007A6834"/>
    <w:rsid w:val="007A69E3"/>
    <w:rsid w:val="007A7D92"/>
    <w:rsid w:val="007B098E"/>
    <w:rsid w:val="007B1C24"/>
    <w:rsid w:val="007B1D8C"/>
    <w:rsid w:val="007B2424"/>
    <w:rsid w:val="007B271D"/>
    <w:rsid w:val="007B39B5"/>
    <w:rsid w:val="007B4698"/>
    <w:rsid w:val="007B677B"/>
    <w:rsid w:val="007B76CF"/>
    <w:rsid w:val="007C06DB"/>
    <w:rsid w:val="007C07F2"/>
    <w:rsid w:val="007C19C9"/>
    <w:rsid w:val="007C3721"/>
    <w:rsid w:val="007C442F"/>
    <w:rsid w:val="007C4873"/>
    <w:rsid w:val="007C5598"/>
    <w:rsid w:val="007C620C"/>
    <w:rsid w:val="007C7F1C"/>
    <w:rsid w:val="007D0693"/>
    <w:rsid w:val="007D26D0"/>
    <w:rsid w:val="007D2F6E"/>
    <w:rsid w:val="007D37C3"/>
    <w:rsid w:val="007D41CC"/>
    <w:rsid w:val="007D502C"/>
    <w:rsid w:val="007D53D2"/>
    <w:rsid w:val="007D542C"/>
    <w:rsid w:val="007D5F92"/>
    <w:rsid w:val="007D5FB6"/>
    <w:rsid w:val="007D6337"/>
    <w:rsid w:val="007D71B9"/>
    <w:rsid w:val="007E03DA"/>
    <w:rsid w:val="007E21C1"/>
    <w:rsid w:val="007E492B"/>
    <w:rsid w:val="007E5BA2"/>
    <w:rsid w:val="007E6B47"/>
    <w:rsid w:val="007E7CC7"/>
    <w:rsid w:val="007F12B7"/>
    <w:rsid w:val="007F25A9"/>
    <w:rsid w:val="007F33A7"/>
    <w:rsid w:val="007F35ED"/>
    <w:rsid w:val="007F5127"/>
    <w:rsid w:val="0080024D"/>
    <w:rsid w:val="008005A5"/>
    <w:rsid w:val="00800944"/>
    <w:rsid w:val="00800A5E"/>
    <w:rsid w:val="00801036"/>
    <w:rsid w:val="00801575"/>
    <w:rsid w:val="00802650"/>
    <w:rsid w:val="0080418D"/>
    <w:rsid w:val="00804A64"/>
    <w:rsid w:val="00804F81"/>
    <w:rsid w:val="00807E4C"/>
    <w:rsid w:val="00810E4C"/>
    <w:rsid w:val="00811C1B"/>
    <w:rsid w:val="00813B01"/>
    <w:rsid w:val="00813D5B"/>
    <w:rsid w:val="0081414A"/>
    <w:rsid w:val="00815A26"/>
    <w:rsid w:val="00815C3A"/>
    <w:rsid w:val="00815D71"/>
    <w:rsid w:val="00820836"/>
    <w:rsid w:val="008231BA"/>
    <w:rsid w:val="008236C3"/>
    <w:rsid w:val="00824005"/>
    <w:rsid w:val="00824E2B"/>
    <w:rsid w:val="00825555"/>
    <w:rsid w:val="00826779"/>
    <w:rsid w:val="00826980"/>
    <w:rsid w:val="008306DE"/>
    <w:rsid w:val="008313B2"/>
    <w:rsid w:val="00831E17"/>
    <w:rsid w:val="00832B98"/>
    <w:rsid w:val="00835E18"/>
    <w:rsid w:val="0083717F"/>
    <w:rsid w:val="00837F0A"/>
    <w:rsid w:val="00840199"/>
    <w:rsid w:val="008405A7"/>
    <w:rsid w:val="00842423"/>
    <w:rsid w:val="008428A5"/>
    <w:rsid w:val="0084319C"/>
    <w:rsid w:val="00846639"/>
    <w:rsid w:val="008469C8"/>
    <w:rsid w:val="00853B0C"/>
    <w:rsid w:val="00853B1B"/>
    <w:rsid w:val="008547F7"/>
    <w:rsid w:val="00854838"/>
    <w:rsid w:val="008577D4"/>
    <w:rsid w:val="00860BCB"/>
    <w:rsid w:val="00860DDC"/>
    <w:rsid w:val="00862065"/>
    <w:rsid w:val="00862400"/>
    <w:rsid w:val="00863DB6"/>
    <w:rsid w:val="00863FD0"/>
    <w:rsid w:val="00865B29"/>
    <w:rsid w:val="00867539"/>
    <w:rsid w:val="0087091E"/>
    <w:rsid w:val="008720D8"/>
    <w:rsid w:val="00872F64"/>
    <w:rsid w:val="0087367F"/>
    <w:rsid w:val="00873A06"/>
    <w:rsid w:val="008743C8"/>
    <w:rsid w:val="00874D70"/>
    <w:rsid w:val="00875555"/>
    <w:rsid w:val="00876C81"/>
    <w:rsid w:val="008826CF"/>
    <w:rsid w:val="008838C7"/>
    <w:rsid w:val="00883E6C"/>
    <w:rsid w:val="008862B5"/>
    <w:rsid w:val="00886679"/>
    <w:rsid w:val="0088721E"/>
    <w:rsid w:val="008872A8"/>
    <w:rsid w:val="0088740B"/>
    <w:rsid w:val="00887544"/>
    <w:rsid w:val="008908F5"/>
    <w:rsid w:val="00890A4C"/>
    <w:rsid w:val="00890DDA"/>
    <w:rsid w:val="00891725"/>
    <w:rsid w:val="00891914"/>
    <w:rsid w:val="008945FD"/>
    <w:rsid w:val="00894A72"/>
    <w:rsid w:val="008951AC"/>
    <w:rsid w:val="008961B7"/>
    <w:rsid w:val="0089677E"/>
    <w:rsid w:val="00896D19"/>
    <w:rsid w:val="00897391"/>
    <w:rsid w:val="00897483"/>
    <w:rsid w:val="008978CC"/>
    <w:rsid w:val="008A072A"/>
    <w:rsid w:val="008A1053"/>
    <w:rsid w:val="008A1FED"/>
    <w:rsid w:val="008A227F"/>
    <w:rsid w:val="008A2418"/>
    <w:rsid w:val="008A5FD3"/>
    <w:rsid w:val="008A6501"/>
    <w:rsid w:val="008A6931"/>
    <w:rsid w:val="008B56FA"/>
    <w:rsid w:val="008B5987"/>
    <w:rsid w:val="008C119E"/>
    <w:rsid w:val="008C1F86"/>
    <w:rsid w:val="008C2A3C"/>
    <w:rsid w:val="008C2E65"/>
    <w:rsid w:val="008C37C8"/>
    <w:rsid w:val="008C3996"/>
    <w:rsid w:val="008C46C7"/>
    <w:rsid w:val="008C7F13"/>
    <w:rsid w:val="008D0652"/>
    <w:rsid w:val="008D0BF5"/>
    <w:rsid w:val="008D114B"/>
    <w:rsid w:val="008D11B9"/>
    <w:rsid w:val="008D126F"/>
    <w:rsid w:val="008D2E88"/>
    <w:rsid w:val="008D45D9"/>
    <w:rsid w:val="008D79E6"/>
    <w:rsid w:val="008D7DDB"/>
    <w:rsid w:val="008E0014"/>
    <w:rsid w:val="008E08F8"/>
    <w:rsid w:val="008E1F19"/>
    <w:rsid w:val="008E2631"/>
    <w:rsid w:val="008F11E2"/>
    <w:rsid w:val="008F3660"/>
    <w:rsid w:val="008F3F09"/>
    <w:rsid w:val="008F6192"/>
    <w:rsid w:val="008F637F"/>
    <w:rsid w:val="008F7B87"/>
    <w:rsid w:val="00901CEC"/>
    <w:rsid w:val="00902C55"/>
    <w:rsid w:val="009042C0"/>
    <w:rsid w:val="009052E9"/>
    <w:rsid w:val="00905989"/>
    <w:rsid w:val="00906098"/>
    <w:rsid w:val="00907206"/>
    <w:rsid w:val="0090744F"/>
    <w:rsid w:val="0090749A"/>
    <w:rsid w:val="00907611"/>
    <w:rsid w:val="00907DA1"/>
    <w:rsid w:val="009104FF"/>
    <w:rsid w:val="00910DFD"/>
    <w:rsid w:val="00911C69"/>
    <w:rsid w:val="00911E72"/>
    <w:rsid w:val="009129DD"/>
    <w:rsid w:val="00912A72"/>
    <w:rsid w:val="00912DEC"/>
    <w:rsid w:val="0091364C"/>
    <w:rsid w:val="009149A9"/>
    <w:rsid w:val="00914C10"/>
    <w:rsid w:val="00915D80"/>
    <w:rsid w:val="00916887"/>
    <w:rsid w:val="00917556"/>
    <w:rsid w:val="009205BD"/>
    <w:rsid w:val="009209E2"/>
    <w:rsid w:val="009232BF"/>
    <w:rsid w:val="00923B33"/>
    <w:rsid w:val="00923FC2"/>
    <w:rsid w:val="00924B22"/>
    <w:rsid w:val="009258F6"/>
    <w:rsid w:val="00927954"/>
    <w:rsid w:val="00927F3E"/>
    <w:rsid w:val="00930A46"/>
    <w:rsid w:val="00930D8F"/>
    <w:rsid w:val="00934A69"/>
    <w:rsid w:val="00936103"/>
    <w:rsid w:val="00936722"/>
    <w:rsid w:val="009376A3"/>
    <w:rsid w:val="009405F0"/>
    <w:rsid w:val="00945087"/>
    <w:rsid w:val="009451C2"/>
    <w:rsid w:val="009479EF"/>
    <w:rsid w:val="0095018E"/>
    <w:rsid w:val="0095022F"/>
    <w:rsid w:val="00950C28"/>
    <w:rsid w:val="009528ED"/>
    <w:rsid w:val="00953C24"/>
    <w:rsid w:val="00953E05"/>
    <w:rsid w:val="009548FE"/>
    <w:rsid w:val="00954B36"/>
    <w:rsid w:val="009572F4"/>
    <w:rsid w:val="009603FD"/>
    <w:rsid w:val="00963757"/>
    <w:rsid w:val="00964509"/>
    <w:rsid w:val="009647CD"/>
    <w:rsid w:val="0096588C"/>
    <w:rsid w:val="00965A62"/>
    <w:rsid w:val="00965A8D"/>
    <w:rsid w:val="00966C54"/>
    <w:rsid w:val="009678FD"/>
    <w:rsid w:val="00967B9A"/>
    <w:rsid w:val="0097037F"/>
    <w:rsid w:val="00972CB3"/>
    <w:rsid w:val="00974EA0"/>
    <w:rsid w:val="00975828"/>
    <w:rsid w:val="00975DA4"/>
    <w:rsid w:val="0097649D"/>
    <w:rsid w:val="00976EC3"/>
    <w:rsid w:val="00977466"/>
    <w:rsid w:val="00977987"/>
    <w:rsid w:val="00980F08"/>
    <w:rsid w:val="0098169D"/>
    <w:rsid w:val="0098287F"/>
    <w:rsid w:val="00984F86"/>
    <w:rsid w:val="009853EE"/>
    <w:rsid w:val="009854AD"/>
    <w:rsid w:val="009862FF"/>
    <w:rsid w:val="00986463"/>
    <w:rsid w:val="009872D8"/>
    <w:rsid w:val="00990627"/>
    <w:rsid w:val="00990D29"/>
    <w:rsid w:val="009916C7"/>
    <w:rsid w:val="00991914"/>
    <w:rsid w:val="009925A8"/>
    <w:rsid w:val="009937E4"/>
    <w:rsid w:val="009944E0"/>
    <w:rsid w:val="009A0EB2"/>
    <w:rsid w:val="009A32F5"/>
    <w:rsid w:val="009A4223"/>
    <w:rsid w:val="009A4397"/>
    <w:rsid w:val="009A5462"/>
    <w:rsid w:val="009A58EC"/>
    <w:rsid w:val="009A5BBB"/>
    <w:rsid w:val="009A6302"/>
    <w:rsid w:val="009A75E5"/>
    <w:rsid w:val="009A7DF7"/>
    <w:rsid w:val="009B0310"/>
    <w:rsid w:val="009B09C6"/>
    <w:rsid w:val="009B13D3"/>
    <w:rsid w:val="009B1ACA"/>
    <w:rsid w:val="009B2E13"/>
    <w:rsid w:val="009B31FA"/>
    <w:rsid w:val="009B4A2A"/>
    <w:rsid w:val="009B5D33"/>
    <w:rsid w:val="009C0A02"/>
    <w:rsid w:val="009C119B"/>
    <w:rsid w:val="009C3782"/>
    <w:rsid w:val="009C4B02"/>
    <w:rsid w:val="009D182C"/>
    <w:rsid w:val="009D1EBB"/>
    <w:rsid w:val="009D4ED5"/>
    <w:rsid w:val="009D5869"/>
    <w:rsid w:val="009D6DE4"/>
    <w:rsid w:val="009D7CE9"/>
    <w:rsid w:val="009E0223"/>
    <w:rsid w:val="009E0566"/>
    <w:rsid w:val="009E0EE1"/>
    <w:rsid w:val="009E29BB"/>
    <w:rsid w:val="009E3979"/>
    <w:rsid w:val="009E40DD"/>
    <w:rsid w:val="009E56B5"/>
    <w:rsid w:val="009E6BFC"/>
    <w:rsid w:val="009E74C5"/>
    <w:rsid w:val="009E776F"/>
    <w:rsid w:val="009E7D0D"/>
    <w:rsid w:val="009F0DB1"/>
    <w:rsid w:val="009F11A1"/>
    <w:rsid w:val="009F1A5D"/>
    <w:rsid w:val="009F2104"/>
    <w:rsid w:val="009F24BE"/>
    <w:rsid w:val="009F2584"/>
    <w:rsid w:val="009F2800"/>
    <w:rsid w:val="009F2E8A"/>
    <w:rsid w:val="009F5A77"/>
    <w:rsid w:val="009F6808"/>
    <w:rsid w:val="009F775D"/>
    <w:rsid w:val="00A00951"/>
    <w:rsid w:val="00A00B8C"/>
    <w:rsid w:val="00A034E8"/>
    <w:rsid w:val="00A03BF8"/>
    <w:rsid w:val="00A05215"/>
    <w:rsid w:val="00A0558F"/>
    <w:rsid w:val="00A06376"/>
    <w:rsid w:val="00A17418"/>
    <w:rsid w:val="00A179C6"/>
    <w:rsid w:val="00A22797"/>
    <w:rsid w:val="00A24C01"/>
    <w:rsid w:val="00A24EF1"/>
    <w:rsid w:val="00A2594E"/>
    <w:rsid w:val="00A260E0"/>
    <w:rsid w:val="00A2690A"/>
    <w:rsid w:val="00A3056D"/>
    <w:rsid w:val="00A30F8F"/>
    <w:rsid w:val="00A32C0E"/>
    <w:rsid w:val="00A32C80"/>
    <w:rsid w:val="00A32EFD"/>
    <w:rsid w:val="00A3358B"/>
    <w:rsid w:val="00A33FB6"/>
    <w:rsid w:val="00A34126"/>
    <w:rsid w:val="00A347CC"/>
    <w:rsid w:val="00A34FE8"/>
    <w:rsid w:val="00A35F40"/>
    <w:rsid w:val="00A4131F"/>
    <w:rsid w:val="00A52609"/>
    <w:rsid w:val="00A52796"/>
    <w:rsid w:val="00A52E90"/>
    <w:rsid w:val="00A550C2"/>
    <w:rsid w:val="00A603FA"/>
    <w:rsid w:val="00A60D25"/>
    <w:rsid w:val="00A61BBE"/>
    <w:rsid w:val="00A61DA4"/>
    <w:rsid w:val="00A62355"/>
    <w:rsid w:val="00A62737"/>
    <w:rsid w:val="00A63BEB"/>
    <w:rsid w:val="00A6519F"/>
    <w:rsid w:val="00A6575E"/>
    <w:rsid w:val="00A65E12"/>
    <w:rsid w:val="00A6633F"/>
    <w:rsid w:val="00A66FC6"/>
    <w:rsid w:val="00A672DB"/>
    <w:rsid w:val="00A67467"/>
    <w:rsid w:val="00A7057F"/>
    <w:rsid w:val="00A71215"/>
    <w:rsid w:val="00A7196F"/>
    <w:rsid w:val="00A74B2E"/>
    <w:rsid w:val="00A758F4"/>
    <w:rsid w:val="00A77CBB"/>
    <w:rsid w:val="00A866E0"/>
    <w:rsid w:val="00A86D16"/>
    <w:rsid w:val="00A86F33"/>
    <w:rsid w:val="00A92177"/>
    <w:rsid w:val="00A93155"/>
    <w:rsid w:val="00A93B9A"/>
    <w:rsid w:val="00A9411B"/>
    <w:rsid w:val="00A943CA"/>
    <w:rsid w:val="00A94A12"/>
    <w:rsid w:val="00AA0D37"/>
    <w:rsid w:val="00AA1289"/>
    <w:rsid w:val="00AA347C"/>
    <w:rsid w:val="00AA51FF"/>
    <w:rsid w:val="00AA66A4"/>
    <w:rsid w:val="00AA66EB"/>
    <w:rsid w:val="00AA6CAA"/>
    <w:rsid w:val="00AB3041"/>
    <w:rsid w:val="00AB3D2E"/>
    <w:rsid w:val="00AB4415"/>
    <w:rsid w:val="00AB6C79"/>
    <w:rsid w:val="00AB7B74"/>
    <w:rsid w:val="00AC1289"/>
    <w:rsid w:val="00AC298F"/>
    <w:rsid w:val="00AC2CA8"/>
    <w:rsid w:val="00AC4CBE"/>
    <w:rsid w:val="00AD067A"/>
    <w:rsid w:val="00AD09BB"/>
    <w:rsid w:val="00AD1586"/>
    <w:rsid w:val="00AD501E"/>
    <w:rsid w:val="00AD5870"/>
    <w:rsid w:val="00AD5C4D"/>
    <w:rsid w:val="00AD5E53"/>
    <w:rsid w:val="00AD5F24"/>
    <w:rsid w:val="00AD7497"/>
    <w:rsid w:val="00AE0769"/>
    <w:rsid w:val="00AE1818"/>
    <w:rsid w:val="00AE2052"/>
    <w:rsid w:val="00AE35E2"/>
    <w:rsid w:val="00AE407C"/>
    <w:rsid w:val="00AE4B00"/>
    <w:rsid w:val="00AE4E6C"/>
    <w:rsid w:val="00AE5259"/>
    <w:rsid w:val="00AE5F33"/>
    <w:rsid w:val="00AE6B15"/>
    <w:rsid w:val="00AE6FD6"/>
    <w:rsid w:val="00AF0B6C"/>
    <w:rsid w:val="00AF2763"/>
    <w:rsid w:val="00AF27C9"/>
    <w:rsid w:val="00AF3745"/>
    <w:rsid w:val="00AF4175"/>
    <w:rsid w:val="00B01B3A"/>
    <w:rsid w:val="00B0328B"/>
    <w:rsid w:val="00B03E26"/>
    <w:rsid w:val="00B0583F"/>
    <w:rsid w:val="00B0669C"/>
    <w:rsid w:val="00B06911"/>
    <w:rsid w:val="00B07FCB"/>
    <w:rsid w:val="00B10D13"/>
    <w:rsid w:val="00B11C68"/>
    <w:rsid w:val="00B11E69"/>
    <w:rsid w:val="00B12E1D"/>
    <w:rsid w:val="00B13366"/>
    <w:rsid w:val="00B13F72"/>
    <w:rsid w:val="00B15AE4"/>
    <w:rsid w:val="00B17E65"/>
    <w:rsid w:val="00B20DFF"/>
    <w:rsid w:val="00B222C9"/>
    <w:rsid w:val="00B236C5"/>
    <w:rsid w:val="00B2438A"/>
    <w:rsid w:val="00B24483"/>
    <w:rsid w:val="00B26011"/>
    <w:rsid w:val="00B308A3"/>
    <w:rsid w:val="00B31161"/>
    <w:rsid w:val="00B31DA0"/>
    <w:rsid w:val="00B33815"/>
    <w:rsid w:val="00B347DC"/>
    <w:rsid w:val="00B354DB"/>
    <w:rsid w:val="00B35E7F"/>
    <w:rsid w:val="00B36561"/>
    <w:rsid w:val="00B37AA9"/>
    <w:rsid w:val="00B400EA"/>
    <w:rsid w:val="00B40306"/>
    <w:rsid w:val="00B41904"/>
    <w:rsid w:val="00B43448"/>
    <w:rsid w:val="00B46129"/>
    <w:rsid w:val="00B46ADD"/>
    <w:rsid w:val="00B47C5F"/>
    <w:rsid w:val="00B50649"/>
    <w:rsid w:val="00B50FC1"/>
    <w:rsid w:val="00B535E8"/>
    <w:rsid w:val="00B57631"/>
    <w:rsid w:val="00B576C7"/>
    <w:rsid w:val="00B57DB6"/>
    <w:rsid w:val="00B60169"/>
    <w:rsid w:val="00B630CF"/>
    <w:rsid w:val="00B63F49"/>
    <w:rsid w:val="00B644F7"/>
    <w:rsid w:val="00B65358"/>
    <w:rsid w:val="00B65ACE"/>
    <w:rsid w:val="00B65AE5"/>
    <w:rsid w:val="00B65C97"/>
    <w:rsid w:val="00B65EC2"/>
    <w:rsid w:val="00B6616F"/>
    <w:rsid w:val="00B66FE1"/>
    <w:rsid w:val="00B7007B"/>
    <w:rsid w:val="00B73982"/>
    <w:rsid w:val="00B739C4"/>
    <w:rsid w:val="00B73ECE"/>
    <w:rsid w:val="00B75D74"/>
    <w:rsid w:val="00B77029"/>
    <w:rsid w:val="00B77183"/>
    <w:rsid w:val="00B81685"/>
    <w:rsid w:val="00B817E0"/>
    <w:rsid w:val="00B81DA2"/>
    <w:rsid w:val="00B833CF"/>
    <w:rsid w:val="00B83416"/>
    <w:rsid w:val="00B843CD"/>
    <w:rsid w:val="00B86B09"/>
    <w:rsid w:val="00B86B7A"/>
    <w:rsid w:val="00B876EF"/>
    <w:rsid w:val="00B909FE"/>
    <w:rsid w:val="00B92014"/>
    <w:rsid w:val="00B93142"/>
    <w:rsid w:val="00B94616"/>
    <w:rsid w:val="00B96979"/>
    <w:rsid w:val="00BA19EC"/>
    <w:rsid w:val="00BA2225"/>
    <w:rsid w:val="00BA39C4"/>
    <w:rsid w:val="00BA3BB4"/>
    <w:rsid w:val="00BA474B"/>
    <w:rsid w:val="00BA4D92"/>
    <w:rsid w:val="00BA63F3"/>
    <w:rsid w:val="00BB037B"/>
    <w:rsid w:val="00BB3AEE"/>
    <w:rsid w:val="00BB3DE6"/>
    <w:rsid w:val="00BB5EC0"/>
    <w:rsid w:val="00BB6334"/>
    <w:rsid w:val="00BB7050"/>
    <w:rsid w:val="00BB7973"/>
    <w:rsid w:val="00BC08FD"/>
    <w:rsid w:val="00BC1CEE"/>
    <w:rsid w:val="00BC2AA4"/>
    <w:rsid w:val="00BC375A"/>
    <w:rsid w:val="00BC3EF2"/>
    <w:rsid w:val="00BC55A1"/>
    <w:rsid w:val="00BC5BE9"/>
    <w:rsid w:val="00BC5C30"/>
    <w:rsid w:val="00BC6B1C"/>
    <w:rsid w:val="00BC7875"/>
    <w:rsid w:val="00BD25BF"/>
    <w:rsid w:val="00BD2B20"/>
    <w:rsid w:val="00BD32FA"/>
    <w:rsid w:val="00BD47D3"/>
    <w:rsid w:val="00BD4B7C"/>
    <w:rsid w:val="00BE0054"/>
    <w:rsid w:val="00BE0F2C"/>
    <w:rsid w:val="00BE0F82"/>
    <w:rsid w:val="00BE11EF"/>
    <w:rsid w:val="00BE22B4"/>
    <w:rsid w:val="00BE22D3"/>
    <w:rsid w:val="00BE25D4"/>
    <w:rsid w:val="00BE309E"/>
    <w:rsid w:val="00BE51FD"/>
    <w:rsid w:val="00BE5D49"/>
    <w:rsid w:val="00BE7CAC"/>
    <w:rsid w:val="00BF0778"/>
    <w:rsid w:val="00BF13A5"/>
    <w:rsid w:val="00BF243B"/>
    <w:rsid w:val="00BF2441"/>
    <w:rsid w:val="00BF2689"/>
    <w:rsid w:val="00BF2EFF"/>
    <w:rsid w:val="00BF3213"/>
    <w:rsid w:val="00BF44BF"/>
    <w:rsid w:val="00BF5B1C"/>
    <w:rsid w:val="00BF760E"/>
    <w:rsid w:val="00BF7F06"/>
    <w:rsid w:val="00C00872"/>
    <w:rsid w:val="00C02138"/>
    <w:rsid w:val="00C0489E"/>
    <w:rsid w:val="00C04E48"/>
    <w:rsid w:val="00C0725D"/>
    <w:rsid w:val="00C10437"/>
    <w:rsid w:val="00C116D2"/>
    <w:rsid w:val="00C11911"/>
    <w:rsid w:val="00C126FA"/>
    <w:rsid w:val="00C12952"/>
    <w:rsid w:val="00C12F61"/>
    <w:rsid w:val="00C14230"/>
    <w:rsid w:val="00C167AC"/>
    <w:rsid w:val="00C173F6"/>
    <w:rsid w:val="00C203A0"/>
    <w:rsid w:val="00C22776"/>
    <w:rsid w:val="00C2476B"/>
    <w:rsid w:val="00C250DA"/>
    <w:rsid w:val="00C25E5D"/>
    <w:rsid w:val="00C25FFB"/>
    <w:rsid w:val="00C26E8F"/>
    <w:rsid w:val="00C27F5E"/>
    <w:rsid w:val="00C3000A"/>
    <w:rsid w:val="00C32997"/>
    <w:rsid w:val="00C348EC"/>
    <w:rsid w:val="00C349E8"/>
    <w:rsid w:val="00C3697F"/>
    <w:rsid w:val="00C374B1"/>
    <w:rsid w:val="00C374F3"/>
    <w:rsid w:val="00C42C0F"/>
    <w:rsid w:val="00C430E3"/>
    <w:rsid w:val="00C43CD6"/>
    <w:rsid w:val="00C45F57"/>
    <w:rsid w:val="00C46500"/>
    <w:rsid w:val="00C47F5C"/>
    <w:rsid w:val="00C50250"/>
    <w:rsid w:val="00C50473"/>
    <w:rsid w:val="00C51BF2"/>
    <w:rsid w:val="00C51EDF"/>
    <w:rsid w:val="00C5250C"/>
    <w:rsid w:val="00C5363F"/>
    <w:rsid w:val="00C53AB2"/>
    <w:rsid w:val="00C56AAF"/>
    <w:rsid w:val="00C62CB0"/>
    <w:rsid w:val="00C63717"/>
    <w:rsid w:val="00C65011"/>
    <w:rsid w:val="00C66105"/>
    <w:rsid w:val="00C66388"/>
    <w:rsid w:val="00C671F1"/>
    <w:rsid w:val="00C67558"/>
    <w:rsid w:val="00C67644"/>
    <w:rsid w:val="00C67E09"/>
    <w:rsid w:val="00C700AE"/>
    <w:rsid w:val="00C706C7"/>
    <w:rsid w:val="00C722E5"/>
    <w:rsid w:val="00C72662"/>
    <w:rsid w:val="00C72DC4"/>
    <w:rsid w:val="00C77802"/>
    <w:rsid w:val="00C81411"/>
    <w:rsid w:val="00C8145D"/>
    <w:rsid w:val="00C8534B"/>
    <w:rsid w:val="00C8592B"/>
    <w:rsid w:val="00C879B3"/>
    <w:rsid w:val="00C934F9"/>
    <w:rsid w:val="00C94481"/>
    <w:rsid w:val="00C9508F"/>
    <w:rsid w:val="00C95140"/>
    <w:rsid w:val="00C96E35"/>
    <w:rsid w:val="00CA279F"/>
    <w:rsid w:val="00CA536F"/>
    <w:rsid w:val="00CA63E8"/>
    <w:rsid w:val="00CA652B"/>
    <w:rsid w:val="00CA6FFD"/>
    <w:rsid w:val="00CA7199"/>
    <w:rsid w:val="00CA75C9"/>
    <w:rsid w:val="00CB290E"/>
    <w:rsid w:val="00CB2E26"/>
    <w:rsid w:val="00CB303B"/>
    <w:rsid w:val="00CB692C"/>
    <w:rsid w:val="00CB6AA7"/>
    <w:rsid w:val="00CB6EAC"/>
    <w:rsid w:val="00CB7F74"/>
    <w:rsid w:val="00CC0466"/>
    <w:rsid w:val="00CC14C1"/>
    <w:rsid w:val="00CC157B"/>
    <w:rsid w:val="00CC25EB"/>
    <w:rsid w:val="00CC4269"/>
    <w:rsid w:val="00CC6B47"/>
    <w:rsid w:val="00CC7499"/>
    <w:rsid w:val="00CC77FF"/>
    <w:rsid w:val="00CC7A70"/>
    <w:rsid w:val="00CC7CE2"/>
    <w:rsid w:val="00CD0963"/>
    <w:rsid w:val="00CD1819"/>
    <w:rsid w:val="00CD2896"/>
    <w:rsid w:val="00CD4BAF"/>
    <w:rsid w:val="00CD4E39"/>
    <w:rsid w:val="00CD5611"/>
    <w:rsid w:val="00CD57D3"/>
    <w:rsid w:val="00CD6149"/>
    <w:rsid w:val="00CD69B2"/>
    <w:rsid w:val="00CD6FD1"/>
    <w:rsid w:val="00CD7AE9"/>
    <w:rsid w:val="00CD7D98"/>
    <w:rsid w:val="00CE06EC"/>
    <w:rsid w:val="00CE0BEC"/>
    <w:rsid w:val="00CE112D"/>
    <w:rsid w:val="00CE1EEB"/>
    <w:rsid w:val="00CE3598"/>
    <w:rsid w:val="00CE3E29"/>
    <w:rsid w:val="00CE45C2"/>
    <w:rsid w:val="00CE6A45"/>
    <w:rsid w:val="00CF0E0A"/>
    <w:rsid w:val="00CF23E3"/>
    <w:rsid w:val="00CF328E"/>
    <w:rsid w:val="00CF6310"/>
    <w:rsid w:val="00D00C66"/>
    <w:rsid w:val="00D01243"/>
    <w:rsid w:val="00D01398"/>
    <w:rsid w:val="00D0141A"/>
    <w:rsid w:val="00D02A98"/>
    <w:rsid w:val="00D0357C"/>
    <w:rsid w:val="00D03688"/>
    <w:rsid w:val="00D063EA"/>
    <w:rsid w:val="00D06803"/>
    <w:rsid w:val="00D06DA1"/>
    <w:rsid w:val="00D111BE"/>
    <w:rsid w:val="00D14B21"/>
    <w:rsid w:val="00D14E9B"/>
    <w:rsid w:val="00D17259"/>
    <w:rsid w:val="00D20263"/>
    <w:rsid w:val="00D21F09"/>
    <w:rsid w:val="00D24A23"/>
    <w:rsid w:val="00D25CA2"/>
    <w:rsid w:val="00D268CF"/>
    <w:rsid w:val="00D27F87"/>
    <w:rsid w:val="00D33262"/>
    <w:rsid w:val="00D363F6"/>
    <w:rsid w:val="00D36B34"/>
    <w:rsid w:val="00D37B8E"/>
    <w:rsid w:val="00D404F4"/>
    <w:rsid w:val="00D4118C"/>
    <w:rsid w:val="00D419A2"/>
    <w:rsid w:val="00D44FF9"/>
    <w:rsid w:val="00D4533D"/>
    <w:rsid w:val="00D45CAE"/>
    <w:rsid w:val="00D4626B"/>
    <w:rsid w:val="00D4654C"/>
    <w:rsid w:val="00D46DF1"/>
    <w:rsid w:val="00D51804"/>
    <w:rsid w:val="00D51AE4"/>
    <w:rsid w:val="00D51C9A"/>
    <w:rsid w:val="00D52E90"/>
    <w:rsid w:val="00D5410E"/>
    <w:rsid w:val="00D541DC"/>
    <w:rsid w:val="00D56035"/>
    <w:rsid w:val="00D56AFD"/>
    <w:rsid w:val="00D617EC"/>
    <w:rsid w:val="00D619EB"/>
    <w:rsid w:val="00D6227C"/>
    <w:rsid w:val="00D62745"/>
    <w:rsid w:val="00D63C60"/>
    <w:rsid w:val="00D64231"/>
    <w:rsid w:val="00D651DD"/>
    <w:rsid w:val="00D66318"/>
    <w:rsid w:val="00D70BC5"/>
    <w:rsid w:val="00D727D0"/>
    <w:rsid w:val="00D73A41"/>
    <w:rsid w:val="00D75E58"/>
    <w:rsid w:val="00D7649C"/>
    <w:rsid w:val="00D82AD9"/>
    <w:rsid w:val="00D83165"/>
    <w:rsid w:val="00D8376F"/>
    <w:rsid w:val="00D87341"/>
    <w:rsid w:val="00D87E6F"/>
    <w:rsid w:val="00D91942"/>
    <w:rsid w:val="00D9279B"/>
    <w:rsid w:val="00D94630"/>
    <w:rsid w:val="00D94E6E"/>
    <w:rsid w:val="00D95AB0"/>
    <w:rsid w:val="00D96227"/>
    <w:rsid w:val="00D96679"/>
    <w:rsid w:val="00D97347"/>
    <w:rsid w:val="00DA123A"/>
    <w:rsid w:val="00DA138E"/>
    <w:rsid w:val="00DA19BC"/>
    <w:rsid w:val="00DA2952"/>
    <w:rsid w:val="00DA5380"/>
    <w:rsid w:val="00DA557D"/>
    <w:rsid w:val="00DA5B16"/>
    <w:rsid w:val="00DA6ACF"/>
    <w:rsid w:val="00DA792D"/>
    <w:rsid w:val="00DA7ED1"/>
    <w:rsid w:val="00DB0246"/>
    <w:rsid w:val="00DB11F4"/>
    <w:rsid w:val="00DB3B96"/>
    <w:rsid w:val="00DB4E9C"/>
    <w:rsid w:val="00DB5FDB"/>
    <w:rsid w:val="00DB6685"/>
    <w:rsid w:val="00DB6C15"/>
    <w:rsid w:val="00DB74DE"/>
    <w:rsid w:val="00DC193A"/>
    <w:rsid w:val="00DC1CA3"/>
    <w:rsid w:val="00DC25CB"/>
    <w:rsid w:val="00DC26C4"/>
    <w:rsid w:val="00DC393D"/>
    <w:rsid w:val="00DC3DF5"/>
    <w:rsid w:val="00DC4342"/>
    <w:rsid w:val="00DC4C3D"/>
    <w:rsid w:val="00DC511E"/>
    <w:rsid w:val="00DC592F"/>
    <w:rsid w:val="00DC5DD9"/>
    <w:rsid w:val="00DC72D6"/>
    <w:rsid w:val="00DC762B"/>
    <w:rsid w:val="00DD091C"/>
    <w:rsid w:val="00DD2292"/>
    <w:rsid w:val="00DD3F6B"/>
    <w:rsid w:val="00DD427D"/>
    <w:rsid w:val="00DD4665"/>
    <w:rsid w:val="00DD4D95"/>
    <w:rsid w:val="00DE02C1"/>
    <w:rsid w:val="00DE20C4"/>
    <w:rsid w:val="00DE2EF4"/>
    <w:rsid w:val="00DE3DFD"/>
    <w:rsid w:val="00DE3F41"/>
    <w:rsid w:val="00DE5285"/>
    <w:rsid w:val="00DE584B"/>
    <w:rsid w:val="00DE6A19"/>
    <w:rsid w:val="00DF3DE0"/>
    <w:rsid w:val="00DF57A0"/>
    <w:rsid w:val="00DF6A98"/>
    <w:rsid w:val="00E024F3"/>
    <w:rsid w:val="00E03529"/>
    <w:rsid w:val="00E0520E"/>
    <w:rsid w:val="00E054BB"/>
    <w:rsid w:val="00E05DE6"/>
    <w:rsid w:val="00E06CC8"/>
    <w:rsid w:val="00E07501"/>
    <w:rsid w:val="00E0799A"/>
    <w:rsid w:val="00E107B3"/>
    <w:rsid w:val="00E10F19"/>
    <w:rsid w:val="00E1181B"/>
    <w:rsid w:val="00E11E49"/>
    <w:rsid w:val="00E1282D"/>
    <w:rsid w:val="00E13276"/>
    <w:rsid w:val="00E14D21"/>
    <w:rsid w:val="00E15791"/>
    <w:rsid w:val="00E159B3"/>
    <w:rsid w:val="00E16F68"/>
    <w:rsid w:val="00E1750C"/>
    <w:rsid w:val="00E200B1"/>
    <w:rsid w:val="00E20CA3"/>
    <w:rsid w:val="00E20D90"/>
    <w:rsid w:val="00E20EBA"/>
    <w:rsid w:val="00E22DB9"/>
    <w:rsid w:val="00E23D18"/>
    <w:rsid w:val="00E240A5"/>
    <w:rsid w:val="00E245B2"/>
    <w:rsid w:val="00E247F0"/>
    <w:rsid w:val="00E25817"/>
    <w:rsid w:val="00E25E6E"/>
    <w:rsid w:val="00E266D4"/>
    <w:rsid w:val="00E32931"/>
    <w:rsid w:val="00E34393"/>
    <w:rsid w:val="00E364D7"/>
    <w:rsid w:val="00E36C86"/>
    <w:rsid w:val="00E37305"/>
    <w:rsid w:val="00E37B70"/>
    <w:rsid w:val="00E449A7"/>
    <w:rsid w:val="00E45EEA"/>
    <w:rsid w:val="00E465EC"/>
    <w:rsid w:val="00E4756F"/>
    <w:rsid w:val="00E523EB"/>
    <w:rsid w:val="00E530DB"/>
    <w:rsid w:val="00E563DD"/>
    <w:rsid w:val="00E57B5E"/>
    <w:rsid w:val="00E600CD"/>
    <w:rsid w:val="00E63CFB"/>
    <w:rsid w:val="00E644E0"/>
    <w:rsid w:val="00E64B8A"/>
    <w:rsid w:val="00E65E72"/>
    <w:rsid w:val="00E668D2"/>
    <w:rsid w:val="00E679D7"/>
    <w:rsid w:val="00E70F72"/>
    <w:rsid w:val="00E72AA8"/>
    <w:rsid w:val="00E756F8"/>
    <w:rsid w:val="00E757AC"/>
    <w:rsid w:val="00E7663B"/>
    <w:rsid w:val="00E76C6F"/>
    <w:rsid w:val="00E77246"/>
    <w:rsid w:val="00E77407"/>
    <w:rsid w:val="00E80091"/>
    <w:rsid w:val="00E80344"/>
    <w:rsid w:val="00E80B46"/>
    <w:rsid w:val="00E818AD"/>
    <w:rsid w:val="00E82773"/>
    <w:rsid w:val="00E836F3"/>
    <w:rsid w:val="00E84974"/>
    <w:rsid w:val="00E84E7B"/>
    <w:rsid w:val="00E855F0"/>
    <w:rsid w:val="00E85EB4"/>
    <w:rsid w:val="00E864D8"/>
    <w:rsid w:val="00E91229"/>
    <w:rsid w:val="00E917E6"/>
    <w:rsid w:val="00E92D1B"/>
    <w:rsid w:val="00E94DEC"/>
    <w:rsid w:val="00EA1510"/>
    <w:rsid w:val="00EA2047"/>
    <w:rsid w:val="00EA353F"/>
    <w:rsid w:val="00EA3FCF"/>
    <w:rsid w:val="00EA45F7"/>
    <w:rsid w:val="00EA499B"/>
    <w:rsid w:val="00EA4F20"/>
    <w:rsid w:val="00EA5F7F"/>
    <w:rsid w:val="00EA6050"/>
    <w:rsid w:val="00EA6552"/>
    <w:rsid w:val="00EA73DB"/>
    <w:rsid w:val="00EA77E5"/>
    <w:rsid w:val="00EB0C2C"/>
    <w:rsid w:val="00EB0E5E"/>
    <w:rsid w:val="00EB1EBB"/>
    <w:rsid w:val="00EB23AB"/>
    <w:rsid w:val="00EB4133"/>
    <w:rsid w:val="00EB4D7D"/>
    <w:rsid w:val="00EB5D9B"/>
    <w:rsid w:val="00EB5E0E"/>
    <w:rsid w:val="00EB5F8B"/>
    <w:rsid w:val="00EB6BC3"/>
    <w:rsid w:val="00EB7147"/>
    <w:rsid w:val="00EB72CF"/>
    <w:rsid w:val="00EC33CE"/>
    <w:rsid w:val="00EC5B6B"/>
    <w:rsid w:val="00EC7EA7"/>
    <w:rsid w:val="00ED0823"/>
    <w:rsid w:val="00ED0F2D"/>
    <w:rsid w:val="00ED1498"/>
    <w:rsid w:val="00ED1FF5"/>
    <w:rsid w:val="00ED42CE"/>
    <w:rsid w:val="00EE28AB"/>
    <w:rsid w:val="00EE5CB2"/>
    <w:rsid w:val="00EF22DB"/>
    <w:rsid w:val="00EF28C0"/>
    <w:rsid w:val="00EF3529"/>
    <w:rsid w:val="00EF5D3F"/>
    <w:rsid w:val="00EF712B"/>
    <w:rsid w:val="00EF7D5A"/>
    <w:rsid w:val="00F018F3"/>
    <w:rsid w:val="00F020DD"/>
    <w:rsid w:val="00F02505"/>
    <w:rsid w:val="00F03617"/>
    <w:rsid w:val="00F04EF2"/>
    <w:rsid w:val="00F05D34"/>
    <w:rsid w:val="00F05FA7"/>
    <w:rsid w:val="00F06801"/>
    <w:rsid w:val="00F06EAB"/>
    <w:rsid w:val="00F112EA"/>
    <w:rsid w:val="00F13519"/>
    <w:rsid w:val="00F14EEE"/>
    <w:rsid w:val="00F16C66"/>
    <w:rsid w:val="00F17781"/>
    <w:rsid w:val="00F25C21"/>
    <w:rsid w:val="00F25F07"/>
    <w:rsid w:val="00F2626E"/>
    <w:rsid w:val="00F26B4C"/>
    <w:rsid w:val="00F31EA1"/>
    <w:rsid w:val="00F33814"/>
    <w:rsid w:val="00F34DA5"/>
    <w:rsid w:val="00F35EC8"/>
    <w:rsid w:val="00F377A4"/>
    <w:rsid w:val="00F41368"/>
    <w:rsid w:val="00F41834"/>
    <w:rsid w:val="00F44420"/>
    <w:rsid w:val="00F45CFC"/>
    <w:rsid w:val="00F469BA"/>
    <w:rsid w:val="00F474F2"/>
    <w:rsid w:val="00F51A1B"/>
    <w:rsid w:val="00F52628"/>
    <w:rsid w:val="00F528FF"/>
    <w:rsid w:val="00F539CA"/>
    <w:rsid w:val="00F55401"/>
    <w:rsid w:val="00F55FA6"/>
    <w:rsid w:val="00F5774B"/>
    <w:rsid w:val="00F60480"/>
    <w:rsid w:val="00F60667"/>
    <w:rsid w:val="00F615D6"/>
    <w:rsid w:val="00F61EEE"/>
    <w:rsid w:val="00F64D99"/>
    <w:rsid w:val="00F64EEC"/>
    <w:rsid w:val="00F6590C"/>
    <w:rsid w:val="00F66D35"/>
    <w:rsid w:val="00F678E0"/>
    <w:rsid w:val="00F703CA"/>
    <w:rsid w:val="00F715E6"/>
    <w:rsid w:val="00F7263B"/>
    <w:rsid w:val="00F72EE9"/>
    <w:rsid w:val="00F743FE"/>
    <w:rsid w:val="00F759FC"/>
    <w:rsid w:val="00F76B51"/>
    <w:rsid w:val="00F774B6"/>
    <w:rsid w:val="00F779CD"/>
    <w:rsid w:val="00F80A6A"/>
    <w:rsid w:val="00F830C6"/>
    <w:rsid w:val="00F836B8"/>
    <w:rsid w:val="00F837B8"/>
    <w:rsid w:val="00F838CE"/>
    <w:rsid w:val="00F84D96"/>
    <w:rsid w:val="00F91422"/>
    <w:rsid w:val="00F9167A"/>
    <w:rsid w:val="00F91DBB"/>
    <w:rsid w:val="00F9400B"/>
    <w:rsid w:val="00F955B1"/>
    <w:rsid w:val="00F960F5"/>
    <w:rsid w:val="00F961B9"/>
    <w:rsid w:val="00F97776"/>
    <w:rsid w:val="00FA1256"/>
    <w:rsid w:val="00FA208A"/>
    <w:rsid w:val="00FA3EAA"/>
    <w:rsid w:val="00FA517D"/>
    <w:rsid w:val="00FB1984"/>
    <w:rsid w:val="00FB269E"/>
    <w:rsid w:val="00FB2B62"/>
    <w:rsid w:val="00FB3398"/>
    <w:rsid w:val="00FB37AA"/>
    <w:rsid w:val="00FB38B9"/>
    <w:rsid w:val="00FB3EF3"/>
    <w:rsid w:val="00FB4FC4"/>
    <w:rsid w:val="00FB50D6"/>
    <w:rsid w:val="00FB665C"/>
    <w:rsid w:val="00FB668B"/>
    <w:rsid w:val="00FC072E"/>
    <w:rsid w:val="00FC17CE"/>
    <w:rsid w:val="00FD32A7"/>
    <w:rsid w:val="00FD5E24"/>
    <w:rsid w:val="00FE1080"/>
    <w:rsid w:val="00FE133D"/>
    <w:rsid w:val="00FE1A74"/>
    <w:rsid w:val="00FE206C"/>
    <w:rsid w:val="00FE4D17"/>
    <w:rsid w:val="00FE5427"/>
    <w:rsid w:val="00FE63A1"/>
    <w:rsid w:val="00FE71C5"/>
    <w:rsid w:val="00FE7F11"/>
    <w:rsid w:val="00FF21FA"/>
    <w:rsid w:val="00FF23BD"/>
    <w:rsid w:val="00FF33F5"/>
    <w:rsid w:val="00FF536D"/>
    <w:rsid w:val="00FF5408"/>
    <w:rsid w:val="00FF623A"/>
    <w:rsid w:val="00FF6240"/>
    <w:rsid w:val="00FF680E"/>
    <w:rsid w:val="00FF695F"/>
    <w:rsid w:val="01845A9D"/>
    <w:rsid w:val="01B27249"/>
    <w:rsid w:val="0532676A"/>
    <w:rsid w:val="05AB2747"/>
    <w:rsid w:val="05CF4B64"/>
    <w:rsid w:val="05D534E2"/>
    <w:rsid w:val="087846CF"/>
    <w:rsid w:val="08AC5F2B"/>
    <w:rsid w:val="0A6F5548"/>
    <w:rsid w:val="0AC459AA"/>
    <w:rsid w:val="0AC917BD"/>
    <w:rsid w:val="0B185461"/>
    <w:rsid w:val="0BF94CF9"/>
    <w:rsid w:val="0C434083"/>
    <w:rsid w:val="0CF8519E"/>
    <w:rsid w:val="0DCD0177"/>
    <w:rsid w:val="0E71183F"/>
    <w:rsid w:val="0EBC1367"/>
    <w:rsid w:val="0FCF763D"/>
    <w:rsid w:val="102953D3"/>
    <w:rsid w:val="104655A1"/>
    <w:rsid w:val="10753310"/>
    <w:rsid w:val="11DD11A0"/>
    <w:rsid w:val="1226242C"/>
    <w:rsid w:val="128C1B14"/>
    <w:rsid w:val="12D80141"/>
    <w:rsid w:val="131D7F51"/>
    <w:rsid w:val="13D84274"/>
    <w:rsid w:val="13FE49E3"/>
    <w:rsid w:val="15606F15"/>
    <w:rsid w:val="15926A8F"/>
    <w:rsid w:val="16697137"/>
    <w:rsid w:val="172F6739"/>
    <w:rsid w:val="1780534F"/>
    <w:rsid w:val="186D0FA3"/>
    <w:rsid w:val="18BF7EB2"/>
    <w:rsid w:val="18E83D3D"/>
    <w:rsid w:val="198D687F"/>
    <w:rsid w:val="19A61EF0"/>
    <w:rsid w:val="1ACA2AD4"/>
    <w:rsid w:val="1AE06E75"/>
    <w:rsid w:val="21812799"/>
    <w:rsid w:val="24483D50"/>
    <w:rsid w:val="24BC0CF2"/>
    <w:rsid w:val="25235A39"/>
    <w:rsid w:val="257353B5"/>
    <w:rsid w:val="2613324F"/>
    <w:rsid w:val="26C96D49"/>
    <w:rsid w:val="283D7B20"/>
    <w:rsid w:val="28522651"/>
    <w:rsid w:val="28B351BC"/>
    <w:rsid w:val="29D14F9B"/>
    <w:rsid w:val="2A073390"/>
    <w:rsid w:val="2AE539AB"/>
    <w:rsid w:val="2BB804EE"/>
    <w:rsid w:val="2D582EE4"/>
    <w:rsid w:val="2DF175C3"/>
    <w:rsid w:val="2FCE2CA3"/>
    <w:rsid w:val="304C56A9"/>
    <w:rsid w:val="32C456B4"/>
    <w:rsid w:val="33F91CDD"/>
    <w:rsid w:val="35C16E06"/>
    <w:rsid w:val="363268B0"/>
    <w:rsid w:val="36763FDC"/>
    <w:rsid w:val="37AC1BBE"/>
    <w:rsid w:val="39341E37"/>
    <w:rsid w:val="39FA4B2A"/>
    <w:rsid w:val="3B6D1DF8"/>
    <w:rsid w:val="3C400485"/>
    <w:rsid w:val="3C6E463A"/>
    <w:rsid w:val="3CA36204"/>
    <w:rsid w:val="3DED9ED4"/>
    <w:rsid w:val="3E9D0DBD"/>
    <w:rsid w:val="40D97CF1"/>
    <w:rsid w:val="40FA4F29"/>
    <w:rsid w:val="41EE65CB"/>
    <w:rsid w:val="421B0281"/>
    <w:rsid w:val="424876BC"/>
    <w:rsid w:val="42934ACE"/>
    <w:rsid w:val="431542ED"/>
    <w:rsid w:val="44202372"/>
    <w:rsid w:val="445739F2"/>
    <w:rsid w:val="44723A5F"/>
    <w:rsid w:val="44DC5472"/>
    <w:rsid w:val="450A062E"/>
    <w:rsid w:val="458F0387"/>
    <w:rsid w:val="459B2056"/>
    <w:rsid w:val="473236C0"/>
    <w:rsid w:val="47383297"/>
    <w:rsid w:val="47C8581A"/>
    <w:rsid w:val="48052B49"/>
    <w:rsid w:val="4934660C"/>
    <w:rsid w:val="49684468"/>
    <w:rsid w:val="4ACC5D35"/>
    <w:rsid w:val="4C9A7904"/>
    <w:rsid w:val="4E5901F5"/>
    <w:rsid w:val="4ED7534A"/>
    <w:rsid w:val="4F0F7B51"/>
    <w:rsid w:val="4F881AF8"/>
    <w:rsid w:val="50B05B7D"/>
    <w:rsid w:val="50D852D8"/>
    <w:rsid w:val="51A838A2"/>
    <w:rsid w:val="51DF4154"/>
    <w:rsid w:val="520479D0"/>
    <w:rsid w:val="521D6D1B"/>
    <w:rsid w:val="52253A9A"/>
    <w:rsid w:val="52401FF9"/>
    <w:rsid w:val="528C0699"/>
    <w:rsid w:val="565A40BC"/>
    <w:rsid w:val="572660F2"/>
    <w:rsid w:val="57A7322A"/>
    <w:rsid w:val="57F80995"/>
    <w:rsid w:val="58E13DA9"/>
    <w:rsid w:val="5A2E4689"/>
    <w:rsid w:val="5A6517EF"/>
    <w:rsid w:val="5A655AD1"/>
    <w:rsid w:val="5A6870D4"/>
    <w:rsid w:val="5B2353A2"/>
    <w:rsid w:val="5B450167"/>
    <w:rsid w:val="5B7F6660"/>
    <w:rsid w:val="5C664FE5"/>
    <w:rsid w:val="5CE77CCC"/>
    <w:rsid w:val="5D09058B"/>
    <w:rsid w:val="5E49066C"/>
    <w:rsid w:val="5F145222"/>
    <w:rsid w:val="5FA121AE"/>
    <w:rsid w:val="5FBE6EE3"/>
    <w:rsid w:val="601E46F5"/>
    <w:rsid w:val="608C4C6D"/>
    <w:rsid w:val="60DA65DB"/>
    <w:rsid w:val="615427AA"/>
    <w:rsid w:val="622E2AD0"/>
    <w:rsid w:val="63E003EC"/>
    <w:rsid w:val="65EB09DA"/>
    <w:rsid w:val="666B5955"/>
    <w:rsid w:val="671D38BA"/>
    <w:rsid w:val="676B7B0C"/>
    <w:rsid w:val="687C5F2B"/>
    <w:rsid w:val="68A1687D"/>
    <w:rsid w:val="69DB6F55"/>
    <w:rsid w:val="6A0909B7"/>
    <w:rsid w:val="6BA235D4"/>
    <w:rsid w:val="6BE14833"/>
    <w:rsid w:val="6C1D7CC8"/>
    <w:rsid w:val="6C73208E"/>
    <w:rsid w:val="6D4F726F"/>
    <w:rsid w:val="6D864E00"/>
    <w:rsid w:val="6DFA25BF"/>
    <w:rsid w:val="6E0F3FB4"/>
    <w:rsid w:val="6F5B4A7C"/>
    <w:rsid w:val="70957FBC"/>
    <w:rsid w:val="713B04B5"/>
    <w:rsid w:val="756A0B91"/>
    <w:rsid w:val="75A74D1C"/>
    <w:rsid w:val="76790114"/>
    <w:rsid w:val="78143264"/>
    <w:rsid w:val="799E118D"/>
    <w:rsid w:val="7ADB2345"/>
    <w:rsid w:val="7B124BD7"/>
    <w:rsid w:val="7DA00166"/>
    <w:rsid w:val="7E77024D"/>
    <w:rsid w:val="7EBD0C1A"/>
    <w:rsid w:val="7FDD5E69"/>
    <w:rsid w:val="DFFDDB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31"/>
    <w:qFormat/>
    <w:uiPriority w:val="99"/>
    <w:pPr>
      <w:keepNext/>
      <w:keepLines/>
      <w:widowControl w:val="0"/>
      <w:spacing w:before="340" w:after="330" w:line="576" w:lineRule="auto"/>
      <w:textAlignment w:val="auto"/>
      <w:outlineLvl w:val="0"/>
    </w:pPr>
    <w:rPr>
      <w:rFonts w:ascii="Calibri" w:hAnsi="Calibri"/>
      <w:b/>
      <w:kern w:val="44"/>
      <w:sz w:val="44"/>
    </w:rPr>
  </w:style>
  <w:style w:type="paragraph" w:styleId="4">
    <w:name w:val="heading 2"/>
    <w:basedOn w:val="1"/>
    <w:next w:val="1"/>
    <w:link w:val="33"/>
    <w:qFormat/>
    <w:locked/>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4"/>
    <w:qFormat/>
    <w:uiPriority w:val="99"/>
    <w:pPr>
      <w:keepNext/>
      <w:keepLines/>
      <w:spacing w:before="260" w:after="260" w:line="416" w:lineRule="atLeast"/>
      <w:outlineLvl w:val="2"/>
    </w:pPr>
    <w:rPr>
      <w:rFonts w:ascii="Calibri" w:hAnsi="Calibri"/>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semiHidden/>
    <w:qFormat/>
    <w:locked/>
    <w:uiPriority w:val="99"/>
    <w:pPr>
      <w:spacing w:after="120"/>
    </w:pPr>
  </w:style>
  <w:style w:type="paragraph" w:styleId="6">
    <w:name w:val="Normal Indent"/>
    <w:basedOn w:val="1"/>
    <w:link w:val="86"/>
    <w:qFormat/>
    <w:locked/>
    <w:uiPriority w:val="0"/>
    <w:pPr>
      <w:widowControl w:val="0"/>
      <w:adjustRightInd w:val="0"/>
      <w:spacing w:line="312" w:lineRule="atLeast"/>
      <w:ind w:firstLine="420"/>
    </w:pPr>
    <w:rPr>
      <w:color w:val="auto"/>
    </w:rPr>
  </w:style>
  <w:style w:type="paragraph" w:styleId="7">
    <w:name w:val="Document Map"/>
    <w:basedOn w:val="1"/>
    <w:link w:val="71"/>
    <w:unhideWhenUsed/>
    <w:qFormat/>
    <w:locked/>
    <w:uiPriority w:val="99"/>
    <w:rPr>
      <w:rFonts w:ascii="宋体"/>
      <w:sz w:val="18"/>
      <w:szCs w:val="18"/>
    </w:rPr>
  </w:style>
  <w:style w:type="paragraph" w:styleId="8">
    <w:name w:val="annotation text"/>
    <w:basedOn w:val="1"/>
    <w:semiHidden/>
    <w:unhideWhenUsed/>
    <w:qFormat/>
    <w:locked/>
    <w:uiPriority w:val="99"/>
    <w:pPr>
      <w:jc w:val="left"/>
    </w:pPr>
  </w:style>
  <w:style w:type="paragraph" w:styleId="9">
    <w:name w:val="Body Text Indent"/>
    <w:basedOn w:val="1"/>
    <w:link w:val="36"/>
    <w:qFormat/>
    <w:uiPriority w:val="99"/>
    <w:pPr>
      <w:widowControl w:val="0"/>
      <w:snapToGrid w:val="0"/>
      <w:spacing w:before="283" w:line="560" w:lineRule="exact"/>
      <w:ind w:firstLine="510"/>
    </w:pPr>
    <w:rPr>
      <w:rFonts w:ascii="Calibri" w:hAnsi="Calibri"/>
      <w:sz w:val="20"/>
    </w:rPr>
  </w:style>
  <w:style w:type="paragraph" w:styleId="10">
    <w:name w:val="List 2"/>
    <w:basedOn w:val="1"/>
    <w:unhideWhenUsed/>
    <w:qFormat/>
    <w:locked/>
    <w:uiPriority w:val="0"/>
    <w:pPr>
      <w:ind w:left="400" w:leftChars="200" w:hanging="200" w:hangingChars="200"/>
    </w:pPr>
    <w:rPr>
      <w:rFonts w:hint="eastAsia"/>
    </w:rPr>
  </w:style>
  <w:style w:type="paragraph" w:styleId="11">
    <w:name w:val="Plain Text"/>
    <w:basedOn w:val="1"/>
    <w:link w:val="37"/>
    <w:qFormat/>
    <w:uiPriority w:val="99"/>
    <w:pPr>
      <w:widowControl w:val="0"/>
      <w:spacing w:line="240" w:lineRule="auto"/>
      <w:textAlignment w:val="auto"/>
    </w:pPr>
    <w:rPr>
      <w:rFonts w:ascii="宋体" w:hAnsi="Courier New"/>
    </w:rPr>
  </w:style>
  <w:style w:type="paragraph" w:styleId="12">
    <w:name w:val="Date"/>
    <w:basedOn w:val="1"/>
    <w:next w:val="1"/>
    <w:link w:val="38"/>
    <w:qFormat/>
    <w:uiPriority w:val="99"/>
    <w:pPr>
      <w:ind w:left="100" w:leftChars="2500"/>
    </w:pPr>
    <w:rPr>
      <w:rFonts w:ascii="Calibri" w:hAnsi="Calibri"/>
    </w:rPr>
  </w:style>
  <w:style w:type="paragraph" w:styleId="13">
    <w:name w:val="Balloon Text"/>
    <w:basedOn w:val="1"/>
    <w:link w:val="39"/>
    <w:qFormat/>
    <w:uiPriority w:val="99"/>
    <w:pPr>
      <w:spacing w:line="240" w:lineRule="auto"/>
    </w:pPr>
    <w:rPr>
      <w:rFonts w:ascii="Calibri" w:hAnsi="Calibri"/>
      <w:sz w:val="18"/>
    </w:rPr>
  </w:style>
  <w:style w:type="paragraph" w:styleId="14">
    <w:name w:val="footer"/>
    <w:basedOn w:val="1"/>
    <w:link w:val="40"/>
    <w:qFormat/>
    <w:uiPriority w:val="99"/>
    <w:pPr>
      <w:tabs>
        <w:tab w:val="center" w:pos="4153"/>
        <w:tab w:val="right" w:pos="8306"/>
      </w:tabs>
      <w:snapToGrid w:val="0"/>
      <w:spacing w:line="240" w:lineRule="atLeast"/>
      <w:jc w:val="left"/>
    </w:pPr>
    <w:rPr>
      <w:rFonts w:ascii="Calibri" w:hAnsi="Calibri"/>
      <w:sz w:val="18"/>
    </w:rPr>
  </w:style>
  <w:style w:type="paragraph" w:styleId="15">
    <w:name w:val="envelope return"/>
    <w:basedOn w:val="1"/>
    <w:qFormat/>
    <w:locked/>
    <w:uiPriority w:val="0"/>
    <w:rPr>
      <w:rFonts w:ascii="Arial" w:hAnsi="Arial"/>
    </w:rPr>
  </w:style>
  <w:style w:type="paragraph" w:styleId="16">
    <w:name w:val="header"/>
    <w:basedOn w:val="1"/>
    <w:link w:val="41"/>
    <w:qFormat/>
    <w:uiPriority w:val="99"/>
    <w:pPr>
      <w:pBdr>
        <w:bottom w:val="single" w:color="auto" w:sz="6" w:space="1"/>
      </w:pBdr>
      <w:tabs>
        <w:tab w:val="center" w:pos="4153"/>
        <w:tab w:val="right" w:pos="8306"/>
      </w:tabs>
      <w:snapToGrid w:val="0"/>
      <w:spacing w:line="240" w:lineRule="atLeast"/>
      <w:jc w:val="center"/>
    </w:pPr>
    <w:rPr>
      <w:rFonts w:ascii="Calibri" w:hAnsi="Calibri"/>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Body Text 2"/>
    <w:basedOn w:val="1"/>
    <w:link w:val="42"/>
    <w:qFormat/>
    <w:uiPriority w:val="99"/>
    <w:pPr>
      <w:spacing w:after="120" w:line="480" w:lineRule="auto"/>
    </w:pPr>
    <w:rPr>
      <w:rFonts w:ascii="Calibri" w:hAnsi="Calibri"/>
      <w:sz w:val="20"/>
    </w:rPr>
  </w:style>
  <w:style w:type="paragraph" w:styleId="20">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1">
    <w:name w:val="Title"/>
    <w:basedOn w:val="1"/>
    <w:next w:val="1"/>
    <w:link w:val="72"/>
    <w:qFormat/>
    <w:locked/>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2"/>
    <w:next w:val="23"/>
    <w:unhideWhenUsed/>
    <w:qFormat/>
    <w:locked/>
    <w:uiPriority w:val="99"/>
    <w:pPr>
      <w:ind w:firstLine="420" w:firstLineChars="100"/>
    </w:pPr>
  </w:style>
  <w:style w:type="paragraph" w:styleId="23">
    <w:name w:val="Body Text First Indent 2"/>
    <w:basedOn w:val="9"/>
    <w:link w:val="89"/>
    <w:semiHidden/>
    <w:qFormat/>
    <w:locked/>
    <w:uiPriority w:val="99"/>
    <w:pPr>
      <w:snapToGrid/>
      <w:spacing w:after="120" w:line="240" w:lineRule="auto"/>
      <w:ind w:left="420" w:leftChars="200" w:firstLine="420" w:firstLineChars="200"/>
    </w:pPr>
    <w:rPr>
      <w:rFonts w:ascii="Times New Roman" w:hAnsi="Times New Roman"/>
      <w:sz w:val="21"/>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rPr>
  </w:style>
  <w:style w:type="character" w:styleId="28">
    <w:name w:val="page number"/>
    <w:basedOn w:val="26"/>
    <w:qFormat/>
    <w:uiPriority w:val="99"/>
    <w:rPr>
      <w:rFonts w:cs="Times New Roman"/>
    </w:rPr>
  </w:style>
  <w:style w:type="character" w:styleId="29">
    <w:name w:val="FollowedHyperlink"/>
    <w:basedOn w:val="26"/>
    <w:semiHidden/>
    <w:unhideWhenUsed/>
    <w:qFormat/>
    <w:locked/>
    <w:uiPriority w:val="99"/>
    <w:rPr>
      <w:color w:val="000000"/>
      <w:u w:val="none"/>
    </w:rPr>
  </w:style>
  <w:style w:type="character" w:styleId="30">
    <w:name w:val="Hyperlink"/>
    <w:basedOn w:val="26"/>
    <w:qFormat/>
    <w:uiPriority w:val="99"/>
    <w:rPr>
      <w:rFonts w:cs="Times New Roman"/>
      <w:color w:val="0368A8"/>
      <w:u w:val="none"/>
    </w:rPr>
  </w:style>
  <w:style w:type="character" w:customStyle="1" w:styleId="31">
    <w:name w:val="标题 1 Char"/>
    <w:basedOn w:val="26"/>
    <w:link w:val="3"/>
    <w:qFormat/>
    <w:locked/>
    <w:uiPriority w:val="99"/>
    <w:rPr>
      <w:b/>
      <w:color w:val="000000"/>
      <w:kern w:val="44"/>
      <w:sz w:val="44"/>
      <w:u w:val="none" w:color="000000"/>
    </w:rPr>
  </w:style>
  <w:style w:type="paragraph" w:customStyle="1" w:styleId="32">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3">
    <w:name w:val="标题 2 Char"/>
    <w:basedOn w:val="26"/>
    <w:link w:val="4"/>
    <w:qFormat/>
    <w:uiPriority w:val="0"/>
    <w:rPr>
      <w:rFonts w:ascii="Cambria" w:hAnsi="Cambria"/>
      <w:b/>
      <w:bCs/>
      <w:color w:val="000000"/>
      <w:sz w:val="32"/>
      <w:szCs w:val="32"/>
      <w:u w:color="000000"/>
    </w:rPr>
  </w:style>
  <w:style w:type="character" w:customStyle="1" w:styleId="34">
    <w:name w:val="标题 3 Char"/>
    <w:basedOn w:val="26"/>
    <w:link w:val="5"/>
    <w:semiHidden/>
    <w:qFormat/>
    <w:locked/>
    <w:uiPriority w:val="99"/>
    <w:rPr>
      <w:b/>
      <w:color w:val="000000"/>
      <w:sz w:val="32"/>
      <w:u w:val="none" w:color="000000"/>
    </w:rPr>
  </w:style>
  <w:style w:type="character" w:customStyle="1" w:styleId="35">
    <w:name w:val="正文文本 Char"/>
    <w:basedOn w:val="26"/>
    <w:link w:val="2"/>
    <w:semiHidden/>
    <w:qFormat/>
    <w:locked/>
    <w:uiPriority w:val="99"/>
    <w:rPr>
      <w:rFonts w:cs="Times New Roman"/>
      <w:color w:val="000000"/>
      <w:sz w:val="21"/>
      <w:u w:color="000000"/>
    </w:rPr>
  </w:style>
  <w:style w:type="character" w:customStyle="1" w:styleId="36">
    <w:name w:val="正文文本缩进 Char"/>
    <w:basedOn w:val="26"/>
    <w:link w:val="9"/>
    <w:semiHidden/>
    <w:qFormat/>
    <w:locked/>
    <w:uiPriority w:val="99"/>
    <w:rPr>
      <w:color w:val="000000"/>
      <w:kern w:val="0"/>
      <w:sz w:val="20"/>
      <w:u w:val="none" w:color="000000"/>
    </w:rPr>
  </w:style>
  <w:style w:type="character" w:customStyle="1" w:styleId="37">
    <w:name w:val="纯文本 Char1"/>
    <w:basedOn w:val="26"/>
    <w:link w:val="11"/>
    <w:qFormat/>
    <w:locked/>
    <w:uiPriority w:val="99"/>
    <w:rPr>
      <w:rFonts w:ascii="宋体" w:hAnsi="Courier New"/>
      <w:color w:val="000000"/>
      <w:kern w:val="0"/>
      <w:sz w:val="21"/>
      <w:u w:val="none" w:color="000000"/>
    </w:rPr>
  </w:style>
  <w:style w:type="character" w:customStyle="1" w:styleId="38">
    <w:name w:val="日期 Char"/>
    <w:basedOn w:val="26"/>
    <w:link w:val="12"/>
    <w:qFormat/>
    <w:locked/>
    <w:uiPriority w:val="99"/>
    <w:rPr>
      <w:color w:val="000000"/>
      <w:sz w:val="21"/>
      <w:u w:val="none" w:color="000000"/>
    </w:rPr>
  </w:style>
  <w:style w:type="character" w:customStyle="1" w:styleId="39">
    <w:name w:val="批注框文本 Char"/>
    <w:basedOn w:val="26"/>
    <w:link w:val="13"/>
    <w:qFormat/>
    <w:locked/>
    <w:uiPriority w:val="99"/>
    <w:rPr>
      <w:color w:val="000000"/>
      <w:sz w:val="18"/>
      <w:u w:val="none" w:color="000000"/>
    </w:rPr>
  </w:style>
  <w:style w:type="character" w:customStyle="1" w:styleId="40">
    <w:name w:val="页脚 Char"/>
    <w:basedOn w:val="26"/>
    <w:link w:val="14"/>
    <w:qFormat/>
    <w:locked/>
    <w:uiPriority w:val="99"/>
    <w:rPr>
      <w:color w:val="000000"/>
      <w:kern w:val="0"/>
      <w:sz w:val="18"/>
      <w:u w:val="none" w:color="000000"/>
    </w:rPr>
  </w:style>
  <w:style w:type="character" w:customStyle="1" w:styleId="41">
    <w:name w:val="页眉 Char"/>
    <w:basedOn w:val="26"/>
    <w:link w:val="16"/>
    <w:semiHidden/>
    <w:qFormat/>
    <w:locked/>
    <w:uiPriority w:val="99"/>
    <w:rPr>
      <w:color w:val="000000"/>
      <w:kern w:val="0"/>
      <w:sz w:val="18"/>
      <w:u w:val="none" w:color="000000"/>
    </w:rPr>
  </w:style>
  <w:style w:type="character" w:customStyle="1" w:styleId="42">
    <w:name w:val="正文文本 2 Char"/>
    <w:basedOn w:val="26"/>
    <w:link w:val="19"/>
    <w:semiHidden/>
    <w:qFormat/>
    <w:locked/>
    <w:uiPriority w:val="99"/>
    <w:rPr>
      <w:color w:val="000000"/>
      <w:kern w:val="0"/>
      <w:sz w:val="20"/>
      <w:u w:val="none" w:color="000000"/>
    </w:rPr>
  </w:style>
  <w:style w:type="paragraph" w:customStyle="1" w:styleId="43">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4">
    <w:name w:val="章标题"/>
    <w:basedOn w:val="1"/>
    <w:next w:val="45"/>
    <w:qFormat/>
    <w:uiPriority w:val="99"/>
    <w:pPr>
      <w:spacing w:before="158" w:after="153" w:line="323" w:lineRule="atLeast"/>
      <w:jc w:val="center"/>
    </w:pPr>
    <w:rPr>
      <w:rFonts w:ascii="Arial" w:eastAsia="黑体"/>
      <w:sz w:val="31"/>
    </w:rPr>
  </w:style>
  <w:style w:type="paragraph" w:customStyle="1" w:styleId="45">
    <w:name w:val="节标题"/>
    <w:basedOn w:val="1"/>
    <w:next w:val="46"/>
    <w:qFormat/>
    <w:uiPriority w:val="99"/>
    <w:pPr>
      <w:spacing w:line="289" w:lineRule="atLeast"/>
      <w:jc w:val="center"/>
    </w:pPr>
    <w:rPr>
      <w:sz w:val="28"/>
    </w:rPr>
  </w:style>
  <w:style w:type="paragraph" w:customStyle="1" w:styleId="46">
    <w:name w:val="小节标题"/>
    <w:basedOn w:val="1"/>
    <w:next w:val="1"/>
    <w:qFormat/>
    <w:uiPriority w:val="99"/>
    <w:pPr>
      <w:spacing w:before="175" w:after="102" w:line="351" w:lineRule="atLeast"/>
    </w:pPr>
    <w:rPr>
      <w:rFonts w:eastAsia="黑体"/>
    </w:rPr>
  </w:style>
  <w:style w:type="paragraph" w:customStyle="1" w:styleId="47">
    <w:name w:val="目录2"/>
    <w:basedOn w:val="1"/>
    <w:next w:val="1"/>
    <w:qFormat/>
    <w:uiPriority w:val="99"/>
    <w:pPr>
      <w:tabs>
        <w:tab w:val="left" w:leader="dot" w:pos="8503"/>
      </w:tabs>
      <w:spacing w:line="317" w:lineRule="atLeast"/>
      <w:ind w:firstLine="209"/>
    </w:pPr>
  </w:style>
  <w:style w:type="paragraph" w:customStyle="1" w:styleId="48">
    <w:name w:val="目录4"/>
    <w:basedOn w:val="1"/>
    <w:next w:val="1"/>
    <w:qFormat/>
    <w:uiPriority w:val="99"/>
    <w:pPr>
      <w:tabs>
        <w:tab w:val="left" w:leader="dot" w:pos="8503"/>
      </w:tabs>
      <w:spacing w:line="317" w:lineRule="atLeast"/>
      <w:ind w:firstLine="629"/>
    </w:pPr>
  </w:style>
  <w:style w:type="paragraph" w:customStyle="1" w:styleId="49">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0">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1">
    <w:name w:val="目录3"/>
    <w:basedOn w:val="1"/>
    <w:next w:val="1"/>
    <w:qFormat/>
    <w:uiPriority w:val="99"/>
    <w:pPr>
      <w:tabs>
        <w:tab w:val="left" w:leader="dot" w:pos="8503"/>
      </w:tabs>
      <w:spacing w:line="317" w:lineRule="atLeast"/>
      <w:ind w:firstLine="419"/>
    </w:pPr>
  </w:style>
  <w:style w:type="paragraph" w:customStyle="1" w:styleId="52">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3">
    <w:name w:val="文章总标题"/>
    <w:basedOn w:val="1"/>
    <w:next w:val="54"/>
    <w:qFormat/>
    <w:uiPriority w:val="99"/>
    <w:pPr>
      <w:spacing w:before="566" w:after="544" w:line="566" w:lineRule="atLeast"/>
      <w:jc w:val="center"/>
    </w:pPr>
    <w:rPr>
      <w:rFonts w:ascii="Arial" w:eastAsia="黑体"/>
      <w:sz w:val="54"/>
    </w:rPr>
  </w:style>
  <w:style w:type="paragraph" w:customStyle="1" w:styleId="54">
    <w:name w:val="文章附标题"/>
    <w:basedOn w:val="1"/>
    <w:next w:val="44"/>
    <w:qFormat/>
    <w:uiPriority w:val="99"/>
    <w:pPr>
      <w:spacing w:before="187" w:after="175" w:line="374" w:lineRule="atLeast"/>
      <w:jc w:val="center"/>
    </w:pPr>
    <w:rPr>
      <w:sz w:val="36"/>
    </w:rPr>
  </w:style>
  <w:style w:type="paragraph" w:customStyle="1" w:styleId="55">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6">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7">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8">
    <w:name w:val="WPS Plain"/>
    <w:qFormat/>
    <w:uiPriority w:val="99"/>
    <w:rPr>
      <w:rFonts w:ascii="Times New Roman" w:hAnsi="Times New Roman" w:eastAsia="宋体" w:cs="Times New Roman"/>
      <w:lang w:val="en-US" w:eastAsia="zh-CN" w:bidi="ar-SA"/>
    </w:rPr>
  </w:style>
  <w:style w:type="paragraph" w:customStyle="1" w:styleId="59">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0">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1">
    <w:name w:val="链接"/>
    <w:qFormat/>
    <w:uiPriority w:val="99"/>
    <w:rPr>
      <w:rFonts w:ascii="Times New Roman" w:eastAsia="宋体"/>
      <w:color w:val="0000FF"/>
      <w:sz w:val="21"/>
      <w:u w:val="single" w:color="0000FF"/>
      <w:lang w:val="en-US" w:eastAsia="zh-CN"/>
    </w:rPr>
  </w:style>
  <w:style w:type="character" w:customStyle="1" w:styleId="62">
    <w:name w:val="超级链接"/>
    <w:qFormat/>
    <w:uiPriority w:val="99"/>
    <w:rPr>
      <w:rFonts w:ascii="Times New Roman" w:eastAsia="宋体"/>
      <w:color w:val="0000FF"/>
      <w:sz w:val="21"/>
      <w:u w:val="single" w:color="0000FF"/>
      <w:lang w:val="en-US" w:eastAsia="zh-CN"/>
    </w:rPr>
  </w:style>
  <w:style w:type="character" w:customStyle="1" w:styleId="63">
    <w:name w:val="param_td12"/>
    <w:qFormat/>
    <w:uiPriority w:val="99"/>
  </w:style>
  <w:style w:type="character" w:customStyle="1" w:styleId="64">
    <w:name w:val="纯文本 Char"/>
    <w:qFormat/>
    <w:locked/>
    <w:uiPriority w:val="99"/>
    <w:rPr>
      <w:rFonts w:ascii="宋体" w:hAnsi="Courier New" w:eastAsia="宋体"/>
      <w:kern w:val="2"/>
      <w:sz w:val="21"/>
      <w:lang w:val="en-US" w:eastAsia="zh-CN"/>
    </w:rPr>
  </w:style>
  <w:style w:type="character" w:customStyle="1" w:styleId="65">
    <w:name w:val="纯文本 Char Char"/>
    <w:qFormat/>
    <w:uiPriority w:val="99"/>
    <w:rPr>
      <w:rFonts w:ascii="宋体" w:hAnsi="Courier New" w:eastAsia="宋体"/>
      <w:kern w:val="2"/>
      <w:sz w:val="21"/>
      <w:lang w:val="en-US" w:eastAsia="zh-CN"/>
    </w:rPr>
  </w:style>
  <w:style w:type="character" w:customStyle="1" w:styleId="66">
    <w:name w:val="Char Char4"/>
    <w:qFormat/>
    <w:uiPriority w:val="99"/>
    <w:rPr>
      <w:rFonts w:ascii="宋体" w:eastAsia="宋体"/>
      <w:kern w:val="2"/>
      <w:sz w:val="28"/>
    </w:rPr>
  </w:style>
  <w:style w:type="character" w:customStyle="1" w:styleId="67">
    <w:name w:val="Plain Text Char1"/>
    <w:semiHidden/>
    <w:qFormat/>
    <w:locked/>
    <w:uiPriority w:val="99"/>
    <w:rPr>
      <w:rFonts w:ascii="宋体" w:hAnsi="Courier New"/>
      <w:color w:val="000000"/>
      <w:kern w:val="0"/>
      <w:sz w:val="21"/>
      <w:u w:val="none" w:color="000000"/>
    </w:rPr>
  </w:style>
  <w:style w:type="character" w:customStyle="1" w:styleId="68">
    <w:name w:val="15"/>
    <w:basedOn w:val="26"/>
    <w:qFormat/>
    <w:uiPriority w:val="99"/>
    <w:rPr>
      <w:rFonts w:cs="Times New Roman"/>
    </w:rPr>
  </w:style>
  <w:style w:type="paragraph" w:customStyle="1" w:styleId="69">
    <w:name w:val="Table Paragraph"/>
    <w:basedOn w:val="1"/>
    <w:qFormat/>
    <w:uiPriority w:val="1"/>
    <w:pPr>
      <w:widowControl w:val="0"/>
      <w:spacing w:line="240" w:lineRule="auto"/>
      <w:textAlignment w:val="auto"/>
    </w:pPr>
    <w:rPr>
      <w:rFonts w:ascii="Calibri" w:hAnsi="Calibri"/>
      <w:color w:val="auto"/>
      <w:kern w:val="2"/>
      <w:szCs w:val="24"/>
    </w:rPr>
  </w:style>
  <w:style w:type="paragraph" w:customStyle="1" w:styleId="70">
    <w:name w:val="列出段落1"/>
    <w:basedOn w:val="1"/>
    <w:qFormat/>
    <w:uiPriority w:val="99"/>
    <w:pPr>
      <w:ind w:firstLine="420" w:firstLineChars="200"/>
    </w:pPr>
  </w:style>
  <w:style w:type="character" w:customStyle="1" w:styleId="71">
    <w:name w:val="文档结构图 Char"/>
    <w:basedOn w:val="26"/>
    <w:link w:val="7"/>
    <w:semiHidden/>
    <w:qFormat/>
    <w:uiPriority w:val="99"/>
    <w:rPr>
      <w:rFonts w:ascii="宋体"/>
      <w:color w:val="000000"/>
      <w:sz w:val="18"/>
      <w:szCs w:val="18"/>
      <w:u w:color="000000"/>
    </w:rPr>
  </w:style>
  <w:style w:type="character" w:customStyle="1" w:styleId="72">
    <w:name w:val="标题 Char"/>
    <w:basedOn w:val="26"/>
    <w:link w:val="21"/>
    <w:qFormat/>
    <w:uiPriority w:val="10"/>
    <w:rPr>
      <w:rFonts w:asciiTheme="majorHAnsi" w:hAnsiTheme="majorHAnsi" w:cstheme="majorBidi"/>
      <w:b/>
      <w:bCs/>
      <w:color w:val="000000"/>
      <w:sz w:val="32"/>
      <w:szCs w:val="32"/>
      <w:u w:color="000000"/>
    </w:rPr>
  </w:style>
  <w:style w:type="character" w:customStyle="1" w:styleId="73">
    <w:name w:val="apple-converted-space"/>
    <w:basedOn w:val="26"/>
    <w:qFormat/>
    <w:uiPriority w:val="0"/>
  </w:style>
  <w:style w:type="paragraph" w:customStyle="1" w:styleId="74">
    <w:name w:val="列出段落2"/>
    <w:basedOn w:val="1"/>
    <w:qFormat/>
    <w:uiPriority w:val="34"/>
    <w:pPr>
      <w:ind w:firstLine="420" w:firstLineChars="200"/>
    </w:pPr>
  </w:style>
  <w:style w:type="character" w:customStyle="1" w:styleId="75">
    <w:name w:val="qowt-font4"/>
    <w:basedOn w:val="26"/>
    <w:qFormat/>
    <w:uiPriority w:val="0"/>
  </w:style>
  <w:style w:type="paragraph" w:customStyle="1" w:styleId="76">
    <w:name w:val="正文 加黑"/>
    <w:basedOn w:val="1"/>
    <w:qFormat/>
    <w:uiPriority w:val="0"/>
    <w:pPr>
      <w:spacing w:before="120" w:after="120"/>
    </w:pPr>
    <w:rPr>
      <w:b/>
      <w:sz w:val="28"/>
      <w:szCs w:val="28"/>
    </w:rPr>
  </w:style>
  <w:style w:type="paragraph" w:customStyle="1" w:styleId="77">
    <w:name w:val="小抬头加黑"/>
    <w:basedOn w:val="1"/>
    <w:qFormat/>
    <w:uiPriority w:val="0"/>
    <w:pPr>
      <w:spacing w:before="80" w:after="40"/>
      <w:jc w:val="left"/>
    </w:pPr>
    <w:rPr>
      <w:rFonts w:ascii="Arial" w:hAnsi="Arial" w:eastAsia="微软雅黑"/>
      <w:b/>
      <w:szCs w:val="21"/>
    </w:rPr>
  </w:style>
  <w:style w:type="paragraph" w:customStyle="1" w:styleId="78">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79">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80">
    <w:name w:val="表格非标题文字"/>
    <w:qFormat/>
    <w:uiPriority w:val="0"/>
    <w:pPr>
      <w:snapToGrid w:val="0"/>
      <w:spacing w:before="80" w:after="40"/>
    </w:pPr>
    <w:rPr>
      <w:rFonts w:ascii="Arial" w:hAnsi="Arial" w:eastAsia="宋体" w:cs="Times New Roman"/>
      <w:kern w:val="2"/>
      <w:sz w:val="18"/>
      <w:szCs w:val="21"/>
      <w:lang w:val="en-US" w:eastAsia="zh-CN" w:bidi="ar-SA"/>
    </w:rPr>
  </w:style>
  <w:style w:type="paragraph" w:customStyle="1" w:styleId="81">
    <w:name w:val="Item List"/>
    <w:basedOn w:val="1"/>
    <w:qFormat/>
    <w:uiPriority w:val="0"/>
    <w:pPr>
      <w:spacing w:before="120" w:after="40"/>
      <w:ind w:left="420" w:hanging="420"/>
      <w:jc w:val="left"/>
    </w:pPr>
    <w:rPr>
      <w:rFonts w:ascii="Arial" w:hAnsi="Arial"/>
      <w:szCs w:val="21"/>
    </w:rPr>
  </w:style>
  <w:style w:type="paragraph" w:customStyle="1" w:styleId="82">
    <w:name w:val="itemlist"/>
    <w:basedOn w:val="1"/>
    <w:qFormat/>
    <w:uiPriority w:val="0"/>
    <w:pPr>
      <w:spacing w:before="100" w:beforeAutospacing="1" w:after="100" w:afterAutospacing="1"/>
      <w:jc w:val="left"/>
    </w:pPr>
    <w:rPr>
      <w:rFonts w:ascii="宋体" w:hAnsi="宋体" w:cs="宋体"/>
      <w:sz w:val="24"/>
      <w:szCs w:val="24"/>
    </w:rPr>
  </w:style>
  <w:style w:type="table" w:customStyle="1" w:styleId="83">
    <w:name w:val="Table Normal_0"/>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4">
    <w:name w:val="Heading 3_0"/>
    <w:basedOn w:val="1"/>
    <w:qFormat/>
    <w:uiPriority w:val="1"/>
    <w:pPr>
      <w:widowControl w:val="0"/>
      <w:spacing w:before="14" w:line="240" w:lineRule="auto"/>
      <w:ind w:left="138"/>
      <w:jc w:val="left"/>
      <w:textAlignment w:val="auto"/>
      <w:outlineLvl w:val="3"/>
    </w:pPr>
    <w:rPr>
      <w:rFonts w:ascii="宋体" w:hAnsi="宋体" w:cstheme="minorBidi"/>
      <w:color w:val="auto"/>
      <w:sz w:val="28"/>
      <w:szCs w:val="28"/>
      <w:lang w:eastAsia="en-US"/>
    </w:rPr>
  </w:style>
  <w:style w:type="paragraph" w:customStyle="1" w:styleId="85">
    <w:name w:val="Heading 4"/>
    <w:basedOn w:val="1"/>
    <w:qFormat/>
    <w:uiPriority w:val="1"/>
    <w:pPr>
      <w:widowControl w:val="0"/>
      <w:spacing w:line="240" w:lineRule="auto"/>
      <w:ind w:left="192"/>
      <w:jc w:val="left"/>
      <w:textAlignment w:val="auto"/>
      <w:outlineLvl w:val="4"/>
    </w:pPr>
    <w:rPr>
      <w:rFonts w:ascii="Microsoft JhengHei" w:hAnsi="Microsoft JhengHei" w:eastAsia="Microsoft JhengHei" w:cstheme="minorBidi"/>
      <w:b/>
      <w:bCs/>
      <w:color w:val="auto"/>
      <w:sz w:val="24"/>
      <w:szCs w:val="24"/>
      <w:lang w:eastAsia="en-US"/>
    </w:rPr>
  </w:style>
  <w:style w:type="character" w:customStyle="1" w:styleId="86">
    <w:name w:val="正文缩进 Char"/>
    <w:link w:val="6"/>
    <w:qFormat/>
    <w:uiPriority w:val="0"/>
    <w:rPr>
      <w:sz w:val="21"/>
    </w:rPr>
  </w:style>
  <w:style w:type="paragraph" w:customStyle="1" w:styleId="87">
    <w:name w:val="Heading 7"/>
    <w:basedOn w:val="1"/>
    <w:qFormat/>
    <w:uiPriority w:val="1"/>
    <w:pPr>
      <w:widowControl w:val="0"/>
      <w:spacing w:line="240" w:lineRule="auto"/>
      <w:ind w:left="140"/>
      <w:jc w:val="left"/>
      <w:textAlignment w:val="auto"/>
      <w:outlineLvl w:val="7"/>
    </w:pPr>
    <w:rPr>
      <w:rFonts w:ascii="Microsoft JhengHei" w:hAnsi="Microsoft JhengHei" w:eastAsia="Microsoft JhengHei" w:cstheme="minorBidi"/>
      <w:b/>
      <w:bCs/>
      <w:color w:val="auto"/>
      <w:sz w:val="24"/>
      <w:szCs w:val="24"/>
      <w:lang w:eastAsia="en-US"/>
    </w:rPr>
  </w:style>
  <w:style w:type="paragraph" w:customStyle="1" w:styleId="8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89">
    <w:name w:val="正文首行缩进 2 Char"/>
    <w:basedOn w:val="36"/>
    <w:link w:val="23"/>
    <w:semiHidden/>
    <w:qFormat/>
    <w:uiPriority w:val="99"/>
    <w:rPr>
      <w:sz w:val="21"/>
      <w:szCs w:val="24"/>
    </w:rPr>
  </w:style>
  <w:style w:type="character" w:customStyle="1" w:styleId="90">
    <w:name w:val="Plain Text Char"/>
    <w:basedOn w:val="26"/>
    <w:qFormat/>
    <w:locked/>
    <w:uiPriority w:val="99"/>
    <w:rPr>
      <w:rFonts w:ascii="宋体" w:hAnsi="Courier New" w:eastAsia="宋体"/>
      <w:kern w:val="2"/>
      <w:sz w:val="21"/>
      <w:lang w:val="en-US" w:eastAsia="zh-CN"/>
    </w:rPr>
  </w:style>
  <w:style w:type="character" w:customStyle="1" w:styleId="91">
    <w:name w:val="font41"/>
    <w:basedOn w:val="26"/>
    <w:qFormat/>
    <w:uiPriority w:val="0"/>
    <w:rPr>
      <w:rFonts w:hint="eastAsia" w:ascii="宋体" w:hAnsi="宋体" w:eastAsia="宋体" w:cs="宋体"/>
      <w:color w:val="000000"/>
      <w:sz w:val="22"/>
      <w:szCs w:val="22"/>
      <w:u w:val="none"/>
    </w:rPr>
  </w:style>
  <w:style w:type="character" w:customStyle="1" w:styleId="92">
    <w:name w:val="font31"/>
    <w:basedOn w:val="26"/>
    <w:qFormat/>
    <w:uiPriority w:val="0"/>
    <w:rPr>
      <w:rFonts w:hint="eastAsia" w:ascii="宋体" w:hAnsi="宋体" w:eastAsia="宋体" w:cs="宋体"/>
      <w:color w:val="FF0000"/>
      <w:sz w:val="22"/>
      <w:szCs w:val="22"/>
      <w:u w:val="none"/>
    </w:rPr>
  </w:style>
  <w:style w:type="character" w:customStyle="1" w:styleId="93">
    <w:name w:val="font11"/>
    <w:basedOn w:val="26"/>
    <w:qFormat/>
    <w:uiPriority w:val="0"/>
    <w:rPr>
      <w:rFonts w:hint="eastAsia" w:ascii="宋体" w:hAnsi="宋体" w:eastAsia="宋体" w:cs="宋体"/>
      <w:color w:val="000000"/>
      <w:sz w:val="22"/>
      <w:szCs w:val="22"/>
      <w:u w:val="none"/>
    </w:rPr>
  </w:style>
  <w:style w:type="character" w:customStyle="1" w:styleId="94">
    <w:name w:val="font01"/>
    <w:basedOn w:val="26"/>
    <w:qFormat/>
    <w:uiPriority w:val="0"/>
    <w:rPr>
      <w:rFonts w:hint="eastAsia" w:ascii="宋体" w:hAnsi="宋体" w:eastAsia="宋体" w:cs="宋体"/>
      <w:color w:val="000000"/>
      <w:sz w:val="22"/>
      <w:szCs w:val="22"/>
      <w:u w:val="none"/>
    </w:rPr>
  </w:style>
  <w:style w:type="character" w:customStyle="1" w:styleId="95">
    <w:name w:val="font21"/>
    <w:basedOn w:val="26"/>
    <w:qFormat/>
    <w:uiPriority w:val="0"/>
    <w:rPr>
      <w:rFonts w:hint="eastAsia" w:ascii="宋体" w:hAnsi="宋体" w:eastAsia="宋体" w:cs="宋体"/>
      <w:color w:val="FF0000"/>
      <w:sz w:val="22"/>
      <w:szCs w:val="22"/>
      <w:u w:val="none"/>
    </w:rPr>
  </w:style>
  <w:style w:type="character" w:customStyle="1" w:styleId="96">
    <w:name w:val="font71"/>
    <w:basedOn w:val="26"/>
    <w:qFormat/>
    <w:uiPriority w:val="0"/>
    <w:rPr>
      <w:rFonts w:hint="eastAsia" w:ascii="宋体" w:hAnsi="宋体" w:eastAsia="宋体" w:cs="宋体"/>
      <w:color w:val="000000"/>
      <w:sz w:val="22"/>
      <w:szCs w:val="22"/>
      <w:u w:val="none"/>
    </w:rPr>
  </w:style>
  <w:style w:type="character" w:customStyle="1" w:styleId="97">
    <w:name w:val="fr"/>
    <w:basedOn w:val="26"/>
    <w:qFormat/>
    <w:uiPriority w:val="0"/>
  </w:style>
  <w:style w:type="character" w:customStyle="1" w:styleId="98">
    <w:name w:val="icon_gys"/>
    <w:basedOn w:val="26"/>
    <w:qFormat/>
    <w:uiPriority w:val="0"/>
    <w:rPr>
      <w:sz w:val="21"/>
      <w:szCs w:val="21"/>
    </w:rPr>
  </w:style>
  <w:style w:type="character" w:customStyle="1" w:styleId="99">
    <w:name w:val="xiadan"/>
    <w:basedOn w:val="26"/>
    <w:qFormat/>
    <w:uiPriority w:val="0"/>
    <w:rPr>
      <w:shd w:val="clear" w:color="auto" w:fill="E4393C"/>
    </w:rPr>
  </w:style>
  <w:style w:type="character" w:customStyle="1" w:styleId="100">
    <w:name w:val="first-child1"/>
    <w:basedOn w:val="26"/>
    <w:qFormat/>
    <w:uiPriority w:val="0"/>
    <w:rPr>
      <w:color w:val="1F3149"/>
      <w:sz w:val="24"/>
      <w:szCs w:val="24"/>
    </w:rPr>
  </w:style>
  <w:style w:type="character" w:customStyle="1" w:styleId="101">
    <w:name w:val="first-child2"/>
    <w:basedOn w:val="26"/>
    <w:qFormat/>
    <w:uiPriority w:val="0"/>
    <w:rPr>
      <w:color w:val="1F3149"/>
      <w:sz w:val="24"/>
      <w:szCs w:val="24"/>
    </w:rPr>
  </w:style>
  <w:style w:type="character" w:customStyle="1" w:styleId="102">
    <w:name w:val="icon_ds"/>
    <w:basedOn w:val="26"/>
    <w:qFormat/>
    <w:uiPriority w:val="0"/>
  </w:style>
  <w:style w:type="character" w:customStyle="1" w:styleId="103">
    <w:name w:val="icon_ds1"/>
    <w:basedOn w:val="26"/>
    <w:qFormat/>
    <w:uiPriority w:val="0"/>
    <w:rPr>
      <w:sz w:val="21"/>
      <w:szCs w:val="21"/>
    </w:rPr>
  </w:style>
  <w:style w:type="character" w:customStyle="1" w:styleId="104">
    <w:name w:val="first-child"/>
    <w:basedOn w:val="26"/>
    <w:qFormat/>
    <w:uiPriority w:val="0"/>
    <w:rPr>
      <w:color w:val="1F3149"/>
      <w:sz w:val="24"/>
      <w:szCs w:val="24"/>
    </w:rPr>
  </w:style>
  <w:style w:type="paragraph" w:customStyle="1" w:styleId="105">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6213</Words>
  <Characters>35419</Characters>
  <Lines>295</Lines>
  <Paragraphs>83</Paragraphs>
  <TotalTime>0</TotalTime>
  <ScaleCrop>false</ScaleCrop>
  <LinksUpToDate>false</LinksUpToDate>
  <CharactersWithSpaces>41549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2022-03-17T00:36:00Z</dcterms:created>
  <dc:creator>ZM</dc:creator>
  <cp:lastModifiedBy>筱紫</cp:lastModifiedBy>
  <cp:lastPrinted>2023-10-25T07:00:00Z</cp:lastPrinted>
  <dcterms:modified xsi:type="dcterms:W3CDTF">2023-11-21T09:47:41Z</dcterms:modified>
  <dc:title>内黄县第一高级中学所需多媒体教室设备项目</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D43D9DD0FD7648D0AD9793793EF60B1F</vt:lpwstr>
  </property>
  <property fmtid="{D5CDD505-2E9C-101B-9397-08002B2CF9AE}" pid="3" name="KSOProductBuildVer">
    <vt:lpwstr>2052-12.1.0.15712</vt:lpwstr>
  </property>
</Properties>
</file>