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7FC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焦作市第二人民医院高能医用直线加速器及附属设施设备更新项目</w:t>
      </w:r>
    </w:p>
    <w:p w14:paraId="72C0DC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的公开招标公告</w:t>
      </w:r>
    </w:p>
    <w:p w14:paraId="25203B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项目概况：     </w:t>
      </w:r>
    </w:p>
    <w:p w14:paraId="6613F8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焦作市第二人民医院高能医用直线加速器及附属设施设备更新项目的潜在投标人应在焦作市公共资源交易中心网站获取招标文件，并于2026年</w:t>
      </w:r>
      <w:r>
        <w:rPr>
          <w:rFonts w:hint="eastAsia" w:ascii="宋体" w:hAnsi="宋体" w:eastAsia="宋体" w:cs="宋体"/>
          <w:sz w:val="24"/>
          <w:szCs w:val="24"/>
          <w:lang w:val="en-US" w:eastAsia="zh-CN"/>
        </w:rPr>
        <w:t>4</w:t>
      </w:r>
      <w:r>
        <w:rPr>
          <w:rFonts w:hint="eastAsia" w:ascii="宋体" w:hAnsi="宋体" w:eastAsia="宋体" w:cs="宋体"/>
          <w:sz w:val="24"/>
          <w:szCs w:val="24"/>
        </w:rPr>
        <w:t>月1日08时30分（北京时间）前递交投标文件。</w:t>
      </w:r>
    </w:p>
    <w:p w14:paraId="040BF6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14:paraId="3E82F3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1.项目编号：焦财招标采购-2026-4</w:t>
      </w:r>
    </w:p>
    <w:p w14:paraId="1ADE8C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2.项目名称：焦作市第二人民医院高能医用直线加速器及附属设施设备更新项目</w:t>
      </w:r>
    </w:p>
    <w:p w14:paraId="61E031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3.采购方式：公开招标</w:t>
      </w:r>
    </w:p>
    <w:p w14:paraId="0B992B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4.预算金额：30,000,000.00元</w:t>
      </w:r>
    </w:p>
    <w:p w14:paraId="22C9C5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最高限价：30,000,000.00元</w:t>
      </w:r>
    </w:p>
    <w:tbl>
      <w:tblPr>
        <w:tblStyle w:val="2"/>
        <w:tblW w:w="9431"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537"/>
        <w:gridCol w:w="3600"/>
        <w:gridCol w:w="1638"/>
        <w:gridCol w:w="1875"/>
      </w:tblGrid>
      <w:tr w14:paraId="159B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1" w:type="dxa"/>
            <w:noWrap w:val="0"/>
            <w:vAlign w:val="center"/>
          </w:tcPr>
          <w:p w14:paraId="1BFEC54C">
            <w:pPr>
              <w:widowControl/>
              <w:spacing w:line="240" w:lineRule="atLeast"/>
              <w:jc w:val="center"/>
              <w:rPr>
                <w:rFonts w:hint="eastAsia" w:ascii="宋体" w:hAnsi="宋体"/>
                <w:b/>
                <w:bCs/>
                <w:color w:val="auto"/>
                <w:highlight w:val="none"/>
              </w:rPr>
            </w:pPr>
            <w:r>
              <w:rPr>
                <w:rFonts w:hint="eastAsia" w:ascii="宋体" w:hAnsi="宋体"/>
                <w:b/>
                <w:bCs/>
                <w:color w:val="auto"/>
                <w:kern w:val="0"/>
                <w:highlight w:val="none"/>
                <w:lang w:bidi="ar"/>
              </w:rPr>
              <w:t>序号</w:t>
            </w:r>
          </w:p>
        </w:tc>
        <w:tc>
          <w:tcPr>
            <w:tcW w:w="1537" w:type="dxa"/>
            <w:noWrap w:val="0"/>
            <w:vAlign w:val="center"/>
          </w:tcPr>
          <w:p w14:paraId="343A46BE">
            <w:pPr>
              <w:widowControl/>
              <w:spacing w:line="240" w:lineRule="atLeast"/>
              <w:jc w:val="center"/>
              <w:rPr>
                <w:rFonts w:hint="eastAsia" w:ascii="宋体" w:hAnsi="宋体"/>
                <w:b/>
                <w:bCs/>
                <w:color w:val="auto"/>
                <w:highlight w:val="none"/>
              </w:rPr>
            </w:pPr>
            <w:r>
              <w:rPr>
                <w:rFonts w:hint="eastAsia" w:ascii="宋体" w:hAnsi="宋体"/>
                <w:b/>
                <w:bCs/>
                <w:color w:val="auto"/>
                <w:kern w:val="0"/>
                <w:highlight w:val="none"/>
                <w:lang w:bidi="ar"/>
              </w:rPr>
              <w:t>包号</w:t>
            </w:r>
          </w:p>
        </w:tc>
        <w:tc>
          <w:tcPr>
            <w:tcW w:w="3600" w:type="dxa"/>
            <w:noWrap w:val="0"/>
            <w:vAlign w:val="center"/>
          </w:tcPr>
          <w:p w14:paraId="143C337C">
            <w:pPr>
              <w:widowControl/>
              <w:spacing w:line="240" w:lineRule="atLeast"/>
              <w:jc w:val="center"/>
              <w:rPr>
                <w:rFonts w:hint="eastAsia" w:ascii="宋体" w:hAnsi="宋体"/>
                <w:b/>
                <w:bCs/>
                <w:color w:val="auto"/>
                <w:highlight w:val="none"/>
              </w:rPr>
            </w:pPr>
            <w:r>
              <w:rPr>
                <w:rFonts w:hint="eastAsia" w:ascii="宋体" w:hAnsi="宋体"/>
                <w:b/>
                <w:bCs/>
                <w:color w:val="auto"/>
                <w:kern w:val="0"/>
                <w:highlight w:val="none"/>
                <w:lang w:bidi="ar"/>
              </w:rPr>
              <w:t>包名称</w:t>
            </w:r>
          </w:p>
        </w:tc>
        <w:tc>
          <w:tcPr>
            <w:tcW w:w="1638" w:type="dxa"/>
            <w:noWrap w:val="0"/>
            <w:vAlign w:val="center"/>
          </w:tcPr>
          <w:p w14:paraId="1828D353">
            <w:pPr>
              <w:widowControl/>
              <w:spacing w:line="240" w:lineRule="atLeast"/>
              <w:jc w:val="center"/>
              <w:rPr>
                <w:rFonts w:hint="eastAsia" w:ascii="宋体" w:hAnsi="宋体"/>
                <w:b/>
                <w:bCs/>
                <w:color w:val="auto"/>
                <w:highlight w:val="none"/>
              </w:rPr>
            </w:pPr>
            <w:r>
              <w:rPr>
                <w:rFonts w:hint="eastAsia" w:ascii="宋体" w:hAnsi="宋体"/>
                <w:b/>
                <w:bCs/>
                <w:color w:val="auto"/>
                <w:kern w:val="0"/>
                <w:highlight w:val="none"/>
                <w:lang w:bidi="ar"/>
              </w:rPr>
              <w:t>包预算（元）</w:t>
            </w:r>
          </w:p>
        </w:tc>
        <w:tc>
          <w:tcPr>
            <w:tcW w:w="1875" w:type="dxa"/>
            <w:noWrap w:val="0"/>
            <w:vAlign w:val="center"/>
          </w:tcPr>
          <w:p w14:paraId="451A6491">
            <w:pPr>
              <w:widowControl/>
              <w:spacing w:line="240" w:lineRule="atLeast"/>
              <w:jc w:val="center"/>
              <w:rPr>
                <w:rFonts w:hint="eastAsia" w:ascii="宋体" w:hAnsi="宋体"/>
                <w:b/>
                <w:bCs/>
                <w:color w:val="auto"/>
                <w:highlight w:val="none"/>
              </w:rPr>
            </w:pPr>
            <w:r>
              <w:rPr>
                <w:rFonts w:hint="eastAsia" w:ascii="宋体" w:hAnsi="宋体"/>
                <w:b/>
                <w:bCs/>
                <w:color w:val="auto"/>
                <w:kern w:val="0"/>
                <w:highlight w:val="none"/>
                <w:lang w:bidi="ar"/>
              </w:rPr>
              <w:t>包最高限价（元）</w:t>
            </w:r>
          </w:p>
        </w:tc>
      </w:tr>
      <w:tr w14:paraId="57FD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1" w:type="dxa"/>
            <w:noWrap w:val="0"/>
            <w:vAlign w:val="center"/>
          </w:tcPr>
          <w:p w14:paraId="6CE23FAF">
            <w:pPr>
              <w:spacing w:line="240" w:lineRule="atLeast"/>
              <w:jc w:val="center"/>
              <w:rPr>
                <w:rFonts w:hint="eastAsia" w:ascii="宋体" w:hAnsi="宋体"/>
                <w:color w:val="auto"/>
                <w:highlight w:val="none"/>
              </w:rPr>
            </w:pPr>
            <w:r>
              <w:rPr>
                <w:rFonts w:hint="eastAsia" w:ascii="宋体" w:hAnsi="宋体"/>
                <w:color w:val="auto"/>
                <w:highlight w:val="none"/>
              </w:rPr>
              <w:t>1</w:t>
            </w:r>
          </w:p>
        </w:tc>
        <w:tc>
          <w:tcPr>
            <w:tcW w:w="1537" w:type="dxa"/>
            <w:noWrap w:val="0"/>
            <w:vAlign w:val="center"/>
          </w:tcPr>
          <w:p w14:paraId="0C844D4E">
            <w:pPr>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焦公资医疗X2026—004-1</w:t>
            </w:r>
          </w:p>
        </w:tc>
        <w:tc>
          <w:tcPr>
            <w:tcW w:w="3600" w:type="dxa"/>
            <w:noWrap w:val="0"/>
            <w:vAlign w:val="center"/>
          </w:tcPr>
          <w:p w14:paraId="53C54505">
            <w:pPr>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焦作市第二人民医院高能医用直线加速器及附属设施设备更新项目</w:t>
            </w:r>
          </w:p>
        </w:tc>
        <w:tc>
          <w:tcPr>
            <w:tcW w:w="1638" w:type="dxa"/>
            <w:noWrap w:val="0"/>
            <w:vAlign w:val="center"/>
          </w:tcPr>
          <w:p w14:paraId="0D2AA138">
            <w:pPr>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30000000</w:t>
            </w:r>
          </w:p>
        </w:tc>
        <w:tc>
          <w:tcPr>
            <w:tcW w:w="1875" w:type="dxa"/>
            <w:noWrap w:val="0"/>
            <w:vAlign w:val="center"/>
          </w:tcPr>
          <w:p w14:paraId="52FA2615">
            <w:pPr>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30000000</w:t>
            </w:r>
          </w:p>
        </w:tc>
      </w:tr>
    </w:tbl>
    <w:p w14:paraId="40CE50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5.采购需求（包括但不限于标的的名称、数量、简要技术需求或服务要求等）：采购高能医用直线加速器及附属设施设备更新一套。（详见招标文件第三部分）</w:t>
      </w:r>
    </w:p>
    <w:p w14:paraId="1C0E4B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6.合同履行期限：接到招标人交货通知后6个月内供货、安装、调试、培训到位。</w:t>
      </w:r>
    </w:p>
    <w:p w14:paraId="580489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7.本项目是否接受联合体投标：否。</w:t>
      </w:r>
    </w:p>
    <w:p w14:paraId="2E3730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8.是否接受进口产品：否。</w:t>
      </w:r>
    </w:p>
    <w:p w14:paraId="2F4F59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9.是否专门面向中小企业：否。</w:t>
      </w:r>
    </w:p>
    <w:p w14:paraId="5E22C0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二、申请人的资格要求</w:t>
      </w:r>
    </w:p>
    <w:p w14:paraId="300332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420E7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2.落实政府采购政策满足的资格要求：/</w:t>
      </w:r>
    </w:p>
    <w:p w14:paraId="5B72F0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469A64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3.1投标人行贿犯罪档案记录（开标当日中国裁判文书网的信息）；</w:t>
      </w:r>
    </w:p>
    <w:p w14:paraId="7BFDCF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47F327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3.3未被人力资源社会保障主管部门列入拖欠农民工工资失信联合惩戒名单或无因拖欠农民工工资被县级及以上有关行政主管部门限制投标资格且在限制期限内（提供承诺函）；</w:t>
      </w:r>
    </w:p>
    <w:p w14:paraId="4B92ED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3.4具有医疗器械经营许可证或医疗器械经营备案凭证或生产许可证；</w:t>
      </w:r>
    </w:p>
    <w:p w14:paraId="00DBA6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3.5具有辐射安全许可证（或产品豁免备案）。</w:t>
      </w:r>
    </w:p>
    <w:p w14:paraId="6D5889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备注：以上第3.1条和第3.2条由采购代理机构提供查询结果。</w:t>
      </w:r>
    </w:p>
    <w:p w14:paraId="65CD52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三、获取招标文件</w:t>
      </w:r>
    </w:p>
    <w:p w14:paraId="08633B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1.时间：2026年3月</w:t>
      </w:r>
      <w:r>
        <w:rPr>
          <w:rFonts w:hint="eastAsia" w:ascii="宋体" w:hAnsi="宋体" w:eastAsia="宋体" w:cs="宋体"/>
          <w:sz w:val="24"/>
          <w:szCs w:val="24"/>
          <w:lang w:val="en-US" w:eastAsia="zh-CN"/>
        </w:rPr>
        <w:t>12</w:t>
      </w:r>
      <w:r>
        <w:rPr>
          <w:rFonts w:hint="eastAsia" w:ascii="宋体" w:hAnsi="宋体" w:eastAsia="宋体" w:cs="宋体"/>
          <w:sz w:val="24"/>
          <w:szCs w:val="24"/>
        </w:rPr>
        <w:t>日00时00分至2026年3月1</w:t>
      </w:r>
      <w:r>
        <w:rPr>
          <w:rFonts w:hint="eastAsia" w:ascii="宋体" w:hAnsi="宋体" w:eastAsia="宋体" w:cs="宋体"/>
          <w:sz w:val="24"/>
          <w:szCs w:val="24"/>
          <w:lang w:val="en-US" w:eastAsia="zh-CN"/>
        </w:rPr>
        <w:t>8</w:t>
      </w:r>
      <w:r>
        <w:rPr>
          <w:rFonts w:hint="eastAsia" w:ascii="宋体" w:hAnsi="宋体" w:eastAsia="宋体" w:cs="宋体"/>
          <w:sz w:val="24"/>
          <w:szCs w:val="24"/>
        </w:rPr>
        <w:t>日23时59分（北京时间）；</w:t>
      </w:r>
    </w:p>
    <w:p w14:paraId="2A4200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2.地点：焦作市公共资源交易中心网站；</w:t>
      </w:r>
    </w:p>
    <w:p w14:paraId="7723CA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3.方式：本项目采用电子开评标（不见面开标），凡有意参加投标者，请登陆焦作市公共资源交易中心网站“交易平台”栏目下载招标文件；</w:t>
      </w:r>
    </w:p>
    <w:p w14:paraId="4539E9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4.售价：0元。</w:t>
      </w:r>
    </w:p>
    <w:p w14:paraId="6C941B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四、投标截止时间及地点 </w:t>
      </w:r>
    </w:p>
    <w:p w14:paraId="3D9C34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1.时间：2026年</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月1日08时30分（北京时间） </w:t>
      </w:r>
    </w:p>
    <w:p w14:paraId="7529B6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2.地点：加密电子投标文件须在投标截止时间前通过“焦作市公共资源交易中心（https://ggzy.jiaozuo.gov.cn/）”网站-交易平台加密上传。</w:t>
      </w:r>
    </w:p>
    <w:p w14:paraId="0359ED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五、开标时间及地点 </w:t>
      </w:r>
    </w:p>
    <w:p w14:paraId="0AF383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1.时间：2026年</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月1日08时30分（北京时间） </w:t>
      </w:r>
    </w:p>
    <w:p w14:paraId="3FE9B4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2.地点：焦作市公共资源交易中心第三开标室3号机 </w:t>
      </w:r>
      <w:bookmarkStart w:id="0" w:name="_GoBack"/>
      <w:bookmarkEnd w:id="0"/>
    </w:p>
    <w:p w14:paraId="40BE0A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六、发布公告的媒介及招标公告期限 </w:t>
      </w:r>
    </w:p>
    <w:p w14:paraId="18FA79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本次招标公告在《河南省政府采购网》、《焦作市公共资源交易中心网》上发布。招标公告期限为五个工作日。  </w:t>
      </w:r>
    </w:p>
    <w:p w14:paraId="034859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七、其他补充事宜</w:t>
      </w:r>
    </w:p>
    <w:p w14:paraId="2FE04B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1.《投标单位操作手册及视频》和新点投标文件制作软件请到焦作市公共资源交易中心网站“公共服务”——“下载专区”栏目下载。</w:t>
      </w:r>
    </w:p>
    <w:p w14:paraId="4DFDC7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2.请各投标人提前办理 CA 数字证书，并学习电子投标文件制作。加密的电子投标文件须使用CA数字证书上传。为防止网络拥堵等不可控因素影响加密的电子投标文件上传，请各投标人提前上传，因未能及时上传导致投标失败的责任由投标人自行承担。为保护用户账户的安全和即将开展的电子化开评标，投标人必须使用移动CA或实体CA证书等数字认证方式登录招投标交易平台，移动CA通过交易主体登录页扫码下载app线上申请即可，实体CA办理可通过网站办事指南查询办理流程。</w:t>
      </w:r>
    </w:p>
    <w:p w14:paraId="1AAC772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3.按要求进行网上获取并下载招标文件,凡未在规定时间内获取招标文件者视为无效标。</w:t>
      </w:r>
    </w:p>
    <w:p w14:paraId="1C30E6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4.平台统一技术服务电话为：0512-58188538，服务QQ:4008503300,服务时间:周一至周日8:00-17:30（北京时间）。</w:t>
      </w:r>
    </w:p>
    <w:p w14:paraId="5B71B8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获取招标文件后，请下载并安装最新版本投标文件制作工具，制作电子投标文件，在投标截止时间前，上传加密的投标文件。供应商未在投标截止时间前完成上传的，视为逾期送达，焦作市电子招投标交易平台将拒绝接收。</w:t>
      </w:r>
    </w:p>
    <w:p w14:paraId="49B29F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本项目采用远程不见面交易的模式，开标当日，供应商无需到现场参加开标会议，应在投标截止时间前，登录“不见面开标大厅系统”，在线准时参加开标活动并进行投标文件解密等。因供应商原因未能解密或解密失败的将被拒绝。详见焦作市公共资源交易中心网站-公共服务-下载专区《投标单位操作手册及视频》。除电子投标文件外，投标时不再接受任何纸质文件、资料等。</w:t>
      </w:r>
    </w:p>
    <w:p w14:paraId="75CE0F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八、凡对本次招标提出询问，请按以下方式联系。</w:t>
      </w:r>
    </w:p>
    <w:p w14:paraId="564644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7FAE8D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名称：焦作市第二人民医院</w:t>
      </w:r>
    </w:p>
    <w:p w14:paraId="48F75E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地址：焦作市民主南路17号</w:t>
      </w:r>
    </w:p>
    <w:p w14:paraId="64E60F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联系人：牛先生</w:t>
      </w:r>
    </w:p>
    <w:p w14:paraId="6EA6FA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联系方式：0391-2759627</w:t>
      </w:r>
    </w:p>
    <w:p w14:paraId="5B54D1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19F121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名称：焦作市公共资源项目服务有限责任公司 </w:t>
      </w:r>
    </w:p>
    <w:p w14:paraId="0BC4C9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地址：焦作市解放区人民路889号 </w:t>
      </w:r>
    </w:p>
    <w:p w14:paraId="2AFF5A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联系人：张先生</w:t>
      </w:r>
    </w:p>
    <w:p w14:paraId="5CAD6C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联系方式：0391-3568902</w:t>
      </w:r>
    </w:p>
    <w:p w14:paraId="007710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3.项目联系方式 </w:t>
      </w:r>
    </w:p>
    <w:p w14:paraId="1D8131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项目联系人：牛先生         张先生</w:t>
      </w:r>
    </w:p>
    <w:p w14:paraId="12C2FC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联系方式：0391-2759627    0391-3568902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A3A75"/>
    <w:rsid w:val="4E722DA4"/>
    <w:rsid w:val="7361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1908</Words>
  <Characters>2187</Characters>
  <Lines>0</Lines>
  <Paragraphs>0</Paragraphs>
  <TotalTime>0</TotalTime>
  <ScaleCrop>false</ScaleCrop>
  <LinksUpToDate>false</LinksUpToDate>
  <CharactersWithSpaces>2218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2026-03-10T09:03:00Z</dcterms:created>
  <dc:creator>Administrator</dc:creator>
  <cp:lastModifiedBy>Tonny</cp:lastModifiedBy>
  <dcterms:modified xsi:type="dcterms:W3CDTF">2026-03-11T07:44:35Z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eyJoZGlkIjoiOTVhMzgwY2M4ZGNkNThjMzk5NTdkZWViY2FkOGZjMDMiLCJ1c2VySWQiOiIzMjkxMDEyODUifQ==</vt:lpwstr>
  </property>
  <property fmtid="{D5CDD505-2E9C-101B-9397-08002B2CF9AE}" pid="4" name="ICV">
    <vt:lpwstr>9EDBAA324776413D80D7F5989B17008D_12</vt:lpwstr>
  </property>
</Properties>
</file>