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0C672">
      <w:pPr>
        <w:numPr>
          <w:ilvl w:val="0"/>
          <w:numId w:val="0"/>
        </w:numPr>
        <w:adjustRightInd w:val="0"/>
        <w:snapToGrid w:val="0"/>
        <w:spacing w:beforeAutospacing="0" w:afterAutospacing="0"/>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36"/>
          <w:szCs w:val="36"/>
          <w:lang w:eastAsia="zh-CN"/>
        </w:rPr>
        <w:t>第五章</w:t>
      </w:r>
      <w:r>
        <w:rPr>
          <w:rFonts w:hint="eastAsia" w:asciiTheme="minorEastAsia" w:hAnsiTheme="minorEastAsia" w:eastAsiaTheme="minorEastAsia" w:cstheme="minorEastAsia"/>
          <w:b/>
          <w:bCs/>
          <w:sz w:val="36"/>
          <w:szCs w:val="36"/>
        </w:rPr>
        <w:t xml:space="preserve"> 项目需求及技术参数要求</w:t>
      </w:r>
    </w:p>
    <w:p w14:paraId="05455DCB">
      <w:pPr>
        <w:numPr>
          <w:ilvl w:val="0"/>
          <w:numId w:val="0"/>
        </w:numPr>
        <w:adjustRightInd w:val="0"/>
        <w:snapToGrid w:val="0"/>
        <w:spacing w:before="100" w:beforeAutospacing="1" w:after="100" w:afterAutospacing="1" w:line="240" w:lineRule="auto"/>
        <w:ind w:left="0" w:leftChars="0" w:firstLine="482" w:firstLineChars="200"/>
        <w:jc w:val="both"/>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一标段</w:t>
      </w:r>
    </w:p>
    <w:p w14:paraId="0ABCB6F0">
      <w:pPr>
        <w:numPr>
          <w:ilvl w:val="0"/>
          <w:numId w:val="0"/>
        </w:numPr>
        <w:adjustRightInd w:val="0"/>
        <w:snapToGrid w:val="0"/>
        <w:spacing w:before="100" w:beforeAutospacing="1" w:after="100" w:afterAutospacing="1" w:line="240" w:lineRule="auto"/>
        <w:ind w:left="0" w:leftChars="0" w:firstLine="482" w:firstLineChars="200"/>
        <w:jc w:val="both"/>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val="0"/>
          <w:bCs w:val="0"/>
          <w:sz w:val="24"/>
          <w:szCs w:val="24"/>
        </w:rPr>
        <w:t>项目概况及总体要求</w:t>
      </w:r>
    </w:p>
    <w:p w14:paraId="18B6FC2B">
      <w:pPr>
        <w:numPr>
          <w:ilvl w:val="0"/>
          <w:numId w:val="0"/>
        </w:numPr>
        <w:adjustRightInd w:val="0"/>
        <w:snapToGrid w:val="0"/>
        <w:spacing w:line="360" w:lineRule="auto"/>
        <w:ind w:firstLine="480" w:firstLineChars="200"/>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本次招标项目为</w:t>
      </w:r>
      <w:r>
        <w:rPr>
          <w:rFonts w:hint="eastAsia" w:asciiTheme="minorEastAsia" w:hAnsiTheme="minorEastAsia" w:eastAsiaTheme="minorEastAsia" w:cstheme="minorEastAsia"/>
          <w:sz w:val="24"/>
          <w:szCs w:val="24"/>
          <w:lang w:eastAsia="zh-CN"/>
        </w:rPr>
        <w:t>孟州市2024年农业水价综合改革项目：安装水电双计计量设备等附件，完善村级农民用水组织，印发“三证一书”，安装宣传栏，农业水价综合改革宣传培训，精准补贴、节水奖励等费用。</w:t>
      </w:r>
      <w:r>
        <w:rPr>
          <w:rFonts w:hint="eastAsia" w:asciiTheme="minorEastAsia" w:hAnsiTheme="minorEastAsia" w:eastAsiaTheme="minorEastAsia" w:cstheme="minorEastAsia"/>
          <w:bCs/>
          <w:sz w:val="24"/>
          <w:szCs w:val="24"/>
        </w:rPr>
        <w:t>（具体数量及技术要求详见</w:t>
      </w:r>
      <w:r>
        <w:rPr>
          <w:rFonts w:hint="eastAsia" w:asciiTheme="minorEastAsia" w:hAnsiTheme="minorEastAsia" w:eastAsiaTheme="minorEastAsia" w:cstheme="minorEastAsia"/>
          <w:bCs/>
          <w:sz w:val="24"/>
          <w:szCs w:val="24"/>
          <w:lang w:eastAsia="zh-CN"/>
        </w:rPr>
        <w:t>第五章</w:t>
      </w:r>
      <w:r>
        <w:rPr>
          <w:rFonts w:hint="eastAsia" w:asciiTheme="minorEastAsia" w:hAnsiTheme="minorEastAsia" w:eastAsiaTheme="minorEastAsia" w:cstheme="minorEastAsia"/>
          <w:bCs/>
          <w:sz w:val="24"/>
          <w:szCs w:val="24"/>
        </w:rPr>
        <w:t>）</w:t>
      </w:r>
    </w:p>
    <w:p w14:paraId="7C254628">
      <w:pPr>
        <w:numPr>
          <w:ilvl w:val="0"/>
          <w:numId w:val="0"/>
        </w:num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二、不允许负偏离的实质性要求和条件</w:t>
      </w:r>
    </w:p>
    <w:p w14:paraId="6C11D182">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1、采购货物的品种、数量</w:t>
      </w:r>
    </w:p>
    <w:p w14:paraId="049607FC">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highlight w:val="none"/>
          <w:u w:val="none"/>
        </w:rPr>
        <w:t>履行期限：</w:t>
      </w:r>
      <w:r>
        <w:rPr>
          <w:rFonts w:hint="eastAsia" w:asciiTheme="minorEastAsia" w:hAnsiTheme="minorEastAsia" w:eastAsiaTheme="minorEastAsia" w:cstheme="minorEastAsia"/>
          <w:sz w:val="24"/>
          <w:szCs w:val="24"/>
          <w:highlight w:val="none"/>
          <w:u w:val="none"/>
          <w:lang w:val="en-US" w:eastAsia="zh-CN"/>
        </w:rPr>
        <w:t>90日历天</w:t>
      </w:r>
      <w:r>
        <w:rPr>
          <w:rFonts w:hint="eastAsia" w:asciiTheme="minorEastAsia" w:hAnsiTheme="minorEastAsia" w:eastAsiaTheme="minorEastAsia" w:cstheme="minorEastAsia"/>
          <w:sz w:val="24"/>
          <w:szCs w:val="24"/>
          <w:highlight w:val="none"/>
          <w:u w:val="none"/>
        </w:rPr>
        <w:t>。</w:t>
      </w:r>
    </w:p>
    <w:p w14:paraId="3FFA37BE">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3、</w:t>
      </w:r>
      <w:r>
        <w:rPr>
          <w:rFonts w:hint="eastAsia" w:asciiTheme="minorEastAsia" w:hAnsiTheme="minorEastAsia" w:eastAsiaTheme="minorEastAsia" w:cstheme="minorEastAsia"/>
          <w:sz w:val="24"/>
          <w:szCs w:val="24"/>
          <w:highlight w:val="none"/>
          <w:u w:val="none"/>
        </w:rPr>
        <w:t>质保期：自货物验收合格使用之日起质保</w:t>
      </w:r>
      <w:r>
        <w:rPr>
          <w:rFonts w:hint="eastAsia" w:asciiTheme="minorEastAsia" w:hAnsiTheme="minorEastAsia" w:eastAsiaTheme="minorEastAsia" w:cstheme="minorEastAsia"/>
          <w:sz w:val="24"/>
          <w:szCs w:val="24"/>
          <w:highlight w:val="none"/>
          <w:u w:val="none"/>
          <w:lang w:val="en-US" w:eastAsia="zh-CN"/>
        </w:rPr>
        <w:t>1</w:t>
      </w:r>
      <w:r>
        <w:rPr>
          <w:rFonts w:hint="eastAsia" w:asciiTheme="minorEastAsia" w:hAnsiTheme="minorEastAsia" w:eastAsiaTheme="minorEastAsia" w:cstheme="minorEastAsia"/>
          <w:sz w:val="24"/>
          <w:szCs w:val="24"/>
          <w:highlight w:val="none"/>
          <w:u w:val="none"/>
        </w:rPr>
        <w:t>年；</w:t>
      </w:r>
    </w:p>
    <w:p w14:paraId="5B5F57A9">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4、质量要求：合格（包括安装、连接，达到正常运转交付标准）；</w:t>
      </w:r>
    </w:p>
    <w:p w14:paraId="5BD53C4D">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三、采购需求及技术要求：</w:t>
      </w:r>
    </w:p>
    <w:p w14:paraId="43D953A4">
      <w:pPr>
        <w:adjustRightInd w:val="0"/>
        <w:snapToGrid w:val="0"/>
        <w:spacing w:line="360" w:lineRule="auto"/>
        <w:ind w:firstLine="480" w:firstLineChars="200"/>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（一）采购需求：改革区涉及南庄镇、城伯镇、谷旦镇、赵和镇等 4 个乡镇，共计 89 个行政村，作为孟州市 2024 年农业水价综合改革项目区，本次改革区面积共计 12.0005 万亩，项目区均采用低压管道灌溉。粮食以小麦、玉米为主，经济作物主要是花生、蔬菜等，改革区安装水电双计计量设备，完善村级农民用水组织，印发“三证一书”，安装宣传栏，农业水价综合改革宣传陪训，精准补贴、节水奖励等费用</w:t>
      </w:r>
    </w:p>
    <w:p w14:paraId="1A2B1C60">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（二）技术要求</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514"/>
        <w:gridCol w:w="656"/>
        <w:gridCol w:w="816"/>
        <w:gridCol w:w="3877"/>
      </w:tblGrid>
      <w:tr w14:paraId="3A9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0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B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A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E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技术参数要求</w:t>
            </w:r>
          </w:p>
        </w:tc>
      </w:tr>
      <w:tr w14:paraId="1EC1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AC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一、计量设施建设</w:t>
            </w:r>
          </w:p>
        </w:tc>
      </w:tr>
      <w:tr w14:paraId="2DB5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1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0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水电双计量智能机井灌溉控制器</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F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设备集成信号采集器、接触器80A、水资源管理硬件管理系统、软件管理系统、过载保护等功能</w:t>
            </w:r>
          </w:p>
        </w:tc>
      </w:tr>
      <w:tr w14:paraId="7D25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1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3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数据流量卡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5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含5年流量费</w:t>
            </w:r>
          </w:p>
        </w:tc>
      </w:tr>
      <w:tr w14:paraId="07DE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0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卡片式超声波流量计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0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5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DN50-DN80</w:t>
            </w:r>
          </w:p>
        </w:tc>
      </w:tr>
      <w:tr w14:paraId="1567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E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电器控制操作箱</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6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13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不锈钢控制箱（设备须集成欠压、过压、漏电、短路、过载、三相不平衡保护功能）</w:t>
            </w:r>
          </w:p>
        </w:tc>
      </w:tr>
      <w:tr w14:paraId="5912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F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三相脉冲电表</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8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34FD">
            <w:pPr>
              <w:jc w:val="center"/>
              <w:rPr>
                <w:rFonts w:hint="eastAsia" w:ascii="宋体" w:hAnsi="宋体" w:eastAsia="宋体" w:cs="宋体"/>
                <w:i w:val="0"/>
                <w:iCs w:val="0"/>
                <w:color w:val="000000"/>
                <w:sz w:val="22"/>
                <w:szCs w:val="22"/>
                <w:u w:val="none"/>
              </w:rPr>
            </w:pPr>
          </w:p>
        </w:tc>
      </w:tr>
      <w:tr w14:paraId="385B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4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7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7D93">
            <w:pPr>
              <w:jc w:val="center"/>
              <w:rPr>
                <w:rFonts w:hint="eastAsia" w:ascii="宋体" w:hAnsi="宋体" w:eastAsia="宋体" w:cs="宋体"/>
                <w:i w:val="0"/>
                <w:iCs w:val="0"/>
                <w:color w:val="000000"/>
                <w:sz w:val="22"/>
                <w:szCs w:val="22"/>
                <w:u w:val="none"/>
              </w:rPr>
            </w:pPr>
          </w:p>
        </w:tc>
      </w:tr>
      <w:tr w14:paraId="5AAE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0E22">
            <w:pPr>
              <w:jc w:val="center"/>
              <w:rPr>
                <w:rFonts w:hint="eastAsia" w:ascii="宋体" w:hAnsi="宋体" w:eastAsia="宋体" w:cs="宋体"/>
                <w:i w:val="0"/>
                <w:iCs w:val="0"/>
                <w:color w:val="000000"/>
                <w:sz w:val="22"/>
                <w:szCs w:val="22"/>
                <w:u w:val="none"/>
              </w:rPr>
            </w:pPr>
          </w:p>
        </w:tc>
      </w:tr>
      <w:tr w14:paraId="4C0A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B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8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9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FE52">
            <w:pPr>
              <w:jc w:val="center"/>
              <w:rPr>
                <w:rFonts w:hint="eastAsia" w:ascii="宋体" w:hAnsi="宋体" w:eastAsia="宋体" w:cs="宋体"/>
                <w:i w:val="0"/>
                <w:iCs w:val="0"/>
                <w:color w:val="000000"/>
                <w:sz w:val="22"/>
                <w:szCs w:val="22"/>
                <w:u w:val="none"/>
              </w:rPr>
            </w:pPr>
          </w:p>
        </w:tc>
      </w:tr>
      <w:tr w14:paraId="27C9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1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安装及改造出水口</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D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A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9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（弯头、法兰、补气阀、固井绳支架等安装所需附件）</w:t>
            </w:r>
          </w:p>
        </w:tc>
      </w:tr>
      <w:tr w14:paraId="2110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D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安装板材及辅料</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F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（信号线、控制线等）</w:t>
            </w:r>
          </w:p>
        </w:tc>
      </w:tr>
      <w:tr w14:paraId="4C4B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1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管控设备</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7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i5-13400，16g，256ssd+500G， 独显支持 hdmi输出等</w:t>
            </w:r>
          </w:p>
        </w:tc>
      </w:tr>
      <w:tr w14:paraId="6CF0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E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射频充值仪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C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7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具备4G无线数据通讯能力，智能联网。</w:t>
            </w:r>
          </w:p>
        </w:tc>
      </w:tr>
      <w:tr w14:paraId="1833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6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充值卡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A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非接触式，防解密芯片</w:t>
            </w:r>
          </w:p>
        </w:tc>
      </w:tr>
      <w:tr w14:paraId="5AB8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A0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二、农业水价综合改革宣传及培训</w:t>
            </w:r>
          </w:p>
        </w:tc>
      </w:tr>
      <w:tr w14:paraId="5D82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0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协会管理制度牌和协会标牌</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3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F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套包括XX村农民用水者协会人员组成名单、工程管理制度、灌溉管理制度、奖惩制度、财务管理制度、物资设备管理制度、水费的缴纳和使用管理制度牌边框长×宽=0.6m×0.8m、协会挂牌40*60CM，内框为中密度板材质</w:t>
            </w:r>
          </w:p>
        </w:tc>
      </w:tr>
      <w:tr w14:paraId="0210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B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A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三证一书印刷费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D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每套包括产权证、使用证、水权证和协议书，其中三证的材质皮革烫金内芯 100g 双胶 21*14.4cm</w:t>
            </w:r>
          </w:p>
        </w:tc>
      </w:tr>
      <w:tr w14:paraId="3F7F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6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宣传版面</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B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材质：开启式铝型公开栏</w:t>
            </w:r>
          </w:p>
        </w:tc>
      </w:tr>
      <w:tr w14:paraId="2B0E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A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印发宣传页</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2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9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A4纸</w:t>
            </w:r>
          </w:p>
        </w:tc>
      </w:tr>
      <w:tr w14:paraId="6CEF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0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宣传彩页</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7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5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157克铜版纸32K6页</w:t>
            </w:r>
          </w:p>
        </w:tc>
      </w:tr>
      <w:tr w14:paraId="24D8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7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8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宣传纸抽</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D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8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C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材质为4层130抽、150mm*195mm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定制盒抽</w:t>
            </w:r>
          </w:p>
        </w:tc>
      </w:tr>
      <w:tr w14:paraId="5801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9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9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宣传袋</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8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尺寸为43*30*12无纺布材质</w:t>
            </w:r>
          </w:p>
        </w:tc>
      </w:tr>
      <w:tr w14:paraId="19D0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C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宣传条副</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4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7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6米长（含安装）</w:t>
            </w:r>
          </w:p>
        </w:tc>
      </w:tr>
      <w:tr w14:paraId="22E9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C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宣传纸杯</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B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5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1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0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定制纸杯</w:t>
            </w:r>
          </w:p>
        </w:tc>
      </w:tr>
      <w:tr w14:paraId="4E47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2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83" w:type="pct"/>
            <w:tcBorders>
              <w:top w:val="nil"/>
              <w:left w:val="single" w:color="000000" w:sz="4" w:space="0"/>
              <w:bottom w:val="single" w:color="000000" w:sz="4" w:space="0"/>
              <w:right w:val="single" w:color="000000" w:sz="4" w:space="0"/>
            </w:tcBorders>
            <w:shd w:val="clear" w:color="auto" w:fill="auto"/>
            <w:vAlign w:val="center"/>
          </w:tcPr>
          <w:p w14:paraId="1EAE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宣传水杯</w:t>
            </w:r>
          </w:p>
        </w:tc>
        <w:tc>
          <w:tcPr>
            <w:tcW w:w="569" w:type="pct"/>
            <w:tcBorders>
              <w:top w:val="nil"/>
              <w:left w:val="single" w:color="000000" w:sz="4" w:space="0"/>
              <w:bottom w:val="single" w:color="000000" w:sz="4" w:space="0"/>
              <w:right w:val="single" w:color="000000" w:sz="4" w:space="0"/>
            </w:tcBorders>
            <w:shd w:val="clear" w:color="auto" w:fill="auto"/>
            <w:vAlign w:val="center"/>
          </w:tcPr>
          <w:p w14:paraId="1E2F8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2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双层玻璃材质容量350ml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定制保温水杯</w:t>
            </w:r>
          </w:p>
        </w:tc>
      </w:tr>
      <w:tr w14:paraId="7148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3" w:type="pct"/>
            <w:tcBorders>
              <w:top w:val="nil"/>
              <w:left w:val="single" w:color="000000" w:sz="4" w:space="0"/>
              <w:bottom w:val="single" w:color="000000" w:sz="4" w:space="0"/>
              <w:right w:val="single" w:color="000000" w:sz="4" w:space="0"/>
            </w:tcBorders>
            <w:shd w:val="clear" w:color="auto" w:fill="auto"/>
            <w:vAlign w:val="center"/>
          </w:tcPr>
          <w:p w14:paraId="752C7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宣传画报</w:t>
            </w:r>
          </w:p>
        </w:tc>
        <w:tc>
          <w:tcPr>
            <w:tcW w:w="569" w:type="pct"/>
            <w:tcBorders>
              <w:top w:val="nil"/>
              <w:left w:val="single" w:color="000000" w:sz="4" w:space="0"/>
              <w:bottom w:val="single" w:color="000000" w:sz="4" w:space="0"/>
              <w:right w:val="single" w:color="000000" w:sz="4" w:space="0"/>
            </w:tcBorders>
            <w:shd w:val="clear" w:color="auto" w:fill="auto"/>
            <w:vAlign w:val="center"/>
          </w:tcPr>
          <w:p w14:paraId="474CA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2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D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带背胶60CM*80CM</w:t>
            </w:r>
          </w:p>
        </w:tc>
      </w:tr>
      <w:tr w14:paraId="6715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6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4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宣传雨伞</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3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8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晴雨两用黑胶三折10骨直径120CM</w:t>
            </w:r>
          </w:p>
        </w:tc>
      </w:tr>
      <w:tr w14:paraId="534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7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培训会议费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（200人左右）</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9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C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A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（含会场租赁、会务组织、讲师聘请、手提公文包笔、本200套，A4档案盒267个）</w:t>
            </w:r>
          </w:p>
        </w:tc>
      </w:tr>
      <w:tr w14:paraId="08F6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000" w:type="pct"/>
            <w:gridSpan w:val="5"/>
            <w:tcBorders>
              <w:top w:val="nil"/>
              <w:left w:val="nil"/>
              <w:bottom w:val="nil"/>
              <w:right w:val="nil"/>
            </w:tcBorders>
            <w:shd w:val="clear" w:color="auto" w:fill="auto"/>
            <w:noWrap/>
            <w:vAlign w:val="center"/>
          </w:tcPr>
          <w:p w14:paraId="518A15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三、农业水价综合改革节水奖励</w:t>
            </w:r>
          </w:p>
        </w:tc>
      </w:tr>
      <w:tr w14:paraId="3831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AE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200QJ32-52/4水泵</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8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2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含井盖、卡箍、短管、出水弯头等附件。</w:t>
            </w:r>
          </w:p>
        </w:tc>
      </w:tr>
      <w:tr w14:paraId="1855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D9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200QJ20-81/6水泵</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7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3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9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含井盖、卡箍、短管、出水弯头等附件。</w:t>
            </w:r>
          </w:p>
        </w:tc>
      </w:tr>
      <w:tr w14:paraId="3DF2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55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DN80泵用钢管</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A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B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F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含螺丝垫片等</w:t>
            </w:r>
          </w:p>
        </w:tc>
      </w:tr>
      <w:tr w14:paraId="6A74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6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5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防水电缆JHS3*6mm2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7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B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B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泵用防水电缆</w:t>
            </w:r>
          </w:p>
        </w:tc>
      </w:tr>
      <w:tr w14:paraId="37DB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3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9B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喷灌设备</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A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4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含3寸喷灌软管12.5米、立杆（1.5米）、支架、铝三通、铝接头、四出水喷头等附件</w:t>
            </w:r>
          </w:p>
        </w:tc>
      </w:tr>
      <w:tr w14:paraId="3F50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2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四、精准补贴</w:t>
            </w:r>
          </w:p>
        </w:tc>
      </w:tr>
      <w:tr w14:paraId="782A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A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精准补贴</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83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精准补贴金额</w:t>
            </w:r>
            <w:r>
              <w:rPr>
                <w:rFonts w:hint="eastAsia" w:hAnsi="宋体" w:cs="宋体"/>
                <w:i w:val="0"/>
                <w:iCs w:val="0"/>
                <w:color w:val="000000"/>
                <w:kern w:val="0"/>
                <w:sz w:val="22"/>
                <w:szCs w:val="22"/>
                <w:u w:val="none"/>
                <w:lang w:val="en-US" w:eastAsia="zh-CN" w:bidi="ar"/>
              </w:rPr>
              <w:t>36000元</w:t>
            </w:r>
            <w:r>
              <w:rPr>
                <w:rFonts w:hint="eastAsia" w:ascii="宋体" w:hAnsi="宋体" w:eastAsia="宋体" w:cs="宋体"/>
                <w:i w:val="0"/>
                <w:iCs w:val="0"/>
                <w:color w:val="000000"/>
                <w:kern w:val="0"/>
                <w:sz w:val="22"/>
                <w:szCs w:val="22"/>
                <w:u w:val="none"/>
                <w:lang w:val="en-US" w:eastAsia="zh-CN" w:bidi="ar"/>
              </w:rPr>
              <w:t>不能变动</w:t>
            </w:r>
          </w:p>
        </w:tc>
      </w:tr>
    </w:tbl>
    <w:p w14:paraId="12981354">
      <w:pPr>
        <w:numPr>
          <w:ilvl w:val="0"/>
          <w:numId w:val="0"/>
        </w:numPr>
        <w:adjustRightInd w:val="0"/>
        <w:snapToGrid w:val="0"/>
        <w:spacing w:line="360" w:lineRule="auto"/>
        <w:ind w:firstLine="480" w:firstLineChars="200"/>
        <w:outlineLvl w:val="9"/>
        <w:rPr>
          <w:rFonts w:hint="eastAsia" w:asciiTheme="minorEastAsia" w:hAnsiTheme="minorEastAsia" w:eastAsiaTheme="minorEastAsia" w:cstheme="minorEastAsia"/>
          <w:color w:val="000000"/>
          <w:kern w:val="0"/>
          <w:sz w:val="24"/>
          <w:szCs w:val="24"/>
          <w:highlight w:val="red"/>
          <w:lang w:val="en-US" w:eastAsia="zh-CN" w:bidi="ar"/>
        </w:rPr>
      </w:pPr>
    </w:p>
    <w:p w14:paraId="32F8119C">
      <w:pPr>
        <w:numPr>
          <w:ilvl w:val="0"/>
          <w:numId w:val="0"/>
        </w:numPr>
        <w:spacing w:line="360" w:lineRule="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技术规格及要求</w:t>
      </w:r>
      <w:r>
        <w:rPr>
          <w:rFonts w:hint="eastAsia" w:asciiTheme="minorEastAsia" w:hAnsiTheme="minorEastAsia" w:eastAsiaTheme="minorEastAsia" w:cstheme="minorEastAsia"/>
          <w:b/>
          <w:bCs/>
          <w:sz w:val="24"/>
          <w:szCs w:val="24"/>
          <w:lang w:eastAsia="zh-CN"/>
        </w:rPr>
        <w:t>：本次采购核心产品为</w:t>
      </w:r>
      <w:r>
        <w:rPr>
          <w:rFonts w:hint="eastAsia" w:asciiTheme="minorEastAsia" w:hAnsiTheme="minorEastAsia" w:eastAsiaTheme="minorEastAsia" w:cstheme="minorEastAsia"/>
          <w:b/>
          <w:bCs/>
          <w:sz w:val="24"/>
          <w:szCs w:val="24"/>
          <w:lang w:val="en-US" w:eastAsia="zh-CN"/>
        </w:rPr>
        <w:t>安装水电双计计量设备</w:t>
      </w:r>
      <w:r>
        <w:rPr>
          <w:rFonts w:hint="eastAsia" w:asciiTheme="minorEastAsia" w:hAnsiTheme="minorEastAsia" w:eastAsiaTheme="minorEastAsia" w:cstheme="minorEastAsia"/>
          <w:b/>
          <w:bCs/>
          <w:sz w:val="24"/>
          <w:szCs w:val="24"/>
          <w:lang w:eastAsia="zh-CN"/>
        </w:rPr>
        <w:t>。（以上要求的参数标准为基本满足标准，供应商可参照或优于该标准提供。）</w:t>
      </w:r>
    </w:p>
    <w:p w14:paraId="7582E9F7">
      <w:pPr>
        <w:widowControl/>
        <w:autoSpaceDE/>
        <w:autoSpaceDN/>
        <w:rPr>
          <w:rFonts w:cs="Times New Roman"/>
          <w:b/>
          <w:bCs/>
          <w:kern w:val="2"/>
          <w:sz w:val="36"/>
          <w:szCs w:val="36"/>
          <w:highlight w:val="none"/>
          <w:lang w:val="en-US"/>
        </w:rPr>
      </w:pPr>
    </w:p>
    <w:p w14:paraId="0822453B">
      <w:pPr>
        <w:adjustRightInd w:val="0"/>
        <w:snapToGrid w:val="0"/>
        <w:spacing w:line="360" w:lineRule="auto"/>
        <w:ind w:firstLine="480" w:firstLineChars="200"/>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val="en-US" w:eastAsia="zh-CN" w:bidi="ar"/>
        </w:rPr>
        <w:t>五</w:t>
      </w:r>
      <w:r>
        <w:rPr>
          <w:rFonts w:hint="eastAsia" w:asciiTheme="minorEastAsia" w:hAnsiTheme="minorEastAsia" w:eastAsiaTheme="minorEastAsia" w:cstheme="minorEastAsia"/>
          <w:b/>
          <w:bCs/>
          <w:sz w:val="24"/>
          <w:szCs w:val="24"/>
        </w:rPr>
        <w:t>、投标要求</w:t>
      </w:r>
    </w:p>
    <w:p w14:paraId="17812D31">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1、供应商在满足技术要求和性能的前提下可投同档次或优于上述参数、性能和质量的货物。</w:t>
      </w:r>
    </w:p>
    <w:p w14:paraId="1D4DC83E">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045A2163">
      <w:pPr>
        <w:adjustRightInd w:val="0"/>
        <w:snapToGri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、对于招标文件中的重要技术条款，供应商应在投标文件中提供其投标产品满足招标文件重要技术条款要求的客观证据材料作为投标文件的一部分，以证明供应商真实并实质性响应招标文件的重要技术条款。</w:t>
      </w:r>
    </w:p>
    <w:p w14:paraId="33D722F6">
      <w:pPr>
        <w:adjustRightInd w:val="0"/>
        <w:snapToGrid w:val="0"/>
        <w:spacing w:line="360" w:lineRule="auto"/>
        <w:ind w:firstLine="482" w:firstLineChars="200"/>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、其他要求</w:t>
      </w:r>
    </w:p>
    <w:p w14:paraId="7CE60AE5">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（一）供应商资格要求见供应商须知前附表。如资格证明文件遇年检、换证，则必须提供法定年检、换证单位出具的有效证明文件。</w:t>
      </w:r>
    </w:p>
    <w:p w14:paraId="77108100">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须提供符合国家质量标准、部颁标准、行业标准或本招标文件规定标准的、供货渠道合法的全新原装合格正品（包括零部件），如安装或配置软件的，须为正版软件。所提供的货物应当同时符合国家有关安全、卫生、环保规定。</w:t>
      </w:r>
    </w:p>
    <w:p w14:paraId="1B5F819B">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如果本项目报经政府采购管理部门批准允许采购进口产品，则进口货物及其有关服务必须符合原产地和/或中华人民共和国的设计和制造生产标准或行业标准。进口的货物必须具有合法的进口手续和途径，并通过中华人民共和国商检部门检验。</w:t>
      </w:r>
    </w:p>
    <w:p w14:paraId="2E937A63">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报价是履行合同的最终报价，无特别注明，均为人民币报价。应包括本招标项目所包含的货物、软件、标准附件、备品备件、专用工具、图纸资料、技术服务，包装、仓储、运输、装卸、保险、税金，货到就位以及安装、调试、培训、保修等一切税金和费用。</w:t>
      </w:r>
    </w:p>
    <w:p w14:paraId="3B253A8F">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如果本项目报经政府采购管理部门批准允许采购进口产品，除上述一切税金和费用外，投标报价还应包含国际运输、保险、进口产品报关清关、商检等费用。</w:t>
      </w:r>
    </w:p>
    <w:p w14:paraId="377ECB23">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（五）供应商对每种产品只允许有一种报价，采购人不接受有任何选择报价的投标。</w:t>
      </w:r>
    </w:p>
    <w:p w14:paraId="5E9CEB1B">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（六）采购人在授予中标人合同时，保留对货物数量予以增减的权利。供应商不得在此情况下对投标文件作出修改，如单价、交货期、售后服务等。</w:t>
      </w:r>
    </w:p>
    <w:p w14:paraId="749F44CE">
      <w:pPr>
        <w:adjustRightInd w:val="0"/>
        <w:snapToGrid w:val="0"/>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（七）合同签订：合同由采购人与中标人签订。</w:t>
      </w:r>
    </w:p>
    <w:p w14:paraId="2BC7D1E2">
      <w:pPr>
        <w:numPr>
          <w:ilvl w:val="0"/>
          <w:numId w:val="0"/>
        </w:numPr>
        <w:adjustRightInd w:val="0"/>
        <w:snapToGrid w:val="0"/>
        <w:spacing w:line="360" w:lineRule="auto"/>
        <w:ind w:firstLine="480" w:firstLineChars="200"/>
        <w:outlineLvl w:val="9"/>
        <w:rPr>
          <w:rFonts w:hint="eastAsia" w:asciiTheme="minorEastAsia" w:hAnsiTheme="minorEastAsia" w:eastAsiaTheme="minorEastAsia" w:cstheme="minorEastAsia"/>
          <w:color w:val="000000"/>
          <w:kern w:val="0"/>
          <w:sz w:val="24"/>
          <w:szCs w:val="24"/>
          <w:lang w:val="en-US" w:eastAsia="zh-CN" w:bidi="ar"/>
        </w:rPr>
      </w:pPr>
    </w:p>
    <w:p w14:paraId="6F22B09E">
      <w:pPr>
        <w:pStyle w:val="4"/>
        <w:rPr>
          <w:rFonts w:hint="eastAsia"/>
          <w:lang w:eastAsia="zh-CN"/>
        </w:rPr>
      </w:pPr>
    </w:p>
    <w:p w14:paraId="43140165">
      <w:pPr>
        <w:pStyle w:val="4"/>
        <w:rPr>
          <w:rFonts w:hint="eastAsia"/>
          <w:lang w:val="en-US" w:eastAsia="zh-CN"/>
        </w:rPr>
      </w:pPr>
    </w:p>
    <w:p w14:paraId="2D54E666">
      <w:pPr>
        <w:pStyle w:val="4"/>
        <w:rPr>
          <w:rFonts w:hint="eastAsia"/>
          <w:lang w:val="en-US" w:eastAsia="zh-CN"/>
        </w:rPr>
      </w:pPr>
    </w:p>
    <w:p w14:paraId="7331BAA3">
      <w:pPr>
        <w:numPr>
          <w:ilvl w:val="0"/>
          <w:numId w:val="0"/>
        </w:numPr>
        <w:adjustRightInd w:val="0"/>
        <w:snapToGrid w:val="0"/>
        <w:spacing w:line="360" w:lineRule="auto"/>
        <w:ind w:firstLine="482" w:firstLineChars="200"/>
        <w:outlineLvl w:val="9"/>
        <w:rPr>
          <w:rFonts w:hint="eastAsia" w:asciiTheme="minorEastAsia" w:hAnsiTheme="minorEastAsia" w:eastAsiaTheme="minorEastAsia" w:cstheme="minorEastAsia"/>
          <w:b/>
          <w:bCs/>
          <w:color w:val="000000"/>
          <w:kern w:val="0"/>
          <w:sz w:val="24"/>
          <w:szCs w:val="24"/>
          <w:lang w:val="en-US" w:eastAsia="zh-CN" w:bidi="ar"/>
        </w:rPr>
      </w:pPr>
    </w:p>
    <w:p w14:paraId="526C6D1C">
      <w:pPr>
        <w:numPr>
          <w:ilvl w:val="0"/>
          <w:numId w:val="0"/>
        </w:numPr>
        <w:adjustRightInd w:val="0"/>
        <w:snapToGrid w:val="0"/>
        <w:spacing w:line="360" w:lineRule="auto"/>
        <w:ind w:firstLine="482" w:firstLineChars="200"/>
        <w:outlineLvl w:val="9"/>
        <w:rPr>
          <w:rFonts w:hint="eastAsia" w:asciiTheme="minorEastAsia" w:hAnsiTheme="minorEastAsia" w:eastAsiaTheme="minorEastAsia" w:cstheme="minorEastAsia"/>
          <w:b/>
          <w:bCs/>
          <w:color w:val="000000"/>
          <w:kern w:val="0"/>
          <w:sz w:val="24"/>
          <w:szCs w:val="24"/>
          <w:lang w:val="en-US" w:eastAsia="zh-CN" w:bidi="ar"/>
        </w:rPr>
      </w:pPr>
    </w:p>
    <w:p w14:paraId="3AAF5FEA">
      <w:pPr>
        <w:numPr>
          <w:ilvl w:val="0"/>
          <w:numId w:val="0"/>
        </w:numPr>
        <w:adjustRightInd w:val="0"/>
        <w:snapToGrid w:val="0"/>
        <w:spacing w:before="100" w:beforeAutospacing="1" w:after="100" w:afterAutospacing="1" w:line="240" w:lineRule="auto"/>
        <w:jc w:val="both"/>
        <w:outlineLvl w:val="9"/>
        <w:rPr>
          <w:rFonts w:hint="eastAsia" w:asciiTheme="minorEastAsia" w:hAnsiTheme="minorEastAsia" w:eastAsiaTheme="minorEastAsia" w:cstheme="minorEastAsia"/>
          <w:b w:val="0"/>
          <w:bCs w:val="0"/>
          <w:sz w:val="24"/>
          <w:szCs w:val="24"/>
        </w:rPr>
      </w:pPr>
    </w:p>
    <w:p w14:paraId="746369BC">
      <w:pPr>
        <w:numPr>
          <w:ilvl w:val="0"/>
          <w:numId w:val="0"/>
        </w:numPr>
        <w:adjustRightInd w:val="0"/>
        <w:snapToGrid w:val="0"/>
        <w:spacing w:before="100" w:beforeAutospacing="1" w:after="100" w:afterAutospacing="1" w:line="240" w:lineRule="auto"/>
        <w:jc w:val="both"/>
        <w:outlineLvl w:val="9"/>
        <w:rPr>
          <w:rFonts w:hint="eastAsia" w:asciiTheme="minorEastAsia" w:hAnsiTheme="minorEastAsia" w:eastAsiaTheme="minorEastAsia" w:cstheme="minorEastAsia"/>
          <w:b w:val="0"/>
          <w:bCs w:val="0"/>
          <w:sz w:val="24"/>
          <w:szCs w:val="24"/>
        </w:rPr>
      </w:pPr>
    </w:p>
    <w:p w14:paraId="35148FAF">
      <w:pPr>
        <w:numPr>
          <w:ilvl w:val="0"/>
          <w:numId w:val="0"/>
        </w:numPr>
        <w:adjustRightInd w:val="0"/>
        <w:snapToGrid w:val="0"/>
        <w:spacing w:before="100" w:beforeAutospacing="1" w:after="100" w:afterAutospacing="1" w:line="240" w:lineRule="auto"/>
        <w:jc w:val="both"/>
        <w:outlineLvl w:val="9"/>
        <w:rPr>
          <w:rFonts w:hint="eastAsia" w:asciiTheme="minorEastAsia" w:hAnsiTheme="minorEastAsia" w:eastAsiaTheme="minorEastAsia" w:cstheme="minorEastAsia"/>
          <w:b w:val="0"/>
          <w:bCs w:val="0"/>
          <w:sz w:val="24"/>
          <w:szCs w:val="24"/>
        </w:rPr>
      </w:pPr>
    </w:p>
    <w:p w14:paraId="02FE28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RiMTAxZDEwY2I3NzdlYzFmOTE2MWE1ZTVlZTkifQ=="/>
  </w:docVars>
  <w:rsids>
    <w:rsidRoot w:val="00000000"/>
    <w:rsid w:val="122B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2024-09-14T01:00:22Z</dcterms:created>
  <dc:creator>LENOVO</dc:creator>
  <cp:lastModifiedBy>蝴蝶结</cp:lastModifiedBy>
  <dcterms:modified xsi:type="dcterms:W3CDTF">2024-09-14T01:00:34Z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5A3AE2A5A2AC4FE080841FB880175391_12</vt:lpwstr>
  </property>
</Properties>
</file>