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33A1C">
      <w:pPr>
        <w:pStyle w:val="4"/>
        <w:adjustRightInd w:val="0"/>
        <w:snapToGrid w:val="0"/>
        <w:spacing w:after="0" w:line="360" w:lineRule="auto"/>
        <w:ind w:left="0" w:leftChars="0" w:firstLine="0" w:firstLineChars="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包1：</w:t>
      </w:r>
    </w:p>
    <w:tbl>
      <w:tblPr>
        <w:tblStyle w:val="7"/>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7005"/>
        <w:gridCol w:w="1077"/>
      </w:tblGrid>
      <w:tr w14:paraId="7104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45" w:type="dxa"/>
            <w:gridSpan w:val="3"/>
            <w:tcBorders>
              <w:top w:val="nil"/>
              <w:left w:val="nil"/>
              <w:right w:val="nil"/>
            </w:tcBorders>
            <w:noWrap w:val="0"/>
            <w:vAlign w:val="center"/>
          </w:tcPr>
          <w:p w14:paraId="69D3B445">
            <w:pPr>
              <w:widowControl/>
              <w:adjustRightInd w:val="0"/>
              <w:snapToGrid w:val="0"/>
              <w:spacing w:line="360" w:lineRule="auto"/>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肺功能测试系统</w:t>
            </w:r>
          </w:p>
        </w:tc>
      </w:tr>
      <w:tr w14:paraId="5DAD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3DF54B0E">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7005" w:type="dxa"/>
            <w:tcBorders>
              <w:tl2br w:val="nil"/>
              <w:tr2bl w:val="nil"/>
            </w:tcBorders>
            <w:noWrap w:val="0"/>
            <w:vAlign w:val="center"/>
          </w:tcPr>
          <w:p w14:paraId="52C18A89">
            <w:pPr>
              <w:widowControl/>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077" w:type="dxa"/>
            <w:tcBorders>
              <w:tl2br w:val="nil"/>
              <w:tr2bl w:val="nil"/>
            </w:tcBorders>
            <w:noWrap w:val="0"/>
            <w:vAlign w:val="center"/>
          </w:tcPr>
          <w:p w14:paraId="2B99A75D">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0F27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6A5F2E4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005" w:type="dxa"/>
            <w:tcBorders>
              <w:tl2br w:val="nil"/>
              <w:tr2bl w:val="nil"/>
            </w:tcBorders>
            <w:noWrap w:val="0"/>
            <w:vAlign w:val="center"/>
          </w:tcPr>
          <w:p w14:paraId="593AAE6D">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077" w:type="dxa"/>
            <w:tcBorders>
              <w:tl2br w:val="nil"/>
              <w:tr2bl w:val="nil"/>
            </w:tcBorders>
            <w:noWrap w:val="0"/>
            <w:vAlign w:val="center"/>
          </w:tcPr>
          <w:p w14:paraId="1415ABF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5EB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27E2BAA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005" w:type="dxa"/>
            <w:tcBorders>
              <w:tl2br w:val="nil"/>
              <w:tr2bl w:val="nil"/>
            </w:tcBorders>
            <w:noWrap w:val="0"/>
            <w:vAlign w:val="center"/>
          </w:tcPr>
          <w:p w14:paraId="0C4207C9">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077" w:type="dxa"/>
            <w:tcBorders>
              <w:tl2br w:val="nil"/>
              <w:tr2bl w:val="nil"/>
            </w:tcBorders>
            <w:noWrap w:val="0"/>
            <w:vAlign w:val="center"/>
          </w:tcPr>
          <w:p w14:paraId="78A7394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956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429D448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005" w:type="dxa"/>
            <w:tcBorders>
              <w:tl2br w:val="nil"/>
              <w:tr2bl w:val="nil"/>
            </w:tcBorders>
            <w:noWrap w:val="0"/>
            <w:vAlign w:val="center"/>
          </w:tcPr>
          <w:p w14:paraId="1809350B">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077" w:type="dxa"/>
            <w:tcBorders>
              <w:tl2br w:val="nil"/>
              <w:tr2bl w:val="nil"/>
            </w:tcBorders>
            <w:noWrap w:val="0"/>
            <w:vAlign w:val="center"/>
          </w:tcPr>
          <w:p w14:paraId="04A2438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16F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2F91BCC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005" w:type="dxa"/>
            <w:tcBorders>
              <w:tl2br w:val="nil"/>
              <w:tr2bl w:val="nil"/>
            </w:tcBorders>
            <w:noWrap w:val="0"/>
            <w:vAlign w:val="center"/>
          </w:tcPr>
          <w:p w14:paraId="566C1C2F">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077" w:type="dxa"/>
            <w:tcBorders>
              <w:tl2br w:val="nil"/>
              <w:tr2bl w:val="nil"/>
            </w:tcBorders>
            <w:noWrap w:val="0"/>
            <w:vAlign w:val="center"/>
          </w:tcPr>
          <w:p w14:paraId="77095F6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613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7CC0FB6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005" w:type="dxa"/>
            <w:tcBorders>
              <w:tl2br w:val="nil"/>
              <w:tr2bl w:val="nil"/>
            </w:tcBorders>
            <w:noWrap w:val="0"/>
            <w:vAlign w:val="center"/>
          </w:tcPr>
          <w:p w14:paraId="4CC8FF34">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077" w:type="dxa"/>
            <w:tcBorders>
              <w:tl2br w:val="nil"/>
              <w:tr2bl w:val="nil"/>
            </w:tcBorders>
            <w:noWrap w:val="0"/>
            <w:vAlign w:val="center"/>
          </w:tcPr>
          <w:p w14:paraId="55220B1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469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25916D3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005" w:type="dxa"/>
            <w:tcBorders>
              <w:tl2br w:val="nil"/>
              <w:tr2bl w:val="nil"/>
            </w:tcBorders>
            <w:noWrap w:val="0"/>
            <w:vAlign w:val="center"/>
          </w:tcPr>
          <w:p w14:paraId="349004E8">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077" w:type="dxa"/>
            <w:tcBorders>
              <w:tl2br w:val="nil"/>
              <w:tr2bl w:val="nil"/>
            </w:tcBorders>
            <w:noWrap w:val="0"/>
            <w:vAlign w:val="center"/>
          </w:tcPr>
          <w:p w14:paraId="7267A85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95D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60A3605F">
            <w:pPr>
              <w:widowControl/>
              <w:adjustRightInd w:val="0"/>
              <w:snapToGrid w:val="0"/>
              <w:spacing w:line="36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7005" w:type="dxa"/>
            <w:tcBorders>
              <w:bottom w:val="single" w:color="auto" w:sz="4" w:space="0"/>
              <w:tl2br w:val="nil"/>
              <w:tr2bl w:val="nil"/>
            </w:tcBorders>
            <w:noWrap w:val="0"/>
            <w:vAlign w:val="center"/>
          </w:tcPr>
          <w:p w14:paraId="183DDCD7">
            <w:pPr>
              <w:widowControl/>
              <w:adjustRightInd w:val="0"/>
              <w:snapToGrid w:val="0"/>
              <w:spacing w:line="36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077" w:type="dxa"/>
            <w:tcBorders>
              <w:tl2br w:val="nil"/>
              <w:tr2bl w:val="nil"/>
            </w:tcBorders>
            <w:noWrap w:val="0"/>
            <w:vAlign w:val="center"/>
          </w:tcPr>
          <w:p w14:paraId="518A622D">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台</w:t>
            </w:r>
          </w:p>
        </w:tc>
      </w:tr>
      <w:tr w14:paraId="6E0A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0DC402A6">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7005" w:type="dxa"/>
            <w:tcBorders>
              <w:tl2br w:val="nil"/>
              <w:tr2bl w:val="nil"/>
            </w:tcBorders>
            <w:noWrap w:val="0"/>
            <w:vAlign w:val="center"/>
          </w:tcPr>
          <w:p w14:paraId="45E86444">
            <w:pPr>
              <w:widowControl/>
              <w:adjustRightInd w:val="0"/>
              <w:snapToGrid w:val="0"/>
              <w:spacing w:line="360" w:lineRule="auto"/>
              <w:jc w:val="left"/>
              <w:rPr>
                <w:rFonts w:hint="eastAsia" w:ascii="宋体" w:hAnsi="宋体" w:eastAsia="宋体" w:cs="宋体"/>
                <w:b/>
                <w:kern w:val="0"/>
                <w:sz w:val="21"/>
                <w:szCs w:val="21"/>
                <w:lang w:eastAsia="zh-CN"/>
              </w:rPr>
            </w:pPr>
            <w:r>
              <w:rPr>
                <w:rFonts w:hint="eastAsia" w:ascii="宋体" w:hAnsi="宋体" w:eastAsia="宋体" w:cs="宋体"/>
                <w:b/>
                <w:kern w:val="0"/>
                <w:sz w:val="21"/>
                <w:szCs w:val="21"/>
              </w:rPr>
              <w:t>技术要求</w:t>
            </w:r>
            <w:r>
              <w:rPr>
                <w:rFonts w:hint="eastAsia" w:ascii="宋体" w:hAnsi="宋体" w:eastAsia="宋体" w:cs="宋体"/>
                <w:b/>
                <w:kern w:val="0"/>
                <w:sz w:val="21"/>
                <w:szCs w:val="21"/>
                <w:lang w:eastAsia="zh-CN"/>
              </w:rPr>
              <w:t>（</w:t>
            </w:r>
            <w:r>
              <w:rPr>
                <w:rFonts w:hint="eastAsia" w:ascii="宋体" w:hAnsi="宋体" w:eastAsia="宋体" w:cs="宋体"/>
                <w:b/>
                <w:kern w:val="0"/>
                <w:sz w:val="21"/>
                <w:szCs w:val="21"/>
                <w:lang w:val="en-US" w:eastAsia="zh-CN"/>
              </w:rPr>
              <w:t>以下为单台设备技术及配置需求</w:t>
            </w:r>
            <w:r>
              <w:rPr>
                <w:rFonts w:hint="eastAsia" w:ascii="宋体" w:hAnsi="宋体" w:eastAsia="宋体" w:cs="宋体"/>
                <w:b/>
                <w:kern w:val="0"/>
                <w:sz w:val="21"/>
                <w:szCs w:val="21"/>
                <w:lang w:eastAsia="zh-CN"/>
              </w:rPr>
              <w:t>）</w:t>
            </w:r>
          </w:p>
        </w:tc>
        <w:tc>
          <w:tcPr>
            <w:tcW w:w="1077" w:type="dxa"/>
            <w:tcBorders>
              <w:tl2br w:val="nil"/>
              <w:tr2bl w:val="nil"/>
            </w:tcBorders>
            <w:noWrap w:val="0"/>
            <w:vAlign w:val="center"/>
          </w:tcPr>
          <w:p w14:paraId="6493F9D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774F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40324BA0">
            <w:pPr>
              <w:keepNext w:val="0"/>
              <w:keepLines w:val="0"/>
              <w:pageBreakBefore w:val="0"/>
              <w:widowControl/>
              <w:kinsoku/>
              <w:wordWrap/>
              <w:overflowPunct/>
              <w:topLinePunct w:val="0"/>
              <w:autoSpaceDE/>
              <w:autoSpaceDN/>
              <w:bidi w:val="0"/>
              <w:adjustRightInd w:val="0"/>
              <w:snapToGrid w:val="0"/>
              <w:spacing w:line="360" w:lineRule="auto"/>
              <w:ind w:left="0"/>
              <w:jc w:val="center"/>
              <w:textAlignment w:val="auto"/>
              <w:rPr>
                <w:rFonts w:hint="eastAsia" w:ascii="宋体" w:hAnsi="宋体" w:eastAsia="宋体" w:cs="宋体"/>
                <w:kern w:val="0"/>
                <w:sz w:val="21"/>
                <w:szCs w:val="21"/>
              </w:rPr>
            </w:pPr>
          </w:p>
          <w:p w14:paraId="211DBF10">
            <w:pPr>
              <w:keepNext w:val="0"/>
              <w:keepLines w:val="0"/>
              <w:pageBreakBefore w:val="0"/>
              <w:widowControl/>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c>
          <w:tcPr>
            <w:tcW w:w="7005" w:type="dxa"/>
            <w:tcBorders>
              <w:tl2br w:val="nil"/>
              <w:tr2bl w:val="nil"/>
            </w:tcBorders>
            <w:noWrap w:val="0"/>
            <w:vAlign w:val="center"/>
          </w:tcPr>
          <w:p w14:paraId="2BE3E33E">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用于儿童及成人的肺功能检查</w:t>
            </w:r>
          </w:p>
        </w:tc>
        <w:tc>
          <w:tcPr>
            <w:tcW w:w="1077" w:type="dxa"/>
            <w:tcBorders>
              <w:tl2br w:val="nil"/>
              <w:tr2bl w:val="nil"/>
            </w:tcBorders>
            <w:noWrap w:val="0"/>
            <w:vAlign w:val="center"/>
          </w:tcPr>
          <w:p w14:paraId="2CFF24B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5AE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5D0EBFA8">
            <w:pPr>
              <w:pStyle w:val="9"/>
              <w:keepNext w:val="0"/>
              <w:keepLines w:val="0"/>
              <w:pageBreakBefore w:val="0"/>
              <w:kinsoku/>
              <w:wordWrap/>
              <w:overflowPunct/>
              <w:topLinePunct w:val="0"/>
              <w:autoSpaceDE/>
              <w:autoSpaceDN/>
              <w:bidi w:val="0"/>
              <w:snapToGrid w:val="0"/>
              <w:spacing w:line="360" w:lineRule="auto"/>
              <w:ind w:left="0" w:lef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7005" w:type="dxa"/>
            <w:tcBorders>
              <w:tl2br w:val="nil"/>
              <w:tr2bl w:val="nil"/>
            </w:tcBorders>
            <w:noWrap w:val="0"/>
            <w:vAlign w:val="center"/>
          </w:tcPr>
          <w:p w14:paraId="049CE9EE">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肺通气功能检查，包括：流速容量环</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潮气量</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呼吸频率</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最大肺活量</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用力肺活量</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一秒量</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二秒量</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三秒量</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一秒率</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通气量</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深吸气量</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补呼气量</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补吸气量</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吸气峰值流速</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呼气峰值流速</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吸气肺活量</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呼气肺活量</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最大通气量等</w:t>
            </w:r>
          </w:p>
        </w:tc>
        <w:tc>
          <w:tcPr>
            <w:tcW w:w="1077" w:type="dxa"/>
            <w:tcBorders>
              <w:tl2br w:val="nil"/>
              <w:tr2bl w:val="nil"/>
            </w:tcBorders>
            <w:noWrap w:val="0"/>
            <w:vAlign w:val="center"/>
          </w:tcPr>
          <w:p w14:paraId="7B8914A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686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395F8F67">
            <w:pPr>
              <w:keepNext w:val="0"/>
              <w:keepLines w:val="0"/>
              <w:pageBreakBefore w:val="0"/>
              <w:widowControl/>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7005" w:type="dxa"/>
            <w:tcBorders>
              <w:tl2br w:val="nil"/>
              <w:tr2bl w:val="nil"/>
            </w:tcBorders>
            <w:noWrap w:val="0"/>
            <w:vAlign w:val="center"/>
          </w:tcPr>
          <w:p w14:paraId="55A7B75E">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实时快速一口气气体稀释法残气测定，包括 RV-SB一口气弥散残气、TLC-SB 一口气法肺总量、RV%TLC-SB 残总比等</w:t>
            </w:r>
          </w:p>
        </w:tc>
        <w:tc>
          <w:tcPr>
            <w:tcW w:w="1077" w:type="dxa"/>
            <w:tcBorders>
              <w:tl2br w:val="nil"/>
              <w:tr2bl w:val="nil"/>
            </w:tcBorders>
            <w:noWrap w:val="0"/>
            <w:vAlign w:val="center"/>
          </w:tcPr>
          <w:p w14:paraId="565985F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5E4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7967B4EE">
            <w:pPr>
              <w:pStyle w:val="9"/>
              <w:keepNext w:val="0"/>
              <w:keepLines w:val="0"/>
              <w:pageBreakBefore w:val="0"/>
              <w:kinsoku/>
              <w:wordWrap/>
              <w:overflowPunct/>
              <w:topLinePunct w:val="0"/>
              <w:autoSpaceDE/>
              <w:autoSpaceDN/>
              <w:bidi w:val="0"/>
              <w:snapToGrid w:val="0"/>
              <w:spacing w:line="360" w:lineRule="auto"/>
              <w:ind w:left="0" w:lef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7005" w:type="dxa"/>
            <w:tcBorders>
              <w:tl2br w:val="nil"/>
              <w:tr2bl w:val="nil"/>
            </w:tcBorders>
            <w:noWrap w:val="0"/>
            <w:vAlign w:val="center"/>
          </w:tcPr>
          <w:p w14:paraId="117ACA9C">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实时快速一口气法弥散功能检查：包含 FRC-SB 功能残气、FRC/TLC-SB 功能残气比、%CO Hb 一氧化碳血红蛋白、DLCO-SB一口气弥散量、KCO比弥散（弥散率）即每升肺泡容积的一氧化碳弥散量、VA Alveolar volume，肺泡量、FICO 吸气一氧化碳浓度、DLCOc-SB 血红蛋白矫正后一口气弥散量、KCOc 血红蛋白矫正后弥散率、Hb Hemoglobin，血红蛋白等</w:t>
            </w:r>
          </w:p>
        </w:tc>
        <w:tc>
          <w:tcPr>
            <w:tcW w:w="1077" w:type="dxa"/>
            <w:tcBorders>
              <w:tl2br w:val="nil"/>
              <w:tr2bl w:val="nil"/>
            </w:tcBorders>
            <w:noWrap w:val="0"/>
            <w:vAlign w:val="center"/>
          </w:tcPr>
          <w:p w14:paraId="7A81C10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62C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3F831D33">
            <w:pPr>
              <w:pStyle w:val="9"/>
              <w:keepNext w:val="0"/>
              <w:keepLines w:val="0"/>
              <w:pageBreakBefore w:val="0"/>
              <w:kinsoku/>
              <w:wordWrap/>
              <w:overflowPunct/>
              <w:topLinePunct w:val="0"/>
              <w:autoSpaceDE/>
              <w:autoSpaceDN/>
              <w:bidi w:val="0"/>
              <w:snapToGrid w:val="0"/>
              <w:spacing w:line="360" w:lineRule="auto"/>
              <w:ind w:left="0" w:lef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7005" w:type="dxa"/>
            <w:tcBorders>
              <w:tl2br w:val="nil"/>
              <w:tr2bl w:val="nil"/>
            </w:tcBorders>
            <w:noWrap w:val="0"/>
            <w:vAlign w:val="center"/>
          </w:tcPr>
          <w:p w14:paraId="0C3F3A43">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采用一口气呼吸法，弥散检测同步弥散残气测定，参数结果同时获取，包括 RV残气量、FRC功能残气量、TLC 肺总量、残总比等</w:t>
            </w:r>
          </w:p>
        </w:tc>
        <w:tc>
          <w:tcPr>
            <w:tcW w:w="1077" w:type="dxa"/>
            <w:tcBorders>
              <w:tl2br w:val="nil"/>
              <w:tr2bl w:val="nil"/>
            </w:tcBorders>
            <w:noWrap w:val="0"/>
            <w:vAlign w:val="center"/>
          </w:tcPr>
          <w:p w14:paraId="11AE4F6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540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3375C5AF">
            <w:pPr>
              <w:pStyle w:val="9"/>
              <w:keepNext w:val="0"/>
              <w:keepLines w:val="0"/>
              <w:pageBreakBefore w:val="0"/>
              <w:kinsoku/>
              <w:wordWrap/>
              <w:overflowPunct/>
              <w:topLinePunct w:val="0"/>
              <w:autoSpaceDE/>
              <w:autoSpaceDN/>
              <w:bidi w:val="0"/>
              <w:snapToGrid w:val="0"/>
              <w:spacing w:line="360" w:lineRule="auto"/>
              <w:ind w:left="0" w:lef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w:t>
            </w:r>
          </w:p>
        </w:tc>
        <w:tc>
          <w:tcPr>
            <w:tcW w:w="7005" w:type="dxa"/>
            <w:tcBorders>
              <w:tl2br w:val="nil"/>
              <w:tr2bl w:val="nil"/>
            </w:tcBorders>
            <w:noWrap w:val="0"/>
            <w:vAlign w:val="center"/>
          </w:tcPr>
          <w:p w14:paraId="25BB427F">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具备支气管激发试验功能，系统应能控制并同步触发相匹配的雾化给药设备</w:t>
            </w:r>
          </w:p>
        </w:tc>
        <w:tc>
          <w:tcPr>
            <w:tcW w:w="1077" w:type="dxa"/>
            <w:tcBorders>
              <w:tl2br w:val="nil"/>
              <w:tr2bl w:val="nil"/>
            </w:tcBorders>
            <w:noWrap w:val="0"/>
            <w:vAlign w:val="center"/>
          </w:tcPr>
          <w:p w14:paraId="79DDA39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8AB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4833E852">
            <w:pPr>
              <w:pStyle w:val="9"/>
              <w:keepNext w:val="0"/>
              <w:keepLines w:val="0"/>
              <w:pageBreakBefore w:val="0"/>
              <w:kinsoku/>
              <w:wordWrap/>
              <w:overflowPunct/>
              <w:topLinePunct w:val="0"/>
              <w:autoSpaceDE/>
              <w:autoSpaceDN/>
              <w:bidi w:val="0"/>
              <w:snapToGrid w:val="0"/>
              <w:spacing w:line="360" w:lineRule="auto"/>
              <w:ind w:left="0" w:lef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w:t>
            </w:r>
          </w:p>
        </w:tc>
        <w:tc>
          <w:tcPr>
            <w:tcW w:w="7005" w:type="dxa"/>
            <w:tcBorders>
              <w:tl2br w:val="nil"/>
              <w:tr2bl w:val="nil"/>
            </w:tcBorders>
            <w:noWrap w:val="0"/>
            <w:vAlign w:val="center"/>
          </w:tcPr>
          <w:p w14:paraId="114A5DA8">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auto"/>
              <w:rPr>
                <w:rFonts w:hint="eastAsia" w:ascii="宋体" w:hAnsi="宋体" w:eastAsia="宋体" w:cs="宋体"/>
                <w:kern w:val="0"/>
                <w:sz w:val="21"/>
                <w:szCs w:val="21"/>
                <w:lang w:val="en-US" w:eastAsia="en-US"/>
              </w:rPr>
            </w:pPr>
            <w:r>
              <w:rPr>
                <w:rFonts w:hint="eastAsia" w:ascii="宋体" w:hAnsi="宋体" w:eastAsia="宋体" w:cs="宋体"/>
                <w:kern w:val="0"/>
                <w:sz w:val="21"/>
                <w:szCs w:val="21"/>
                <w:lang w:val="en-US" w:eastAsia="zh-CN"/>
              </w:rPr>
              <w:t>采用高精度双向压差式流量传感器或超声传感器</w:t>
            </w:r>
          </w:p>
        </w:tc>
        <w:tc>
          <w:tcPr>
            <w:tcW w:w="1077" w:type="dxa"/>
            <w:tcBorders>
              <w:tl2br w:val="nil"/>
              <w:tr2bl w:val="nil"/>
            </w:tcBorders>
            <w:noWrap w:val="0"/>
            <w:vAlign w:val="center"/>
          </w:tcPr>
          <w:p w14:paraId="7CB1CA7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A48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61BECC78">
            <w:pPr>
              <w:pStyle w:val="9"/>
              <w:keepNext w:val="0"/>
              <w:keepLines w:val="0"/>
              <w:pageBreakBefore w:val="0"/>
              <w:kinsoku/>
              <w:wordWrap/>
              <w:overflowPunct/>
              <w:topLinePunct w:val="0"/>
              <w:autoSpaceDE/>
              <w:autoSpaceDN/>
              <w:bidi w:val="0"/>
              <w:snapToGrid w:val="0"/>
              <w:spacing w:line="360" w:lineRule="auto"/>
              <w:ind w:left="0" w:lef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w:t>
            </w:r>
          </w:p>
        </w:tc>
        <w:tc>
          <w:tcPr>
            <w:tcW w:w="7005" w:type="dxa"/>
            <w:tcBorders>
              <w:tl2br w:val="nil"/>
              <w:tr2bl w:val="nil"/>
            </w:tcBorders>
            <w:noWrap w:val="0"/>
            <w:vAlign w:val="center"/>
          </w:tcPr>
          <w:p w14:paraId="6778CE51">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auto"/>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lang w:val="en-US" w:eastAsia="zh-CN"/>
              </w:rPr>
              <w:t>传感器手柄恒温电加热，具备温度自动补偿可防冷凝</w:t>
            </w:r>
          </w:p>
        </w:tc>
        <w:tc>
          <w:tcPr>
            <w:tcW w:w="1077" w:type="dxa"/>
            <w:tcBorders>
              <w:tl2br w:val="nil"/>
              <w:tr2bl w:val="nil"/>
            </w:tcBorders>
            <w:noWrap w:val="0"/>
            <w:vAlign w:val="center"/>
          </w:tcPr>
          <w:p w14:paraId="3A34B87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CEF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0B4E0C9A">
            <w:pPr>
              <w:pStyle w:val="9"/>
              <w:keepNext w:val="0"/>
              <w:keepLines w:val="0"/>
              <w:pageBreakBefore w:val="0"/>
              <w:kinsoku/>
              <w:wordWrap/>
              <w:overflowPunct/>
              <w:topLinePunct w:val="0"/>
              <w:autoSpaceDE/>
              <w:autoSpaceDN/>
              <w:bidi w:val="0"/>
              <w:snapToGrid w:val="0"/>
              <w:spacing w:line="360" w:lineRule="auto"/>
              <w:ind w:left="0" w:lef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w:t>
            </w:r>
          </w:p>
        </w:tc>
        <w:tc>
          <w:tcPr>
            <w:tcW w:w="7005" w:type="dxa"/>
            <w:tcBorders>
              <w:tl2br w:val="nil"/>
              <w:tr2bl w:val="nil"/>
            </w:tcBorders>
            <w:noWrap w:val="0"/>
            <w:vAlign w:val="center"/>
          </w:tcPr>
          <w:p w14:paraId="537C63C4">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auto"/>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lang w:val="en-US" w:eastAsia="zh-CN"/>
              </w:rPr>
              <w:t>流量范围≥0-16 L/s，分辨率≤0.01L/s，精度≤±2%</w:t>
            </w:r>
          </w:p>
        </w:tc>
        <w:tc>
          <w:tcPr>
            <w:tcW w:w="1077" w:type="dxa"/>
            <w:tcBorders>
              <w:tl2br w:val="nil"/>
              <w:tr2bl w:val="nil"/>
            </w:tcBorders>
            <w:noWrap w:val="0"/>
            <w:vAlign w:val="center"/>
          </w:tcPr>
          <w:p w14:paraId="2AFBD3B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77C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75125EBE">
            <w:pPr>
              <w:pStyle w:val="9"/>
              <w:keepNext w:val="0"/>
              <w:keepLines w:val="0"/>
              <w:pageBreakBefore w:val="0"/>
              <w:kinsoku/>
              <w:wordWrap/>
              <w:overflowPunct/>
              <w:topLinePunct w:val="0"/>
              <w:autoSpaceDE/>
              <w:autoSpaceDN/>
              <w:bidi w:val="0"/>
              <w:snapToGrid w:val="0"/>
              <w:spacing w:line="360" w:lineRule="auto"/>
              <w:ind w:left="0" w:lef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p>
        </w:tc>
        <w:tc>
          <w:tcPr>
            <w:tcW w:w="7005" w:type="dxa"/>
            <w:tcBorders>
              <w:tl2br w:val="nil"/>
              <w:tr2bl w:val="nil"/>
            </w:tcBorders>
            <w:noWrap w:val="0"/>
            <w:vAlign w:val="center"/>
          </w:tcPr>
          <w:p w14:paraId="4382490C">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容积≥0-10L，分辨率≤0.001L，精度≤±3%</w:t>
            </w:r>
          </w:p>
        </w:tc>
        <w:tc>
          <w:tcPr>
            <w:tcW w:w="1077" w:type="dxa"/>
            <w:tcBorders>
              <w:tl2br w:val="nil"/>
              <w:tr2bl w:val="nil"/>
            </w:tcBorders>
            <w:noWrap w:val="0"/>
            <w:vAlign w:val="center"/>
          </w:tcPr>
          <w:p w14:paraId="58126D2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056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00775FAA">
            <w:pPr>
              <w:pStyle w:val="9"/>
              <w:keepNext w:val="0"/>
              <w:keepLines w:val="0"/>
              <w:pageBreakBefore w:val="0"/>
              <w:kinsoku/>
              <w:wordWrap/>
              <w:overflowPunct/>
              <w:topLinePunct w:val="0"/>
              <w:autoSpaceDE/>
              <w:autoSpaceDN/>
              <w:bidi w:val="0"/>
              <w:snapToGrid w:val="0"/>
              <w:spacing w:line="360" w:lineRule="auto"/>
              <w:ind w:left="0" w:lef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7005" w:type="dxa"/>
            <w:tcBorders>
              <w:tl2br w:val="nil"/>
              <w:tr2bl w:val="nil"/>
            </w:tcBorders>
            <w:noWrap w:val="0"/>
            <w:vAlign w:val="center"/>
          </w:tcPr>
          <w:p w14:paraId="07ADE319">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具备肺弥散功能检查，检查参数：RV、TLC、FRC、DLCO、VA、KCO（DLCO/VA）</w:t>
            </w:r>
          </w:p>
        </w:tc>
        <w:tc>
          <w:tcPr>
            <w:tcW w:w="1077" w:type="dxa"/>
            <w:tcBorders>
              <w:tl2br w:val="nil"/>
              <w:tr2bl w:val="nil"/>
            </w:tcBorders>
            <w:noWrap w:val="0"/>
            <w:vAlign w:val="center"/>
          </w:tcPr>
          <w:p w14:paraId="3041CAC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7FD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6AC82B64">
            <w:pPr>
              <w:keepNext w:val="0"/>
              <w:keepLines w:val="0"/>
              <w:pageBreakBefore w:val="0"/>
              <w:widowControl/>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w:t>
            </w:r>
          </w:p>
        </w:tc>
        <w:tc>
          <w:tcPr>
            <w:tcW w:w="7005" w:type="dxa"/>
            <w:tcBorders>
              <w:tl2br w:val="nil"/>
              <w:tr2bl w:val="nil"/>
            </w:tcBorders>
            <w:noWrap w:val="0"/>
            <w:vAlign w:val="center"/>
          </w:tcPr>
          <w:p w14:paraId="162128C5">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采用一口气呼吸法，弥散实时监测气体浓度</w:t>
            </w:r>
          </w:p>
        </w:tc>
        <w:tc>
          <w:tcPr>
            <w:tcW w:w="1077" w:type="dxa"/>
            <w:tcBorders>
              <w:tl2br w:val="nil"/>
              <w:tr2bl w:val="nil"/>
            </w:tcBorders>
            <w:noWrap w:val="0"/>
            <w:vAlign w:val="center"/>
          </w:tcPr>
          <w:p w14:paraId="2C03A46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317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221ABF40">
            <w:pPr>
              <w:keepNext w:val="0"/>
              <w:keepLines w:val="0"/>
              <w:pageBreakBefore w:val="0"/>
              <w:widowControl/>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13</w:t>
            </w:r>
          </w:p>
        </w:tc>
        <w:tc>
          <w:tcPr>
            <w:tcW w:w="7005" w:type="dxa"/>
            <w:tcBorders>
              <w:tl2br w:val="nil"/>
              <w:tr2bl w:val="nil"/>
            </w:tcBorders>
            <w:noWrap w:val="0"/>
            <w:vAlign w:val="center"/>
          </w:tcPr>
          <w:p w14:paraId="19906897">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弥散检测采用 CO/CH4 或 CO/He 的混合气体，无需额外气体</w:t>
            </w:r>
          </w:p>
        </w:tc>
        <w:tc>
          <w:tcPr>
            <w:tcW w:w="1077" w:type="dxa"/>
            <w:tcBorders>
              <w:tl2br w:val="nil"/>
              <w:tr2bl w:val="nil"/>
            </w:tcBorders>
            <w:noWrap w:val="0"/>
            <w:vAlign w:val="center"/>
          </w:tcPr>
          <w:p w14:paraId="0C528BE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F7A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270768E9">
            <w:pPr>
              <w:pStyle w:val="9"/>
              <w:keepNext w:val="0"/>
              <w:keepLines w:val="0"/>
              <w:pageBreakBefore w:val="0"/>
              <w:kinsoku/>
              <w:wordWrap/>
              <w:overflowPunct/>
              <w:topLinePunct w:val="0"/>
              <w:autoSpaceDE/>
              <w:autoSpaceDN/>
              <w:bidi w:val="0"/>
              <w:snapToGrid w:val="0"/>
              <w:spacing w:line="360" w:lineRule="auto"/>
              <w:ind w:left="0" w:lef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14</w:t>
            </w:r>
          </w:p>
        </w:tc>
        <w:tc>
          <w:tcPr>
            <w:tcW w:w="7005" w:type="dxa"/>
            <w:tcBorders>
              <w:tl2br w:val="nil"/>
              <w:tr2bl w:val="nil"/>
            </w:tcBorders>
            <w:noWrap w:val="0"/>
            <w:vAlign w:val="center"/>
          </w:tcPr>
          <w:p w14:paraId="1BBA1709">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CO/CH4 或 CO/He 气体分析器为红外原理，测量范围≥0-0.3%，精度≤±1%，分辨率≤0.001%</w:t>
            </w:r>
          </w:p>
        </w:tc>
        <w:tc>
          <w:tcPr>
            <w:tcW w:w="1077" w:type="dxa"/>
            <w:tcBorders>
              <w:tl2br w:val="nil"/>
              <w:tr2bl w:val="nil"/>
            </w:tcBorders>
            <w:noWrap w:val="0"/>
            <w:vAlign w:val="center"/>
          </w:tcPr>
          <w:p w14:paraId="027862A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6A0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30443F61">
            <w:pPr>
              <w:pStyle w:val="9"/>
              <w:keepNext w:val="0"/>
              <w:keepLines w:val="0"/>
              <w:pageBreakBefore w:val="0"/>
              <w:kinsoku/>
              <w:wordWrap/>
              <w:overflowPunct/>
              <w:topLinePunct w:val="0"/>
              <w:autoSpaceDE/>
              <w:autoSpaceDN/>
              <w:bidi w:val="0"/>
              <w:snapToGrid w:val="0"/>
              <w:spacing w:line="360" w:lineRule="auto"/>
              <w:ind w:left="0" w:lef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w:t>
            </w:r>
          </w:p>
        </w:tc>
        <w:tc>
          <w:tcPr>
            <w:tcW w:w="7005" w:type="dxa"/>
            <w:tcBorders>
              <w:tl2br w:val="nil"/>
              <w:tr2bl w:val="nil"/>
            </w:tcBorders>
            <w:noWrap w:val="0"/>
            <w:vAlign w:val="center"/>
          </w:tcPr>
          <w:p w14:paraId="00694A1D">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具备支气管反应性测定</w:t>
            </w:r>
          </w:p>
        </w:tc>
        <w:tc>
          <w:tcPr>
            <w:tcW w:w="1077" w:type="dxa"/>
            <w:tcBorders>
              <w:tl2br w:val="nil"/>
              <w:tr2bl w:val="nil"/>
            </w:tcBorders>
            <w:noWrap w:val="0"/>
            <w:vAlign w:val="center"/>
          </w:tcPr>
          <w:p w14:paraId="625BCEB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CA9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4AA6FF91">
            <w:pPr>
              <w:pStyle w:val="9"/>
              <w:keepNext w:val="0"/>
              <w:keepLines w:val="0"/>
              <w:pageBreakBefore w:val="0"/>
              <w:kinsoku/>
              <w:wordWrap/>
              <w:overflowPunct/>
              <w:topLinePunct w:val="0"/>
              <w:autoSpaceDE/>
              <w:autoSpaceDN/>
              <w:bidi w:val="0"/>
              <w:snapToGrid w:val="0"/>
              <w:spacing w:line="360" w:lineRule="auto"/>
              <w:ind w:left="0" w:lef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#16</w:t>
            </w:r>
          </w:p>
        </w:tc>
        <w:tc>
          <w:tcPr>
            <w:tcW w:w="7005" w:type="dxa"/>
            <w:tcBorders>
              <w:tl2br w:val="nil"/>
              <w:tr2bl w:val="nil"/>
            </w:tcBorders>
            <w:noWrap w:val="0"/>
            <w:vAlign w:val="center"/>
          </w:tcPr>
          <w:p w14:paraId="3E75C94F">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气道激发试验测试： PD10, PD15 或 PC20、PD20 测算，具备肺功能测试系统控制一体化激发试验喷药功能，软硬件一体无需外接</w:t>
            </w:r>
          </w:p>
        </w:tc>
        <w:tc>
          <w:tcPr>
            <w:tcW w:w="1077" w:type="dxa"/>
            <w:tcBorders>
              <w:tl2br w:val="nil"/>
              <w:tr2bl w:val="nil"/>
            </w:tcBorders>
            <w:noWrap w:val="0"/>
            <w:vAlign w:val="center"/>
          </w:tcPr>
          <w:p w14:paraId="48E8727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E7D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4E51F3E6">
            <w:pPr>
              <w:pStyle w:val="9"/>
              <w:keepNext w:val="0"/>
              <w:keepLines w:val="0"/>
              <w:pageBreakBefore w:val="0"/>
              <w:kinsoku/>
              <w:wordWrap/>
              <w:overflowPunct/>
              <w:topLinePunct w:val="0"/>
              <w:autoSpaceDE/>
              <w:autoSpaceDN/>
              <w:bidi w:val="0"/>
              <w:snapToGrid w:val="0"/>
              <w:spacing w:line="360" w:lineRule="auto"/>
              <w:ind w:left="0" w:lef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17</w:t>
            </w:r>
          </w:p>
        </w:tc>
        <w:tc>
          <w:tcPr>
            <w:tcW w:w="7005" w:type="dxa"/>
            <w:tcBorders>
              <w:tl2br w:val="nil"/>
              <w:tr2bl w:val="nil"/>
            </w:tcBorders>
            <w:noWrap w:val="0"/>
            <w:vAlign w:val="center"/>
          </w:tcPr>
          <w:p w14:paraId="23C5BEA4">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配备与激发试验相匹配的自动雾化给药设备，雾化流速≥6L/min，雾化压力≤1.5 bar，雾化率≥240±20mg/min 或≥0.15ml/min,平均颗粒直径＜10 μm</w:t>
            </w:r>
          </w:p>
        </w:tc>
        <w:tc>
          <w:tcPr>
            <w:tcW w:w="1077" w:type="dxa"/>
            <w:tcBorders>
              <w:tl2br w:val="nil"/>
              <w:tr2bl w:val="nil"/>
            </w:tcBorders>
            <w:noWrap w:val="0"/>
            <w:vAlign w:val="center"/>
          </w:tcPr>
          <w:p w14:paraId="7945A9F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682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3A8A6368">
            <w:pPr>
              <w:pStyle w:val="9"/>
              <w:keepNext w:val="0"/>
              <w:keepLines w:val="0"/>
              <w:pageBreakBefore w:val="0"/>
              <w:kinsoku/>
              <w:wordWrap/>
              <w:overflowPunct/>
              <w:topLinePunct w:val="0"/>
              <w:autoSpaceDE/>
              <w:autoSpaceDN/>
              <w:bidi w:val="0"/>
              <w:snapToGrid w:val="0"/>
              <w:spacing w:line="360" w:lineRule="auto"/>
              <w:ind w:left="0" w:lef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18</w:t>
            </w:r>
          </w:p>
        </w:tc>
        <w:tc>
          <w:tcPr>
            <w:tcW w:w="7005" w:type="dxa"/>
            <w:tcBorders>
              <w:tl2br w:val="nil"/>
              <w:tr2bl w:val="nil"/>
            </w:tcBorders>
            <w:noWrap w:val="0"/>
            <w:vAlign w:val="center"/>
          </w:tcPr>
          <w:p w14:paraId="734DEA46">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雾化残留液量≤2 ml</w:t>
            </w:r>
          </w:p>
        </w:tc>
        <w:tc>
          <w:tcPr>
            <w:tcW w:w="1077" w:type="dxa"/>
            <w:tcBorders>
              <w:tl2br w:val="nil"/>
              <w:tr2bl w:val="nil"/>
            </w:tcBorders>
            <w:noWrap w:val="0"/>
            <w:vAlign w:val="center"/>
          </w:tcPr>
          <w:p w14:paraId="4BE2F74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C7A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7DD0245E">
            <w:pPr>
              <w:pStyle w:val="9"/>
              <w:keepNext w:val="0"/>
              <w:keepLines w:val="0"/>
              <w:pageBreakBefore w:val="0"/>
              <w:kinsoku/>
              <w:wordWrap/>
              <w:overflowPunct/>
              <w:topLinePunct w:val="0"/>
              <w:autoSpaceDE/>
              <w:autoSpaceDN/>
              <w:bidi w:val="0"/>
              <w:snapToGrid w:val="0"/>
              <w:spacing w:line="360" w:lineRule="auto"/>
              <w:ind w:left="0" w:lef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19</w:t>
            </w:r>
          </w:p>
        </w:tc>
        <w:tc>
          <w:tcPr>
            <w:tcW w:w="7005" w:type="dxa"/>
            <w:tcBorders>
              <w:tl2br w:val="nil"/>
              <w:tr2bl w:val="nil"/>
            </w:tcBorders>
            <w:noWrap w:val="0"/>
            <w:vAlign w:val="center"/>
          </w:tcPr>
          <w:p w14:paraId="3863C342">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具备自动药物补偿功能</w:t>
            </w:r>
          </w:p>
        </w:tc>
        <w:tc>
          <w:tcPr>
            <w:tcW w:w="1077" w:type="dxa"/>
            <w:tcBorders>
              <w:tl2br w:val="nil"/>
              <w:tr2bl w:val="nil"/>
            </w:tcBorders>
            <w:noWrap w:val="0"/>
            <w:vAlign w:val="center"/>
          </w:tcPr>
          <w:p w14:paraId="3A5E5F9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4CD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0EF299EE">
            <w:pPr>
              <w:pStyle w:val="9"/>
              <w:keepNext w:val="0"/>
              <w:keepLines w:val="0"/>
              <w:pageBreakBefore w:val="0"/>
              <w:kinsoku/>
              <w:wordWrap/>
              <w:overflowPunct/>
              <w:topLinePunct w:val="0"/>
              <w:autoSpaceDE/>
              <w:autoSpaceDN/>
              <w:bidi w:val="0"/>
              <w:snapToGrid w:val="0"/>
              <w:spacing w:line="360" w:lineRule="auto"/>
              <w:ind w:left="0" w:lef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20</w:t>
            </w:r>
          </w:p>
        </w:tc>
        <w:tc>
          <w:tcPr>
            <w:tcW w:w="7005" w:type="dxa"/>
            <w:tcBorders>
              <w:tl2br w:val="nil"/>
              <w:tr2bl w:val="nil"/>
            </w:tcBorders>
            <w:noWrap w:val="0"/>
            <w:vAlign w:val="center"/>
          </w:tcPr>
          <w:p w14:paraId="4DA7A8B7">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预计值参数：预设多种肺功能预计值参数，至少包含中国人预计值</w:t>
            </w:r>
          </w:p>
        </w:tc>
        <w:tc>
          <w:tcPr>
            <w:tcW w:w="1077" w:type="dxa"/>
            <w:tcBorders>
              <w:tl2br w:val="nil"/>
              <w:tr2bl w:val="nil"/>
            </w:tcBorders>
            <w:noWrap w:val="0"/>
            <w:vAlign w:val="center"/>
          </w:tcPr>
          <w:p w14:paraId="212E5E1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D420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7667AF09">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21</w:t>
            </w:r>
          </w:p>
        </w:tc>
        <w:tc>
          <w:tcPr>
            <w:tcW w:w="7005" w:type="dxa"/>
            <w:tcBorders>
              <w:tl2br w:val="nil"/>
              <w:tr2bl w:val="nil"/>
            </w:tcBorders>
            <w:noWrap w:val="0"/>
            <w:vAlign w:val="center"/>
          </w:tcPr>
          <w:p w14:paraId="3D449FE1">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配置要求：至少包含主机1台、具备打印功能的工作站1套、40L标准气体气瓶1个、原装激发试验用雾化罐6个</w:t>
            </w:r>
          </w:p>
        </w:tc>
        <w:tc>
          <w:tcPr>
            <w:tcW w:w="1077" w:type="dxa"/>
            <w:tcBorders>
              <w:tl2br w:val="nil"/>
              <w:tr2bl w:val="nil"/>
            </w:tcBorders>
            <w:noWrap w:val="0"/>
            <w:vAlign w:val="center"/>
          </w:tcPr>
          <w:p w14:paraId="0729877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AA0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6DB8C712">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22</w:t>
            </w:r>
          </w:p>
        </w:tc>
        <w:tc>
          <w:tcPr>
            <w:tcW w:w="7005" w:type="dxa"/>
            <w:tcBorders>
              <w:tl2br w:val="nil"/>
              <w:tr2bl w:val="nil"/>
            </w:tcBorders>
            <w:noWrap w:val="0"/>
            <w:vAlign w:val="center"/>
          </w:tcPr>
          <w:p w14:paraId="162F03D2">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10</w:t>
            </w:r>
            <w:r>
              <w:rPr>
                <w:rFonts w:hint="eastAsia" w:ascii="宋体" w:hAnsi="宋体" w:eastAsia="宋体" w:cs="宋体"/>
                <w:kern w:val="0"/>
                <w:sz w:val="21"/>
                <w:szCs w:val="21"/>
                <w:highlight w:val="none"/>
              </w:rPr>
              <w:t>年，提供铭牌或说明书证明</w:t>
            </w:r>
          </w:p>
        </w:tc>
        <w:tc>
          <w:tcPr>
            <w:tcW w:w="1077" w:type="dxa"/>
            <w:tcBorders>
              <w:tl2br w:val="nil"/>
              <w:tr2bl w:val="nil"/>
            </w:tcBorders>
            <w:noWrap w:val="0"/>
            <w:vAlign w:val="center"/>
          </w:tcPr>
          <w:p w14:paraId="3C818F5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96F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5EC5878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23</w:t>
            </w:r>
          </w:p>
        </w:tc>
        <w:tc>
          <w:tcPr>
            <w:tcW w:w="7005" w:type="dxa"/>
            <w:tcBorders>
              <w:tl2br w:val="nil"/>
              <w:tr2bl w:val="nil"/>
            </w:tcBorders>
            <w:noWrap w:val="0"/>
            <w:vAlign w:val="center"/>
          </w:tcPr>
          <w:p w14:paraId="49CB7791">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1077" w:type="dxa"/>
            <w:tcBorders>
              <w:tl2br w:val="nil"/>
              <w:tr2bl w:val="nil"/>
            </w:tcBorders>
            <w:noWrap w:val="0"/>
            <w:vAlign w:val="center"/>
          </w:tcPr>
          <w:p w14:paraId="41C4C92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8E2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68C67D3F">
            <w:pPr>
              <w:widowControl/>
              <w:adjustRightInd w:val="0"/>
              <w:snapToGrid w:val="0"/>
              <w:spacing w:line="360" w:lineRule="auto"/>
              <w:jc w:val="center"/>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auto"/>
                <w:kern w:val="0"/>
                <w:sz w:val="21"/>
                <w:szCs w:val="21"/>
                <w:lang w:val="en-US" w:eastAsia="zh-CN"/>
              </w:rPr>
              <w:t>24</w:t>
            </w:r>
          </w:p>
        </w:tc>
        <w:tc>
          <w:tcPr>
            <w:tcW w:w="7005" w:type="dxa"/>
            <w:tcBorders>
              <w:tl2br w:val="nil"/>
              <w:tr2bl w:val="nil"/>
            </w:tcBorders>
            <w:noWrap w:val="0"/>
            <w:vAlign w:val="center"/>
          </w:tcPr>
          <w:p w14:paraId="661DF621">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077" w:type="dxa"/>
            <w:tcBorders>
              <w:tl2br w:val="nil"/>
              <w:tr2bl w:val="nil"/>
            </w:tcBorders>
            <w:noWrap w:val="0"/>
            <w:vAlign w:val="center"/>
          </w:tcPr>
          <w:p w14:paraId="0D66419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F47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70DB77B9">
            <w:pPr>
              <w:widowControl/>
              <w:adjustRightInd w:val="0"/>
              <w:snapToGrid w:val="0"/>
              <w:spacing w:line="36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25</w:t>
            </w:r>
          </w:p>
        </w:tc>
        <w:tc>
          <w:tcPr>
            <w:tcW w:w="7005" w:type="dxa"/>
            <w:tcBorders>
              <w:tl2br w:val="nil"/>
              <w:tr2bl w:val="nil"/>
            </w:tcBorders>
            <w:noWrap w:val="0"/>
            <w:vAlign w:val="center"/>
          </w:tcPr>
          <w:p w14:paraId="637A2440">
            <w:pPr>
              <w:pStyle w:val="10"/>
              <w:widowControl/>
              <w:adjustRightInd w:val="0"/>
              <w:snapToGrid w:val="0"/>
              <w:spacing w:line="36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077" w:type="dxa"/>
            <w:tcBorders>
              <w:tl2br w:val="nil"/>
              <w:tr2bl w:val="nil"/>
            </w:tcBorders>
            <w:noWrap w:val="0"/>
            <w:vAlign w:val="center"/>
          </w:tcPr>
          <w:p w14:paraId="4381FED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72C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667404D7">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7005" w:type="dxa"/>
            <w:tcBorders>
              <w:tl2br w:val="nil"/>
              <w:tr2bl w:val="nil"/>
            </w:tcBorders>
            <w:noWrap w:val="0"/>
            <w:vAlign w:val="center"/>
          </w:tcPr>
          <w:p w14:paraId="28274E8A">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077" w:type="dxa"/>
            <w:tcBorders>
              <w:tl2br w:val="nil"/>
              <w:tr2bl w:val="nil"/>
            </w:tcBorders>
            <w:noWrap w:val="0"/>
            <w:vAlign w:val="center"/>
          </w:tcPr>
          <w:p w14:paraId="2C51B5DA">
            <w:pPr>
              <w:widowControl/>
              <w:adjustRightInd w:val="0"/>
              <w:snapToGrid w:val="0"/>
              <w:spacing w:line="360" w:lineRule="auto"/>
              <w:jc w:val="center"/>
              <w:rPr>
                <w:rFonts w:hint="eastAsia" w:ascii="宋体" w:hAnsi="宋体" w:eastAsia="宋体" w:cs="宋体"/>
                <w:kern w:val="0"/>
                <w:sz w:val="21"/>
                <w:szCs w:val="21"/>
              </w:rPr>
            </w:pPr>
          </w:p>
        </w:tc>
      </w:tr>
      <w:tr w14:paraId="15E9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545F5A3B">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7005" w:type="dxa"/>
            <w:tcBorders>
              <w:tl2br w:val="nil"/>
              <w:tr2bl w:val="nil"/>
            </w:tcBorders>
            <w:noWrap w:val="0"/>
            <w:vAlign w:val="center"/>
          </w:tcPr>
          <w:p w14:paraId="4DBBCDDD">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077" w:type="dxa"/>
            <w:tcBorders>
              <w:tl2br w:val="nil"/>
              <w:tr2bl w:val="nil"/>
            </w:tcBorders>
            <w:noWrap w:val="0"/>
            <w:vAlign w:val="center"/>
          </w:tcPr>
          <w:p w14:paraId="74BDADF1">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FC6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7C97D7EA">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7005" w:type="dxa"/>
            <w:tcBorders>
              <w:tl2br w:val="nil"/>
              <w:tr2bl w:val="nil"/>
            </w:tcBorders>
            <w:noWrap w:val="0"/>
            <w:vAlign w:val="center"/>
          </w:tcPr>
          <w:p w14:paraId="0286A6E9">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077" w:type="dxa"/>
            <w:tcBorders>
              <w:tl2br w:val="nil"/>
              <w:tr2bl w:val="nil"/>
            </w:tcBorders>
            <w:noWrap w:val="0"/>
            <w:vAlign w:val="center"/>
          </w:tcPr>
          <w:p w14:paraId="1B3C6201">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A68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512BC280">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7005" w:type="dxa"/>
            <w:tcBorders>
              <w:tl2br w:val="nil"/>
              <w:tr2bl w:val="nil"/>
            </w:tcBorders>
            <w:noWrap w:val="0"/>
            <w:vAlign w:val="center"/>
          </w:tcPr>
          <w:p w14:paraId="5A37C799">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077" w:type="dxa"/>
            <w:tcBorders>
              <w:tl2br w:val="nil"/>
              <w:tr2bl w:val="nil"/>
            </w:tcBorders>
            <w:noWrap w:val="0"/>
            <w:vAlign w:val="center"/>
          </w:tcPr>
          <w:p w14:paraId="6B05B8E8">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99E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5E30378D">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7005" w:type="dxa"/>
            <w:tcBorders>
              <w:tl2br w:val="nil"/>
              <w:tr2bl w:val="nil"/>
            </w:tcBorders>
            <w:noWrap w:val="0"/>
            <w:vAlign w:val="center"/>
          </w:tcPr>
          <w:p w14:paraId="570FAA55">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077" w:type="dxa"/>
            <w:tcBorders>
              <w:tl2br w:val="nil"/>
              <w:tr2bl w:val="nil"/>
            </w:tcBorders>
            <w:noWrap w:val="0"/>
            <w:vAlign w:val="center"/>
          </w:tcPr>
          <w:p w14:paraId="0048E59A">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478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4BBE4E8A">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7005" w:type="dxa"/>
            <w:tcBorders>
              <w:tl2br w:val="nil"/>
              <w:tr2bl w:val="nil"/>
            </w:tcBorders>
            <w:noWrap w:val="0"/>
            <w:vAlign w:val="center"/>
          </w:tcPr>
          <w:p w14:paraId="548C903B">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077" w:type="dxa"/>
            <w:tcBorders>
              <w:tl2br w:val="nil"/>
              <w:tr2bl w:val="nil"/>
            </w:tcBorders>
            <w:noWrap w:val="0"/>
            <w:vAlign w:val="center"/>
          </w:tcPr>
          <w:p w14:paraId="7BEF51F3">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146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3" w:type="dxa"/>
            <w:tcBorders>
              <w:tl2br w:val="nil"/>
              <w:tr2bl w:val="nil"/>
            </w:tcBorders>
            <w:noWrap w:val="0"/>
            <w:vAlign w:val="center"/>
          </w:tcPr>
          <w:p w14:paraId="11DDCE24">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7005" w:type="dxa"/>
            <w:tcBorders>
              <w:tl2br w:val="nil"/>
              <w:tr2bl w:val="nil"/>
            </w:tcBorders>
            <w:noWrap w:val="0"/>
            <w:vAlign w:val="center"/>
          </w:tcPr>
          <w:p w14:paraId="27250D3F">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077" w:type="dxa"/>
            <w:tcBorders>
              <w:tl2br w:val="nil"/>
              <w:tr2bl w:val="nil"/>
            </w:tcBorders>
            <w:noWrap w:val="0"/>
            <w:vAlign w:val="center"/>
          </w:tcPr>
          <w:p w14:paraId="2E302157">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2051D1F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43EB8"/>
    <w:rsid w:val="26E43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Text"/>
    <w:basedOn w:val="1"/>
    <w:semiHidden/>
    <w:qFormat/>
    <w:uiPriority w:val="0"/>
    <w:rPr>
      <w:rFonts w:ascii="宋体" w:hAnsi="宋体" w:eastAsia="宋体" w:cs="宋体"/>
      <w:szCs w:val="21"/>
      <w:lang w:eastAsia="en-US"/>
    </w:rPr>
  </w:style>
  <w:style w:type="paragraph" w:customStyle="1" w:styleId="10">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2026-01-29T06:32:00Z</dcterms:created>
  <dc:creator>李子怡</dc:creator>
  <cp:lastModifiedBy>李子怡</cp:lastModifiedBy>
  <dcterms:modified xsi:type="dcterms:W3CDTF">2026-01-29T06:33:58Z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360A69B1B0284B7CA62AFA219AF9DAEA_11</vt:lpwstr>
  </property>
  <property fmtid="{D5CDD505-2E9C-101B-9397-08002B2CF9AE}" pid="4" name="KSOTemplateDocerSaveRecord">
    <vt:lpwstr>eyJoZGlkIjoiOGUwODU1ZmJkMmZlNWI2NDZjZDJhZTUyNTI2MjEzYjAiLCJ1c2VySWQiOiIyNzc5ODY3NTAifQ==</vt:lpwstr>
  </property>
</Properties>
</file>