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ind w:firstLine="0" w:firstLineChars="0"/>
        <w:rPr>
          <w:sz w:val="21"/>
          <w:szCs w:val="21"/>
        </w:rPr>
      </w:pPr>
      <w:r>
        <w:rPr>
          <w:rFonts w:hint="eastAsia"/>
          <w:sz w:val="21"/>
          <w:szCs w:val="21"/>
        </w:rPr>
        <w:t>一、技术和服务要求</w:t>
      </w:r>
      <w:r>
        <w:rPr>
          <w:rFonts w:hint="eastAsia"/>
          <w:b/>
          <w:bCs/>
          <w:sz w:val="21"/>
          <w:szCs w:val="21"/>
        </w:rPr>
        <w:t>（本条款属于不允许负偏离的实质性要求）</w:t>
      </w:r>
    </w:p>
    <w:p>
      <w:pPr>
        <w:pStyle w:val="10"/>
        <w:spacing w:line="360" w:lineRule="auto"/>
        <w:ind w:firstLine="0" w:firstLineChars="0"/>
        <w:rPr>
          <w:sz w:val="21"/>
          <w:szCs w:val="21"/>
        </w:rPr>
      </w:pPr>
      <w:r>
        <w:rPr>
          <w:rFonts w:hint="eastAsia"/>
          <w:sz w:val="21"/>
          <w:szCs w:val="21"/>
        </w:rPr>
        <w:t>（一）项目建设总需求</w:t>
      </w:r>
    </w:p>
    <w:p>
      <w:pPr>
        <w:pStyle w:val="10"/>
        <w:spacing w:line="360" w:lineRule="auto"/>
        <w:ind w:firstLine="420"/>
        <w:rPr>
          <w:sz w:val="21"/>
          <w:szCs w:val="21"/>
        </w:rPr>
      </w:pPr>
      <w:r>
        <w:rPr>
          <w:rFonts w:hint="eastAsia"/>
          <w:sz w:val="21"/>
          <w:szCs w:val="21"/>
        </w:rPr>
        <w:t>本项目的建设目标为：落实“科技强警”战略决策，在现有基础设施和装备基础上，充分利用先进的技术手段，建成和不断完善监狱系统通信网络，实现以构建省局信息中心为安全管理核心，以各监狱网络安全系统为感知触手，建设安全、可控的信息化网络系统。</w:t>
      </w:r>
    </w:p>
    <w:p>
      <w:pPr>
        <w:pStyle w:val="10"/>
        <w:spacing w:line="360" w:lineRule="auto"/>
        <w:ind w:firstLine="420"/>
        <w:rPr>
          <w:sz w:val="21"/>
          <w:szCs w:val="21"/>
        </w:rPr>
      </w:pPr>
      <w:r>
        <w:rPr>
          <w:rFonts w:hint="eastAsia"/>
          <w:sz w:val="21"/>
          <w:szCs w:val="21"/>
        </w:rPr>
        <w:t>加强网络安全系统建设，建设覆盖全省省属监狱的网络安全监管运营平台，达到司法部要求的等保三级的数据安全保护标准。</w:t>
      </w:r>
      <w:bookmarkStart w:id="0" w:name="_Toc21947"/>
    </w:p>
    <w:p>
      <w:pPr>
        <w:pStyle w:val="10"/>
        <w:spacing w:line="360" w:lineRule="auto"/>
        <w:ind w:firstLine="420"/>
        <w:rPr>
          <w:sz w:val="21"/>
          <w:szCs w:val="21"/>
        </w:rPr>
      </w:pPr>
      <w:r>
        <w:rPr>
          <w:rFonts w:hint="eastAsia"/>
          <w:sz w:val="21"/>
          <w:szCs w:val="21"/>
        </w:rPr>
        <w:t>1.建设任务</w:t>
      </w:r>
      <w:bookmarkEnd w:id="0"/>
    </w:p>
    <w:p>
      <w:pPr>
        <w:pStyle w:val="10"/>
        <w:spacing w:line="360" w:lineRule="auto"/>
        <w:ind w:firstLine="420"/>
        <w:rPr>
          <w:sz w:val="21"/>
          <w:szCs w:val="21"/>
        </w:rPr>
      </w:pPr>
      <w:r>
        <w:rPr>
          <w:rFonts w:hint="eastAsia"/>
          <w:sz w:val="21"/>
          <w:szCs w:val="21"/>
        </w:rPr>
        <w:t>建设河南省监狱网络与信息安全保障体系，提升网络与信息安全保护能力，加强网络和信息技术的创新研究和开发应用，实现网络和信息核心技术、关键基础设施和重要领域信息系统及数据的安全可控；保障监狱网络的安全运行，保障监管安全。</w:t>
      </w:r>
      <w:bookmarkStart w:id="1" w:name="_Toc194483001"/>
      <w:bookmarkEnd w:id="1"/>
      <w:bookmarkStart w:id="2" w:name="_Toc194739000"/>
      <w:bookmarkEnd w:id="2"/>
      <w:bookmarkStart w:id="3" w:name="_Toc194738991"/>
      <w:bookmarkEnd w:id="3"/>
      <w:bookmarkStart w:id="4" w:name="_Toc194482994"/>
      <w:bookmarkEnd w:id="4"/>
      <w:bookmarkStart w:id="5" w:name="_Toc194738992"/>
      <w:bookmarkEnd w:id="5"/>
      <w:bookmarkStart w:id="6" w:name="_Toc194738988"/>
      <w:bookmarkEnd w:id="6"/>
      <w:bookmarkStart w:id="7" w:name="_Toc194482995"/>
      <w:bookmarkEnd w:id="7"/>
      <w:bookmarkStart w:id="8" w:name="_Toc194483003"/>
      <w:bookmarkEnd w:id="8"/>
      <w:bookmarkStart w:id="9" w:name="_Toc194738997"/>
      <w:bookmarkEnd w:id="9"/>
      <w:bookmarkStart w:id="10" w:name="_Toc194738990"/>
      <w:bookmarkEnd w:id="10"/>
      <w:bookmarkStart w:id="11" w:name="_Toc194482996"/>
      <w:bookmarkEnd w:id="11"/>
      <w:bookmarkStart w:id="12" w:name="_Toc194482993"/>
      <w:bookmarkEnd w:id="12"/>
      <w:bookmarkStart w:id="13" w:name="_Toc194482992"/>
      <w:bookmarkEnd w:id="13"/>
      <w:bookmarkStart w:id="14" w:name="_Toc194738989"/>
      <w:bookmarkEnd w:id="14"/>
      <w:bookmarkStart w:id="15" w:name="_Toc194482991"/>
      <w:bookmarkEnd w:id="15"/>
      <w:bookmarkStart w:id="16" w:name="_Toc194738993"/>
      <w:bookmarkEnd w:id="16"/>
      <w:bookmarkStart w:id="17" w:name="_Toc194738998"/>
      <w:bookmarkEnd w:id="17"/>
      <w:bookmarkStart w:id="18" w:name="_Toc194483000"/>
      <w:bookmarkEnd w:id="18"/>
      <w:bookmarkStart w:id="19" w:name="_Toc10017"/>
    </w:p>
    <w:p>
      <w:pPr>
        <w:pStyle w:val="10"/>
        <w:spacing w:line="360" w:lineRule="auto"/>
        <w:ind w:firstLine="420"/>
        <w:rPr>
          <w:sz w:val="21"/>
          <w:szCs w:val="21"/>
        </w:rPr>
      </w:pPr>
      <w:r>
        <w:rPr>
          <w:rFonts w:hint="eastAsia"/>
          <w:sz w:val="21"/>
          <w:szCs w:val="21"/>
        </w:rPr>
        <w:t>2.建设内容</w:t>
      </w:r>
      <w:bookmarkEnd w:id="19"/>
    </w:p>
    <w:p>
      <w:pPr>
        <w:pStyle w:val="10"/>
        <w:spacing w:line="360" w:lineRule="auto"/>
        <w:ind w:firstLine="420"/>
        <w:rPr>
          <w:sz w:val="21"/>
          <w:szCs w:val="21"/>
        </w:rPr>
      </w:pPr>
      <w:r>
        <w:rPr>
          <w:rFonts w:hint="eastAsia"/>
          <w:sz w:val="21"/>
          <w:szCs w:val="21"/>
        </w:rPr>
        <w:t>针对上述建设目标，本项目建设内容如下：</w:t>
      </w:r>
    </w:p>
    <w:p>
      <w:pPr>
        <w:pStyle w:val="10"/>
        <w:spacing w:line="360" w:lineRule="auto"/>
        <w:ind w:firstLine="420"/>
        <w:rPr>
          <w:sz w:val="21"/>
          <w:szCs w:val="21"/>
        </w:rPr>
      </w:pPr>
      <w:r>
        <w:rPr>
          <w:rFonts w:hint="eastAsia"/>
          <w:sz w:val="21"/>
          <w:szCs w:val="21"/>
        </w:rPr>
        <w:t>根据“</w:t>
      </w:r>
      <w:r>
        <w:rPr>
          <w:sz w:val="21"/>
          <w:szCs w:val="21"/>
        </w:rPr>
        <w:t>司法行政信息化总体技术规范</w:t>
      </w:r>
      <w:r>
        <w:rPr>
          <w:rFonts w:hint="eastAsia"/>
          <w:sz w:val="21"/>
          <w:szCs w:val="21"/>
        </w:rPr>
        <w:t>、</w:t>
      </w:r>
      <w:r>
        <w:rPr>
          <w:sz w:val="21"/>
          <w:szCs w:val="21"/>
        </w:rPr>
        <w:t>智慧监狱技术规范</w:t>
      </w:r>
      <w:r>
        <w:rPr>
          <w:rFonts w:hint="eastAsia"/>
          <w:sz w:val="21"/>
          <w:szCs w:val="21"/>
        </w:rPr>
        <w:t>”要求，狱内网络系统必须符合“</w:t>
      </w:r>
      <w:r>
        <w:rPr>
          <w:sz w:val="21"/>
          <w:szCs w:val="21"/>
        </w:rPr>
        <w:t>网络安全等级保护</w:t>
      </w:r>
      <w:r>
        <w:rPr>
          <w:rFonts w:hint="eastAsia"/>
          <w:sz w:val="21"/>
          <w:szCs w:val="21"/>
        </w:rPr>
        <w:t>三级的基本要求”。梳理省监狱管理局及全省监狱的安全现状，多年来未进行安全建设的18个省属监狱，除新部署的防火墙和入侵防御外，缺少可用安全设备，综合考虑，本期项目建设内容如下：</w:t>
      </w:r>
      <w:bookmarkStart w:id="20" w:name="_Toc16573"/>
    </w:p>
    <w:p>
      <w:pPr>
        <w:pStyle w:val="10"/>
        <w:spacing w:line="360" w:lineRule="auto"/>
        <w:ind w:firstLine="420"/>
        <w:rPr>
          <w:sz w:val="21"/>
          <w:szCs w:val="21"/>
        </w:rPr>
      </w:pPr>
      <w:r>
        <w:rPr>
          <w:rFonts w:hint="eastAsia"/>
          <w:sz w:val="21"/>
          <w:szCs w:val="21"/>
        </w:rPr>
        <w:t>（1）建设全域感知协同联动中心与运营决策中心</w:t>
      </w:r>
      <w:bookmarkEnd w:id="20"/>
    </w:p>
    <w:p>
      <w:pPr>
        <w:pStyle w:val="10"/>
        <w:spacing w:line="360" w:lineRule="auto"/>
        <w:ind w:firstLine="420"/>
        <w:rPr>
          <w:sz w:val="21"/>
          <w:szCs w:val="21"/>
        </w:rPr>
      </w:pPr>
      <w:r>
        <w:rPr>
          <w:rFonts w:hint="eastAsia"/>
          <w:sz w:val="21"/>
          <w:szCs w:val="21"/>
        </w:rPr>
        <w:t>根据《</w:t>
      </w:r>
      <w:r>
        <w:rPr>
          <w:sz w:val="21"/>
          <w:szCs w:val="21"/>
        </w:rPr>
        <w:t>GBT22239网络安全等级保护</w:t>
      </w:r>
      <w:r>
        <w:rPr>
          <w:rFonts w:hint="eastAsia"/>
          <w:sz w:val="21"/>
          <w:szCs w:val="21"/>
        </w:rPr>
        <w:t>三级的基本要求》、《</w:t>
      </w:r>
      <w:r>
        <w:rPr>
          <w:sz w:val="21"/>
          <w:szCs w:val="21"/>
        </w:rPr>
        <w:t>SF/T 0008-2017司法行政信息化总体技术规范</w:t>
      </w:r>
      <w:r>
        <w:rPr>
          <w:rFonts w:hint="eastAsia"/>
          <w:sz w:val="21"/>
          <w:szCs w:val="21"/>
        </w:rPr>
        <w:t>》、《</w:t>
      </w:r>
      <w:r>
        <w:rPr>
          <w:sz w:val="21"/>
          <w:szCs w:val="21"/>
        </w:rPr>
        <w:t>SF</w:t>
      </w:r>
      <w:r>
        <w:rPr>
          <w:rFonts w:hint="eastAsia"/>
          <w:sz w:val="21"/>
          <w:szCs w:val="21"/>
        </w:rPr>
        <w:t>/</w:t>
      </w:r>
      <w:r>
        <w:rPr>
          <w:sz w:val="21"/>
          <w:szCs w:val="21"/>
        </w:rPr>
        <w:t>T 0028智慧监狱技术规范</w:t>
      </w:r>
      <w:r>
        <w:rPr>
          <w:rFonts w:hint="eastAsia"/>
          <w:sz w:val="21"/>
          <w:szCs w:val="21"/>
        </w:rPr>
        <w:t>》要求：狱内网络系统应建设全域安全感知、报警、分析能力。</w:t>
      </w:r>
    </w:p>
    <w:p>
      <w:pPr>
        <w:pStyle w:val="10"/>
        <w:spacing w:line="360" w:lineRule="auto"/>
        <w:ind w:firstLine="420"/>
        <w:rPr>
          <w:sz w:val="21"/>
          <w:szCs w:val="21"/>
        </w:rPr>
      </w:pPr>
      <w:r>
        <w:rPr>
          <w:sz w:val="21"/>
          <w:szCs w:val="21"/>
        </w:rPr>
        <w:t>应能对网络中发生的各类安全事件进行识</w:t>
      </w:r>
      <w:r>
        <w:rPr>
          <w:rFonts w:hint="eastAsia"/>
          <w:sz w:val="21"/>
          <w:szCs w:val="21"/>
        </w:rPr>
        <w:t>别、</w:t>
      </w:r>
      <w:r>
        <w:rPr>
          <w:sz w:val="21"/>
          <w:szCs w:val="21"/>
        </w:rPr>
        <w:t>报警和分析</w:t>
      </w:r>
      <w:r>
        <w:rPr>
          <w:rFonts w:hint="eastAsia"/>
          <w:sz w:val="21"/>
          <w:szCs w:val="21"/>
        </w:rPr>
        <w:t>，需要建设覆盖省监狱管理局和全省各监狱的网络态势感知、报警和分析系统，其中收集的网络事件日志可满足等保三级要求的安全审计（网络审计）的需要。</w:t>
      </w:r>
    </w:p>
    <w:p>
      <w:pPr>
        <w:pStyle w:val="10"/>
        <w:spacing w:line="360" w:lineRule="auto"/>
        <w:ind w:firstLine="420"/>
        <w:rPr>
          <w:sz w:val="21"/>
          <w:szCs w:val="21"/>
        </w:rPr>
      </w:pPr>
      <w:r>
        <w:rPr>
          <w:rFonts w:hint="eastAsia"/>
          <w:sz w:val="21"/>
          <w:szCs w:val="21"/>
        </w:rPr>
        <w:t>明确网络决策治理活动，以安全运营管理中心为服务支撑，引领网络安全工作方向，“盘活”智慧监狱网络安全保障工作流程，使其有序运转。利用感知协同联动中心</w:t>
      </w:r>
      <w:r>
        <w:rPr>
          <w:sz w:val="21"/>
          <w:szCs w:val="21"/>
        </w:rPr>
        <w:t>对网络中发生的各类安全事件进行识</w:t>
      </w:r>
      <w:r>
        <w:rPr>
          <w:rFonts w:hint="eastAsia"/>
          <w:sz w:val="21"/>
          <w:szCs w:val="21"/>
        </w:rPr>
        <w:t>别、</w:t>
      </w:r>
      <w:r>
        <w:rPr>
          <w:sz w:val="21"/>
          <w:szCs w:val="21"/>
        </w:rPr>
        <w:t>报警和分析</w:t>
      </w:r>
      <w:r>
        <w:rPr>
          <w:rFonts w:hint="eastAsia"/>
          <w:sz w:val="21"/>
          <w:szCs w:val="21"/>
        </w:rPr>
        <w:t>，并与各监狱边界系统协同联动，实现上下联动机制。“二中心”作为网络安全架构管控的抓手，是网络安全体系化、常态化、实战化防御的基础，指引监狱网络安全建设。</w:t>
      </w:r>
      <w:bookmarkStart w:id="21" w:name="_Toc26645"/>
    </w:p>
    <w:p>
      <w:pPr>
        <w:pStyle w:val="10"/>
        <w:spacing w:line="360" w:lineRule="auto"/>
        <w:ind w:firstLine="420"/>
        <w:rPr>
          <w:sz w:val="21"/>
          <w:szCs w:val="21"/>
        </w:rPr>
      </w:pPr>
      <w:r>
        <w:rPr>
          <w:rFonts w:hint="eastAsia"/>
          <w:sz w:val="21"/>
          <w:szCs w:val="21"/>
        </w:rPr>
        <w:t>（2）建设全域安全准入机制</w:t>
      </w:r>
      <w:bookmarkEnd w:id="21"/>
    </w:p>
    <w:p>
      <w:pPr>
        <w:pStyle w:val="10"/>
        <w:spacing w:line="360" w:lineRule="auto"/>
        <w:ind w:firstLine="420"/>
        <w:rPr>
          <w:sz w:val="21"/>
          <w:szCs w:val="21"/>
        </w:rPr>
      </w:pPr>
      <w:r>
        <w:rPr>
          <w:rFonts w:hint="eastAsia"/>
          <w:sz w:val="21"/>
          <w:szCs w:val="21"/>
        </w:rPr>
        <w:t>根据《</w:t>
      </w:r>
      <w:r>
        <w:rPr>
          <w:sz w:val="21"/>
          <w:szCs w:val="21"/>
        </w:rPr>
        <w:t>GBT22239网络安全等级保护</w:t>
      </w:r>
      <w:r>
        <w:rPr>
          <w:rFonts w:hint="eastAsia"/>
          <w:sz w:val="21"/>
          <w:szCs w:val="21"/>
        </w:rPr>
        <w:t>三级的基本要求》、《</w:t>
      </w:r>
      <w:r>
        <w:rPr>
          <w:sz w:val="21"/>
          <w:szCs w:val="21"/>
        </w:rPr>
        <w:t>SF/T 0008-2017司法行政信息化总体技术规范</w:t>
      </w:r>
      <w:r>
        <w:rPr>
          <w:rFonts w:hint="eastAsia"/>
          <w:sz w:val="21"/>
          <w:szCs w:val="21"/>
        </w:rPr>
        <w:t>》要求，狱内专网应该与其他网络物理隔离，并实现终端接入可信可控。</w:t>
      </w:r>
    </w:p>
    <w:p>
      <w:pPr>
        <w:pStyle w:val="10"/>
        <w:spacing w:line="360" w:lineRule="auto"/>
        <w:ind w:firstLine="420"/>
        <w:rPr>
          <w:sz w:val="21"/>
          <w:szCs w:val="21"/>
        </w:rPr>
      </w:pPr>
      <w:r>
        <w:rPr>
          <w:rFonts w:hint="eastAsia"/>
          <w:sz w:val="21"/>
          <w:szCs w:val="21"/>
        </w:rPr>
        <w:t>需要建设覆盖省监狱管理局和全省各监狱的网络准入和非法外联系统。在现有防病毒系统的基础上构建一套完善的一体化终端防御体系，降低终端因安装多个客户端所引起的各种不稳定因素，覆盖上述三类终端类型，从入网认证、外设管控、违规外联检测、移动介质管理、终端态势可见几个方面进行全方位立体的防护，利用技术手段把管理制度真正的落实执行。</w:t>
      </w:r>
      <w:bookmarkStart w:id="22" w:name="_Toc14024"/>
    </w:p>
    <w:p>
      <w:pPr>
        <w:pStyle w:val="10"/>
        <w:spacing w:line="360" w:lineRule="auto"/>
        <w:ind w:firstLine="420"/>
        <w:rPr>
          <w:sz w:val="21"/>
          <w:szCs w:val="21"/>
        </w:rPr>
      </w:pPr>
      <w:r>
        <w:rPr>
          <w:rFonts w:hint="eastAsia"/>
          <w:sz w:val="21"/>
          <w:szCs w:val="21"/>
        </w:rPr>
        <w:t>（3）增加堡垒机完善运维机制</w:t>
      </w:r>
      <w:bookmarkEnd w:id="22"/>
    </w:p>
    <w:p>
      <w:pPr>
        <w:pStyle w:val="10"/>
        <w:spacing w:line="360" w:lineRule="auto"/>
        <w:ind w:firstLine="420"/>
        <w:rPr>
          <w:sz w:val="21"/>
          <w:szCs w:val="21"/>
        </w:rPr>
      </w:pPr>
      <w:r>
        <w:rPr>
          <w:rFonts w:hint="eastAsia"/>
          <w:sz w:val="21"/>
          <w:szCs w:val="21"/>
        </w:rPr>
        <w:t>根据《</w:t>
      </w:r>
      <w:r>
        <w:rPr>
          <w:sz w:val="21"/>
          <w:szCs w:val="21"/>
        </w:rPr>
        <w:t>GBT22239信息安全技术网络安全等级保护基本要求</w:t>
      </w:r>
      <w:r>
        <w:rPr>
          <w:rFonts w:hint="eastAsia"/>
          <w:sz w:val="21"/>
          <w:szCs w:val="21"/>
        </w:rPr>
        <w:t>》及《</w:t>
      </w:r>
      <w:r>
        <w:rPr>
          <w:sz w:val="21"/>
          <w:szCs w:val="21"/>
        </w:rPr>
        <w:t>SF/T 0008-2017 全国司法行政信息化总体技术规范》</w:t>
      </w:r>
      <w:r>
        <w:rPr>
          <w:rFonts w:hint="eastAsia"/>
          <w:sz w:val="21"/>
          <w:szCs w:val="21"/>
        </w:rPr>
        <w:t>中“网络设备防护”及“身份鉴别”要求：应通过堡垒机可实现采用两种或两种以上的身份鉴别措施要求；应具有登录失败处理功能，失败后采取结束会话、限制非法登录次数和当网络登录连接超时自动退出等措施；应对登录操作系统和数据库系统的用户进行身份标识和鉴别，且保证用户名的唯一性；应采用两种或者两种以上的身份鉴别措施；应启用登录失败处理功能；若采用远程桌面方式，应通过堡垒机进行运维管理。</w:t>
      </w:r>
    </w:p>
    <w:p>
      <w:pPr>
        <w:pStyle w:val="10"/>
        <w:spacing w:line="360" w:lineRule="auto"/>
        <w:ind w:firstLine="420"/>
        <w:rPr>
          <w:sz w:val="21"/>
          <w:szCs w:val="21"/>
        </w:rPr>
      </w:pPr>
      <w:r>
        <w:rPr>
          <w:rFonts w:hint="eastAsia"/>
          <w:sz w:val="21"/>
          <w:szCs w:val="21"/>
        </w:rPr>
        <w:t>综上所述，各监狱应采购堡垒机满足等保三级及</w:t>
      </w:r>
      <w:r>
        <w:rPr>
          <w:sz w:val="21"/>
          <w:szCs w:val="21"/>
        </w:rPr>
        <w:t>司法行政信息化总体技术规范</w:t>
      </w:r>
      <w:r>
        <w:rPr>
          <w:rFonts w:hint="eastAsia"/>
          <w:sz w:val="21"/>
          <w:szCs w:val="21"/>
        </w:rPr>
        <w:t>对运维审计及双因素认证的需要。考虑到已有设备利旧，本次仅采购18个监狱的堡垒机设备。</w:t>
      </w:r>
      <w:bookmarkStart w:id="23" w:name="_Toc11051"/>
    </w:p>
    <w:p>
      <w:pPr>
        <w:pStyle w:val="10"/>
        <w:spacing w:line="360" w:lineRule="auto"/>
        <w:ind w:firstLine="420"/>
        <w:rPr>
          <w:sz w:val="21"/>
          <w:szCs w:val="21"/>
        </w:rPr>
      </w:pPr>
      <w:r>
        <w:rPr>
          <w:rFonts w:hint="eastAsia"/>
          <w:sz w:val="21"/>
          <w:szCs w:val="21"/>
        </w:rPr>
        <w:t>（4）增加日志审计完善审计措施</w:t>
      </w:r>
      <w:bookmarkEnd w:id="23"/>
    </w:p>
    <w:p>
      <w:pPr>
        <w:pStyle w:val="10"/>
        <w:spacing w:line="360" w:lineRule="auto"/>
        <w:ind w:firstLine="420"/>
        <w:rPr>
          <w:sz w:val="21"/>
          <w:szCs w:val="21"/>
        </w:rPr>
      </w:pPr>
      <w:r>
        <w:rPr>
          <w:rFonts w:hint="eastAsia"/>
          <w:sz w:val="21"/>
          <w:szCs w:val="21"/>
        </w:rPr>
        <w:t>根据《</w:t>
      </w:r>
      <w:r>
        <w:rPr>
          <w:sz w:val="21"/>
          <w:szCs w:val="21"/>
        </w:rPr>
        <w:t>GBT22239信息安全技术网络安全等级保护基本要求</w:t>
      </w:r>
      <w:r>
        <w:rPr>
          <w:rFonts w:hint="eastAsia"/>
          <w:sz w:val="21"/>
          <w:szCs w:val="21"/>
        </w:rPr>
        <w:t>》中“</w:t>
      </w:r>
      <w:r>
        <w:rPr>
          <w:sz w:val="21"/>
          <w:szCs w:val="21"/>
        </w:rPr>
        <w:t>安全审计</w:t>
      </w:r>
      <w:r>
        <w:rPr>
          <w:rFonts w:hint="eastAsia"/>
          <w:sz w:val="21"/>
          <w:szCs w:val="21"/>
        </w:rPr>
        <w:t>”及《</w:t>
      </w:r>
      <w:r>
        <w:rPr>
          <w:sz w:val="21"/>
          <w:szCs w:val="21"/>
        </w:rPr>
        <w:t>SF/T 0008-2017 全国司法行政信息化总体技术规范》</w:t>
      </w:r>
      <w:r>
        <w:rPr>
          <w:rFonts w:hint="eastAsia"/>
          <w:sz w:val="21"/>
          <w:szCs w:val="21"/>
        </w:rPr>
        <w:t>中“边界安全审计、主机安全审计、应用安全审计”</w:t>
      </w:r>
      <w:r>
        <w:rPr>
          <w:sz w:val="21"/>
          <w:szCs w:val="21"/>
        </w:rPr>
        <w:t>要求</w:t>
      </w:r>
      <w:r>
        <w:rPr>
          <w:rFonts w:hint="eastAsia"/>
          <w:sz w:val="21"/>
          <w:szCs w:val="21"/>
        </w:rPr>
        <w:t>：</w:t>
      </w:r>
    </w:p>
    <w:p>
      <w:pPr>
        <w:pStyle w:val="10"/>
        <w:spacing w:line="360" w:lineRule="auto"/>
        <w:ind w:firstLine="420"/>
        <w:rPr>
          <w:sz w:val="21"/>
          <w:szCs w:val="21"/>
        </w:rPr>
      </w:pPr>
      <w:r>
        <w:rPr>
          <w:rFonts w:hint="eastAsia"/>
          <w:sz w:val="21"/>
          <w:szCs w:val="21"/>
        </w:rPr>
        <w:t>应部署网络审计系统，对网络边界的用户访问行为进行监控管理及安全事件取证；应保证审计数据的存放安全，避免非授权修改、删除审计记录，定期生成审计报表；应对网络设备、安全设备进行集中审计，部署日志审计系统，定期分析汇总收集的日志，对网络中的安全态势予以分析；应同时通过综合安全监管平台对网络中的安全设备进行集中管理。</w:t>
      </w:r>
    </w:p>
    <w:p>
      <w:pPr>
        <w:pStyle w:val="10"/>
        <w:spacing w:line="360" w:lineRule="auto"/>
        <w:ind w:firstLine="420"/>
        <w:rPr>
          <w:sz w:val="21"/>
          <w:szCs w:val="21"/>
        </w:rPr>
      </w:pPr>
      <w:r>
        <w:rPr>
          <w:rFonts w:hint="eastAsia"/>
          <w:sz w:val="21"/>
          <w:szCs w:val="21"/>
        </w:rPr>
        <w:t>应针对信息系统的主机安全审计需要部署主机监控与审计系统和数据库审计系统进行系统安全审计。审计功能包括文件操作审计、外挂设备操作审计、非法外联审计、</w:t>
      </w:r>
      <w:r>
        <w:rPr>
          <w:sz w:val="21"/>
          <w:szCs w:val="21"/>
        </w:rPr>
        <w:t xml:space="preserve">IP地址更改审计、服务与进程审计、数据库相关操作等。 </w:t>
      </w:r>
    </w:p>
    <w:p>
      <w:pPr>
        <w:pStyle w:val="10"/>
        <w:spacing w:line="360" w:lineRule="auto"/>
        <w:ind w:firstLine="420"/>
        <w:rPr>
          <w:sz w:val="21"/>
          <w:szCs w:val="21"/>
        </w:rPr>
      </w:pPr>
      <w:r>
        <w:rPr>
          <w:sz w:val="21"/>
          <w:szCs w:val="21"/>
        </w:rPr>
        <w:t>审核员帐号（角色）与系统管理员帐号（角色）应独立分开，且互相制约。日志记录应包括事件发生的时间、地点、类型、主体、客体和结果（成功或失败）等相关信息。应部署数据库审计系统，对数据库的操作修改进行安全审计。应用系统应提供集中审计接口，将日志汇集至日志审计系统，定期分析汇总收集的日志。</w:t>
      </w:r>
    </w:p>
    <w:p>
      <w:pPr>
        <w:pStyle w:val="10"/>
        <w:spacing w:line="360" w:lineRule="auto"/>
        <w:ind w:firstLine="420"/>
        <w:rPr>
          <w:sz w:val="21"/>
          <w:szCs w:val="21"/>
        </w:rPr>
      </w:pPr>
      <w:r>
        <w:rPr>
          <w:rFonts w:hint="eastAsia"/>
          <w:sz w:val="21"/>
          <w:szCs w:val="21"/>
        </w:rPr>
        <w:t>综上所述，各监狱应采购部署日志审计系统，满足“</w:t>
      </w:r>
      <w:r>
        <w:rPr>
          <w:sz w:val="21"/>
          <w:szCs w:val="21"/>
        </w:rPr>
        <w:t>网络安全等级保护</w:t>
      </w:r>
      <w:r>
        <w:rPr>
          <w:rFonts w:hint="eastAsia"/>
          <w:sz w:val="21"/>
          <w:szCs w:val="21"/>
        </w:rPr>
        <w:t>三级的基本要求、</w:t>
      </w:r>
      <w:r>
        <w:rPr>
          <w:sz w:val="21"/>
          <w:szCs w:val="21"/>
        </w:rPr>
        <w:t>司法行政信息化总体技术规范</w:t>
      </w:r>
      <w:r>
        <w:rPr>
          <w:rFonts w:hint="eastAsia"/>
          <w:sz w:val="21"/>
          <w:szCs w:val="21"/>
        </w:rPr>
        <w:t>、</w:t>
      </w:r>
      <w:r>
        <w:rPr>
          <w:sz w:val="21"/>
          <w:szCs w:val="21"/>
        </w:rPr>
        <w:t>智慧监狱技术规范</w:t>
      </w:r>
      <w:r>
        <w:rPr>
          <w:rFonts w:hint="eastAsia"/>
          <w:sz w:val="21"/>
          <w:szCs w:val="21"/>
        </w:rPr>
        <w:t>”等运维要求。考虑到已有设备利旧，本次仅采购18个监狱的日志审计设备。</w:t>
      </w:r>
    </w:p>
    <w:p>
      <w:pPr>
        <w:pStyle w:val="10"/>
        <w:spacing w:line="360" w:lineRule="auto"/>
        <w:ind w:firstLine="0" w:firstLineChars="0"/>
        <w:rPr>
          <w:sz w:val="21"/>
          <w:szCs w:val="21"/>
        </w:rPr>
      </w:pPr>
      <w:r>
        <w:rPr>
          <w:rFonts w:hint="eastAsia"/>
          <w:sz w:val="21"/>
          <w:szCs w:val="21"/>
        </w:rPr>
        <w:t>（二）国产化要求</w:t>
      </w:r>
    </w:p>
    <w:p>
      <w:pPr>
        <w:pStyle w:val="10"/>
        <w:spacing w:line="360" w:lineRule="auto"/>
        <w:ind w:firstLine="420"/>
        <w:rPr>
          <w:b/>
          <w:bCs/>
          <w:sz w:val="21"/>
          <w:szCs w:val="21"/>
        </w:rPr>
      </w:pPr>
      <w:r>
        <w:rPr>
          <w:rFonts w:hint="eastAsia"/>
          <w:sz w:val="21"/>
          <w:szCs w:val="21"/>
        </w:rPr>
        <w:t>产品应符合国产化自主可控要求。</w:t>
      </w:r>
      <w:r>
        <w:rPr>
          <w:rFonts w:hint="eastAsia"/>
          <w:b/>
          <w:bCs/>
          <w:sz w:val="21"/>
          <w:szCs w:val="21"/>
        </w:rPr>
        <w:t>（投标人须提供承诺函，未按要求提供的按无效投标处理）</w:t>
      </w:r>
    </w:p>
    <w:p>
      <w:pPr>
        <w:pStyle w:val="10"/>
        <w:spacing w:line="360" w:lineRule="auto"/>
        <w:ind w:firstLine="0" w:firstLineChars="0"/>
        <w:rPr>
          <w:sz w:val="21"/>
          <w:szCs w:val="21"/>
        </w:rPr>
      </w:pPr>
      <w:r>
        <w:rPr>
          <w:rFonts w:hint="eastAsia"/>
          <w:sz w:val="21"/>
          <w:szCs w:val="21"/>
        </w:rPr>
        <w:t>（三）总体设计</w:t>
      </w:r>
    </w:p>
    <w:p>
      <w:pPr>
        <w:pStyle w:val="10"/>
        <w:spacing w:line="360" w:lineRule="auto"/>
        <w:ind w:firstLine="420"/>
        <w:rPr>
          <w:sz w:val="21"/>
          <w:szCs w:val="21"/>
        </w:rPr>
      </w:pPr>
      <w:r>
        <w:rPr>
          <w:rFonts w:hint="eastAsia"/>
          <w:sz w:val="21"/>
          <w:szCs w:val="21"/>
        </w:rPr>
        <w:t>1.安全保障总体框架</w:t>
      </w:r>
    </w:p>
    <w:p>
      <w:pPr>
        <w:pStyle w:val="10"/>
        <w:spacing w:line="360" w:lineRule="auto"/>
        <w:ind w:firstLine="420"/>
        <w:rPr>
          <w:sz w:val="21"/>
          <w:szCs w:val="21"/>
        </w:rPr>
      </w:pPr>
      <w:r>
        <w:rPr>
          <w:rFonts w:hint="eastAsia"/>
          <w:sz w:val="21"/>
          <w:szCs w:val="21"/>
        </w:rPr>
        <w:t>网络安全保障框架采用“三横两纵”总体架构。“三横”即从网络安全目标出发，明确网络决策治理活动，以安全运营管理中心为服务支撑，引领网络安全工作方向，“盘活”智慧监狱网络安全保障工作流程，使其有序运转。“两纵”即网络安全管理与技术保障体系，结合监狱场景，明确网络安全管理与技术保障能力的集合，作为网络安全架构管控的抓手，是网络安全体系化、常态化、实战化防御的基础，指引监狱网络安全建设。网络安全保障框架重点围绕“122”开展网络安全能力建设,建设内容包括“一目标、二中心、二保障”。</w:t>
      </w:r>
    </w:p>
    <w:p>
      <w:pPr>
        <w:spacing w:line="360" w:lineRule="auto"/>
      </w:pPr>
      <w:r>
        <w:rPr>
          <w:rFonts w:hint="eastAsia"/>
        </w:rPr>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5276850" cy="2383790"/>
            <wp:effectExtent l="0" t="0" r="0" b="1651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5276850" cy="2383790"/>
                    </a:xfrm>
                    <a:prstGeom prst="rect">
                      <a:avLst/>
                    </a:prstGeom>
                  </pic:spPr>
                </pic:pic>
              </a:graphicData>
            </a:graphic>
          </wp:anchor>
        </w:drawing>
      </w:r>
    </w:p>
    <w:p>
      <w:pPr>
        <w:pStyle w:val="2"/>
        <w:spacing w:line="360" w:lineRule="auto"/>
      </w:pPr>
    </w:p>
    <w:p>
      <w:pPr>
        <w:pStyle w:val="4"/>
        <w:spacing w:line="360" w:lineRule="auto"/>
      </w:pPr>
    </w:p>
    <w:p>
      <w:pPr>
        <w:spacing w:line="360" w:lineRule="auto"/>
      </w:pPr>
    </w:p>
    <w:p>
      <w:pPr>
        <w:pStyle w:val="2"/>
        <w:spacing w:line="360" w:lineRule="auto"/>
      </w:pPr>
    </w:p>
    <w:p>
      <w:pPr>
        <w:pStyle w:val="2"/>
        <w:spacing w:line="360" w:lineRule="auto"/>
      </w:pPr>
    </w:p>
    <w:p>
      <w:pPr>
        <w:pStyle w:val="2"/>
        <w:spacing w:line="360" w:lineRule="auto"/>
      </w:pPr>
    </w:p>
    <w:p>
      <w:pPr>
        <w:pStyle w:val="3"/>
        <w:spacing w:line="360" w:lineRule="auto"/>
        <w:ind w:left="0" w:leftChars="0" w:firstLine="0" w:firstLineChars="0"/>
      </w:pPr>
    </w:p>
    <w:p>
      <w:pPr>
        <w:pStyle w:val="3"/>
        <w:spacing w:line="360" w:lineRule="auto"/>
        <w:ind w:firstLine="0"/>
        <w:rPr>
          <w:sz w:val="21"/>
          <w:szCs w:val="21"/>
        </w:rPr>
      </w:pPr>
      <w:r>
        <w:rPr>
          <w:rFonts w:hint="eastAsia"/>
          <w:sz w:val="21"/>
          <w:szCs w:val="21"/>
        </w:rPr>
        <w:t>2.威胁感知中心架构</w:t>
      </w:r>
    </w:p>
    <w:p>
      <w:pPr>
        <w:pStyle w:val="4"/>
        <w:spacing w:line="360" w:lineRule="auto"/>
      </w:pPr>
      <w:r>
        <w:drawing>
          <wp:anchor distT="0" distB="0" distL="114300" distR="114300" simplePos="0" relativeHeight="251660288" behindDoc="0" locked="0" layoutInCell="1" allowOverlap="1">
            <wp:simplePos x="0" y="0"/>
            <wp:positionH relativeFrom="column">
              <wp:posOffset>-227965</wp:posOffset>
            </wp:positionH>
            <wp:positionV relativeFrom="paragraph">
              <wp:posOffset>24765</wp:posOffset>
            </wp:positionV>
            <wp:extent cx="5599430" cy="2905760"/>
            <wp:effectExtent l="0" t="0" r="1270" b="8890"/>
            <wp:wrapNone/>
            <wp:docPr id="4" name="图片 4" descr="C:\Users\Administrator\Pictures\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Pictures\图.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99430" cy="2905760"/>
                    </a:xfrm>
                    <a:prstGeom prst="rect">
                      <a:avLst/>
                    </a:prstGeom>
                    <a:noFill/>
                    <a:ln>
                      <a:noFill/>
                    </a:ln>
                  </pic:spPr>
                </pic:pic>
              </a:graphicData>
            </a:graphic>
          </wp:anchor>
        </w:drawing>
      </w:r>
    </w:p>
    <w:p>
      <w:pPr>
        <w:spacing w:line="360" w:lineRule="auto"/>
      </w:pPr>
    </w:p>
    <w:p>
      <w:pPr>
        <w:pStyle w:val="2"/>
        <w:spacing w:line="360" w:lineRule="auto"/>
      </w:pPr>
    </w:p>
    <w:p>
      <w:pPr>
        <w:pStyle w:val="3"/>
        <w:spacing w:line="360" w:lineRule="auto"/>
      </w:pPr>
    </w:p>
    <w:p>
      <w:pPr>
        <w:pStyle w:val="4"/>
        <w:spacing w:line="360" w:lineRule="auto"/>
      </w:pPr>
    </w:p>
    <w:p>
      <w:pPr>
        <w:spacing w:line="360" w:lineRule="auto"/>
      </w:pPr>
    </w:p>
    <w:p>
      <w:pPr>
        <w:pStyle w:val="2"/>
        <w:spacing w:line="360" w:lineRule="auto"/>
      </w:pPr>
    </w:p>
    <w:p>
      <w:pPr>
        <w:pStyle w:val="3"/>
        <w:spacing w:line="360" w:lineRule="auto"/>
      </w:pPr>
    </w:p>
    <w:p>
      <w:pPr>
        <w:pStyle w:val="3"/>
        <w:spacing w:line="360" w:lineRule="auto"/>
        <w:ind w:firstLine="0"/>
        <w:rPr>
          <w:sz w:val="21"/>
          <w:szCs w:val="24"/>
        </w:rPr>
      </w:pPr>
    </w:p>
    <w:p>
      <w:pPr>
        <w:pStyle w:val="3"/>
        <w:spacing w:line="360" w:lineRule="auto"/>
        <w:ind w:firstLine="0"/>
        <w:rPr>
          <w:sz w:val="21"/>
          <w:szCs w:val="24"/>
        </w:rPr>
      </w:pPr>
    </w:p>
    <w:p>
      <w:pPr>
        <w:pStyle w:val="3"/>
        <w:spacing w:line="360" w:lineRule="auto"/>
        <w:ind w:firstLine="0"/>
        <w:rPr>
          <w:sz w:val="21"/>
          <w:szCs w:val="21"/>
        </w:rPr>
      </w:pPr>
      <w:r>
        <w:rPr>
          <w:rFonts w:hint="eastAsia"/>
          <w:sz w:val="21"/>
          <w:szCs w:val="24"/>
        </w:rPr>
        <w:t>4.</w:t>
      </w:r>
      <w:r>
        <w:rPr>
          <w:rFonts w:hint="eastAsia"/>
          <w:sz w:val="21"/>
          <w:szCs w:val="21"/>
        </w:rPr>
        <w:t>现有网络拓扑</w:t>
      </w:r>
    </w:p>
    <w:p>
      <w:pPr>
        <w:pStyle w:val="4"/>
        <w:spacing w:line="360" w:lineRule="auto"/>
        <w:ind w:leftChars="0" w:firstLineChars="0"/>
      </w:pPr>
      <w:r>
        <w:drawing>
          <wp:anchor distT="0" distB="0" distL="114300" distR="114300" simplePos="0" relativeHeight="251661312" behindDoc="0" locked="0" layoutInCell="1" allowOverlap="1">
            <wp:simplePos x="0" y="0"/>
            <wp:positionH relativeFrom="column">
              <wp:posOffset>31115</wp:posOffset>
            </wp:positionH>
            <wp:positionV relativeFrom="paragraph">
              <wp:posOffset>52070</wp:posOffset>
            </wp:positionV>
            <wp:extent cx="5279390" cy="3723640"/>
            <wp:effectExtent l="0" t="0" r="16510" b="10160"/>
            <wp:wrapNone/>
            <wp:docPr id="9" name="图片 8" descr="网络拓扑图1-0510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网络拓扑图1-0510_页面_1.jpg"/>
                    <pic:cNvPicPr>
                      <a:picLocks noChangeAspect="1"/>
                    </pic:cNvPicPr>
                  </pic:nvPicPr>
                  <pic:blipFill>
                    <a:blip r:embed="rId6" cstate="print"/>
                    <a:stretch>
                      <a:fillRect/>
                    </a:stretch>
                  </pic:blipFill>
                  <pic:spPr>
                    <a:xfrm>
                      <a:off x="0" y="0"/>
                      <a:ext cx="5279390" cy="3723640"/>
                    </a:xfrm>
                    <a:prstGeom prst="rect">
                      <a:avLst/>
                    </a:prstGeom>
                  </pic:spPr>
                </pic:pic>
              </a:graphicData>
            </a:graphic>
          </wp:anchor>
        </w:drawing>
      </w:r>
    </w:p>
    <w:p>
      <w:pPr>
        <w:spacing w:line="360" w:lineRule="auto"/>
      </w:pPr>
    </w:p>
    <w:p>
      <w:pPr>
        <w:pStyle w:val="2"/>
        <w:spacing w:line="360" w:lineRule="auto"/>
      </w:pPr>
    </w:p>
    <w:p>
      <w:pPr>
        <w:pStyle w:val="3"/>
        <w:spacing w:line="360" w:lineRule="auto"/>
      </w:pPr>
    </w:p>
    <w:p>
      <w:pPr>
        <w:pStyle w:val="4"/>
        <w:spacing w:line="360" w:lineRule="auto"/>
      </w:pPr>
    </w:p>
    <w:p>
      <w:pPr>
        <w:spacing w:line="360" w:lineRule="auto"/>
      </w:pPr>
    </w:p>
    <w:p>
      <w:pPr>
        <w:pStyle w:val="2"/>
        <w:spacing w:line="360" w:lineRule="auto"/>
      </w:pPr>
    </w:p>
    <w:p>
      <w:pPr>
        <w:pStyle w:val="3"/>
        <w:spacing w:line="360" w:lineRule="auto"/>
      </w:pPr>
    </w:p>
    <w:p>
      <w:pPr>
        <w:pStyle w:val="4"/>
        <w:spacing w:line="360" w:lineRule="auto"/>
      </w:pPr>
    </w:p>
    <w:p>
      <w:pPr>
        <w:spacing w:line="360" w:lineRule="auto"/>
      </w:pPr>
    </w:p>
    <w:p>
      <w:pPr>
        <w:pStyle w:val="4"/>
        <w:spacing w:line="360" w:lineRule="auto"/>
        <w:ind w:left="0" w:leftChars="0" w:firstLine="0" w:firstLineChars="0"/>
        <w:rPr>
          <w:szCs w:val="21"/>
        </w:rPr>
      </w:pPr>
    </w:p>
    <w:p>
      <w:pPr>
        <w:spacing w:line="360" w:lineRule="auto"/>
      </w:pPr>
      <w:r>
        <w:drawing>
          <wp:anchor distT="0" distB="0" distL="114300" distR="114300" simplePos="0" relativeHeight="251662336" behindDoc="0" locked="0" layoutInCell="1" allowOverlap="1">
            <wp:simplePos x="0" y="0"/>
            <wp:positionH relativeFrom="column">
              <wp:posOffset>300355</wp:posOffset>
            </wp:positionH>
            <wp:positionV relativeFrom="paragraph">
              <wp:posOffset>82550</wp:posOffset>
            </wp:positionV>
            <wp:extent cx="4705350" cy="4094480"/>
            <wp:effectExtent l="0" t="0" r="0" b="1270"/>
            <wp:wrapNone/>
            <wp:docPr id="10" name="图片 9" descr="网络拓扑图1-0510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网络拓扑图1-0510_页面_2.jpg"/>
                    <pic:cNvPicPr>
                      <a:picLocks noChangeAspect="1"/>
                    </pic:cNvPicPr>
                  </pic:nvPicPr>
                  <pic:blipFill>
                    <a:blip r:embed="rId7" cstate="print"/>
                    <a:stretch>
                      <a:fillRect/>
                    </a:stretch>
                  </pic:blipFill>
                  <pic:spPr>
                    <a:xfrm>
                      <a:off x="0" y="0"/>
                      <a:ext cx="4705350" cy="4094480"/>
                    </a:xfrm>
                    <a:prstGeom prst="rect">
                      <a:avLst/>
                    </a:prstGeom>
                  </pic:spPr>
                </pic:pic>
              </a:graphicData>
            </a:graphic>
          </wp:anchor>
        </w:drawing>
      </w:r>
    </w:p>
    <w:p>
      <w:pPr>
        <w:spacing w:line="360" w:lineRule="auto"/>
      </w:pPr>
    </w:p>
    <w:p>
      <w:pPr>
        <w:spacing w:line="360" w:lineRule="auto"/>
      </w:pPr>
    </w:p>
    <w:p>
      <w:pPr>
        <w:pStyle w:val="2"/>
        <w:spacing w:line="360" w:lineRule="auto"/>
      </w:pPr>
    </w:p>
    <w:p>
      <w:pPr>
        <w:pStyle w:val="3"/>
        <w:spacing w:line="360" w:lineRule="auto"/>
      </w:pPr>
    </w:p>
    <w:p>
      <w:pPr>
        <w:pStyle w:val="4"/>
        <w:spacing w:line="360" w:lineRule="auto"/>
      </w:pPr>
    </w:p>
    <w:p>
      <w:pPr>
        <w:spacing w:line="360" w:lineRule="auto"/>
      </w:pPr>
    </w:p>
    <w:p>
      <w:pPr>
        <w:pStyle w:val="3"/>
        <w:spacing w:line="360" w:lineRule="auto"/>
      </w:pPr>
    </w:p>
    <w:p>
      <w:pPr>
        <w:pStyle w:val="4"/>
        <w:spacing w:line="360" w:lineRule="auto"/>
      </w:pPr>
    </w:p>
    <w:p>
      <w:pPr>
        <w:spacing w:line="360" w:lineRule="auto"/>
      </w:pPr>
    </w:p>
    <w:p>
      <w:pPr>
        <w:pStyle w:val="2"/>
        <w:spacing w:line="360" w:lineRule="auto"/>
      </w:pPr>
    </w:p>
    <w:p>
      <w:pPr>
        <w:pStyle w:val="4"/>
        <w:spacing w:line="360" w:lineRule="auto"/>
        <w:ind w:left="0" w:leftChars="0" w:firstLine="0" w:firstLineChars="0"/>
      </w:pPr>
    </w:p>
    <w:p>
      <w:pPr>
        <w:spacing w:line="360" w:lineRule="auto"/>
        <w:rPr>
          <w:rFonts w:ascii="宋体" w:hAnsi="宋体" w:cs="宋体"/>
          <w:szCs w:val="21"/>
        </w:rPr>
      </w:pPr>
      <w:r>
        <w:rPr>
          <w:rFonts w:hint="eastAsia" w:ascii="宋体" w:hAnsi="宋体" w:cs="宋体"/>
          <w:szCs w:val="21"/>
        </w:rPr>
        <w:t>（四）采购内容（含参数及功能要求）</w:t>
      </w:r>
      <w:r>
        <w:rPr>
          <w:rFonts w:hint="eastAsia" w:ascii="宋体" w:hAnsi="宋体" w:cs="宋体"/>
          <w:b/>
          <w:bCs/>
          <w:szCs w:val="21"/>
        </w:rPr>
        <w:t>（本条款属于不允许负偏离的实质性要求）</w:t>
      </w:r>
    </w:p>
    <w:p>
      <w:pPr>
        <w:spacing w:line="360" w:lineRule="auto"/>
        <w:jc w:val="center"/>
        <w:rPr>
          <w:rFonts w:ascii="宋体" w:hAnsi="宋体" w:cs="宋体"/>
          <w:szCs w:val="21"/>
        </w:rPr>
      </w:pPr>
      <w:r>
        <w:rPr>
          <w:rFonts w:hint="eastAsia" w:ascii="宋体" w:hAnsi="宋体" w:cs="宋体"/>
          <w:szCs w:val="21"/>
        </w:rPr>
        <w:t>1.安全产品清单</w:t>
      </w:r>
    </w:p>
    <w:tbl>
      <w:tblPr>
        <w:tblStyle w:val="8"/>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805"/>
        <w:gridCol w:w="4018"/>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10" w:type="dxa"/>
          </w:tcPr>
          <w:p>
            <w:pPr>
              <w:spacing w:line="360" w:lineRule="auto"/>
              <w:rPr>
                <w:rFonts w:ascii="宋体" w:hAnsi="宋体" w:cs="宋体"/>
                <w:szCs w:val="21"/>
              </w:rPr>
            </w:pPr>
          </w:p>
        </w:tc>
        <w:tc>
          <w:tcPr>
            <w:tcW w:w="805" w:type="dxa"/>
          </w:tcPr>
          <w:p>
            <w:pPr>
              <w:spacing w:line="360" w:lineRule="auto"/>
              <w:rPr>
                <w:rFonts w:ascii="宋体" w:hAnsi="宋体" w:cs="宋体"/>
                <w:szCs w:val="21"/>
              </w:rPr>
            </w:pPr>
            <w:r>
              <w:rPr>
                <w:rFonts w:hint="eastAsia" w:ascii="宋体" w:hAnsi="宋体" w:cs="宋体"/>
                <w:szCs w:val="21"/>
              </w:rPr>
              <w:t>序号</w:t>
            </w:r>
          </w:p>
        </w:tc>
        <w:tc>
          <w:tcPr>
            <w:tcW w:w="4018" w:type="dxa"/>
          </w:tcPr>
          <w:p>
            <w:pPr>
              <w:spacing w:line="360" w:lineRule="auto"/>
              <w:rPr>
                <w:rFonts w:ascii="宋体" w:hAnsi="宋体" w:cs="宋体"/>
                <w:szCs w:val="21"/>
              </w:rPr>
            </w:pPr>
            <w:r>
              <w:rPr>
                <w:rFonts w:hint="eastAsia" w:ascii="宋体" w:hAnsi="宋体" w:cs="宋体"/>
                <w:szCs w:val="21"/>
              </w:rPr>
              <w:t>安全产品</w:t>
            </w:r>
          </w:p>
        </w:tc>
        <w:tc>
          <w:tcPr>
            <w:tcW w:w="1605" w:type="dxa"/>
          </w:tcPr>
          <w:p>
            <w:pPr>
              <w:spacing w:line="360" w:lineRule="auto"/>
              <w:rPr>
                <w:rFonts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10" w:type="dxa"/>
            <w:vMerge w:val="restart"/>
          </w:tcPr>
          <w:p>
            <w:pPr>
              <w:spacing w:line="360" w:lineRule="auto"/>
              <w:rPr>
                <w:rFonts w:ascii="宋体" w:hAnsi="宋体" w:cs="宋体"/>
                <w:szCs w:val="21"/>
              </w:rPr>
            </w:pPr>
            <w:r>
              <w:rPr>
                <w:rFonts w:hint="eastAsia" w:ascii="宋体" w:hAnsi="宋体" w:cs="宋体"/>
                <w:szCs w:val="21"/>
              </w:rPr>
              <w:t>河南省监狱管理局</w:t>
            </w:r>
          </w:p>
        </w:tc>
        <w:tc>
          <w:tcPr>
            <w:tcW w:w="805" w:type="dxa"/>
          </w:tcPr>
          <w:p>
            <w:pPr>
              <w:spacing w:line="360" w:lineRule="auto"/>
              <w:jc w:val="center"/>
              <w:rPr>
                <w:rFonts w:ascii="宋体" w:hAnsi="宋体" w:cs="宋体"/>
                <w:szCs w:val="21"/>
              </w:rPr>
            </w:pPr>
            <w:r>
              <w:rPr>
                <w:rFonts w:hint="eastAsia" w:ascii="宋体" w:hAnsi="宋体" w:cs="宋体"/>
                <w:szCs w:val="21"/>
              </w:rPr>
              <w:t>1</w:t>
            </w:r>
          </w:p>
        </w:tc>
        <w:tc>
          <w:tcPr>
            <w:tcW w:w="4018" w:type="dxa"/>
          </w:tcPr>
          <w:p>
            <w:pPr>
              <w:spacing w:line="360" w:lineRule="auto"/>
              <w:rPr>
                <w:rFonts w:ascii="宋体" w:hAnsi="宋体" w:cs="宋体"/>
                <w:szCs w:val="21"/>
              </w:rPr>
            </w:pPr>
            <w:r>
              <w:rPr>
                <w:rFonts w:hint="eastAsia" w:ascii="宋体" w:hAnsi="宋体" w:cs="宋体"/>
                <w:szCs w:val="21"/>
              </w:rPr>
              <w:t>安全运营决策响应系统</w:t>
            </w:r>
          </w:p>
        </w:tc>
        <w:tc>
          <w:tcPr>
            <w:tcW w:w="1605" w:type="dxa"/>
          </w:tcPr>
          <w:p>
            <w:pPr>
              <w:spacing w:line="360" w:lineRule="auto"/>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10" w:type="dxa"/>
            <w:vMerge w:val="continue"/>
          </w:tcPr>
          <w:p>
            <w:pPr>
              <w:spacing w:line="360" w:lineRule="auto"/>
              <w:rPr>
                <w:rFonts w:ascii="宋体" w:hAnsi="宋体" w:cs="宋体"/>
                <w:szCs w:val="21"/>
              </w:rPr>
            </w:pPr>
          </w:p>
        </w:tc>
        <w:tc>
          <w:tcPr>
            <w:tcW w:w="805" w:type="dxa"/>
          </w:tcPr>
          <w:p>
            <w:pPr>
              <w:spacing w:line="360" w:lineRule="auto"/>
              <w:jc w:val="center"/>
              <w:rPr>
                <w:rFonts w:ascii="宋体" w:hAnsi="宋体" w:cs="宋体"/>
                <w:szCs w:val="21"/>
              </w:rPr>
            </w:pPr>
            <w:r>
              <w:rPr>
                <w:rFonts w:hint="eastAsia" w:ascii="宋体" w:hAnsi="宋体" w:cs="宋体"/>
                <w:szCs w:val="21"/>
              </w:rPr>
              <w:t>2</w:t>
            </w:r>
          </w:p>
        </w:tc>
        <w:tc>
          <w:tcPr>
            <w:tcW w:w="4018" w:type="dxa"/>
          </w:tcPr>
          <w:p>
            <w:pPr>
              <w:spacing w:line="360" w:lineRule="auto"/>
              <w:rPr>
                <w:rFonts w:ascii="宋体" w:hAnsi="宋体" w:cs="宋体"/>
                <w:szCs w:val="21"/>
              </w:rPr>
            </w:pPr>
            <w:r>
              <w:rPr>
                <w:rFonts w:hint="eastAsia" w:ascii="宋体" w:hAnsi="宋体" w:cs="宋体"/>
                <w:szCs w:val="21"/>
              </w:rPr>
              <w:t>态势感知系统</w:t>
            </w:r>
          </w:p>
        </w:tc>
        <w:tc>
          <w:tcPr>
            <w:tcW w:w="1605" w:type="dxa"/>
          </w:tcPr>
          <w:p>
            <w:pPr>
              <w:spacing w:line="360" w:lineRule="auto"/>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10" w:type="dxa"/>
            <w:vMerge w:val="continue"/>
          </w:tcPr>
          <w:p>
            <w:pPr>
              <w:spacing w:line="360" w:lineRule="auto"/>
              <w:rPr>
                <w:rFonts w:ascii="宋体" w:hAnsi="宋体" w:cs="宋体"/>
                <w:szCs w:val="21"/>
              </w:rPr>
            </w:pPr>
          </w:p>
        </w:tc>
        <w:tc>
          <w:tcPr>
            <w:tcW w:w="805" w:type="dxa"/>
          </w:tcPr>
          <w:p>
            <w:pPr>
              <w:spacing w:line="360" w:lineRule="auto"/>
              <w:jc w:val="center"/>
              <w:rPr>
                <w:rFonts w:ascii="宋体" w:hAnsi="宋体" w:cs="宋体"/>
                <w:szCs w:val="21"/>
              </w:rPr>
            </w:pPr>
            <w:r>
              <w:rPr>
                <w:rFonts w:hint="eastAsia" w:ascii="宋体" w:hAnsi="宋体" w:cs="宋体"/>
                <w:szCs w:val="21"/>
              </w:rPr>
              <w:t>3</w:t>
            </w:r>
          </w:p>
        </w:tc>
        <w:tc>
          <w:tcPr>
            <w:tcW w:w="4018" w:type="dxa"/>
          </w:tcPr>
          <w:p>
            <w:pPr>
              <w:spacing w:line="360" w:lineRule="auto"/>
              <w:rPr>
                <w:rFonts w:ascii="宋体" w:hAnsi="宋体" w:cs="宋体"/>
                <w:szCs w:val="21"/>
              </w:rPr>
            </w:pPr>
            <w:r>
              <w:rPr>
                <w:rFonts w:hint="eastAsia" w:ascii="宋体" w:hAnsi="宋体" w:cs="宋体"/>
                <w:szCs w:val="21"/>
              </w:rPr>
              <w:t>安全准入系统</w:t>
            </w:r>
          </w:p>
        </w:tc>
        <w:tc>
          <w:tcPr>
            <w:tcW w:w="1605" w:type="dxa"/>
          </w:tcPr>
          <w:p>
            <w:pPr>
              <w:spacing w:line="360" w:lineRule="auto"/>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10" w:type="dxa"/>
            <w:vMerge w:val="restart"/>
          </w:tcPr>
          <w:p>
            <w:pPr>
              <w:spacing w:line="360" w:lineRule="auto"/>
              <w:rPr>
                <w:rFonts w:ascii="宋体" w:hAnsi="宋体" w:cs="宋体"/>
                <w:szCs w:val="21"/>
              </w:rPr>
            </w:pPr>
            <w:r>
              <w:rPr>
                <w:rFonts w:hint="eastAsia" w:ascii="宋体" w:hAnsi="宋体" w:cs="宋体"/>
                <w:szCs w:val="21"/>
              </w:rPr>
              <w:t>24所省属监狱</w:t>
            </w:r>
          </w:p>
        </w:tc>
        <w:tc>
          <w:tcPr>
            <w:tcW w:w="805" w:type="dxa"/>
          </w:tcPr>
          <w:p>
            <w:pPr>
              <w:spacing w:line="360" w:lineRule="auto"/>
              <w:jc w:val="center"/>
              <w:rPr>
                <w:rFonts w:ascii="宋体" w:hAnsi="宋体" w:cs="宋体"/>
                <w:szCs w:val="21"/>
              </w:rPr>
            </w:pPr>
            <w:r>
              <w:rPr>
                <w:rFonts w:hint="eastAsia" w:ascii="宋体" w:hAnsi="宋体" w:cs="宋体"/>
                <w:szCs w:val="21"/>
              </w:rPr>
              <w:t>1</w:t>
            </w:r>
          </w:p>
        </w:tc>
        <w:tc>
          <w:tcPr>
            <w:tcW w:w="4018" w:type="dxa"/>
          </w:tcPr>
          <w:p>
            <w:pPr>
              <w:spacing w:line="360" w:lineRule="auto"/>
              <w:rPr>
                <w:rFonts w:ascii="宋体" w:hAnsi="宋体" w:cs="宋体"/>
                <w:szCs w:val="21"/>
              </w:rPr>
            </w:pPr>
            <w:r>
              <w:rPr>
                <w:rFonts w:hint="eastAsia" w:ascii="宋体" w:hAnsi="宋体" w:cs="宋体"/>
                <w:szCs w:val="21"/>
              </w:rPr>
              <w:t>态势感知探针</w:t>
            </w:r>
          </w:p>
        </w:tc>
        <w:tc>
          <w:tcPr>
            <w:tcW w:w="1605" w:type="dxa"/>
          </w:tcPr>
          <w:p>
            <w:pPr>
              <w:spacing w:line="360" w:lineRule="auto"/>
              <w:rPr>
                <w:rFonts w:ascii="宋体" w:hAnsi="宋体" w:cs="宋体"/>
                <w:szCs w:val="21"/>
              </w:rPr>
            </w:pPr>
            <w:r>
              <w:rPr>
                <w:rFonts w:hint="eastAsia" w:ascii="宋体" w:hAnsi="宋体" w:cs="宋体"/>
                <w:szCs w:val="21"/>
              </w:rPr>
              <w:t>23台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10" w:type="dxa"/>
            <w:vMerge w:val="continue"/>
          </w:tcPr>
          <w:p>
            <w:pPr>
              <w:spacing w:line="360" w:lineRule="auto"/>
              <w:rPr>
                <w:rFonts w:ascii="宋体" w:hAnsi="宋体" w:cs="宋体"/>
                <w:szCs w:val="21"/>
              </w:rPr>
            </w:pPr>
          </w:p>
        </w:tc>
        <w:tc>
          <w:tcPr>
            <w:tcW w:w="805" w:type="dxa"/>
          </w:tcPr>
          <w:p>
            <w:pPr>
              <w:spacing w:line="360" w:lineRule="auto"/>
              <w:jc w:val="center"/>
              <w:rPr>
                <w:rFonts w:ascii="宋体" w:hAnsi="宋体" w:cs="宋体"/>
                <w:szCs w:val="21"/>
              </w:rPr>
            </w:pPr>
            <w:r>
              <w:rPr>
                <w:rFonts w:hint="eastAsia" w:ascii="宋体" w:hAnsi="宋体" w:cs="宋体"/>
                <w:szCs w:val="21"/>
              </w:rPr>
              <w:t>2</w:t>
            </w:r>
          </w:p>
        </w:tc>
        <w:tc>
          <w:tcPr>
            <w:tcW w:w="4018" w:type="dxa"/>
          </w:tcPr>
          <w:p>
            <w:pPr>
              <w:spacing w:line="360" w:lineRule="auto"/>
              <w:rPr>
                <w:rFonts w:ascii="宋体" w:hAnsi="宋体" w:cs="宋体"/>
                <w:szCs w:val="21"/>
              </w:rPr>
            </w:pPr>
            <w:r>
              <w:rPr>
                <w:rFonts w:hint="eastAsia" w:ascii="宋体" w:hAnsi="宋体" w:cs="宋体"/>
                <w:szCs w:val="21"/>
              </w:rPr>
              <w:t>安全准入系统</w:t>
            </w:r>
          </w:p>
        </w:tc>
        <w:tc>
          <w:tcPr>
            <w:tcW w:w="1605" w:type="dxa"/>
          </w:tcPr>
          <w:p>
            <w:pPr>
              <w:spacing w:line="360" w:lineRule="auto"/>
              <w:rPr>
                <w:rFonts w:ascii="宋体" w:hAnsi="宋体" w:cs="宋体"/>
                <w:szCs w:val="21"/>
              </w:rPr>
            </w:pPr>
            <w:r>
              <w:rPr>
                <w:rFonts w:hint="eastAsia" w:ascii="宋体" w:hAnsi="宋体" w:cs="宋体"/>
                <w:szCs w:val="21"/>
              </w:rPr>
              <w:t>24套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10" w:type="dxa"/>
            <w:vMerge w:val="continue"/>
          </w:tcPr>
          <w:p>
            <w:pPr>
              <w:spacing w:line="360" w:lineRule="auto"/>
              <w:rPr>
                <w:rFonts w:ascii="宋体" w:hAnsi="宋体" w:cs="宋体"/>
                <w:szCs w:val="21"/>
              </w:rPr>
            </w:pPr>
          </w:p>
        </w:tc>
        <w:tc>
          <w:tcPr>
            <w:tcW w:w="805" w:type="dxa"/>
          </w:tcPr>
          <w:p>
            <w:pPr>
              <w:spacing w:line="360" w:lineRule="auto"/>
              <w:jc w:val="center"/>
              <w:rPr>
                <w:rFonts w:ascii="宋体" w:hAnsi="宋体" w:cs="宋体"/>
                <w:szCs w:val="21"/>
              </w:rPr>
            </w:pPr>
            <w:r>
              <w:rPr>
                <w:rFonts w:hint="eastAsia" w:ascii="宋体" w:hAnsi="宋体" w:cs="宋体"/>
                <w:szCs w:val="21"/>
              </w:rPr>
              <w:t>3</w:t>
            </w:r>
          </w:p>
        </w:tc>
        <w:tc>
          <w:tcPr>
            <w:tcW w:w="4018" w:type="dxa"/>
          </w:tcPr>
          <w:p>
            <w:pPr>
              <w:spacing w:line="360" w:lineRule="auto"/>
              <w:rPr>
                <w:rFonts w:ascii="宋体" w:hAnsi="宋体" w:cs="宋体"/>
                <w:szCs w:val="21"/>
              </w:rPr>
            </w:pPr>
            <w:r>
              <w:rPr>
                <w:rFonts w:hint="eastAsia" w:ascii="宋体" w:hAnsi="宋体" w:cs="宋体"/>
                <w:szCs w:val="21"/>
              </w:rPr>
              <w:t>日志审计</w:t>
            </w:r>
          </w:p>
        </w:tc>
        <w:tc>
          <w:tcPr>
            <w:tcW w:w="1605" w:type="dxa"/>
          </w:tcPr>
          <w:p>
            <w:pPr>
              <w:spacing w:line="360" w:lineRule="auto"/>
              <w:rPr>
                <w:rFonts w:ascii="宋体" w:hAnsi="宋体" w:cs="宋体"/>
                <w:szCs w:val="21"/>
              </w:rPr>
            </w:pPr>
            <w:r>
              <w:rPr>
                <w:rFonts w:hint="eastAsia" w:ascii="宋体" w:hAnsi="宋体" w:cs="宋体"/>
                <w:szCs w:val="21"/>
              </w:rPr>
              <w:t>18台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10" w:type="dxa"/>
            <w:vMerge w:val="continue"/>
          </w:tcPr>
          <w:p>
            <w:pPr>
              <w:spacing w:line="360" w:lineRule="auto"/>
              <w:rPr>
                <w:rFonts w:ascii="宋体" w:hAnsi="宋体" w:cs="宋体"/>
                <w:szCs w:val="21"/>
              </w:rPr>
            </w:pPr>
          </w:p>
        </w:tc>
        <w:tc>
          <w:tcPr>
            <w:tcW w:w="805" w:type="dxa"/>
          </w:tcPr>
          <w:p>
            <w:pPr>
              <w:spacing w:line="360" w:lineRule="auto"/>
              <w:jc w:val="center"/>
              <w:rPr>
                <w:rFonts w:ascii="宋体" w:hAnsi="宋体" w:cs="宋体"/>
                <w:szCs w:val="21"/>
              </w:rPr>
            </w:pPr>
            <w:r>
              <w:rPr>
                <w:rFonts w:hint="eastAsia" w:ascii="宋体" w:hAnsi="宋体" w:cs="宋体"/>
                <w:szCs w:val="21"/>
              </w:rPr>
              <w:t>4</w:t>
            </w:r>
          </w:p>
        </w:tc>
        <w:tc>
          <w:tcPr>
            <w:tcW w:w="4018" w:type="dxa"/>
          </w:tcPr>
          <w:p>
            <w:pPr>
              <w:spacing w:line="360" w:lineRule="auto"/>
              <w:rPr>
                <w:rFonts w:ascii="宋体" w:hAnsi="宋体" w:cs="宋体"/>
                <w:szCs w:val="21"/>
              </w:rPr>
            </w:pPr>
            <w:r>
              <w:rPr>
                <w:rFonts w:hint="eastAsia" w:ascii="宋体" w:hAnsi="宋体" w:cs="宋体"/>
                <w:szCs w:val="21"/>
              </w:rPr>
              <w:t>堡垒机</w:t>
            </w:r>
          </w:p>
        </w:tc>
        <w:tc>
          <w:tcPr>
            <w:tcW w:w="1605" w:type="dxa"/>
          </w:tcPr>
          <w:p>
            <w:pPr>
              <w:spacing w:line="360" w:lineRule="auto"/>
              <w:rPr>
                <w:rFonts w:ascii="宋体" w:hAnsi="宋体" w:cs="宋体"/>
                <w:szCs w:val="21"/>
              </w:rPr>
            </w:pPr>
            <w:r>
              <w:rPr>
                <w:rFonts w:hint="eastAsia" w:ascii="宋体" w:hAnsi="宋体" w:cs="宋体"/>
                <w:szCs w:val="21"/>
              </w:rPr>
              <w:t>18台</w:t>
            </w:r>
          </w:p>
        </w:tc>
      </w:tr>
    </w:tbl>
    <w:p>
      <w:pPr>
        <w:spacing w:line="360" w:lineRule="auto"/>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2.河南省监狱管理局安全产品参数及功能要求</w:t>
      </w:r>
    </w:p>
    <w:p>
      <w:pPr>
        <w:spacing w:line="360" w:lineRule="auto"/>
        <w:rPr>
          <w:rFonts w:ascii="宋体" w:hAnsi="宋体" w:cs="宋体"/>
          <w:szCs w:val="21"/>
        </w:rPr>
      </w:pPr>
      <w:r>
        <w:rPr>
          <w:rFonts w:hint="eastAsia" w:ascii="宋体" w:hAnsi="宋体" w:cs="宋体"/>
          <w:szCs w:val="21"/>
        </w:rPr>
        <w:t>2.1安全运营决策响应系统</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05"/>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rPr>
                <w:rFonts w:ascii="宋体" w:hAnsi="宋体" w:cs="宋体"/>
                <w:szCs w:val="21"/>
              </w:rPr>
            </w:pPr>
            <w:r>
              <w:rPr>
                <w:rFonts w:hint="eastAsia" w:ascii="宋体" w:hAnsi="宋体" w:cs="宋体"/>
                <w:szCs w:val="21"/>
              </w:rPr>
              <w:t>序号</w:t>
            </w:r>
          </w:p>
        </w:tc>
        <w:tc>
          <w:tcPr>
            <w:tcW w:w="766" w:type="pct"/>
            <w:shd w:val="clear" w:color="auto" w:fill="auto"/>
            <w:vAlign w:val="center"/>
          </w:tcPr>
          <w:p>
            <w:pPr>
              <w:spacing w:line="360" w:lineRule="auto"/>
              <w:rPr>
                <w:rFonts w:ascii="宋体" w:hAnsi="宋体" w:cs="宋体"/>
                <w:szCs w:val="21"/>
              </w:rPr>
            </w:pPr>
            <w:r>
              <w:rPr>
                <w:rFonts w:hint="eastAsia" w:ascii="宋体" w:hAnsi="宋体" w:cs="宋体"/>
                <w:szCs w:val="21"/>
              </w:rPr>
              <w:t>技术指标</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w:t>
            </w:r>
          </w:p>
        </w:tc>
        <w:tc>
          <w:tcPr>
            <w:tcW w:w="766" w:type="pct"/>
            <w:shd w:val="clear" w:color="auto" w:fill="auto"/>
            <w:vAlign w:val="center"/>
          </w:tcPr>
          <w:p>
            <w:pPr>
              <w:spacing w:line="360" w:lineRule="auto"/>
              <w:rPr>
                <w:rFonts w:ascii="宋体" w:hAnsi="宋体" w:cs="宋体"/>
                <w:szCs w:val="21"/>
              </w:rPr>
            </w:pPr>
            <w:r>
              <w:rPr>
                <w:rFonts w:hint="eastAsia" w:ascii="宋体" w:hAnsi="宋体" w:cs="宋体"/>
                <w:szCs w:val="21"/>
              </w:rPr>
              <w:t>基本要求</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机架式，CPU≥2颗12核，内存≥256G，系统盘≥2块960G固态硬盘；数据盘≥64TB，支持RAID，冗余双电源，≥4个千兆电口，≥2个万兆光口（含模块），事件处理数≥20000EPS，三年质保及软件升级服务。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w:t>
            </w:r>
          </w:p>
        </w:tc>
        <w:tc>
          <w:tcPr>
            <w:tcW w:w="766" w:type="pct"/>
            <w:vMerge w:val="restart"/>
            <w:shd w:val="clear" w:color="auto" w:fill="auto"/>
            <w:vAlign w:val="center"/>
          </w:tcPr>
          <w:p>
            <w:pPr>
              <w:spacing w:line="360" w:lineRule="auto"/>
              <w:rPr>
                <w:rFonts w:ascii="宋体" w:hAnsi="宋体" w:cs="宋体"/>
                <w:szCs w:val="21"/>
              </w:rPr>
            </w:pPr>
            <w:r>
              <w:rPr>
                <w:rFonts w:hint="eastAsia" w:ascii="宋体" w:hAnsi="宋体" w:cs="宋体"/>
                <w:szCs w:val="21"/>
              </w:rPr>
              <w:t>数据采集存储</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支持采集网络日志、安全设备、应用中间件、服务器、终端日志等各类数据源安全日志和流量探针的流量日志。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支持Syslog、SNMP Trap、文本日志、数据库、Netflow、HTTP等采集方式；并支持数据源信息导出、数据源迁移操作。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4</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支持日志分类存储，满足等保合规要求。提供功能截图或定制开发承诺函。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5</w:t>
            </w:r>
          </w:p>
        </w:tc>
        <w:tc>
          <w:tcPr>
            <w:tcW w:w="766" w:type="pct"/>
            <w:vMerge w:val="restart"/>
            <w:shd w:val="clear" w:color="auto" w:fill="auto"/>
            <w:vAlign w:val="center"/>
          </w:tcPr>
          <w:p>
            <w:pPr>
              <w:spacing w:line="360" w:lineRule="auto"/>
              <w:rPr>
                <w:rFonts w:ascii="宋体" w:hAnsi="宋体" w:cs="宋体"/>
                <w:szCs w:val="21"/>
              </w:rPr>
            </w:pPr>
            <w:r>
              <w:rPr>
                <w:rFonts w:hint="eastAsia" w:ascii="宋体" w:hAnsi="宋体" w:cs="宋体"/>
                <w:szCs w:val="21"/>
              </w:rPr>
              <w:t>资产管理与风险识别</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支持资产信息管理，支持对资产IP、端口、协议、服务名、服务版本等进行管理，支持对IPV6资产的管理。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6</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支持从资产分组、组织架构、业务分组、地理位置及IP段视角展示主机资产详情信息。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7</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定期下发或联动相关设备进行系统扫描、Web扫描、弱口令扫描任务，并能统计弱口令、配置核查、Web漏洞等信息列表，且支持提供漏洞描述、加固方案、检查方法、加固建议、加固风险等相关知识信息，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8</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支持人工或FTP同步方式导入至少2个品牌的第三方漏洞扫描报告。实现漏洞与资产的自动管理，提供功能截图或定制开发承诺函。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9</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 xml:space="preserve">支持界面交互式配置，通过图形化界面配置日志解析条件，利用自定义解析规则，系统自动生成解析规则，无需通过代码编写解析规则。提供功能截图或定制开发承诺函。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10</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支持设置资产风险值，包括但不限于危害等级、时间范围、处置状态等维度，并支持对风险计算周期进行设置。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11</w:t>
            </w:r>
          </w:p>
        </w:tc>
        <w:tc>
          <w:tcPr>
            <w:tcW w:w="766" w:type="pct"/>
            <w:vMerge w:val="restart"/>
            <w:shd w:val="clear" w:color="auto" w:fill="auto"/>
            <w:vAlign w:val="center"/>
          </w:tcPr>
          <w:p>
            <w:pPr>
              <w:spacing w:line="360" w:lineRule="auto"/>
              <w:rPr>
                <w:rFonts w:ascii="宋体" w:hAnsi="宋体" w:cs="宋体"/>
                <w:szCs w:val="21"/>
              </w:rPr>
            </w:pPr>
            <w:r>
              <w:rPr>
                <w:rFonts w:hint="eastAsia" w:ascii="宋体" w:hAnsi="宋体" w:cs="宋体"/>
                <w:szCs w:val="21"/>
              </w:rPr>
              <w:t>威胁建模分析</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对同品牌流量日志、不同品牌不同类型设备或系统的安全日志进行关联分析，如分析AD域、服务器、VPN、终端恶意软件、Web入侵等系统或设备日志，对账号攻击事件、失陷事件、违规事件、可疑事件进行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12</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常见的图形化的交互方式、自定义配置、图形化、编辑逻辑语法树等其中一种，支持引用资产、漏洞、情报、IP/端口、字符串等对象资源和日志进行关联分析，以满足监狱复杂威胁场景检测。提供威胁建模模块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13</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支持自定义关联规则的展示。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14</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或通过关联本次或现有设备实现对行为异常检测，包括但不限于账号异常、进程异常、Web应用异常、进程异常、用户操作数据库异常、用户传输文件异常、用户登录行为异常、用户访问应用系统异常、账号异常等行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15</w:t>
            </w:r>
          </w:p>
        </w:tc>
        <w:tc>
          <w:tcPr>
            <w:tcW w:w="766" w:type="pct"/>
            <w:vMerge w:val="restart"/>
            <w:shd w:val="clear" w:color="auto" w:fill="auto"/>
            <w:vAlign w:val="center"/>
          </w:tcPr>
          <w:p>
            <w:pPr>
              <w:spacing w:line="360" w:lineRule="auto"/>
              <w:rPr>
                <w:rFonts w:ascii="宋体" w:hAnsi="宋体" w:cs="宋体"/>
                <w:szCs w:val="21"/>
              </w:rPr>
            </w:pPr>
            <w:r>
              <w:rPr>
                <w:rFonts w:hint="eastAsia" w:ascii="宋体" w:hAnsi="宋体" w:cs="宋体"/>
                <w:szCs w:val="21"/>
              </w:rPr>
              <w:t>威胁分析预警</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支持通过源IP、目的IP展示资产状况，概况、威胁、脆弱性、访问分析、攻击者分析、日志检索、联动处置等详细信息。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16</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本地威胁情报的检索，支持离线升级情报库，检索类型支持域名、URL、IP地址、；威胁情报内容支持IOC、攻击链阶段、ID、置信度、类型描述、定向攻击、风险等级、恶意家族、发布时间、攻击事件/团伙、影响平台、情报当前状态、威胁描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17</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支持按组织架构检索日志，可以从索引类型（如时间、源IP、目的IP、端口、数据源、数据等）和字段列表中快速筛选字段形成搜索条件。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18</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展示告警信息，包括但不限于告警名称、攻击、失陷情报、挖矿木马、勒索软件等。如攻击视角展示攻击情况、攻击阶段、展示高频告警的情报分布、告警详情展示处置建议、实体访问关系、影响资产总数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19</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支持账号风险、异地账号登录、暴力破解、明文密码泄露、弱口令等信息展示。提供功能截图或定制开发承诺函。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20</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支持分析出的相关弱密码以星号代替，避免信息泄漏风险。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21</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支持快速检测并展示出此威胁事件对用户内网安全的影响，包括展示影响的风险资产数、受攻击资产数、失陷资产数，分析该事件受攻击资产列表和风险资产列表。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22</w:t>
            </w:r>
          </w:p>
        </w:tc>
        <w:tc>
          <w:tcPr>
            <w:tcW w:w="766" w:type="pct"/>
            <w:vMerge w:val="restart"/>
            <w:shd w:val="clear" w:color="auto" w:fill="auto"/>
            <w:vAlign w:val="center"/>
          </w:tcPr>
          <w:p>
            <w:pPr>
              <w:spacing w:line="360" w:lineRule="auto"/>
              <w:rPr>
                <w:rFonts w:ascii="宋体" w:hAnsi="宋体" w:cs="宋体"/>
                <w:szCs w:val="21"/>
              </w:rPr>
            </w:pPr>
            <w:r>
              <w:rPr>
                <w:rFonts w:hint="eastAsia" w:ascii="宋体" w:hAnsi="宋体" w:cs="宋体"/>
                <w:szCs w:val="21"/>
              </w:rPr>
              <w:t>工单管理</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支持通过工单对安全事件进行跟踪处理。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23</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支持工单流转。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24</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工单通知可以对个人或管理部门，通知方式支持邮件方式。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25</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支持对工单状态进行监控，如待下发、处置中、已完成、已撤销等关键节点。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26</w:t>
            </w:r>
          </w:p>
        </w:tc>
        <w:tc>
          <w:tcPr>
            <w:tcW w:w="766" w:type="pct"/>
            <w:vMerge w:val="restart"/>
            <w:shd w:val="clear" w:color="auto" w:fill="auto"/>
            <w:vAlign w:val="center"/>
          </w:tcPr>
          <w:p>
            <w:pPr>
              <w:spacing w:line="360" w:lineRule="auto"/>
              <w:rPr>
                <w:rFonts w:ascii="宋体" w:hAnsi="宋体" w:cs="宋体"/>
                <w:szCs w:val="21"/>
              </w:rPr>
            </w:pPr>
            <w:r>
              <w:rPr>
                <w:rFonts w:hint="eastAsia" w:ascii="宋体" w:hAnsi="宋体" w:cs="宋体"/>
                <w:szCs w:val="21"/>
              </w:rPr>
              <w:t>联动处置</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支持与省监狱系统现有具备处置功能的网络安全设备进行联动，对威胁攻击进行阻断，提供功能截图或定制开发承诺函。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27</w:t>
            </w:r>
          </w:p>
        </w:tc>
        <w:tc>
          <w:tcPr>
            <w:tcW w:w="766" w:type="pct"/>
            <w:vMerge w:val="continue"/>
            <w:shd w:val="clear" w:color="auto" w:fill="auto"/>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通过堡垒机实现对专网内现有安全产品以及本次采购安全产品全部统一免密登录入口，提供定制开发承诺函。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28</w:t>
            </w:r>
          </w:p>
        </w:tc>
        <w:tc>
          <w:tcPr>
            <w:tcW w:w="766" w:type="pct"/>
            <w:shd w:val="clear" w:color="auto" w:fill="auto"/>
            <w:vAlign w:val="center"/>
          </w:tcPr>
          <w:p>
            <w:pPr>
              <w:spacing w:line="360" w:lineRule="auto"/>
              <w:rPr>
                <w:rFonts w:ascii="宋体" w:hAnsi="宋体" w:cs="宋体"/>
                <w:szCs w:val="21"/>
              </w:rPr>
            </w:pPr>
            <w:r>
              <w:rPr>
                <w:rFonts w:hint="eastAsia" w:ascii="宋体" w:hAnsi="宋体" w:cs="宋体"/>
                <w:szCs w:val="21"/>
              </w:rPr>
              <w:t>攻防演练（重保值守）</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大屏展示重大活动时期或攻防演练中的值班情况、安全事件、响应处置数量、处置结果等指标，支持对攻击源监控，展示攻击源IP、地理位置、攻击次数等；支持威胁监控，展示攻击成功次数、攻击手段TOP排名；支持资产监控，展示失陷资产数量、高风险资产数量及资产的告警数量、脆弱性数量等。提供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29</w:t>
            </w:r>
          </w:p>
        </w:tc>
        <w:tc>
          <w:tcPr>
            <w:tcW w:w="766" w:type="pct"/>
            <w:vMerge w:val="restart"/>
            <w:shd w:val="clear" w:color="auto" w:fill="auto"/>
            <w:vAlign w:val="center"/>
          </w:tcPr>
          <w:p>
            <w:pPr>
              <w:spacing w:line="360" w:lineRule="auto"/>
              <w:rPr>
                <w:rFonts w:ascii="宋体" w:hAnsi="宋体" w:cs="宋体"/>
                <w:szCs w:val="21"/>
              </w:rPr>
            </w:pPr>
            <w:r>
              <w:rPr>
                <w:rFonts w:hint="eastAsia" w:ascii="宋体" w:hAnsi="宋体" w:cs="宋体"/>
                <w:szCs w:val="21"/>
              </w:rPr>
              <w:t>分权分域</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支持分权分域，支持通过角色或部门设置功能权限和数据访问权限，用户只可以使用授权的功能和数据权限，数据包括日志、告警、资产、漏洞、风险等信息。提供功能截图或定制开发承诺函。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30</w:t>
            </w:r>
          </w:p>
        </w:tc>
        <w:tc>
          <w:tcPr>
            <w:tcW w:w="766" w:type="pct"/>
            <w:vMerge w:val="continue"/>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支持对登录异常账户锁定、密码长度、密码强度、登录会话并发数等进行设置。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31</w:t>
            </w:r>
          </w:p>
        </w:tc>
        <w:tc>
          <w:tcPr>
            <w:tcW w:w="766" w:type="pct"/>
            <w:shd w:val="clear" w:color="auto" w:fill="auto"/>
            <w:vAlign w:val="center"/>
          </w:tcPr>
          <w:p>
            <w:pPr>
              <w:spacing w:line="360" w:lineRule="auto"/>
              <w:rPr>
                <w:rFonts w:ascii="宋体" w:hAnsi="宋体" w:cs="宋体"/>
                <w:szCs w:val="21"/>
              </w:rPr>
            </w:pPr>
            <w:r>
              <w:rPr>
                <w:rFonts w:hint="eastAsia" w:ascii="宋体" w:hAnsi="宋体" w:cs="宋体"/>
                <w:szCs w:val="21"/>
              </w:rPr>
              <w:t>大屏可视化</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 xml:space="preserve">实施阶段应根据需求提供专网全网以及专网各单位的独立大屏运营展示页面，内容包括但不限于综合安全态势、拓扑展示、攻击类型展示、恶意代码展示、脆弱性展示、威胁等级等大屏可视化展现。提供功能截图或提供定制开发承诺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32</w:t>
            </w:r>
          </w:p>
        </w:tc>
        <w:tc>
          <w:tcPr>
            <w:tcW w:w="766" w:type="pct"/>
            <w:shd w:val="clear" w:color="auto" w:fill="auto"/>
            <w:vAlign w:val="center"/>
          </w:tcPr>
          <w:p>
            <w:pPr>
              <w:spacing w:line="360" w:lineRule="auto"/>
              <w:rPr>
                <w:rFonts w:ascii="宋体" w:hAnsi="宋体" w:cs="宋体"/>
                <w:szCs w:val="21"/>
              </w:rPr>
            </w:pPr>
            <w:r>
              <w:rPr>
                <w:rFonts w:hint="eastAsia" w:ascii="宋体" w:hAnsi="宋体" w:cs="宋体"/>
                <w:szCs w:val="21"/>
              </w:rPr>
              <w:t>数据对接</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需根据河南省监狱管理局和各省级监狱现有的网络安全系统情况，不分厂商、不分类型进行接入（详见附表），实现安全数据的接入。提供接入对接承诺函。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33</w:t>
            </w:r>
          </w:p>
        </w:tc>
        <w:tc>
          <w:tcPr>
            <w:tcW w:w="766" w:type="pct"/>
            <w:vMerge w:val="restart"/>
            <w:shd w:val="clear" w:color="auto" w:fill="auto"/>
            <w:vAlign w:val="center"/>
          </w:tcPr>
          <w:p>
            <w:pPr>
              <w:spacing w:line="360" w:lineRule="auto"/>
              <w:rPr>
                <w:rFonts w:ascii="宋体" w:hAnsi="宋体" w:cs="宋体"/>
                <w:szCs w:val="21"/>
              </w:rPr>
            </w:pPr>
            <w:r>
              <w:rPr>
                <w:rFonts w:hint="eastAsia" w:ascii="宋体" w:hAnsi="宋体" w:cs="宋体"/>
                <w:szCs w:val="21"/>
              </w:rPr>
              <w:t>资产管理</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获取河南省监狱管理局和各省级监狱全网资产数据，按照不同单位进行组织化管理。提供定制开发承诺函。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34</w:t>
            </w:r>
          </w:p>
        </w:tc>
        <w:tc>
          <w:tcPr>
            <w:tcW w:w="766" w:type="pct"/>
            <w:vMerge w:val="continue"/>
            <w:shd w:val="clear" w:color="auto" w:fill="auto"/>
            <w:vAlign w:val="center"/>
          </w:tcPr>
          <w:p>
            <w:pPr>
              <w:spacing w:line="360" w:lineRule="auto"/>
              <w:rPr>
                <w:rFonts w:ascii="宋体" w:hAnsi="宋体" w:cs="宋体"/>
                <w:szCs w:val="21"/>
              </w:rPr>
            </w:pP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按照河南省监狱管理局需求，提供内网资产的画像管理，展示内容包括资产IP、资产名称、资产重要性、使用人、所属部门、设备类型、攻击趋势、攻击关系图、攻击时间轴等。提供定制开发承诺函。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35</w:t>
            </w:r>
          </w:p>
        </w:tc>
        <w:tc>
          <w:tcPr>
            <w:tcW w:w="766" w:type="pct"/>
            <w:shd w:val="clear" w:color="auto" w:fill="auto"/>
            <w:vAlign w:val="center"/>
          </w:tcPr>
          <w:p>
            <w:pPr>
              <w:spacing w:line="360" w:lineRule="auto"/>
              <w:rPr>
                <w:rFonts w:ascii="宋体" w:hAnsi="宋体" w:cs="宋体"/>
                <w:szCs w:val="21"/>
              </w:rPr>
            </w:pPr>
            <w:r>
              <w:rPr>
                <w:rFonts w:hint="eastAsia" w:ascii="宋体" w:hAnsi="宋体" w:cs="宋体"/>
                <w:szCs w:val="21"/>
              </w:rPr>
              <w:t>告警管理</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根据河南省监狱管理局实际需求，呈现专项分析能力，包括告警规则、安全分析报告等。</w:t>
            </w:r>
          </w:p>
          <w:p>
            <w:pPr>
              <w:spacing w:line="360" w:lineRule="auto"/>
              <w:rPr>
                <w:rFonts w:ascii="宋体" w:hAnsi="宋体" w:cs="宋体"/>
                <w:szCs w:val="21"/>
              </w:rPr>
            </w:pPr>
            <w:r>
              <w:rPr>
                <w:rFonts w:hint="eastAsia" w:ascii="宋体" w:hAnsi="宋体" w:cs="宋体"/>
                <w:szCs w:val="21"/>
              </w:rPr>
              <w:t>按照河南省监狱管理局和各省级监狱的管理关系，进行告警数据的分权分域管理，实现安全事件的精细化管理。</w:t>
            </w:r>
          </w:p>
          <w:p>
            <w:pPr>
              <w:spacing w:line="360" w:lineRule="auto"/>
              <w:rPr>
                <w:rFonts w:ascii="宋体" w:hAnsi="宋体" w:cs="宋体"/>
                <w:szCs w:val="21"/>
              </w:rPr>
            </w:pPr>
            <w:r>
              <w:rPr>
                <w:rFonts w:hint="eastAsia" w:ascii="宋体" w:hAnsi="宋体" w:cs="宋体"/>
                <w:szCs w:val="21"/>
              </w:rPr>
              <w:t>提供定制开发承诺函。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36</w:t>
            </w:r>
          </w:p>
        </w:tc>
        <w:tc>
          <w:tcPr>
            <w:tcW w:w="766" w:type="pct"/>
            <w:shd w:val="clear" w:color="auto" w:fill="auto"/>
            <w:vAlign w:val="center"/>
          </w:tcPr>
          <w:p>
            <w:pPr>
              <w:spacing w:line="360" w:lineRule="auto"/>
              <w:rPr>
                <w:rFonts w:ascii="宋体" w:hAnsi="宋体" w:cs="宋体"/>
                <w:szCs w:val="21"/>
              </w:rPr>
            </w:pPr>
            <w:r>
              <w:rPr>
                <w:rFonts w:hint="eastAsia" w:ascii="宋体" w:hAnsi="宋体" w:cs="宋体"/>
                <w:szCs w:val="21"/>
              </w:rPr>
              <w:t>处置对接</w:t>
            </w:r>
          </w:p>
        </w:tc>
        <w:tc>
          <w:tcPr>
            <w:tcW w:w="3806" w:type="pct"/>
            <w:shd w:val="clear" w:color="auto" w:fill="auto"/>
            <w:noWrap/>
            <w:vAlign w:val="center"/>
          </w:tcPr>
          <w:p>
            <w:pPr>
              <w:spacing w:line="360" w:lineRule="auto"/>
              <w:rPr>
                <w:rFonts w:ascii="宋体" w:hAnsi="宋体" w:cs="宋体"/>
                <w:szCs w:val="21"/>
              </w:rPr>
            </w:pPr>
            <w:r>
              <w:rPr>
                <w:rFonts w:hint="eastAsia" w:ascii="宋体" w:hAnsi="宋体" w:cs="宋体"/>
                <w:szCs w:val="21"/>
              </w:rPr>
              <w:t>根据业务需要提供河南省监狱管理局和各省级监狱关键网络节点的设备处置对接工作，除具备标准化运维管理协议的设备，要配合设备厂商进行接口对接，实现IP地址一键封堵。提供处置对接开发承诺函。</w:t>
            </w:r>
          </w:p>
        </w:tc>
      </w:tr>
    </w:tbl>
    <w:p>
      <w:pPr>
        <w:spacing w:line="360" w:lineRule="auto"/>
        <w:rPr>
          <w:rFonts w:ascii="宋体" w:hAnsi="宋体" w:cs="宋体"/>
          <w:szCs w:val="21"/>
        </w:rPr>
      </w:pPr>
      <w:r>
        <w:rPr>
          <w:rFonts w:hint="eastAsia" w:ascii="宋体" w:hAnsi="宋体" w:cs="宋体"/>
          <w:szCs w:val="21"/>
        </w:rPr>
        <w:t>2.2态势感知系统</w:t>
      </w:r>
    </w:p>
    <w:tbl>
      <w:tblPr>
        <w:tblStyle w:val="7"/>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45"/>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shd w:val="clear" w:color="auto" w:fill="auto"/>
            <w:noWrap/>
            <w:vAlign w:val="center"/>
          </w:tcPr>
          <w:p>
            <w:pPr>
              <w:spacing w:line="360" w:lineRule="auto"/>
              <w:rPr>
                <w:rFonts w:ascii="宋体" w:hAnsi="宋体" w:cs="宋体"/>
                <w:szCs w:val="21"/>
              </w:rPr>
            </w:pPr>
            <w:r>
              <w:rPr>
                <w:rFonts w:hint="eastAsia" w:ascii="宋体" w:hAnsi="宋体" w:cs="宋体"/>
                <w:szCs w:val="21"/>
              </w:rPr>
              <w:t>序号</w:t>
            </w:r>
          </w:p>
        </w:tc>
        <w:tc>
          <w:tcPr>
            <w:tcW w:w="1245" w:type="dxa"/>
            <w:shd w:val="clear" w:color="auto" w:fill="auto"/>
            <w:noWrap/>
            <w:vAlign w:val="center"/>
          </w:tcPr>
          <w:p>
            <w:pPr>
              <w:spacing w:line="360" w:lineRule="auto"/>
              <w:rPr>
                <w:rFonts w:ascii="宋体" w:hAnsi="宋体" w:cs="宋体"/>
                <w:szCs w:val="21"/>
              </w:rPr>
            </w:pPr>
            <w:r>
              <w:rPr>
                <w:rFonts w:hint="eastAsia" w:ascii="宋体" w:hAnsi="宋体" w:cs="宋体"/>
                <w:szCs w:val="21"/>
              </w:rPr>
              <w:t>技术指标</w:t>
            </w: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w:t>
            </w:r>
          </w:p>
        </w:tc>
        <w:tc>
          <w:tcPr>
            <w:tcW w:w="1245" w:type="dxa"/>
            <w:shd w:val="clear" w:color="auto" w:fill="auto"/>
            <w:noWrap/>
            <w:vAlign w:val="center"/>
          </w:tcPr>
          <w:p>
            <w:pPr>
              <w:spacing w:line="360" w:lineRule="auto"/>
              <w:rPr>
                <w:rFonts w:ascii="宋体" w:hAnsi="宋体" w:cs="宋体"/>
                <w:szCs w:val="21"/>
              </w:rPr>
            </w:pPr>
            <w:r>
              <w:rPr>
                <w:rFonts w:hint="eastAsia" w:ascii="宋体" w:hAnsi="宋体" w:cs="宋体"/>
                <w:szCs w:val="21"/>
              </w:rPr>
              <w:t>基本要求</w:t>
            </w: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机架式，CPU≥2颗12核，内存≥256G，系统盘≥1块960G固态；数据盘≥64TB，支持RAID，冗余双电源，≥4个千兆电口，≥2个万兆光口（含模块），支持接口扩展，接入能力≥20000EPS，三年质保及软件升级服务。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w:t>
            </w:r>
          </w:p>
        </w:tc>
        <w:tc>
          <w:tcPr>
            <w:tcW w:w="1245" w:type="dxa"/>
            <w:shd w:val="clear" w:color="auto" w:fill="auto"/>
            <w:noWrap/>
            <w:vAlign w:val="center"/>
          </w:tcPr>
          <w:p>
            <w:pPr>
              <w:spacing w:line="360" w:lineRule="auto"/>
              <w:rPr>
                <w:rFonts w:ascii="宋体" w:hAnsi="宋体" w:cs="宋体"/>
                <w:szCs w:val="21"/>
              </w:rPr>
            </w:pPr>
            <w:r>
              <w:rPr>
                <w:rFonts w:hint="eastAsia" w:ascii="宋体" w:hAnsi="宋体" w:cs="宋体"/>
                <w:szCs w:val="21"/>
              </w:rPr>
              <w:t>威胁检测</w:t>
            </w: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支持弱口令监测，支持发现弱口令存在于多个账号的情况，并统计所涉及的账号和资产信息数量，详细信息包括但不限于IP、协议、端口、URL、访问时间等信息，口令内容需要二次鉴权方可查看，防止口令泄漏。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w:t>
            </w:r>
          </w:p>
        </w:tc>
        <w:tc>
          <w:tcPr>
            <w:tcW w:w="1245"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威胁感知</w:t>
            </w: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支持挖矿行为感知分析。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4</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支持威胁情报匹配感知分析，包括但不限于情报详情、影响资产列表、资产的行为等。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5</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支持WEB业务安全感知，感知攻击趋势、攻击TOP、攻击类别、攻击结果、攻击者次数等，并能详细记录攻击的完整信息，对于匹配规则内容进行明显标记。提供功能截图或定制开发承诺函。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6</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支持数据库安全感知，感知对数据库攻击的结果，并能详细记录攻击的载荷长度及载荷信息。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7</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支持中间件安全感知，感知威胁类型、威胁名称、受影响资产数、时间等信息；支持对于匹配规则内容进行明显标记，可以对威胁告警信息下载、查看原始日志等操作。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8</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支持系统安全感知，对未授权访问、暴力破解、弱口令等行为进行全面感知并记录。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9</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支持对交换机、路由器、防火墙、入侵防御、网络摄像机、门禁等设备进行攻击感知，包括但不限于威胁名称、告警类型、设备类型、涉及的资产数量、威胁级别等详细信息。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10</w:t>
            </w:r>
          </w:p>
        </w:tc>
        <w:tc>
          <w:tcPr>
            <w:tcW w:w="1245"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威胁分析</w:t>
            </w: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支持包括但不限于ultra_vnc、chrome_remote_desktop、向日葵、teamviewer等远程工具检测，所属资产等详细信息。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11</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支持基于威胁情报的APT事件、僵尸网络、勒索软件、流氓推广、木马蠕虫等其他恶意软件等的威胁检测，并可自定义威胁情报。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12</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支持分析明文密码泄露行为，包括但不限于登录IP、账号、密码、使用协议等检测内容。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13</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支持暴力破解行为检测，包括但不限于源ip、目的ip、使用协议、爆破次数、爆破成功与否等检测内容。提供功能截图或定制开发承诺函。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14</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支持ssh、telnet、ftp、smb等常见协议登录行为分析。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15</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bookmarkStart w:id="24" w:name="RANGE!C19"/>
            <w:r>
              <w:rPr>
                <w:rFonts w:hint="eastAsia" w:ascii="宋体" w:hAnsi="宋体" w:cs="宋体"/>
                <w:szCs w:val="21"/>
              </w:rPr>
              <w:t>支持异常登录行为检测，包括但不限于源IP、账号、使用协议等检测内容。</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16</w:t>
            </w:r>
          </w:p>
        </w:tc>
        <w:tc>
          <w:tcPr>
            <w:tcW w:w="1245" w:type="dxa"/>
            <w:shd w:val="clear" w:color="auto" w:fill="auto"/>
            <w:noWrap/>
            <w:vAlign w:val="center"/>
          </w:tcPr>
          <w:p>
            <w:pPr>
              <w:spacing w:line="360" w:lineRule="auto"/>
              <w:rPr>
                <w:rFonts w:ascii="宋体" w:hAnsi="宋体" w:cs="宋体"/>
                <w:szCs w:val="21"/>
              </w:rPr>
            </w:pPr>
            <w:r>
              <w:rPr>
                <w:rFonts w:hint="eastAsia" w:ascii="宋体" w:hAnsi="宋体" w:cs="宋体"/>
                <w:szCs w:val="21"/>
              </w:rPr>
              <w:t>威胁溯源</w:t>
            </w: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支持溯源取证分析，包括但不限于攻击溯源、主机分析、暴力破解分析、弱口令分析等详细信息。提供功能截图或定制开发承诺函。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17</w:t>
            </w:r>
          </w:p>
        </w:tc>
        <w:tc>
          <w:tcPr>
            <w:tcW w:w="1245"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联动处置</w:t>
            </w: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支持处置编排，对工作流程自定义编排、任务脚本自定义编辑等或其他编排方式；支持联动服务管理，支持在web页面编辑联动服务。提供功能截图或定制开发承诺函。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18</w:t>
            </w:r>
          </w:p>
        </w:tc>
        <w:tc>
          <w:tcPr>
            <w:tcW w:w="1245" w:type="dxa"/>
            <w:vMerge w:val="continue"/>
            <w:vAlign w:val="center"/>
          </w:tcPr>
          <w:p>
            <w:pPr>
              <w:spacing w:line="360" w:lineRule="auto"/>
              <w:rPr>
                <w:rFonts w:ascii="宋体" w:hAnsi="宋体" w:cs="宋体"/>
                <w:szCs w:val="21"/>
              </w:rPr>
            </w:pPr>
          </w:p>
        </w:tc>
        <w:tc>
          <w:tcPr>
            <w:tcW w:w="6255" w:type="dxa"/>
            <w:shd w:val="clear" w:color="auto" w:fill="auto"/>
            <w:vAlign w:val="center"/>
          </w:tcPr>
          <w:p>
            <w:pPr>
              <w:spacing w:line="360" w:lineRule="auto"/>
              <w:rPr>
                <w:rFonts w:ascii="宋体" w:hAnsi="宋体" w:cs="宋体"/>
                <w:szCs w:val="21"/>
              </w:rPr>
            </w:pPr>
            <w:r>
              <w:rPr>
                <w:rFonts w:hint="eastAsia" w:ascii="宋体" w:hAnsi="宋体" w:cs="宋体"/>
                <w:szCs w:val="21"/>
              </w:rPr>
              <w:t>与态势感知探针数据传输加密，支持国产加密算法（或利用现有密码应用设备定制开发实现），支持对攻击IP和受害资产的流量进行封禁。提供功能截图或定制开发承诺函。</w:t>
            </w:r>
          </w:p>
        </w:tc>
      </w:tr>
    </w:tbl>
    <w:p>
      <w:pPr>
        <w:spacing w:line="360" w:lineRule="auto"/>
        <w:rPr>
          <w:rFonts w:ascii="宋体" w:hAnsi="宋体" w:cs="宋体"/>
          <w:szCs w:val="21"/>
        </w:rPr>
      </w:pPr>
      <w:r>
        <w:rPr>
          <w:rFonts w:hint="eastAsia" w:ascii="宋体" w:hAnsi="宋体" w:cs="宋体"/>
          <w:szCs w:val="21"/>
        </w:rPr>
        <w:t>2.3安全准入系统</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09"/>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rPr>
                <w:rFonts w:ascii="宋体" w:hAnsi="宋体" w:cs="宋体"/>
                <w:szCs w:val="21"/>
              </w:rPr>
            </w:pPr>
            <w:r>
              <w:rPr>
                <w:rFonts w:hint="eastAsia" w:ascii="宋体" w:hAnsi="宋体" w:cs="宋体"/>
                <w:szCs w:val="21"/>
              </w:rPr>
              <w:t>序号</w:t>
            </w:r>
          </w:p>
        </w:tc>
        <w:tc>
          <w:tcPr>
            <w:tcW w:w="768" w:type="pct"/>
            <w:shd w:val="clear" w:color="auto" w:fill="auto"/>
            <w:noWrap/>
            <w:vAlign w:val="center"/>
          </w:tcPr>
          <w:p>
            <w:pPr>
              <w:spacing w:line="360" w:lineRule="auto"/>
              <w:rPr>
                <w:rFonts w:ascii="宋体" w:hAnsi="宋体" w:cs="宋体"/>
                <w:szCs w:val="21"/>
              </w:rPr>
            </w:pPr>
            <w:r>
              <w:rPr>
                <w:rFonts w:hint="eastAsia" w:ascii="宋体" w:hAnsi="宋体" w:cs="宋体"/>
                <w:szCs w:val="21"/>
              </w:rPr>
              <w:t>技术指标</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w:t>
            </w:r>
          </w:p>
        </w:tc>
        <w:tc>
          <w:tcPr>
            <w:tcW w:w="768" w:type="pct"/>
            <w:shd w:val="clear" w:color="auto" w:fill="auto"/>
            <w:noWrap/>
            <w:vAlign w:val="center"/>
          </w:tcPr>
          <w:p>
            <w:pPr>
              <w:spacing w:line="360" w:lineRule="auto"/>
              <w:rPr>
                <w:rFonts w:ascii="宋体" w:hAnsi="宋体" w:cs="宋体"/>
                <w:szCs w:val="21"/>
              </w:rPr>
            </w:pPr>
            <w:r>
              <w:rPr>
                <w:rFonts w:hint="eastAsia" w:ascii="宋体" w:hAnsi="宋体" w:cs="宋体"/>
                <w:szCs w:val="21"/>
              </w:rPr>
              <w:t>基本要求</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机架式，≥4G网络流量处理能力，≥4个千兆电口，≥2TB 存储，双电源，支持IoT泛终端物联网和普通PC、信创终端统一准入控制管理，</w:t>
            </w:r>
            <w:r>
              <w:rPr>
                <w:rFonts w:hint="default" w:ascii="宋体" w:hAnsi="宋体" w:cs="宋体"/>
                <w:szCs w:val="21"/>
                <w:lang w:val="en-US"/>
              </w:rPr>
              <w:t>三年质保和</w:t>
            </w:r>
            <w:r>
              <w:rPr>
                <w:rFonts w:hint="eastAsia" w:ascii="宋体" w:hAnsi="宋体" w:cs="宋体"/>
                <w:szCs w:val="21"/>
                <w:lang w:val="en-US" w:eastAsia="zh-CN"/>
              </w:rPr>
              <w:t>免费</w:t>
            </w:r>
            <w:r>
              <w:rPr>
                <w:rFonts w:hint="eastAsia" w:ascii="宋体" w:hAnsi="宋体" w:cs="宋体"/>
                <w:szCs w:val="21"/>
              </w:rPr>
              <w:t>升级。授权管理数≥1500点（包含哑终端）。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w:t>
            </w:r>
          </w:p>
        </w:tc>
        <w:tc>
          <w:tcPr>
            <w:tcW w:w="768" w:type="pct"/>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终端识别</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支持快速扫描，能够识别包括信创终端、非信创终端、摄像头、录像机、存储、交换机、服务器、移动终端等设备类型，并对网络中视频设备及其他设备数量和类型的分类统计。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支持主流视频设备厂商的各类网络视频摄像机。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4</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支持以图形化形式展示网络内设备拓扑关系，基于图形化数据可直观定位关键应用设备。提供功能截图或定制开发承诺函。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5</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支持GB/T28181协议，禁止不支持的终端入网。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6</w:t>
            </w:r>
          </w:p>
        </w:tc>
        <w:tc>
          <w:tcPr>
            <w:tcW w:w="768" w:type="pct"/>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终端认证</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lang w:eastAsia="zh-CN"/>
              </w:rPr>
              <w:t>支持</w:t>
            </w:r>
            <w:r>
              <w:rPr>
                <w:rFonts w:hint="eastAsia" w:ascii="宋体" w:hAnsi="宋体" w:cs="宋体"/>
                <w:szCs w:val="21"/>
              </w:rPr>
              <w:t>802.1x、portal、MAC等认证方式，支持无线和有线环境下的接入控制。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7</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支持用户名和密码、方式认证，支持安装客户端，经过管理人员审批入网。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8</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支持对IP、MAC、设备进行绑定，确保哑终端的可信并授权入网，对随意变更IP或MAC的行为进行快速发现和有效阻断。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9</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支持发现、识别和禁止NAT转换设备。提供功能截图或定制开发承诺函。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10</w:t>
            </w:r>
          </w:p>
        </w:tc>
        <w:tc>
          <w:tcPr>
            <w:tcW w:w="768" w:type="pct"/>
            <w:shd w:val="clear" w:color="auto" w:fill="auto"/>
            <w:noWrap/>
            <w:vAlign w:val="center"/>
          </w:tcPr>
          <w:p>
            <w:pPr>
              <w:spacing w:line="360" w:lineRule="auto"/>
              <w:rPr>
                <w:rFonts w:ascii="宋体" w:hAnsi="宋体" w:cs="宋体"/>
                <w:szCs w:val="21"/>
              </w:rPr>
            </w:pPr>
            <w:r>
              <w:rPr>
                <w:rFonts w:hint="eastAsia" w:ascii="宋体" w:hAnsi="宋体" w:cs="宋体"/>
                <w:szCs w:val="21"/>
              </w:rPr>
              <w:t>访问控制</w:t>
            </w:r>
          </w:p>
        </w:tc>
        <w:tc>
          <w:tcPr>
            <w:tcW w:w="3804" w:type="pct"/>
            <w:shd w:val="clear" w:color="000000" w:fill="FFFFFF"/>
            <w:vAlign w:val="center"/>
          </w:tcPr>
          <w:p>
            <w:pPr>
              <w:spacing w:line="360" w:lineRule="auto"/>
              <w:rPr>
                <w:rFonts w:ascii="宋体" w:hAnsi="宋体" w:cs="宋体"/>
                <w:szCs w:val="21"/>
              </w:rPr>
            </w:pPr>
            <w:r>
              <w:rPr>
                <w:rFonts w:hint="eastAsia" w:ascii="宋体" w:hAnsi="宋体" w:cs="宋体"/>
                <w:szCs w:val="21"/>
              </w:rPr>
              <w:t>支持基于用户、角色、设备分组、终端安检结果等动态下发VLAN、acl。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1</w:t>
            </w:r>
          </w:p>
        </w:tc>
        <w:tc>
          <w:tcPr>
            <w:tcW w:w="768" w:type="pct"/>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合规检测</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支持哑终端无客户端扫描开放端口，对指纹仿冒等，不合规行为进行阻断或告警。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2</w:t>
            </w:r>
          </w:p>
        </w:tc>
        <w:tc>
          <w:tcPr>
            <w:tcW w:w="768" w:type="pct"/>
            <w:vMerge w:val="continue"/>
            <w:vAlign w:val="center"/>
          </w:tcPr>
          <w:p>
            <w:pPr>
              <w:spacing w:line="360" w:lineRule="auto"/>
              <w:rPr>
                <w:rFonts w:ascii="宋体" w:hAnsi="宋体" w:cs="宋体"/>
                <w:szCs w:val="21"/>
              </w:rPr>
            </w:pPr>
          </w:p>
        </w:tc>
        <w:tc>
          <w:tcPr>
            <w:tcW w:w="3804" w:type="pct"/>
            <w:shd w:val="clear" w:color="auto" w:fill="auto"/>
            <w:vAlign w:val="center"/>
          </w:tcPr>
          <w:p>
            <w:pPr>
              <w:spacing w:line="360" w:lineRule="auto"/>
              <w:rPr>
                <w:rFonts w:ascii="宋体" w:hAnsi="宋体" w:cs="宋体"/>
                <w:szCs w:val="21"/>
              </w:rPr>
            </w:pPr>
            <w:r>
              <w:rPr>
                <w:rFonts w:hint="eastAsia" w:ascii="宋体" w:hAnsi="宋体" w:cs="宋体"/>
                <w:szCs w:val="21"/>
              </w:rPr>
              <w:t>支持对有客户端的共享文件、补丁、软件、操作系统、非法外联、防火墙、远程桌面、计算机名、开放端口、弱密码等合规项检查。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768" w:type="pct"/>
            <w:shd w:val="clear" w:color="auto" w:fill="auto"/>
            <w:noWrap/>
            <w:vAlign w:val="center"/>
          </w:tcPr>
          <w:p>
            <w:pPr>
              <w:spacing w:line="360" w:lineRule="auto"/>
              <w:rPr>
                <w:rFonts w:ascii="宋体" w:hAnsi="宋体" w:cs="宋体"/>
                <w:szCs w:val="21"/>
              </w:rPr>
            </w:pPr>
            <w:r>
              <w:rPr>
                <w:rFonts w:hint="eastAsia" w:ascii="宋体" w:hAnsi="宋体" w:cs="宋体"/>
                <w:szCs w:val="21"/>
              </w:rPr>
              <w:t>非法外联</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支持对终端的违规外联事件进行取证和事件告警；支持以邮件的方式进行外联告警。提供功能截图或定制开发承诺函。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4</w:t>
            </w:r>
          </w:p>
        </w:tc>
        <w:tc>
          <w:tcPr>
            <w:tcW w:w="768" w:type="pct"/>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安全联动</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支持独立控制中心集中管理各监狱所有安全准入系统，支持各监狱安全准入设备分组，权限管理，实现分布式部署集中管理。提供功能截图或定制开发承诺函。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支持管理中心的管理页面集中升级，上传一次更新包之后，各监狱所有安全准入系统均可升级。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427" w:type="pct"/>
            <w:shd w:val="clear" w:color="auto" w:fill="auto"/>
            <w:noWrap/>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6</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支持对可网管型交换机信息的图形化展示，展现交换机信息、交换机端口信息、各接口状态以及各接口下联的终端详细信息，方便管理员掌握全网网络设备信息。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427" w:type="pct"/>
            <w:shd w:val="clear" w:color="auto" w:fill="auto"/>
            <w:noWrap/>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7</w:t>
            </w:r>
          </w:p>
        </w:tc>
        <w:tc>
          <w:tcPr>
            <w:tcW w:w="768" w:type="pct"/>
            <w:vAlign w:val="center"/>
          </w:tcPr>
          <w:p>
            <w:pPr>
              <w:spacing w:line="360" w:lineRule="auto"/>
              <w:rPr>
                <w:rFonts w:ascii="宋体" w:hAnsi="宋体" w:cs="宋体"/>
                <w:szCs w:val="21"/>
              </w:rPr>
            </w:pPr>
            <w:r>
              <w:rPr>
                <w:rFonts w:hint="eastAsia" w:ascii="宋体" w:hAnsi="宋体" w:cs="宋体"/>
                <w:szCs w:val="21"/>
              </w:rPr>
              <w:t>终端管理</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提供客户端，不少于12000个授权数量（全省调配使用），实现专网终端入网控制、补丁管理、终端安全管理、违规外联检测、移动存储管控、防病毒等功能。客户端应支持Windows终端、Linux终端、国产化终端，可在授权总数内动态调整授权类型。提供以上功能承诺函。</w:t>
            </w:r>
          </w:p>
        </w:tc>
      </w:tr>
    </w:tbl>
    <w:p>
      <w:pPr>
        <w:spacing w:line="360" w:lineRule="auto"/>
        <w:rPr>
          <w:rFonts w:ascii="宋体" w:hAnsi="宋体" w:cs="宋体"/>
          <w:szCs w:val="21"/>
        </w:rPr>
      </w:pPr>
    </w:p>
    <w:p>
      <w:pPr>
        <w:pStyle w:val="2"/>
      </w:pPr>
    </w:p>
    <w:p>
      <w:pPr>
        <w:spacing w:line="360" w:lineRule="auto"/>
        <w:rPr>
          <w:rFonts w:ascii="宋体" w:hAnsi="宋体" w:cs="宋体"/>
          <w:szCs w:val="21"/>
        </w:rPr>
      </w:pPr>
      <w:r>
        <w:rPr>
          <w:rFonts w:hint="eastAsia" w:ascii="宋体" w:hAnsi="宋体" w:cs="宋体"/>
          <w:szCs w:val="21"/>
        </w:rPr>
        <w:t>24所省属监狱安全产品参数及功能要求</w:t>
      </w:r>
    </w:p>
    <w:p>
      <w:pPr>
        <w:spacing w:line="360" w:lineRule="auto"/>
        <w:rPr>
          <w:rFonts w:ascii="宋体" w:hAnsi="宋体" w:cs="宋体"/>
          <w:szCs w:val="21"/>
        </w:rPr>
      </w:pPr>
      <w:r>
        <w:rPr>
          <w:rFonts w:hint="eastAsia" w:ascii="宋体" w:hAnsi="宋体" w:cs="宋体"/>
          <w:szCs w:val="21"/>
        </w:rPr>
        <w:t>3.1态势感知探针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275"/>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shd w:val="clear" w:color="auto" w:fill="auto"/>
            <w:noWrap/>
            <w:vAlign w:val="center"/>
          </w:tcPr>
          <w:p>
            <w:pPr>
              <w:spacing w:line="360" w:lineRule="auto"/>
              <w:rPr>
                <w:rFonts w:ascii="宋体" w:hAnsi="宋体" w:cs="宋体"/>
                <w:szCs w:val="21"/>
              </w:rPr>
            </w:pPr>
            <w:r>
              <w:rPr>
                <w:rFonts w:hint="eastAsia" w:ascii="宋体" w:hAnsi="宋体" w:cs="宋体"/>
                <w:szCs w:val="21"/>
              </w:rPr>
              <w:t>序号</w:t>
            </w:r>
          </w:p>
        </w:tc>
        <w:tc>
          <w:tcPr>
            <w:tcW w:w="1275" w:type="dxa"/>
            <w:shd w:val="clear" w:color="auto" w:fill="auto"/>
            <w:noWrap/>
            <w:vAlign w:val="center"/>
          </w:tcPr>
          <w:p>
            <w:pPr>
              <w:spacing w:line="360" w:lineRule="auto"/>
              <w:rPr>
                <w:rFonts w:ascii="宋体" w:hAnsi="宋体" w:cs="宋体"/>
                <w:szCs w:val="21"/>
              </w:rPr>
            </w:pPr>
            <w:r>
              <w:rPr>
                <w:rFonts w:hint="eastAsia" w:ascii="宋体" w:hAnsi="宋体" w:cs="宋体"/>
                <w:szCs w:val="21"/>
              </w:rPr>
              <w:t>技术指标</w:t>
            </w: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w:t>
            </w:r>
          </w:p>
        </w:tc>
        <w:tc>
          <w:tcPr>
            <w:tcW w:w="1275" w:type="dxa"/>
            <w:shd w:val="clear" w:color="auto" w:fill="auto"/>
            <w:noWrap/>
            <w:vAlign w:val="center"/>
          </w:tcPr>
          <w:p>
            <w:pPr>
              <w:spacing w:line="360" w:lineRule="auto"/>
              <w:rPr>
                <w:rFonts w:ascii="宋体" w:hAnsi="宋体" w:cs="宋体"/>
                <w:szCs w:val="21"/>
              </w:rPr>
            </w:pPr>
            <w:r>
              <w:rPr>
                <w:rFonts w:hint="eastAsia" w:ascii="宋体" w:hAnsi="宋体" w:cs="宋体"/>
                <w:szCs w:val="21"/>
              </w:rPr>
              <w:t>基本要求</w:t>
            </w: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机架式，≥6个千兆网口，存储≥1TB，吞吐≥1Gbps，三年质保及</w:t>
            </w:r>
            <w:r>
              <w:rPr>
                <w:rFonts w:hint="eastAsia" w:ascii="宋体" w:hAnsi="宋体" w:cs="宋体"/>
                <w:szCs w:val="21"/>
                <w:lang w:val="en-US" w:eastAsia="zh-CN"/>
              </w:rPr>
              <w:t>免费</w:t>
            </w:r>
            <w:r>
              <w:rPr>
                <w:rFonts w:hint="eastAsia" w:ascii="宋体" w:hAnsi="宋体" w:cs="宋体"/>
                <w:szCs w:val="21"/>
              </w:rPr>
              <w:t>软件升级、规则库升级服务。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w:t>
            </w:r>
          </w:p>
        </w:tc>
        <w:tc>
          <w:tcPr>
            <w:tcW w:w="1275"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流量分析</w:t>
            </w: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支持常见协议识别并还原网络流量，包括但不限于http、dns、smtp、pop3、imap、webmail、SMB、FTP、SNMP、telnet、nfs、ICMP、SSL、SSH等，用于取证分析、威胁发现。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w:t>
            </w:r>
          </w:p>
        </w:tc>
        <w:tc>
          <w:tcPr>
            <w:tcW w:w="1275" w:type="dxa"/>
            <w:vMerge w:val="continue"/>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支持自定义协议和端口，满足特殊场景下的流量抓取。提供功能截图或定制开发承诺函。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4</w:t>
            </w:r>
          </w:p>
        </w:tc>
        <w:tc>
          <w:tcPr>
            <w:tcW w:w="1275"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威胁检测</w:t>
            </w: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支持流量中发现WEB攻击（如SQL注入、XSS、系统配置、目录遍历、弱口令、权限绕过、信息泄露、文件包含、文件写入攻击、挖矿等）行为检测。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5</w:t>
            </w:r>
          </w:p>
        </w:tc>
        <w:tc>
          <w:tcPr>
            <w:tcW w:w="1275" w:type="dxa"/>
            <w:vMerge w:val="continue"/>
            <w:shd w:val="clear" w:color="auto" w:fill="auto"/>
            <w:noWrap/>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支持webshell函数（如文件包含漏洞、任意文件写入、任意目录读取、任意文件包含、preg_replace代码执行等）攻击检测。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6</w:t>
            </w:r>
          </w:p>
        </w:tc>
        <w:tc>
          <w:tcPr>
            <w:tcW w:w="1275" w:type="dxa"/>
            <w:vMerge w:val="continue"/>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支持威胁情报的APT事件、僵尸网络、勒索软件、流氓推广、木马蠕虫以及其他恶意软件等网络风险。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7</w:t>
            </w:r>
          </w:p>
        </w:tc>
        <w:tc>
          <w:tcPr>
            <w:tcW w:w="1275" w:type="dxa"/>
            <w:vMerge w:val="continue"/>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支持请求头、响应头、请求体、响应体四方面语义分析检测和详细请求响应内容，提升对未知威胁检测能力。提供功能截图或定制开发承诺函。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8</w:t>
            </w:r>
          </w:p>
        </w:tc>
        <w:tc>
          <w:tcPr>
            <w:tcW w:w="1275" w:type="dxa"/>
            <w:vMerge w:val="continue"/>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支持告警信息的触发的原因，匹配攻击特征的内容明显标注显示，方便分析人员事件分析，提供功能截图或定制开发承诺函。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9</w:t>
            </w:r>
          </w:p>
        </w:tc>
        <w:tc>
          <w:tcPr>
            <w:tcW w:w="1275" w:type="dxa"/>
            <w:vMerge w:val="continue"/>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支持威胁告警的相关原始pcap数据留存，具备本地下载功能。提供功能截图或定制开发承诺函。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10</w:t>
            </w:r>
          </w:p>
        </w:tc>
        <w:tc>
          <w:tcPr>
            <w:tcW w:w="1275" w:type="dxa"/>
            <w:vMerge w:val="continue"/>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支持弱口令字典，支持HTTP、HTTPS、Telnet、FTP、POP、SMTP、IMAP等协议的弱口令检测。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11</w:t>
            </w:r>
          </w:p>
        </w:tc>
        <w:tc>
          <w:tcPr>
            <w:tcW w:w="1275" w:type="dxa"/>
            <w:vMerge w:val="continue"/>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支持对受害IP、攻击IP、告警类型、威胁情报、威胁名称、XFF代理、URI、域名等信息告警。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12</w:t>
            </w:r>
          </w:p>
        </w:tc>
        <w:tc>
          <w:tcPr>
            <w:tcW w:w="1275"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协同联动</w:t>
            </w: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支持采用国密算法（或通过利用现有密码应用设备定制开发实现）向态势感知系统上报安全数据，确保数据传输的安全性。提供功能截图或定制开发承诺函。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8"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13</w:t>
            </w:r>
          </w:p>
        </w:tc>
        <w:tc>
          <w:tcPr>
            <w:tcW w:w="1275" w:type="dxa"/>
            <w:vMerge w:val="continue"/>
            <w:vAlign w:val="center"/>
          </w:tcPr>
          <w:p>
            <w:pPr>
              <w:spacing w:line="360" w:lineRule="auto"/>
              <w:rPr>
                <w:rFonts w:ascii="宋体" w:hAnsi="宋体" w:cs="宋体"/>
                <w:szCs w:val="21"/>
              </w:rPr>
            </w:pPr>
          </w:p>
        </w:tc>
        <w:tc>
          <w:tcPr>
            <w:tcW w:w="6313"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支持将威胁告警等日志转发本项目安全决策响应系统。提供功能截图或定制开发承诺函。</w:t>
            </w:r>
          </w:p>
        </w:tc>
      </w:tr>
    </w:tbl>
    <w:p>
      <w:pPr>
        <w:spacing w:line="360" w:lineRule="auto"/>
        <w:rPr>
          <w:rFonts w:ascii="宋体" w:hAnsi="宋体" w:cs="宋体"/>
          <w:szCs w:val="21"/>
        </w:rPr>
      </w:pPr>
      <w:r>
        <w:rPr>
          <w:rFonts w:hint="eastAsia" w:ascii="宋体" w:hAnsi="宋体" w:cs="宋体"/>
          <w:szCs w:val="21"/>
        </w:rPr>
        <w:t>3.2安全准入系统</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09"/>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rPr>
                <w:rFonts w:ascii="宋体" w:hAnsi="宋体" w:cs="宋体"/>
                <w:szCs w:val="21"/>
              </w:rPr>
            </w:pPr>
            <w:r>
              <w:rPr>
                <w:rFonts w:hint="eastAsia" w:ascii="宋体" w:hAnsi="宋体" w:cs="宋体"/>
                <w:szCs w:val="21"/>
              </w:rPr>
              <w:t>序号</w:t>
            </w:r>
          </w:p>
        </w:tc>
        <w:tc>
          <w:tcPr>
            <w:tcW w:w="768" w:type="pct"/>
            <w:shd w:val="clear" w:color="auto" w:fill="auto"/>
            <w:noWrap/>
            <w:vAlign w:val="center"/>
          </w:tcPr>
          <w:p>
            <w:pPr>
              <w:spacing w:line="360" w:lineRule="auto"/>
              <w:rPr>
                <w:rFonts w:ascii="宋体" w:hAnsi="宋体" w:cs="宋体"/>
                <w:szCs w:val="21"/>
              </w:rPr>
            </w:pPr>
            <w:r>
              <w:rPr>
                <w:rFonts w:hint="eastAsia" w:ascii="宋体" w:hAnsi="宋体" w:cs="宋体"/>
                <w:szCs w:val="21"/>
              </w:rPr>
              <w:t>技术指标</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w:t>
            </w:r>
          </w:p>
        </w:tc>
        <w:tc>
          <w:tcPr>
            <w:tcW w:w="768" w:type="pct"/>
            <w:shd w:val="clear" w:color="auto" w:fill="auto"/>
            <w:noWrap/>
            <w:vAlign w:val="center"/>
          </w:tcPr>
          <w:p>
            <w:pPr>
              <w:spacing w:line="360" w:lineRule="auto"/>
              <w:rPr>
                <w:rFonts w:ascii="宋体" w:hAnsi="宋体" w:cs="宋体"/>
                <w:szCs w:val="21"/>
              </w:rPr>
            </w:pPr>
            <w:r>
              <w:rPr>
                <w:rFonts w:hint="eastAsia" w:ascii="宋体" w:hAnsi="宋体" w:cs="宋体"/>
                <w:szCs w:val="21"/>
              </w:rPr>
              <w:t>基本要求</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机架式，≥4G网络流量处理能力，≥4个千兆电口，≥2TB 存储，双电源，支持IoT泛终端物联网和普通PC、信创终端统一准入控制管理，三年质保和升级。授权管理数≥8000点（包含哑终端）。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w:t>
            </w:r>
          </w:p>
        </w:tc>
        <w:tc>
          <w:tcPr>
            <w:tcW w:w="768" w:type="pct"/>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终端识别</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支持快速扫描，能够识别包括信创终端、非信创终端、摄像头、录像机、存储、交换机、服务器、移动终端等设备类型，并对网络中视频设备及其他设备数量和类型的分类统计。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支持主流视频设备厂商的各类网络视频摄像机。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4</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支持以图形化形式展示网络内设备拓扑关系，基于图形化数据可直观定位关键应用设备。提供功能截图或定制开发承诺函。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5</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支持GB/T28181协议，禁止不支持的终端入网。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6</w:t>
            </w:r>
          </w:p>
        </w:tc>
        <w:tc>
          <w:tcPr>
            <w:tcW w:w="768" w:type="pct"/>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终端认证</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支持支持802.1x、portal、MAC等认证方式，支持无线和有线环境下的接入控制。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7</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支持用户名和密码、方式认证，支持安装客户端，经过管理人员审批入网。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8</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支持对IP、MAC、设备进行绑定，确保哑终端的可信并授权入网，对随意变更IP或MAC的行为进行快速发现和有效阻断。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9</w:t>
            </w:r>
          </w:p>
        </w:tc>
        <w:tc>
          <w:tcPr>
            <w:tcW w:w="768" w:type="pct"/>
            <w:vMerge w:val="continue"/>
            <w:vAlign w:val="center"/>
          </w:tcPr>
          <w:p>
            <w:pPr>
              <w:spacing w:line="360" w:lineRule="auto"/>
              <w:rPr>
                <w:rFonts w:ascii="宋体" w:hAnsi="宋体" w:cs="宋体"/>
                <w:szCs w:val="21"/>
              </w:rPr>
            </w:pP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支持发现、识别和禁止NAT转换设备。提供功能截图或定制开发承诺函。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10</w:t>
            </w:r>
          </w:p>
        </w:tc>
        <w:tc>
          <w:tcPr>
            <w:tcW w:w="768" w:type="pct"/>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访问控制</w:t>
            </w:r>
          </w:p>
        </w:tc>
        <w:tc>
          <w:tcPr>
            <w:tcW w:w="3804" w:type="pct"/>
            <w:shd w:val="clear" w:color="000000" w:fill="FFFFFF"/>
            <w:vAlign w:val="center"/>
          </w:tcPr>
          <w:p>
            <w:pPr>
              <w:spacing w:line="360" w:lineRule="auto"/>
              <w:rPr>
                <w:rFonts w:ascii="宋体" w:hAnsi="宋体" w:cs="宋体"/>
                <w:szCs w:val="21"/>
              </w:rPr>
            </w:pPr>
            <w:r>
              <w:rPr>
                <w:rFonts w:hint="eastAsia" w:ascii="宋体" w:hAnsi="宋体" w:cs="宋体"/>
                <w:szCs w:val="21"/>
              </w:rPr>
              <w:t>支持基于用户、角色、设备分组、终端安检结果等动态下发VLAN、acl。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11</w:t>
            </w:r>
          </w:p>
        </w:tc>
        <w:tc>
          <w:tcPr>
            <w:tcW w:w="768" w:type="pct"/>
            <w:vMerge w:val="continue"/>
            <w:vAlign w:val="center"/>
          </w:tcPr>
          <w:p>
            <w:pPr>
              <w:spacing w:line="360" w:lineRule="auto"/>
              <w:rPr>
                <w:rFonts w:ascii="宋体" w:hAnsi="宋体" w:cs="宋体"/>
                <w:szCs w:val="21"/>
              </w:rPr>
            </w:pPr>
          </w:p>
        </w:tc>
        <w:tc>
          <w:tcPr>
            <w:tcW w:w="3804" w:type="pct"/>
            <w:shd w:val="clear" w:color="000000" w:fill="FFFFFF"/>
            <w:vAlign w:val="center"/>
          </w:tcPr>
          <w:p>
            <w:pPr>
              <w:spacing w:line="360" w:lineRule="auto"/>
              <w:rPr>
                <w:rFonts w:ascii="宋体" w:hAnsi="宋体" w:cs="宋体"/>
                <w:szCs w:val="21"/>
              </w:rPr>
            </w:pPr>
            <w:r>
              <w:rPr>
                <w:rFonts w:hint="eastAsia" w:ascii="宋体" w:hAnsi="宋体" w:cs="宋体"/>
                <w:szCs w:val="21"/>
              </w:rPr>
              <w:t>支持哑终端无客户端扫描开放端口，对指纹仿冒等，不合规行为进行阻断或告警。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12</w:t>
            </w:r>
          </w:p>
        </w:tc>
        <w:tc>
          <w:tcPr>
            <w:tcW w:w="768" w:type="pct"/>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合规检测</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支持对有客户端的共享文件、补丁、软件、操作系统、非法外联、防火墙、远程桌面、计算机名、开放端口、弱密码等合规项检查。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13</w:t>
            </w:r>
          </w:p>
        </w:tc>
        <w:tc>
          <w:tcPr>
            <w:tcW w:w="768" w:type="pct"/>
            <w:vMerge w:val="continue"/>
            <w:vAlign w:val="center"/>
          </w:tcPr>
          <w:p>
            <w:pPr>
              <w:spacing w:line="360" w:lineRule="auto"/>
              <w:rPr>
                <w:rFonts w:ascii="宋体" w:hAnsi="宋体" w:cs="宋体"/>
                <w:szCs w:val="21"/>
              </w:rPr>
            </w:pPr>
          </w:p>
        </w:tc>
        <w:tc>
          <w:tcPr>
            <w:tcW w:w="3804" w:type="pct"/>
            <w:shd w:val="clear" w:color="auto" w:fill="auto"/>
            <w:vAlign w:val="center"/>
          </w:tcPr>
          <w:p>
            <w:pPr>
              <w:spacing w:line="360" w:lineRule="auto"/>
              <w:rPr>
                <w:rFonts w:ascii="宋体" w:hAnsi="宋体" w:cs="宋体"/>
                <w:szCs w:val="21"/>
              </w:rPr>
            </w:pPr>
            <w:r>
              <w:rPr>
                <w:rFonts w:hint="eastAsia" w:ascii="宋体" w:hAnsi="宋体" w:cs="宋体"/>
                <w:szCs w:val="21"/>
              </w:rPr>
              <w:t>支持对终端的违规外联事件进行取证和事件告警，支持以邮件的方式进行外联告警。提供功能截图或定制开发承诺函。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14</w:t>
            </w:r>
          </w:p>
        </w:tc>
        <w:tc>
          <w:tcPr>
            <w:tcW w:w="768" w:type="pct"/>
            <w:shd w:val="clear" w:color="auto" w:fill="auto"/>
            <w:noWrap/>
            <w:vAlign w:val="center"/>
          </w:tcPr>
          <w:p>
            <w:pPr>
              <w:spacing w:line="360" w:lineRule="auto"/>
              <w:rPr>
                <w:rFonts w:ascii="宋体" w:hAnsi="宋体" w:cs="宋体"/>
                <w:szCs w:val="21"/>
              </w:rPr>
            </w:pPr>
            <w:r>
              <w:rPr>
                <w:rFonts w:hint="eastAsia" w:ascii="宋体" w:hAnsi="宋体" w:cs="宋体"/>
                <w:szCs w:val="21"/>
              </w:rPr>
              <w:t>非法外联</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支持独立控制中心集中管理各监狱所有安全准入系统，支持各监狱安全准入设备分组，权限管理，实现分布式部署集中管理。提供功能截图或定制开发承诺函。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pct"/>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15</w:t>
            </w:r>
          </w:p>
        </w:tc>
        <w:tc>
          <w:tcPr>
            <w:tcW w:w="768" w:type="pct"/>
            <w:shd w:val="clear" w:color="auto" w:fill="auto"/>
            <w:noWrap/>
            <w:vAlign w:val="center"/>
          </w:tcPr>
          <w:p>
            <w:pPr>
              <w:spacing w:line="360" w:lineRule="auto"/>
              <w:rPr>
                <w:rFonts w:ascii="宋体" w:hAnsi="宋体" w:cs="宋体"/>
                <w:szCs w:val="21"/>
              </w:rPr>
            </w:pPr>
            <w:r>
              <w:rPr>
                <w:rFonts w:hint="eastAsia" w:ascii="宋体" w:hAnsi="宋体" w:cs="宋体"/>
                <w:szCs w:val="21"/>
              </w:rPr>
              <w:t>安全联动</w:t>
            </w:r>
          </w:p>
        </w:tc>
        <w:tc>
          <w:tcPr>
            <w:tcW w:w="3804" w:type="pct"/>
            <w:shd w:val="clear" w:color="auto" w:fill="auto"/>
            <w:noWrap/>
            <w:vAlign w:val="center"/>
          </w:tcPr>
          <w:p>
            <w:pPr>
              <w:spacing w:line="360" w:lineRule="auto"/>
              <w:rPr>
                <w:rFonts w:ascii="宋体" w:hAnsi="宋体" w:cs="宋体"/>
                <w:szCs w:val="21"/>
              </w:rPr>
            </w:pPr>
            <w:r>
              <w:rPr>
                <w:rFonts w:hint="eastAsia" w:ascii="宋体" w:hAnsi="宋体" w:cs="宋体"/>
                <w:szCs w:val="21"/>
              </w:rPr>
              <w:t>支持管理中心的管理页面集中升级，上传一次更新包之后，各监狱所有安全准入系统均可升级。</w:t>
            </w:r>
          </w:p>
        </w:tc>
      </w:tr>
    </w:tbl>
    <w:p>
      <w:pPr>
        <w:spacing w:line="360" w:lineRule="auto"/>
        <w:rPr>
          <w:rFonts w:ascii="宋体" w:hAnsi="宋体" w:cs="宋体"/>
          <w:szCs w:val="21"/>
        </w:rPr>
      </w:pPr>
      <w:r>
        <w:rPr>
          <w:rFonts w:hint="eastAsia" w:ascii="宋体" w:hAnsi="宋体" w:cs="宋体"/>
          <w:szCs w:val="21"/>
        </w:rPr>
        <w:t>3.3日志审计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846" w:type="dxa"/>
            <w:shd w:val="clear" w:color="auto" w:fill="auto"/>
            <w:noWrap/>
            <w:vAlign w:val="center"/>
          </w:tcPr>
          <w:p>
            <w:pPr>
              <w:spacing w:line="360" w:lineRule="auto"/>
              <w:rPr>
                <w:rFonts w:ascii="宋体" w:hAnsi="宋体" w:cs="宋体"/>
                <w:szCs w:val="21"/>
              </w:rPr>
            </w:pPr>
            <w:r>
              <w:rPr>
                <w:rFonts w:hint="eastAsia" w:ascii="宋体" w:hAnsi="宋体" w:cs="宋体"/>
                <w:szCs w:val="21"/>
              </w:rPr>
              <w:t>序号</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技术指标</w:t>
            </w: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6"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基本要求</w:t>
            </w: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机架式，综合日志处理性能≥2000EPS，≥4个千兆电口，存储≥4TB，≥300个日志源授权，</w:t>
            </w:r>
            <w:r>
              <w:rPr>
                <w:rFonts w:hint="eastAsia" w:ascii="宋体" w:hAnsi="宋体" w:cs="宋体"/>
                <w:szCs w:val="21"/>
                <w:lang w:val="en-US" w:eastAsia="zh-CN"/>
              </w:rPr>
              <w:t>3年</w:t>
            </w:r>
            <w:r>
              <w:rPr>
                <w:rFonts w:hint="eastAsia" w:ascii="宋体" w:hAnsi="宋体" w:cs="宋体"/>
                <w:szCs w:val="21"/>
                <w:lang w:val="en-US"/>
              </w:rPr>
              <w:t>质保和</w:t>
            </w:r>
            <w:r>
              <w:rPr>
                <w:rFonts w:hint="eastAsia" w:ascii="宋体" w:hAnsi="宋体" w:cs="宋体"/>
                <w:szCs w:val="21"/>
                <w:lang w:val="en-US" w:eastAsia="zh-CN"/>
              </w:rPr>
              <w:t>免费</w:t>
            </w:r>
            <w:r>
              <w:rPr>
                <w:rFonts w:hint="eastAsia" w:ascii="宋体" w:hAnsi="宋体" w:cs="宋体"/>
                <w:szCs w:val="21"/>
              </w:rPr>
              <w:t>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6"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w:t>
            </w:r>
          </w:p>
        </w:tc>
        <w:tc>
          <w:tcPr>
            <w:tcW w:w="1276"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日志采集</w:t>
            </w: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对审计各种网络设备（路由器、交换机等）配置日志、运行日志、告警日志等；支持审计采集防火墙、IDS、IPS、VPN、防病毒网关，网闸，防DDOS攻击，Web应用防火墙等的配置日志、运行日志、告警日志等；各种包括Windows\Solaris\Linux\国产操作等的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6"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w:t>
            </w:r>
          </w:p>
        </w:tc>
        <w:tc>
          <w:tcPr>
            <w:tcW w:w="1276" w:type="dxa"/>
            <w:vMerge w:val="continue"/>
            <w:vAlign w:val="center"/>
          </w:tcPr>
          <w:p>
            <w:pPr>
              <w:spacing w:line="360" w:lineRule="auto"/>
              <w:rPr>
                <w:rFonts w:ascii="宋体" w:hAnsi="宋体" w:cs="宋体"/>
                <w:szCs w:val="21"/>
              </w:rPr>
            </w:pP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国产数据库、Oracle、Sqlserver、Mysql等数据库的配置日志、运行日志、告警日志等；审计各类中间件配置日志、运行日志、告警日志等；支持邮件，Web，FTP，Telnet、等应用的配置日志、运行日志、告警日志等；以及用户自己的业务系统的日志、事件、告警等安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6"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4</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日志分析</w:t>
            </w: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支持点击事件任意属性字段，</w:t>
            </w:r>
            <w:r>
              <w:rPr>
                <w:rFonts w:hint="eastAsia" w:ascii="宋体" w:hAnsi="宋体" w:cs="宋体"/>
                <w:szCs w:val="21"/>
                <w:lang w:eastAsia="zh-CN"/>
              </w:rPr>
              <w:t>以</w:t>
            </w:r>
            <w:r>
              <w:rPr>
                <w:rFonts w:hint="eastAsia" w:ascii="宋体" w:hAnsi="宋体" w:cs="宋体"/>
                <w:szCs w:val="21"/>
              </w:rPr>
              <w:t>该字段为条件对事件进行统计分析，并展示排序。提供功能截图或定制开发承诺函。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6"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5</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日志统计</w:t>
            </w: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支持统计信息图形化可视化展示，并可将统计结果保存为报表等。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6</w:t>
            </w:r>
          </w:p>
        </w:tc>
        <w:tc>
          <w:tcPr>
            <w:tcW w:w="1276"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日志报表</w:t>
            </w: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支持提供安全运维报告，帮助运维人员快速生成日常日志分析和运维报告。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846"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7</w:t>
            </w:r>
          </w:p>
        </w:tc>
        <w:tc>
          <w:tcPr>
            <w:tcW w:w="1276" w:type="dxa"/>
            <w:vMerge w:val="continue"/>
            <w:vAlign w:val="center"/>
          </w:tcPr>
          <w:p>
            <w:pPr>
              <w:spacing w:line="360" w:lineRule="auto"/>
              <w:rPr>
                <w:rFonts w:ascii="宋体" w:hAnsi="宋体" w:cs="宋体"/>
                <w:szCs w:val="21"/>
              </w:rPr>
            </w:pP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预定义针对各类服务器、网络设备、防火墙、入侵检测系统、防病毒系统、终端安全管理系统、数据库、策略变更、流量，设备事件趋势以及总体报表模板，可以保存为word/pdf/等多种格式。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846"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8</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日志转发</w:t>
            </w:r>
          </w:p>
        </w:tc>
        <w:tc>
          <w:tcPr>
            <w:tcW w:w="6174"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支持按照Syslog标准或自有格式进行转发，转发包括但不限于原始日志源IP地址。支持与本项目安全响应决策系统对接上报数据。提供功能截图或定制开发承诺函。</w:t>
            </w:r>
          </w:p>
        </w:tc>
      </w:tr>
    </w:tbl>
    <w:p>
      <w:pPr>
        <w:spacing w:line="360" w:lineRule="auto"/>
        <w:rPr>
          <w:rFonts w:ascii="宋体" w:hAnsi="宋体" w:cs="宋体"/>
          <w:szCs w:val="21"/>
        </w:rPr>
      </w:pPr>
      <w:r>
        <w:rPr>
          <w:rFonts w:hint="eastAsia" w:ascii="宋体" w:hAnsi="宋体" w:cs="宋体"/>
          <w:szCs w:val="21"/>
        </w:rPr>
        <w:t>3.4堡垒机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shd w:val="clear" w:color="auto" w:fill="auto"/>
            <w:noWrap/>
            <w:vAlign w:val="center"/>
          </w:tcPr>
          <w:p>
            <w:pPr>
              <w:spacing w:line="360" w:lineRule="auto"/>
              <w:rPr>
                <w:rFonts w:ascii="宋体" w:hAnsi="宋体" w:cs="宋体"/>
                <w:szCs w:val="21"/>
              </w:rPr>
            </w:pPr>
            <w:r>
              <w:rPr>
                <w:rFonts w:hint="eastAsia" w:ascii="宋体" w:hAnsi="宋体" w:cs="宋体"/>
                <w:szCs w:val="21"/>
              </w:rPr>
              <w:t>序号</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技术指标</w:t>
            </w: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基本要求</w:t>
            </w: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机架式，≥4个千兆电口, ≥4TB硬盘，双电源，≥150路图形会话、≥400路字符会话并发，≥300设备授权许可，三年质保和升级服务。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2</w:t>
            </w:r>
          </w:p>
        </w:tc>
        <w:tc>
          <w:tcPr>
            <w:tcW w:w="1276"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身份认证</w:t>
            </w: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支持与AD、LDAP、RADIUS、等认证系统联动登录堡垒机，支持自动同步AD/LADAP用户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3</w:t>
            </w:r>
          </w:p>
        </w:tc>
        <w:tc>
          <w:tcPr>
            <w:tcW w:w="1276" w:type="dxa"/>
            <w:vMerge w:val="continue"/>
            <w:vAlign w:val="center"/>
          </w:tcPr>
          <w:p>
            <w:pPr>
              <w:spacing w:line="360" w:lineRule="auto"/>
              <w:rPr>
                <w:rFonts w:ascii="宋体" w:hAnsi="宋体" w:cs="宋体"/>
                <w:szCs w:val="21"/>
              </w:rPr>
            </w:pP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支持多因子认证，包括但不限于用户名密码、国密USBKey或国密动态口令等认证方式，符合等保技术要求</w:t>
            </w:r>
          </w:p>
          <w:p>
            <w:pPr>
              <w:spacing w:line="360" w:lineRule="auto"/>
              <w:rPr>
                <w:rFonts w:ascii="宋体" w:hAnsi="宋体" w:cs="宋体"/>
                <w:szCs w:val="21"/>
              </w:rPr>
            </w:pPr>
            <w:r>
              <w:rPr>
                <w:rFonts w:hint="eastAsia" w:ascii="宋体" w:hAnsi="宋体" w:cs="宋体"/>
                <w:szCs w:val="21"/>
              </w:rPr>
              <w:t>。提供功能截图或定制开发承诺函。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4</w:t>
            </w:r>
          </w:p>
        </w:tc>
        <w:tc>
          <w:tcPr>
            <w:tcW w:w="1276" w:type="dxa"/>
            <w:vMerge w:val="continue"/>
            <w:vAlign w:val="center"/>
          </w:tcPr>
          <w:p>
            <w:pPr>
              <w:spacing w:line="360" w:lineRule="auto"/>
              <w:rPr>
                <w:rFonts w:ascii="宋体" w:hAnsi="宋体" w:cs="宋体"/>
                <w:szCs w:val="21"/>
              </w:rPr>
            </w:pP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支持角色权限细粒度划分，包括但不限于新建部门、安全配置、网络配置、HA配置、端口配置、外发配置、认证配置、工单配置、告警配置等权限划分。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5</w:t>
            </w:r>
          </w:p>
        </w:tc>
        <w:tc>
          <w:tcPr>
            <w:tcW w:w="1276" w:type="dxa"/>
            <w:vMerge w:val="restart"/>
            <w:shd w:val="clear" w:color="auto" w:fill="auto"/>
            <w:noWrap/>
            <w:vAlign w:val="center"/>
          </w:tcPr>
          <w:p>
            <w:pPr>
              <w:spacing w:line="360" w:lineRule="auto"/>
              <w:rPr>
                <w:rFonts w:ascii="宋体" w:hAnsi="宋体" w:cs="宋体"/>
                <w:szCs w:val="21"/>
              </w:rPr>
            </w:pPr>
            <w:r>
              <w:rPr>
                <w:rFonts w:hint="eastAsia" w:ascii="宋体" w:hAnsi="宋体" w:cs="宋体"/>
                <w:szCs w:val="21"/>
              </w:rPr>
              <w:t>资源管理</w:t>
            </w: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支持SSH、RDP、VNC、Telnet、FTP、SCP、SFTP、DB2、MySQL、Oracle、SQL Server、Rlogin、DM等运维协议。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6</w:t>
            </w:r>
          </w:p>
        </w:tc>
        <w:tc>
          <w:tcPr>
            <w:tcW w:w="1276" w:type="dxa"/>
            <w:vMerge w:val="continue"/>
            <w:vAlign w:val="center"/>
          </w:tcPr>
          <w:p>
            <w:pPr>
              <w:spacing w:line="360" w:lineRule="auto"/>
              <w:rPr>
                <w:rFonts w:ascii="宋体" w:hAnsi="宋体" w:cs="宋体"/>
                <w:szCs w:val="21"/>
              </w:rPr>
            </w:pP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支持利用应用发布的方式实现对火狐浏览器、Chrome浏览器、达梦数据库、人大金仓数据库等的扩展支持。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7</w:t>
            </w:r>
          </w:p>
        </w:tc>
        <w:tc>
          <w:tcPr>
            <w:tcW w:w="1276" w:type="dxa"/>
            <w:vMerge w:val="continue"/>
            <w:vAlign w:val="center"/>
          </w:tcPr>
          <w:p>
            <w:pPr>
              <w:spacing w:line="360" w:lineRule="auto"/>
              <w:rPr>
                <w:rFonts w:ascii="宋体" w:hAnsi="宋体" w:cs="宋体"/>
                <w:szCs w:val="21"/>
              </w:rPr>
            </w:pP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不限操作系统类型，无需安装任何客户端插件，使用浏览器通过H5方式即可直接运维SSH、RDP、Telnet、等资源。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8</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运维协同</w:t>
            </w: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支持核心设备双人授权或通过动态令牌授权，运维员需要授权才可以对资源进行运维。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9</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运维安全</w:t>
            </w: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支持对MySQL、Oracle和达梦数据库等国产数据库的访问操作进行控制，可基于命令实现对数据库操作的细粒度访问控制，执行动作包括但不限于断开连接、拒绝执行、允许执行等。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10</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自动改密</w:t>
            </w: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支持以部门、资源账户、账户组、时间、改密周期、改密方式生成详细的改密计划，到期自动执行。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1" w:type="dxa"/>
            <w:shd w:val="clear" w:color="auto" w:fill="auto"/>
            <w:noWrap/>
            <w:vAlign w:val="center"/>
          </w:tcPr>
          <w:p>
            <w:pPr>
              <w:spacing w:line="360" w:lineRule="auto"/>
              <w:jc w:val="center"/>
              <w:rPr>
                <w:rFonts w:ascii="宋体" w:hAnsi="宋体" w:cs="宋体"/>
                <w:szCs w:val="21"/>
              </w:rPr>
            </w:pPr>
            <w:r>
              <w:rPr>
                <w:rFonts w:hint="eastAsia" w:ascii="宋体" w:hAnsi="宋体" w:cs="宋体"/>
                <w:szCs w:val="21"/>
              </w:rPr>
              <w:t>11</w:t>
            </w:r>
          </w:p>
        </w:tc>
        <w:tc>
          <w:tcPr>
            <w:tcW w:w="1276" w:type="dxa"/>
            <w:shd w:val="clear" w:color="auto" w:fill="auto"/>
            <w:noWrap/>
            <w:vAlign w:val="center"/>
          </w:tcPr>
          <w:p>
            <w:pPr>
              <w:spacing w:line="360" w:lineRule="auto"/>
              <w:rPr>
                <w:rFonts w:ascii="宋体" w:hAnsi="宋体" w:cs="宋体"/>
                <w:szCs w:val="21"/>
              </w:rPr>
            </w:pPr>
            <w:r>
              <w:rPr>
                <w:rFonts w:hint="eastAsia" w:ascii="宋体" w:hAnsi="宋体" w:cs="宋体"/>
                <w:szCs w:val="21"/>
              </w:rPr>
              <w:t>运维审计</w:t>
            </w:r>
          </w:p>
        </w:tc>
        <w:tc>
          <w:tcPr>
            <w:tcW w:w="6179" w:type="dxa"/>
            <w:shd w:val="clear" w:color="auto" w:fill="auto"/>
            <w:noWrap/>
            <w:vAlign w:val="center"/>
          </w:tcPr>
          <w:p>
            <w:pPr>
              <w:spacing w:line="360" w:lineRule="auto"/>
              <w:rPr>
                <w:rFonts w:ascii="宋体" w:hAnsi="宋体" w:cs="宋体"/>
                <w:szCs w:val="21"/>
              </w:rPr>
            </w:pPr>
            <w:r>
              <w:rPr>
                <w:rFonts w:hint="eastAsia" w:ascii="宋体" w:hAnsi="宋体" w:cs="宋体"/>
                <w:szCs w:val="21"/>
              </w:rPr>
              <w:t>支持在线回放运维人员对资源的操作过程，并可以对播放速度进行调整，支持拖动、暂停、停止、重新播放或动画等操作。</w:t>
            </w: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（四）技术对接要求</w:t>
      </w:r>
    </w:p>
    <w:p>
      <w:pPr>
        <w:spacing w:line="360" w:lineRule="auto"/>
        <w:ind w:firstLine="420" w:firstLineChars="200"/>
        <w:rPr>
          <w:rFonts w:ascii="宋体" w:hAnsi="宋体" w:cs="宋体"/>
          <w:szCs w:val="21"/>
        </w:rPr>
      </w:pPr>
      <w:r>
        <w:rPr>
          <w:rFonts w:hint="eastAsia" w:ascii="宋体" w:hAnsi="宋体" w:cs="宋体"/>
          <w:szCs w:val="21"/>
        </w:rPr>
        <w:t>本次项目建设，安全运营决策响应中心作为统一安全管理平台需与本次采购及现有的全省狱务专网安全产品进行对接，获取相关安全数据，实现联动管理。为实现全网统一安全管理，技术对接要实现现有安全产品全覆盖，不得遗漏。允许中标方对不予对接的安全产品进行替换，并与替换后的安全产品进行对接，但提供的安全产品应不低于现有安全产品的配置和功能。</w:t>
      </w:r>
      <w:r>
        <w:rPr>
          <w:rFonts w:hint="eastAsia" w:ascii="宋体" w:hAnsi="宋体" w:cs="宋体"/>
          <w:b/>
          <w:bCs/>
          <w:szCs w:val="21"/>
        </w:rPr>
        <w:t>（投标人须提供承诺函，未按要求提供的按无效投标处理）</w:t>
      </w:r>
    </w:p>
    <w:p>
      <w:pPr>
        <w:spacing w:line="360" w:lineRule="auto"/>
        <w:ind w:firstLine="420" w:firstLineChars="200"/>
        <w:rPr>
          <w:rFonts w:ascii="宋体" w:hAnsi="宋体" w:cs="宋体"/>
          <w:szCs w:val="21"/>
        </w:rPr>
      </w:pPr>
      <w:r>
        <w:rPr>
          <w:rFonts w:hint="eastAsia" w:ascii="宋体" w:hAnsi="宋体" w:cs="宋体"/>
          <w:szCs w:val="21"/>
          <w:u w:val="single"/>
        </w:rPr>
        <w:t>全省狱务专网</w:t>
      </w:r>
      <w:r>
        <w:rPr>
          <w:rFonts w:hint="eastAsia" w:ascii="宋体" w:hAnsi="宋体" w:cs="宋体"/>
          <w:szCs w:val="21"/>
        </w:rPr>
        <w:t>要求对接的安全产品清单如下表所示：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586"/>
        <w:gridCol w:w="247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25" w:type="dxa"/>
            <w:noWrap/>
            <w:vAlign w:val="center"/>
          </w:tcPr>
          <w:p>
            <w:pPr>
              <w:spacing w:line="360" w:lineRule="auto"/>
              <w:jc w:val="center"/>
              <w:rPr>
                <w:rFonts w:ascii="宋体" w:hAnsi="宋体" w:cs="宋体"/>
                <w:szCs w:val="21"/>
              </w:rPr>
            </w:pPr>
            <w:r>
              <w:rPr>
                <w:rFonts w:hint="eastAsia" w:ascii="宋体" w:hAnsi="宋体" w:cs="宋体"/>
                <w:szCs w:val="21"/>
              </w:rPr>
              <w:t>序号</w:t>
            </w:r>
          </w:p>
        </w:tc>
        <w:tc>
          <w:tcPr>
            <w:tcW w:w="2586" w:type="dxa"/>
            <w:noWrap/>
            <w:vAlign w:val="center"/>
          </w:tcPr>
          <w:p>
            <w:pPr>
              <w:spacing w:line="360" w:lineRule="auto"/>
              <w:jc w:val="center"/>
              <w:rPr>
                <w:rFonts w:ascii="宋体" w:hAnsi="宋体" w:cs="宋体"/>
                <w:szCs w:val="21"/>
              </w:rPr>
            </w:pPr>
            <w:r>
              <w:rPr>
                <w:rFonts w:hint="eastAsia" w:ascii="宋体" w:hAnsi="宋体" w:cs="宋体"/>
                <w:szCs w:val="21"/>
              </w:rPr>
              <w:t>设备类型</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设备型号</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restart"/>
            <w:noWrap/>
            <w:vAlign w:val="center"/>
          </w:tcPr>
          <w:p>
            <w:pPr>
              <w:spacing w:line="360" w:lineRule="auto"/>
              <w:jc w:val="center"/>
              <w:rPr>
                <w:rFonts w:ascii="宋体" w:hAnsi="宋体" w:cs="宋体"/>
                <w:szCs w:val="21"/>
              </w:rPr>
            </w:pPr>
            <w:r>
              <w:rPr>
                <w:rFonts w:hint="eastAsia" w:ascii="宋体" w:hAnsi="宋体" w:cs="宋体"/>
                <w:szCs w:val="21"/>
              </w:rPr>
              <w:t>1</w:t>
            </w:r>
          </w:p>
        </w:tc>
        <w:tc>
          <w:tcPr>
            <w:tcW w:w="2586" w:type="dxa"/>
            <w:vMerge w:val="restart"/>
            <w:noWrap/>
            <w:vAlign w:val="center"/>
          </w:tcPr>
          <w:p>
            <w:pPr>
              <w:spacing w:line="360" w:lineRule="auto"/>
              <w:jc w:val="center"/>
              <w:rPr>
                <w:rFonts w:ascii="宋体" w:hAnsi="宋体" w:cs="宋体"/>
                <w:szCs w:val="21"/>
              </w:rPr>
            </w:pPr>
            <w:r>
              <w:rPr>
                <w:rFonts w:hint="eastAsia" w:ascii="宋体" w:hAnsi="宋体" w:cs="宋体"/>
                <w:szCs w:val="21"/>
              </w:rPr>
              <w:t>态势感知</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奇安信网神威胁监测与分析系统V4.0 TSS10000-S52-WS</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平台-安恒DAS-ABL-780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探针-安恒DAS-SP600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深信服SIP-1000-Y2100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天融信TopSA</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平台-深信服SIP-1000-F800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探针-深信服STA-100-B1500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榕基RJ-NSTP v2.0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restart"/>
            <w:noWrap/>
            <w:vAlign w:val="center"/>
          </w:tcPr>
          <w:p>
            <w:pPr>
              <w:spacing w:line="360" w:lineRule="auto"/>
              <w:jc w:val="center"/>
              <w:rPr>
                <w:rFonts w:ascii="宋体" w:hAnsi="宋体" w:cs="宋体"/>
                <w:szCs w:val="21"/>
              </w:rPr>
            </w:pPr>
            <w:r>
              <w:rPr>
                <w:rFonts w:hint="eastAsia" w:ascii="宋体" w:hAnsi="宋体" w:cs="宋体"/>
                <w:szCs w:val="21"/>
              </w:rPr>
              <w:t>2</w:t>
            </w:r>
          </w:p>
        </w:tc>
        <w:tc>
          <w:tcPr>
            <w:tcW w:w="2586" w:type="dxa"/>
            <w:vMerge w:val="restart"/>
            <w:noWrap/>
            <w:vAlign w:val="center"/>
          </w:tcPr>
          <w:p>
            <w:pPr>
              <w:spacing w:line="360" w:lineRule="auto"/>
              <w:jc w:val="center"/>
              <w:rPr>
                <w:rFonts w:ascii="宋体" w:hAnsi="宋体" w:cs="宋体"/>
                <w:szCs w:val="21"/>
              </w:rPr>
            </w:pPr>
            <w:r>
              <w:rPr>
                <w:rFonts w:hint="eastAsia" w:ascii="宋体" w:hAnsi="宋体" w:cs="宋体"/>
                <w:szCs w:val="21"/>
              </w:rPr>
              <w:t>日志审计</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网神SecFox日志收集与分析系统V5.0</w:t>
            </w:r>
          </w:p>
          <w:p>
            <w:pPr>
              <w:spacing w:line="360" w:lineRule="auto"/>
              <w:jc w:val="center"/>
              <w:rPr>
                <w:rFonts w:ascii="宋体" w:hAnsi="宋体" w:cs="宋体"/>
                <w:szCs w:val="21"/>
              </w:rPr>
            </w:pPr>
            <w:r>
              <w:rPr>
                <w:rFonts w:hint="eastAsia" w:ascii="宋体" w:hAnsi="宋体" w:cs="宋体"/>
                <w:szCs w:val="21"/>
              </w:rPr>
              <w:t>LAS-R32M</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安恒DAS-LOG500（450）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深信服SIP-Logger-A600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绿盟LASNX3-HDB604</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奇安信LAS-R12P-PA</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天融信TA-LOG</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SIP-Logger-C600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restart"/>
            <w:noWrap/>
            <w:vAlign w:val="center"/>
          </w:tcPr>
          <w:p>
            <w:pPr>
              <w:spacing w:line="360" w:lineRule="auto"/>
              <w:jc w:val="center"/>
              <w:rPr>
                <w:rFonts w:ascii="宋体" w:hAnsi="宋体" w:cs="宋体"/>
                <w:szCs w:val="21"/>
              </w:rPr>
            </w:pPr>
            <w:r>
              <w:rPr>
                <w:rFonts w:hint="eastAsia" w:ascii="宋体" w:hAnsi="宋体" w:cs="宋体"/>
                <w:szCs w:val="21"/>
              </w:rPr>
              <w:t>3</w:t>
            </w:r>
          </w:p>
        </w:tc>
        <w:tc>
          <w:tcPr>
            <w:tcW w:w="2586" w:type="dxa"/>
            <w:vMerge w:val="restart"/>
            <w:noWrap/>
            <w:vAlign w:val="center"/>
          </w:tcPr>
          <w:p>
            <w:pPr>
              <w:spacing w:line="360" w:lineRule="auto"/>
              <w:jc w:val="center"/>
              <w:rPr>
                <w:rFonts w:ascii="宋体" w:hAnsi="宋体" w:cs="宋体"/>
                <w:szCs w:val="21"/>
              </w:rPr>
            </w:pPr>
            <w:r>
              <w:rPr>
                <w:rFonts w:hint="eastAsia" w:ascii="宋体" w:hAnsi="宋体" w:cs="宋体"/>
                <w:szCs w:val="21"/>
              </w:rPr>
              <w:t>堡垒机</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奇安信网神运维安全管理系统V6.0</w:t>
            </w:r>
          </w:p>
          <w:p>
            <w:pPr>
              <w:spacing w:line="360" w:lineRule="auto"/>
              <w:jc w:val="center"/>
              <w:rPr>
                <w:rFonts w:ascii="宋体" w:hAnsi="宋体" w:cs="宋体"/>
                <w:szCs w:val="21"/>
              </w:rPr>
            </w:pPr>
            <w:r>
              <w:rPr>
                <w:rFonts w:hint="eastAsia" w:ascii="宋体" w:hAnsi="宋体" w:cs="宋体"/>
                <w:szCs w:val="21"/>
              </w:rPr>
              <w:t>C6100-BH-TF10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安恒DAS-USM280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widowControl/>
              <w:spacing w:line="360" w:lineRule="auto"/>
              <w:jc w:val="center"/>
              <w:rPr>
                <w:rFonts w:ascii="宋体" w:hAnsi="宋体" w:cs="宋体"/>
                <w:szCs w:val="21"/>
              </w:rPr>
            </w:pPr>
            <w:r>
              <w:rPr>
                <w:rFonts w:hint="eastAsia" w:ascii="宋体" w:hAnsi="宋体" w:cs="宋体"/>
                <w:szCs w:val="21"/>
              </w:rPr>
              <w:t>深信服OSM-1000-B1150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widowControl/>
              <w:spacing w:line="360" w:lineRule="auto"/>
              <w:jc w:val="center"/>
              <w:rPr>
                <w:rFonts w:ascii="宋体" w:hAnsi="宋体" w:cs="宋体"/>
                <w:szCs w:val="21"/>
              </w:rPr>
            </w:pPr>
            <w:r>
              <w:rPr>
                <w:rFonts w:hint="eastAsia" w:ascii="宋体" w:hAnsi="宋体" w:cs="宋体"/>
                <w:szCs w:val="21"/>
              </w:rPr>
              <w:t>华为UMA</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widowControl/>
              <w:spacing w:line="360" w:lineRule="auto"/>
              <w:jc w:val="center"/>
              <w:rPr>
                <w:rFonts w:ascii="宋体" w:hAnsi="宋体" w:cs="宋体"/>
                <w:szCs w:val="21"/>
              </w:rPr>
            </w:pPr>
            <w:r>
              <w:rPr>
                <w:rFonts w:hint="eastAsia" w:ascii="宋体" w:hAnsi="宋体" w:cs="宋体"/>
                <w:szCs w:val="21"/>
              </w:rPr>
              <w:t>绿盟OSMSNX3-HD200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widowControl/>
              <w:spacing w:line="360" w:lineRule="auto"/>
              <w:jc w:val="center"/>
              <w:rPr>
                <w:rFonts w:ascii="宋体" w:hAnsi="宋体" w:cs="宋体"/>
                <w:szCs w:val="21"/>
              </w:rPr>
            </w:pPr>
            <w:r>
              <w:rPr>
                <w:rFonts w:hint="eastAsia" w:ascii="宋体" w:hAnsi="宋体" w:cs="宋体"/>
                <w:szCs w:val="21"/>
              </w:rPr>
              <w:t>天融信TopSAG</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widowControl/>
              <w:spacing w:line="360" w:lineRule="auto"/>
              <w:jc w:val="center"/>
              <w:rPr>
                <w:rFonts w:ascii="宋体" w:hAnsi="宋体" w:cs="宋体"/>
                <w:szCs w:val="21"/>
              </w:rPr>
            </w:pPr>
            <w:r>
              <w:rPr>
                <w:rFonts w:hint="eastAsia" w:ascii="宋体" w:hAnsi="宋体" w:cs="宋体"/>
                <w:szCs w:val="21"/>
              </w:rPr>
              <w:t>OSM-1000-B2100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widowControl/>
              <w:spacing w:line="360" w:lineRule="auto"/>
              <w:jc w:val="center"/>
              <w:rPr>
                <w:rFonts w:ascii="宋体" w:hAnsi="宋体" w:cs="宋体"/>
                <w:szCs w:val="21"/>
              </w:rPr>
            </w:pPr>
            <w:r>
              <w:rPr>
                <w:rFonts w:hint="eastAsia" w:ascii="宋体" w:hAnsi="宋体" w:cs="宋体"/>
                <w:szCs w:val="21"/>
              </w:rPr>
              <w:t>H3C SecPath A2020-G</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widowControl/>
              <w:spacing w:line="360" w:lineRule="auto"/>
              <w:jc w:val="center"/>
              <w:rPr>
                <w:rFonts w:ascii="宋体" w:hAnsi="宋体" w:cs="宋体"/>
                <w:szCs w:val="21"/>
              </w:rPr>
            </w:pPr>
            <w:r>
              <w:rPr>
                <w:rFonts w:hint="eastAsia" w:ascii="宋体" w:hAnsi="宋体" w:cs="宋体"/>
                <w:szCs w:val="21"/>
              </w:rPr>
              <w:t>绿盟OSMSNX3-200C2</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restart"/>
            <w:noWrap/>
            <w:vAlign w:val="center"/>
          </w:tcPr>
          <w:p>
            <w:pPr>
              <w:spacing w:line="360" w:lineRule="auto"/>
              <w:jc w:val="center"/>
              <w:rPr>
                <w:rFonts w:ascii="宋体" w:hAnsi="宋体" w:cs="宋体"/>
                <w:szCs w:val="21"/>
              </w:rPr>
            </w:pPr>
            <w:r>
              <w:rPr>
                <w:rFonts w:hint="eastAsia" w:ascii="宋体" w:hAnsi="宋体" w:cs="宋体"/>
                <w:szCs w:val="21"/>
              </w:rPr>
              <w:t>4</w:t>
            </w:r>
          </w:p>
        </w:tc>
        <w:tc>
          <w:tcPr>
            <w:tcW w:w="2586" w:type="dxa"/>
            <w:vMerge w:val="restart"/>
            <w:noWrap/>
            <w:vAlign w:val="center"/>
          </w:tcPr>
          <w:p>
            <w:pPr>
              <w:spacing w:line="360" w:lineRule="auto"/>
              <w:jc w:val="center"/>
              <w:rPr>
                <w:rFonts w:ascii="宋体" w:hAnsi="宋体" w:cs="宋体"/>
                <w:szCs w:val="21"/>
              </w:rPr>
            </w:pPr>
            <w:r>
              <w:rPr>
                <w:rFonts w:hint="eastAsia" w:ascii="宋体" w:hAnsi="宋体" w:cs="宋体"/>
                <w:szCs w:val="21"/>
              </w:rPr>
              <w:t>防火墙</w:t>
            </w:r>
          </w:p>
        </w:tc>
        <w:tc>
          <w:tcPr>
            <w:tcW w:w="2472" w:type="dxa"/>
            <w:noWrap/>
            <w:vAlign w:val="center"/>
          </w:tcPr>
          <w:p>
            <w:pPr>
              <w:widowControl/>
              <w:spacing w:line="360" w:lineRule="auto"/>
              <w:jc w:val="center"/>
              <w:rPr>
                <w:rFonts w:ascii="宋体" w:hAnsi="宋体" w:cs="宋体"/>
                <w:szCs w:val="21"/>
              </w:rPr>
            </w:pPr>
            <w:r>
              <w:rPr>
                <w:rFonts w:hint="eastAsia" w:ascii="宋体" w:hAnsi="宋体" w:cs="宋体"/>
                <w:szCs w:val="21"/>
              </w:rPr>
              <w:t>奇安信网神SECGATE3600防火墙，型号NSG2000-TE35</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迪普DPX-8000-A5</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华为USG6306-AC</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restart"/>
            <w:noWrap/>
            <w:vAlign w:val="center"/>
          </w:tcPr>
          <w:p>
            <w:pPr>
              <w:spacing w:line="360" w:lineRule="auto"/>
              <w:jc w:val="center"/>
              <w:rPr>
                <w:rFonts w:ascii="宋体" w:hAnsi="宋体" w:cs="宋体"/>
                <w:szCs w:val="21"/>
              </w:rPr>
            </w:pPr>
            <w:r>
              <w:rPr>
                <w:rFonts w:hint="eastAsia" w:ascii="宋体" w:hAnsi="宋体" w:cs="宋体"/>
                <w:szCs w:val="21"/>
              </w:rPr>
              <w:t>5</w:t>
            </w:r>
          </w:p>
        </w:tc>
        <w:tc>
          <w:tcPr>
            <w:tcW w:w="2586" w:type="dxa"/>
            <w:vMerge w:val="restart"/>
            <w:noWrap/>
            <w:vAlign w:val="center"/>
          </w:tcPr>
          <w:p>
            <w:pPr>
              <w:spacing w:line="360" w:lineRule="auto"/>
              <w:jc w:val="center"/>
              <w:rPr>
                <w:rFonts w:ascii="宋体" w:hAnsi="宋体" w:cs="宋体"/>
                <w:szCs w:val="21"/>
              </w:rPr>
            </w:pPr>
            <w:r>
              <w:rPr>
                <w:rFonts w:hint="eastAsia" w:ascii="宋体" w:hAnsi="宋体" w:cs="宋体"/>
                <w:szCs w:val="21"/>
              </w:rPr>
              <w:t>入侵防御</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奇安信网神secIPS3600，型号P3000-U002P</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安恒DAS-ABL-780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restart"/>
            <w:noWrap/>
            <w:vAlign w:val="center"/>
          </w:tcPr>
          <w:p>
            <w:pPr>
              <w:spacing w:line="360" w:lineRule="auto"/>
              <w:jc w:val="center"/>
              <w:rPr>
                <w:rFonts w:ascii="宋体" w:hAnsi="宋体" w:cs="宋体"/>
                <w:szCs w:val="21"/>
              </w:rPr>
            </w:pPr>
            <w:r>
              <w:rPr>
                <w:rFonts w:hint="eastAsia" w:ascii="宋体" w:hAnsi="宋体" w:cs="宋体"/>
                <w:szCs w:val="21"/>
              </w:rPr>
              <w:t>6</w:t>
            </w:r>
          </w:p>
        </w:tc>
        <w:tc>
          <w:tcPr>
            <w:tcW w:w="2586" w:type="dxa"/>
            <w:vMerge w:val="restart"/>
            <w:noWrap/>
            <w:vAlign w:val="center"/>
          </w:tcPr>
          <w:p>
            <w:pPr>
              <w:spacing w:line="360" w:lineRule="auto"/>
              <w:jc w:val="center"/>
              <w:rPr>
                <w:rFonts w:ascii="宋体" w:hAnsi="宋体" w:cs="宋体"/>
                <w:szCs w:val="21"/>
              </w:rPr>
            </w:pPr>
            <w:r>
              <w:rPr>
                <w:rFonts w:hint="eastAsia" w:ascii="宋体" w:hAnsi="宋体" w:cs="宋体"/>
                <w:szCs w:val="21"/>
              </w:rPr>
              <w:t>漏洞扫描</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安恒DAS-RAS-H1000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启明星辰TJCS-NS-S1</w:t>
            </w:r>
          </w:p>
          <w:p>
            <w:pPr>
              <w:spacing w:line="360" w:lineRule="auto"/>
              <w:jc w:val="center"/>
              <w:rPr>
                <w:rFonts w:ascii="宋体" w:hAnsi="宋体" w:cs="宋体"/>
                <w:szCs w:val="21"/>
              </w:rPr>
            </w:pPr>
            <w:r>
              <w:rPr>
                <w:rFonts w:hint="eastAsia" w:ascii="宋体" w:hAnsi="宋体" w:cs="宋体"/>
                <w:szCs w:val="21"/>
              </w:rPr>
              <w:t>100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深信服YJ-1000-B1075</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restart"/>
            <w:noWrap/>
            <w:vAlign w:val="center"/>
          </w:tcPr>
          <w:p>
            <w:pPr>
              <w:spacing w:line="360" w:lineRule="auto"/>
              <w:jc w:val="center"/>
              <w:rPr>
                <w:rFonts w:ascii="宋体" w:hAnsi="宋体" w:cs="宋体"/>
                <w:szCs w:val="21"/>
              </w:rPr>
            </w:pPr>
            <w:r>
              <w:rPr>
                <w:rFonts w:hint="eastAsia" w:ascii="宋体" w:hAnsi="宋体" w:cs="宋体"/>
                <w:szCs w:val="21"/>
              </w:rPr>
              <w:t>7</w:t>
            </w:r>
          </w:p>
        </w:tc>
        <w:tc>
          <w:tcPr>
            <w:tcW w:w="2586" w:type="dxa"/>
            <w:vMerge w:val="restart"/>
            <w:noWrap/>
            <w:vAlign w:val="center"/>
          </w:tcPr>
          <w:p>
            <w:pPr>
              <w:spacing w:line="360" w:lineRule="auto"/>
              <w:jc w:val="center"/>
              <w:rPr>
                <w:rFonts w:ascii="宋体" w:hAnsi="宋体" w:cs="宋体"/>
                <w:szCs w:val="21"/>
              </w:rPr>
            </w:pPr>
            <w:r>
              <w:rPr>
                <w:rFonts w:hint="eastAsia" w:ascii="宋体" w:hAnsi="宋体" w:cs="宋体"/>
                <w:szCs w:val="21"/>
              </w:rPr>
              <w:t>数据库审计</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深信服DAS-1000-B1500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vMerge w:val="continue"/>
            <w:noWrap/>
            <w:vAlign w:val="center"/>
          </w:tcPr>
          <w:p>
            <w:pPr>
              <w:spacing w:line="360" w:lineRule="auto"/>
              <w:jc w:val="center"/>
              <w:rPr>
                <w:rFonts w:ascii="宋体" w:hAnsi="宋体" w:cs="宋体"/>
                <w:szCs w:val="21"/>
              </w:rPr>
            </w:pPr>
          </w:p>
        </w:tc>
        <w:tc>
          <w:tcPr>
            <w:tcW w:w="2586" w:type="dxa"/>
            <w:vMerge w:val="continue"/>
            <w:noWrap/>
            <w:vAlign w:val="center"/>
          </w:tcPr>
          <w:p>
            <w:pPr>
              <w:spacing w:line="360" w:lineRule="auto"/>
              <w:jc w:val="center"/>
              <w:rPr>
                <w:rFonts w:ascii="宋体" w:hAnsi="宋体" w:cs="宋体"/>
                <w:szCs w:val="21"/>
              </w:rPr>
            </w:pP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天融信TA-DB</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noWrap/>
            <w:vAlign w:val="center"/>
          </w:tcPr>
          <w:p>
            <w:pPr>
              <w:spacing w:line="360" w:lineRule="auto"/>
              <w:jc w:val="center"/>
              <w:rPr>
                <w:rFonts w:ascii="宋体" w:hAnsi="宋体" w:cs="宋体"/>
                <w:szCs w:val="21"/>
              </w:rPr>
            </w:pPr>
            <w:r>
              <w:rPr>
                <w:rFonts w:hint="eastAsia" w:ascii="宋体" w:hAnsi="宋体" w:cs="宋体"/>
                <w:szCs w:val="21"/>
              </w:rPr>
              <w:t>8</w:t>
            </w:r>
          </w:p>
        </w:tc>
        <w:tc>
          <w:tcPr>
            <w:tcW w:w="2586" w:type="dxa"/>
            <w:noWrap/>
            <w:vAlign w:val="center"/>
          </w:tcPr>
          <w:p>
            <w:pPr>
              <w:spacing w:line="360" w:lineRule="auto"/>
              <w:jc w:val="center"/>
              <w:rPr>
                <w:rFonts w:ascii="宋体" w:hAnsi="宋体" w:cs="宋体"/>
                <w:szCs w:val="21"/>
              </w:rPr>
            </w:pPr>
            <w:r>
              <w:rPr>
                <w:rFonts w:hint="eastAsia" w:ascii="宋体" w:hAnsi="宋体" w:cs="宋体"/>
                <w:szCs w:val="21"/>
              </w:rPr>
              <w:t>上网行为管理</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华为ASG5520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noWrap/>
            <w:vAlign w:val="center"/>
          </w:tcPr>
          <w:p>
            <w:pPr>
              <w:spacing w:line="360" w:lineRule="auto"/>
              <w:jc w:val="center"/>
              <w:rPr>
                <w:rFonts w:ascii="宋体" w:hAnsi="宋体" w:cs="宋体"/>
                <w:szCs w:val="21"/>
              </w:rPr>
            </w:pPr>
            <w:r>
              <w:rPr>
                <w:rFonts w:hint="eastAsia" w:ascii="宋体" w:hAnsi="宋体" w:cs="宋体"/>
                <w:szCs w:val="21"/>
              </w:rPr>
              <w:t>9</w:t>
            </w:r>
          </w:p>
        </w:tc>
        <w:tc>
          <w:tcPr>
            <w:tcW w:w="2586" w:type="dxa"/>
            <w:noWrap/>
            <w:vAlign w:val="center"/>
          </w:tcPr>
          <w:p>
            <w:pPr>
              <w:spacing w:line="360" w:lineRule="auto"/>
              <w:jc w:val="center"/>
              <w:rPr>
                <w:rFonts w:ascii="宋体" w:hAnsi="宋体" w:cs="宋体"/>
                <w:szCs w:val="21"/>
              </w:rPr>
            </w:pPr>
            <w:r>
              <w:rPr>
                <w:rFonts w:hint="eastAsia" w:ascii="宋体" w:hAnsi="宋体" w:cs="宋体"/>
                <w:szCs w:val="21"/>
              </w:rPr>
              <w:t>防病毒网关</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深信服OSM-1000-B2100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noWrap/>
            <w:vAlign w:val="center"/>
          </w:tcPr>
          <w:p>
            <w:pPr>
              <w:spacing w:line="360" w:lineRule="auto"/>
              <w:jc w:val="center"/>
              <w:rPr>
                <w:rFonts w:ascii="宋体" w:hAnsi="宋体" w:cs="宋体"/>
                <w:szCs w:val="21"/>
              </w:rPr>
            </w:pPr>
            <w:r>
              <w:rPr>
                <w:rFonts w:hint="eastAsia" w:ascii="宋体" w:hAnsi="宋体" w:cs="宋体"/>
                <w:szCs w:val="21"/>
              </w:rPr>
              <w:t>10</w:t>
            </w:r>
          </w:p>
        </w:tc>
        <w:tc>
          <w:tcPr>
            <w:tcW w:w="2586" w:type="dxa"/>
            <w:noWrap/>
            <w:vAlign w:val="center"/>
          </w:tcPr>
          <w:p>
            <w:pPr>
              <w:spacing w:line="360" w:lineRule="auto"/>
              <w:jc w:val="center"/>
              <w:rPr>
                <w:rFonts w:ascii="宋体" w:hAnsi="宋体" w:cs="宋体"/>
                <w:szCs w:val="21"/>
              </w:rPr>
            </w:pPr>
            <w:r>
              <w:rPr>
                <w:rFonts w:hint="eastAsia" w:ascii="宋体" w:hAnsi="宋体" w:cs="宋体"/>
                <w:szCs w:val="21"/>
              </w:rPr>
              <w:t>网闸</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深信服GAP-1000</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noWrap/>
            <w:vAlign w:val="center"/>
          </w:tcPr>
          <w:p>
            <w:pPr>
              <w:spacing w:line="360" w:lineRule="auto"/>
              <w:jc w:val="center"/>
              <w:rPr>
                <w:rFonts w:ascii="宋体" w:hAnsi="宋体" w:cs="宋体"/>
                <w:szCs w:val="21"/>
              </w:rPr>
            </w:pPr>
            <w:r>
              <w:rPr>
                <w:rFonts w:hint="eastAsia" w:ascii="宋体" w:hAnsi="宋体" w:cs="宋体"/>
                <w:szCs w:val="21"/>
              </w:rPr>
              <w:t>11</w:t>
            </w:r>
          </w:p>
        </w:tc>
        <w:tc>
          <w:tcPr>
            <w:tcW w:w="2586" w:type="dxa"/>
            <w:noWrap/>
            <w:vAlign w:val="center"/>
          </w:tcPr>
          <w:p>
            <w:pPr>
              <w:spacing w:line="360" w:lineRule="auto"/>
              <w:jc w:val="center"/>
              <w:rPr>
                <w:rFonts w:ascii="宋体" w:hAnsi="宋体" w:cs="宋体"/>
                <w:szCs w:val="21"/>
              </w:rPr>
            </w:pPr>
            <w:r>
              <w:rPr>
                <w:rFonts w:hint="eastAsia" w:ascii="宋体" w:hAnsi="宋体" w:cs="宋体"/>
                <w:szCs w:val="21"/>
              </w:rPr>
              <w:t>web防护</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天融信TopWAF</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5" w:type="dxa"/>
            <w:noWrap/>
            <w:vAlign w:val="center"/>
          </w:tcPr>
          <w:p>
            <w:pPr>
              <w:spacing w:line="360" w:lineRule="auto"/>
              <w:jc w:val="center"/>
              <w:rPr>
                <w:rFonts w:ascii="宋体" w:hAnsi="宋体" w:cs="宋体"/>
                <w:szCs w:val="21"/>
              </w:rPr>
            </w:pPr>
            <w:r>
              <w:rPr>
                <w:rFonts w:hint="eastAsia" w:ascii="宋体" w:hAnsi="宋体" w:cs="宋体"/>
                <w:szCs w:val="21"/>
              </w:rPr>
              <w:t>12</w:t>
            </w:r>
          </w:p>
        </w:tc>
        <w:tc>
          <w:tcPr>
            <w:tcW w:w="2586" w:type="dxa"/>
            <w:noWrap/>
            <w:vAlign w:val="center"/>
          </w:tcPr>
          <w:p>
            <w:pPr>
              <w:spacing w:line="360" w:lineRule="auto"/>
              <w:jc w:val="center"/>
              <w:rPr>
                <w:rFonts w:ascii="宋体" w:hAnsi="宋体" w:cs="宋体"/>
                <w:szCs w:val="21"/>
              </w:rPr>
            </w:pPr>
            <w:r>
              <w:rPr>
                <w:rFonts w:hint="eastAsia" w:ascii="宋体" w:hAnsi="宋体" w:cs="宋体"/>
                <w:szCs w:val="21"/>
              </w:rPr>
              <w:t>服务器杀毒</w:t>
            </w:r>
          </w:p>
        </w:tc>
        <w:tc>
          <w:tcPr>
            <w:tcW w:w="2472" w:type="dxa"/>
            <w:noWrap/>
            <w:vAlign w:val="center"/>
          </w:tcPr>
          <w:p>
            <w:pPr>
              <w:spacing w:line="360" w:lineRule="auto"/>
              <w:jc w:val="center"/>
              <w:rPr>
                <w:rFonts w:ascii="宋体" w:hAnsi="宋体" w:cs="宋体"/>
                <w:szCs w:val="21"/>
              </w:rPr>
            </w:pPr>
            <w:r>
              <w:rPr>
                <w:rFonts w:hint="eastAsia" w:ascii="宋体" w:hAnsi="宋体" w:cs="宋体"/>
                <w:szCs w:val="21"/>
              </w:rPr>
              <w:t>深信服EDR</w:t>
            </w:r>
          </w:p>
        </w:tc>
        <w:tc>
          <w:tcPr>
            <w:tcW w:w="1692" w:type="dxa"/>
            <w:noWrap/>
            <w:vAlign w:val="center"/>
          </w:tcPr>
          <w:p>
            <w:pPr>
              <w:spacing w:line="360" w:lineRule="auto"/>
              <w:jc w:val="center"/>
              <w:rPr>
                <w:rFonts w:ascii="宋体" w:hAnsi="宋体" w:cs="宋体"/>
                <w:szCs w:val="21"/>
              </w:rPr>
            </w:pPr>
            <w:r>
              <w:rPr>
                <w:rFonts w:hint="eastAsia" w:ascii="宋体" w:hAnsi="宋体" w:cs="宋体"/>
                <w:szCs w:val="21"/>
              </w:rPr>
              <w:t>1</w:t>
            </w:r>
          </w:p>
        </w:tc>
      </w:tr>
    </w:tbl>
    <w:p>
      <w:pPr>
        <w:spacing w:line="360" w:lineRule="auto"/>
        <w:rPr>
          <w:rFonts w:ascii="宋体" w:hAnsi="宋体" w:cs="宋体"/>
          <w:szCs w:val="21"/>
        </w:rPr>
      </w:pPr>
      <w:r>
        <w:rPr>
          <w:rFonts w:hint="eastAsia" w:ascii="宋体" w:hAnsi="宋体" w:cs="宋体"/>
          <w:szCs w:val="21"/>
        </w:rPr>
        <w:t>（五）定制开发要求</w:t>
      </w:r>
    </w:p>
    <w:p>
      <w:pPr>
        <w:spacing w:line="360" w:lineRule="auto"/>
        <w:ind w:firstLine="420" w:firstLineChars="200"/>
        <w:rPr>
          <w:rFonts w:ascii="宋体" w:hAnsi="宋体" w:cs="宋体"/>
          <w:szCs w:val="21"/>
        </w:rPr>
      </w:pPr>
      <w:r>
        <w:rPr>
          <w:rFonts w:hint="eastAsia" w:ascii="宋体" w:hAnsi="宋体" w:cs="宋体"/>
          <w:szCs w:val="21"/>
        </w:rPr>
        <w:t>本次所采购安全产品，中标方如有不满足功能要求的，允许其以定制开发承诺函的形式响应，但需详细列明需开发的功能项，并承诺在签订合同后2个月内必须开发完毕，不得影响采购人项目建设进度。定制开发承诺函格式以招标文件为准。</w:t>
      </w:r>
      <w:r>
        <w:rPr>
          <w:rFonts w:hint="eastAsia" w:ascii="宋体" w:hAnsi="宋体" w:cs="宋体"/>
          <w:b/>
          <w:bCs/>
          <w:szCs w:val="21"/>
        </w:rPr>
        <w:t>（投标人须提供承诺函，未按要求提供的按无效投标处理）</w:t>
      </w:r>
    </w:p>
    <w:p>
      <w:pPr>
        <w:spacing w:line="360" w:lineRule="auto"/>
        <w:rPr>
          <w:rFonts w:ascii="宋体" w:hAnsi="宋体" w:cs="宋体"/>
          <w:szCs w:val="21"/>
        </w:rPr>
      </w:pPr>
      <w:r>
        <w:rPr>
          <w:rFonts w:hint="eastAsia" w:ascii="宋体" w:hAnsi="宋体" w:cs="宋体"/>
          <w:szCs w:val="21"/>
        </w:rPr>
        <w:t>（六）项目开发团队要求</w:t>
      </w:r>
    </w:p>
    <w:p>
      <w:pPr>
        <w:spacing w:line="360" w:lineRule="auto"/>
        <w:ind w:firstLine="420" w:firstLineChars="200"/>
        <w:rPr>
          <w:rFonts w:ascii="宋体" w:hAnsi="宋体" w:cs="宋体"/>
          <w:szCs w:val="21"/>
        </w:rPr>
      </w:pPr>
      <w:r>
        <w:rPr>
          <w:rFonts w:hint="eastAsia" w:ascii="宋体" w:hAnsi="宋体" w:cs="宋体"/>
          <w:szCs w:val="21"/>
        </w:rPr>
        <w:t>本次项目含有部分安全产品技术对接和部分安全产品功能定制开发需求，有一定的技术开发工作量，中标方投标响应文件需明确技术开发团队组织架构、人员组成、人员资质、职责分工以及是否驻场等内容。</w:t>
      </w:r>
    </w:p>
    <w:p>
      <w:pPr>
        <w:spacing w:line="360" w:lineRule="auto"/>
        <w:rPr>
          <w:rFonts w:ascii="宋体" w:hAnsi="宋体" w:cs="宋体"/>
          <w:szCs w:val="21"/>
        </w:rPr>
      </w:pPr>
      <w:r>
        <w:rPr>
          <w:rFonts w:hint="eastAsia" w:ascii="宋体" w:hAnsi="宋体" w:cs="宋体"/>
          <w:szCs w:val="21"/>
        </w:rPr>
        <w:t>（七）运维服务要求</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运维期</w:t>
      </w:r>
    </w:p>
    <w:p>
      <w:pPr>
        <w:spacing w:line="360" w:lineRule="auto"/>
        <w:ind w:firstLine="420" w:firstLineChars="200"/>
        <w:rPr>
          <w:rFonts w:ascii="宋体" w:hAnsi="宋体" w:cs="宋体"/>
          <w:szCs w:val="21"/>
        </w:rPr>
      </w:pPr>
      <w:r>
        <w:rPr>
          <w:rFonts w:hint="eastAsia" w:ascii="宋体" w:hAnsi="宋体" w:cs="宋体"/>
          <w:color w:val="auto"/>
          <w:szCs w:val="21"/>
          <w:lang w:eastAsia="zh-CN"/>
        </w:rPr>
        <w:t>运维期</w:t>
      </w:r>
      <w:r>
        <w:rPr>
          <w:rFonts w:hint="eastAsia" w:ascii="宋体" w:hAnsi="宋体" w:cs="宋体"/>
          <w:color w:val="auto"/>
          <w:szCs w:val="21"/>
        </w:rPr>
        <w:t>自终验之日起计算</w:t>
      </w:r>
      <w:r>
        <w:rPr>
          <w:rFonts w:hint="eastAsia" w:ascii="宋体" w:hAnsi="宋体" w:cs="宋体"/>
          <w:color w:val="auto"/>
          <w:szCs w:val="21"/>
          <w:lang w:eastAsia="zh-CN"/>
        </w:rPr>
        <w:t>，运维期内提供硬件包修和软件的免费升级服务</w:t>
      </w:r>
      <w:r>
        <w:rPr>
          <w:rFonts w:hint="eastAsia" w:ascii="宋体" w:hAnsi="宋体" w:cs="宋体"/>
          <w:color w:val="auto"/>
          <w:szCs w:val="21"/>
        </w:rPr>
        <w:t>。</w:t>
      </w:r>
      <w:r>
        <w:rPr>
          <w:rFonts w:hint="eastAsia" w:ascii="宋体" w:hAnsi="宋体" w:cs="宋体"/>
          <w:color w:val="auto"/>
          <w:szCs w:val="21"/>
          <w:lang w:eastAsia="zh-CN"/>
        </w:rPr>
        <w:t>运维期</w:t>
      </w:r>
      <w:r>
        <w:rPr>
          <w:rFonts w:hint="eastAsia" w:ascii="宋体" w:hAnsi="宋体" w:cs="宋体"/>
          <w:color w:val="auto"/>
          <w:szCs w:val="21"/>
        </w:rPr>
        <w:t>外年度维保费依据省财政厅豫预财〔2020〕67号文标准最高限价为建设服务费</w:t>
      </w:r>
      <w:r>
        <w:rPr>
          <w:rFonts w:hint="eastAsia" w:ascii="宋体" w:hAnsi="宋体" w:cs="宋体"/>
          <w:color w:val="auto"/>
          <w:szCs w:val="21"/>
          <w:lang w:val="en-US" w:eastAsia="zh-CN"/>
        </w:rPr>
        <w:t>8</w:t>
      </w:r>
      <w:r>
        <w:rPr>
          <w:rFonts w:hint="eastAsia" w:ascii="宋体" w:hAnsi="宋体" w:cs="宋体"/>
          <w:color w:val="auto"/>
          <w:szCs w:val="21"/>
        </w:rPr>
        <w:t>%（以中标人承诺比例为准），系统建设服务费=合同金额-中标方承诺年限维保金额。</w:t>
      </w:r>
      <w:r>
        <w:rPr>
          <w:rFonts w:hint="eastAsia" w:ascii="宋体" w:hAnsi="宋体" w:cs="宋体"/>
          <w:color w:val="auto"/>
          <w:szCs w:val="21"/>
          <w:lang w:eastAsia="zh-CN"/>
        </w:rPr>
        <w:t>运维期</w:t>
      </w:r>
      <w:r>
        <w:rPr>
          <w:rFonts w:hint="eastAsia" w:ascii="宋体" w:hAnsi="宋体" w:cs="宋体"/>
          <w:color w:val="auto"/>
          <w:szCs w:val="21"/>
        </w:rPr>
        <w:t>内设备运行发生故障时，中标人在接到采购人故障通知后，若24小时内无法排除故障，则应先提供同档次备</w:t>
      </w:r>
      <w:r>
        <w:rPr>
          <w:rFonts w:hint="eastAsia" w:ascii="宋体" w:hAnsi="宋体" w:cs="宋体"/>
          <w:szCs w:val="21"/>
        </w:rPr>
        <w:t>用机供采购人使用。</w:t>
      </w:r>
      <w:r>
        <w:rPr>
          <w:rFonts w:hint="eastAsia" w:ascii="宋体" w:hAnsi="宋体" w:cs="宋体"/>
          <w:szCs w:val="21"/>
          <w:lang w:eastAsia="zh-CN"/>
        </w:rPr>
        <w:t>运维期</w:t>
      </w:r>
      <w:r>
        <w:rPr>
          <w:rFonts w:hint="eastAsia" w:ascii="宋体" w:hAnsi="宋体" w:cs="宋体"/>
          <w:szCs w:val="21"/>
        </w:rPr>
        <w:t>内，如同一故障发生三次，或在1个月内无法修复，中标人应无条件换货，更换新机。</w:t>
      </w:r>
      <w:r>
        <w:rPr>
          <w:rFonts w:hint="eastAsia" w:ascii="宋体" w:hAnsi="宋体" w:cs="宋体"/>
          <w:b/>
          <w:bCs/>
          <w:szCs w:val="21"/>
        </w:rPr>
        <w:t>（投标人须提供承诺函，未按要求提供的按无效投标处理）</w:t>
      </w:r>
    </w:p>
    <w:p>
      <w:pPr>
        <w:spacing w:line="360" w:lineRule="auto"/>
        <w:ind w:firstLine="420" w:firstLineChars="200"/>
        <w:rPr>
          <w:rFonts w:ascii="宋体" w:hAnsi="宋体" w:cs="宋体"/>
          <w:szCs w:val="21"/>
        </w:rPr>
      </w:pPr>
      <w:r>
        <w:rPr>
          <w:rFonts w:hint="eastAsia" w:ascii="宋体" w:hAnsi="宋体" w:cs="宋体"/>
          <w:szCs w:val="21"/>
        </w:rPr>
        <w:t>2、运维人员</w:t>
      </w:r>
    </w:p>
    <w:p>
      <w:pPr>
        <w:spacing w:line="360" w:lineRule="auto"/>
        <w:ind w:firstLine="420" w:firstLineChars="200"/>
      </w:pPr>
      <w:r>
        <w:rPr>
          <w:rFonts w:hint="eastAsia" w:ascii="宋体" w:hAnsi="宋体" w:cs="宋体"/>
          <w:szCs w:val="21"/>
        </w:rPr>
        <w:t>试运行期间至第1年</w:t>
      </w:r>
      <w:r>
        <w:rPr>
          <w:rFonts w:hint="eastAsia" w:ascii="宋体" w:hAnsi="宋体" w:cs="宋体"/>
          <w:szCs w:val="21"/>
          <w:lang w:eastAsia="zh-CN"/>
        </w:rPr>
        <w:t>运维期</w:t>
      </w:r>
      <w:r>
        <w:rPr>
          <w:rFonts w:hint="eastAsia" w:ascii="宋体" w:hAnsi="宋体" w:cs="宋体"/>
          <w:szCs w:val="21"/>
        </w:rPr>
        <w:t>结束，中标方为本项目配置驻场运维人员</w:t>
      </w:r>
      <w:r>
        <w:rPr>
          <w:rFonts w:hint="eastAsia" w:ascii="宋体" w:hAnsi="宋体" w:cs="宋体"/>
          <w:szCs w:val="21"/>
          <w:u w:val="single"/>
        </w:rPr>
        <w:t>（至少2人）；</w:t>
      </w:r>
      <w:r>
        <w:rPr>
          <w:rFonts w:hint="eastAsia" w:ascii="宋体" w:hAnsi="宋体" w:cs="宋体"/>
          <w:szCs w:val="21"/>
        </w:rPr>
        <w:t>剩余</w:t>
      </w:r>
      <w:r>
        <w:rPr>
          <w:rFonts w:hint="eastAsia" w:ascii="宋体" w:hAnsi="宋体" w:cs="宋体"/>
          <w:szCs w:val="21"/>
          <w:lang w:eastAsia="zh-CN"/>
        </w:rPr>
        <w:t>运维期</w:t>
      </w:r>
      <w:r>
        <w:rPr>
          <w:rFonts w:hint="eastAsia" w:ascii="宋体" w:hAnsi="宋体" w:cs="宋体"/>
          <w:szCs w:val="21"/>
        </w:rPr>
        <w:t>间，中标方为本项目配置驻场运维人员</w:t>
      </w:r>
      <w:r>
        <w:rPr>
          <w:rFonts w:hint="eastAsia" w:ascii="宋体" w:hAnsi="宋体" w:cs="宋体"/>
          <w:szCs w:val="21"/>
          <w:u w:val="single"/>
        </w:rPr>
        <w:t>（至少1人）</w:t>
      </w:r>
      <w:r>
        <w:rPr>
          <w:rFonts w:hint="eastAsia" w:ascii="宋体" w:hAnsi="宋体" w:cs="宋体"/>
          <w:szCs w:val="21"/>
        </w:rPr>
        <w:t>，必须全部为原厂商技术人员。驻场运维人员</w:t>
      </w:r>
      <w:r>
        <w:rPr>
          <w:rFonts w:hint="eastAsia" w:ascii="仿宋_GB2312"/>
        </w:rPr>
        <w:t>具备以下任意一个证书即可：信息安全保障（安全运维、安全集成、风险管理、应急服务之一）人员认证或网络安全服务能力评价证书或信息安全等级保护安全建设专业技术认证等专业技能人员。</w:t>
      </w:r>
    </w:p>
    <w:p>
      <w:pPr>
        <w:spacing w:line="360" w:lineRule="auto"/>
        <w:ind w:firstLine="420" w:firstLineChars="200"/>
      </w:pPr>
      <w:r>
        <w:rPr>
          <w:rFonts w:hint="eastAsia" w:ascii="宋体" w:hAnsi="宋体" w:cs="宋体"/>
          <w:szCs w:val="21"/>
        </w:rPr>
        <w:t>运维人员在项目合同签订后即开始入驻采购人单位，与采购人单位同步上下班时间，8小时以外1小时应急响应，采购人要求的重要时段或重要节假日等重保期间，运维人员提供7*24小时现场值守保障服务。中标方配备的驻点运维人员应具备工作能力突出、经验丰富，服从采购人管理，能够熟练处理</w:t>
      </w:r>
      <w:r>
        <w:rPr>
          <w:rFonts w:hint="eastAsia" w:ascii="宋体" w:hAnsi="宋体" w:cs="宋体"/>
          <w:szCs w:val="21"/>
          <w:lang w:eastAsia="zh-CN"/>
        </w:rPr>
        <w:t>运维期</w:t>
      </w:r>
      <w:r>
        <w:rPr>
          <w:rFonts w:hint="eastAsia" w:ascii="宋体" w:hAnsi="宋体" w:cs="宋体"/>
          <w:szCs w:val="21"/>
        </w:rPr>
        <w:t>间内的相应问题。中标方应保证驻点运维人员连续性，未经采购人同意不得调换项目驻点运维人员，</w:t>
      </w:r>
      <w:r>
        <w:rPr>
          <w:rFonts w:hint="eastAsia" w:ascii="仿宋_GB2312"/>
        </w:rPr>
        <w:t>除原厂外部因素外（如有，需提供证明材料），不得更换驻场人员。</w:t>
      </w:r>
    </w:p>
    <w:p>
      <w:pPr>
        <w:spacing w:line="360" w:lineRule="auto"/>
        <w:ind w:firstLine="420" w:firstLineChars="200"/>
      </w:pPr>
      <w:r>
        <w:rPr>
          <w:rFonts w:hint="eastAsia" w:ascii="宋体" w:hAnsi="宋体" w:cs="宋体"/>
          <w:szCs w:val="21"/>
        </w:rPr>
        <w:t>调换人员任意连续六个月内不得超过1人次。</w:t>
      </w:r>
      <w:r>
        <w:rPr>
          <w:rFonts w:hint="eastAsia" w:ascii="仿宋_GB2312"/>
        </w:rPr>
        <w:t>要求运维期间，额外配置</w:t>
      </w:r>
      <w:r>
        <w:rPr>
          <w:rFonts w:hint="eastAsia"/>
        </w:rPr>
        <w:t>2</w:t>
      </w:r>
      <w:r>
        <w:rPr>
          <w:rFonts w:hint="eastAsia" w:ascii="仿宋_GB2312"/>
        </w:rPr>
        <w:t>名运维人员，负责全省各监狱网络安全设施的运维工作。</w:t>
      </w:r>
    </w:p>
    <w:p>
      <w:pPr>
        <w:spacing w:line="360" w:lineRule="auto"/>
        <w:ind w:firstLine="422" w:firstLineChars="200"/>
        <w:rPr>
          <w:rFonts w:hint="eastAsia" w:ascii="宋体" w:hAnsi="宋体" w:cs="宋体"/>
          <w:b/>
          <w:bCs/>
          <w:szCs w:val="21"/>
        </w:rPr>
      </w:pPr>
      <w:r>
        <w:rPr>
          <w:rFonts w:hint="eastAsia" w:ascii="宋体" w:hAnsi="宋体" w:cs="宋体"/>
          <w:b/>
          <w:bCs/>
          <w:szCs w:val="21"/>
        </w:rPr>
        <w:t>（投标人须提供承诺函，未按要求提供的按无效投标处理）</w:t>
      </w:r>
    </w:p>
    <w:p>
      <w:pPr>
        <w:pStyle w:val="2"/>
        <w:numPr>
          <w:ilvl w:val="0"/>
          <w:numId w:val="0"/>
        </w:numPr>
        <w:spacing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3.安全运营体系</w:t>
      </w:r>
    </w:p>
    <w:p>
      <w:pPr>
        <w:spacing w:line="360" w:lineRule="auto"/>
        <w:ind w:firstLine="420" w:firstLineChars="200"/>
        <w:rPr>
          <w:rFonts w:hint="eastAsia" w:ascii="宋体" w:hAnsi="宋体" w:cs="宋体"/>
          <w:b/>
          <w:bCs/>
          <w:szCs w:val="21"/>
        </w:rPr>
      </w:pPr>
      <w:r>
        <w:rPr>
          <w:rFonts w:hint="eastAsia" w:ascii="宋体" w:hAnsi="宋体" w:cs="宋体"/>
          <w:sz w:val="21"/>
          <w:szCs w:val="21"/>
          <w:lang w:val="en-US" w:eastAsia="zh-CN"/>
        </w:rPr>
        <w:t>从资产纳管率</w:t>
      </w:r>
      <w:r>
        <w:rPr>
          <w:rFonts w:hint="eastAsia" w:ascii="宋体" w:hAnsi="宋体" w:cs="宋体"/>
          <w:spacing w:val="1"/>
          <w:sz w:val="21"/>
          <w:szCs w:val="21"/>
        </w:rPr>
        <w:t>、</w:t>
      </w:r>
      <w:r>
        <w:rPr>
          <w:rFonts w:hint="eastAsia" w:ascii="宋体" w:hAnsi="宋体" w:cs="宋体"/>
          <w:spacing w:val="1"/>
          <w:sz w:val="21"/>
          <w:szCs w:val="21"/>
          <w:lang w:val="en-US" w:eastAsia="zh-CN"/>
        </w:rPr>
        <w:t>漏洞闭环率</w:t>
      </w:r>
      <w:r>
        <w:rPr>
          <w:rFonts w:hint="eastAsia" w:ascii="宋体" w:hAnsi="宋体" w:cs="宋体"/>
          <w:spacing w:val="1"/>
          <w:sz w:val="21"/>
          <w:szCs w:val="21"/>
        </w:rPr>
        <w:t>、</w:t>
      </w:r>
      <w:r>
        <w:rPr>
          <w:rFonts w:hint="eastAsia" w:ascii="宋体" w:hAnsi="宋体" w:cs="宋体"/>
          <w:spacing w:val="1"/>
          <w:sz w:val="21"/>
          <w:szCs w:val="21"/>
          <w:lang w:val="en-US" w:eastAsia="zh-CN"/>
        </w:rPr>
        <w:t>漏洞覆盖率</w:t>
      </w:r>
      <w:r>
        <w:rPr>
          <w:rFonts w:hint="eastAsia" w:ascii="宋体" w:hAnsi="宋体" w:cs="宋体"/>
          <w:spacing w:val="1"/>
          <w:sz w:val="21"/>
          <w:szCs w:val="21"/>
        </w:rPr>
        <w:t>、</w:t>
      </w:r>
      <w:r>
        <w:rPr>
          <w:rFonts w:hint="eastAsia" w:ascii="宋体" w:hAnsi="宋体" w:cs="宋体"/>
          <w:spacing w:val="1"/>
          <w:sz w:val="21"/>
          <w:szCs w:val="21"/>
          <w:lang w:val="en-US" w:eastAsia="zh-CN"/>
        </w:rPr>
        <w:t>事件闭环率</w:t>
      </w:r>
      <w:r>
        <w:rPr>
          <w:rFonts w:hint="eastAsia" w:ascii="宋体" w:hAnsi="宋体" w:cs="宋体"/>
          <w:spacing w:val="1"/>
          <w:sz w:val="21"/>
          <w:szCs w:val="21"/>
        </w:rPr>
        <w:t>、</w:t>
      </w:r>
      <w:r>
        <w:rPr>
          <w:rFonts w:hint="eastAsia" w:ascii="宋体" w:hAnsi="宋体" w:cs="宋体"/>
          <w:spacing w:val="1"/>
          <w:sz w:val="21"/>
          <w:szCs w:val="21"/>
          <w:lang w:val="en-US" w:eastAsia="zh-CN"/>
        </w:rPr>
        <w:t>安全合规率</w:t>
      </w:r>
      <w:r>
        <w:rPr>
          <w:rFonts w:hint="eastAsia" w:ascii="宋体" w:hAnsi="宋体" w:cs="宋体"/>
          <w:spacing w:val="1"/>
          <w:sz w:val="21"/>
          <w:szCs w:val="21"/>
        </w:rPr>
        <w:t>、</w:t>
      </w:r>
      <w:r>
        <w:rPr>
          <w:rFonts w:hint="eastAsia" w:ascii="宋体" w:hAnsi="宋体" w:cs="宋体"/>
          <w:spacing w:val="1"/>
          <w:sz w:val="21"/>
          <w:szCs w:val="21"/>
          <w:lang w:val="en-US" w:eastAsia="zh-CN"/>
        </w:rPr>
        <w:t>安全响应时间等多种安全运营指标，量化专网内各单位的安全运营状态，辅助决策安全保障重点和全局可视化进行安全感知，实现整个安全运营体系的可视化，实现数据收集</w:t>
      </w:r>
      <w:r>
        <w:rPr>
          <w:rFonts w:hint="eastAsia" w:ascii="宋体" w:hAnsi="宋体" w:cs="宋体"/>
          <w:spacing w:val="1"/>
          <w:sz w:val="21"/>
          <w:szCs w:val="21"/>
        </w:rPr>
        <w:t>、</w:t>
      </w:r>
      <w:r>
        <w:rPr>
          <w:rFonts w:hint="eastAsia" w:ascii="宋体" w:hAnsi="宋体" w:cs="宋体"/>
          <w:spacing w:val="1"/>
          <w:sz w:val="21"/>
          <w:szCs w:val="21"/>
          <w:lang w:val="en-US" w:eastAsia="zh-CN"/>
        </w:rPr>
        <w:t>数据整合</w:t>
      </w:r>
      <w:r>
        <w:rPr>
          <w:rFonts w:hint="eastAsia" w:ascii="宋体" w:hAnsi="宋体" w:cs="宋体"/>
          <w:spacing w:val="1"/>
          <w:sz w:val="21"/>
          <w:szCs w:val="21"/>
        </w:rPr>
        <w:t>、</w:t>
      </w:r>
      <w:r>
        <w:rPr>
          <w:rFonts w:hint="eastAsia" w:ascii="宋体" w:hAnsi="宋体" w:cs="宋体"/>
          <w:spacing w:val="1"/>
          <w:sz w:val="21"/>
          <w:szCs w:val="21"/>
          <w:lang w:val="en-US" w:eastAsia="zh-CN"/>
        </w:rPr>
        <w:t>报表统计</w:t>
      </w:r>
      <w:r>
        <w:rPr>
          <w:rFonts w:hint="eastAsia" w:ascii="宋体" w:hAnsi="宋体" w:cs="宋体"/>
          <w:spacing w:val="1"/>
          <w:sz w:val="21"/>
          <w:szCs w:val="21"/>
        </w:rPr>
        <w:t>、</w:t>
      </w:r>
      <w:r>
        <w:rPr>
          <w:rFonts w:hint="eastAsia" w:ascii="宋体" w:hAnsi="宋体" w:cs="宋体"/>
          <w:spacing w:val="1"/>
          <w:sz w:val="21"/>
          <w:szCs w:val="21"/>
          <w:lang w:val="en-US" w:eastAsia="zh-CN"/>
        </w:rPr>
        <w:t>决策分析和数据可视化。</w:t>
      </w:r>
      <w:r>
        <w:rPr>
          <w:rFonts w:hint="eastAsia" w:ascii="宋体" w:hAnsi="宋体" w:cs="宋体"/>
          <w:b/>
          <w:bCs/>
          <w:szCs w:val="21"/>
        </w:rPr>
        <w:t>（投标人须提供承诺函，未按要求提供的按无效投标处理）</w:t>
      </w:r>
    </w:p>
    <w:p>
      <w:pPr>
        <w:spacing w:line="360" w:lineRule="auto"/>
      </w:pPr>
      <w:r>
        <w:rPr>
          <w:rFonts w:hint="eastAsia"/>
        </w:rPr>
        <w:t>（八）</w:t>
      </w:r>
      <w:r>
        <w:rPr>
          <w:rFonts w:hint="eastAsia" w:ascii="仿宋_GB2312"/>
        </w:rPr>
        <w:t>重保服务</w:t>
      </w:r>
    </w:p>
    <w:p>
      <w:pPr>
        <w:spacing w:line="360" w:lineRule="auto"/>
        <w:ind w:firstLine="420" w:firstLineChars="200"/>
      </w:pPr>
      <w:r>
        <w:rPr>
          <w:rFonts w:hint="eastAsia" w:ascii="仿宋_GB2312"/>
        </w:rPr>
        <w:t>重要节假日或采购人需要的重保服务期间，中标方应在日常安全运营基础上，提供攻防演练和渗透测试等服务。中标方应按需增派专业安全渗透攻防人员不低于</w:t>
      </w:r>
      <w:r>
        <w:rPr>
          <w:rFonts w:hint="eastAsia"/>
        </w:rPr>
        <w:t>2</w:t>
      </w:r>
      <w:r>
        <w:rPr>
          <w:rFonts w:hint="eastAsia" w:ascii="仿宋_GB2312"/>
        </w:rPr>
        <w:t>人提供现场保障服务，服务内容和经验需覆盖安全领域的各类专业方向，包括但不限于漏洞攻防、安全分析、安全建模、监测值守与应急处置、攻击测试与演练支持、安全设备运维、安全测评、漏洞扫描、渗透测试、终端安全支持、安全培训等。每次重保服务期结束均应在</w:t>
      </w:r>
      <w:r>
        <w:rPr>
          <w:rFonts w:hint="eastAsia" w:cs="Calibri"/>
        </w:rPr>
        <w:t>1</w:t>
      </w:r>
      <w:r>
        <w:rPr>
          <w:rFonts w:hint="eastAsia" w:ascii="仿宋_GB2312"/>
        </w:rPr>
        <w:t>个工作日内出具重保成果报告。</w:t>
      </w:r>
      <w:r>
        <w:rPr>
          <w:rFonts w:hint="eastAsia" w:ascii="宋体" w:hAnsi="宋体" w:cs="宋体"/>
          <w:b/>
          <w:bCs/>
          <w:szCs w:val="21"/>
        </w:rPr>
        <w:t>（投标人须提供承诺函，未按要求提供的按无效投标处理）</w:t>
      </w:r>
    </w:p>
    <w:p>
      <w:pPr>
        <w:pStyle w:val="2"/>
        <w:spacing w:line="360" w:lineRule="auto"/>
      </w:pPr>
      <w:r>
        <w:t>（九）安全体系建设</w:t>
      </w:r>
    </w:p>
    <w:p>
      <w:pPr>
        <w:spacing w:line="360" w:lineRule="auto"/>
        <w:ind w:firstLine="420" w:firstLineChars="200"/>
      </w:pPr>
      <w:r>
        <w:rPr>
          <w:rFonts w:hint="eastAsia" w:ascii="仿宋_GB2312"/>
        </w:rPr>
        <w:t>依据《中华人民共和国网络安全法》《中国人民共和国数据安全法》《关键信息基础安全保护条例》《网络数据安全管理条例（征求意见稿）》《商用密码管理条例（修订草案征求意见）》《网络安全审查办法》《智慧监狱技术规范》等法律法规及标准规范，按照科学性、合理性、系统性、完整性等原则，建立健全河南监狱系统专网网络安全建设、运行、维护等网络安全运营制度体系及流程规范，包括但不限于终端安全、边界安全、数据安全、密码安全、云安全、运营安全、运维安全、应急处置、攻防演练、安全培训、渗透测试以及组织管理和安全建设等。</w:t>
      </w:r>
      <w:r>
        <w:rPr>
          <w:rFonts w:hint="eastAsia" w:ascii="仿宋_GB2312"/>
          <w:lang w:eastAsia="zh-CN"/>
        </w:rPr>
        <w:t>支持对上述所有安全制度进行管理和可视化呈现，包括安全总纲、一级制度、二级制度、规范流程等安全制度体系及标准体系的建立，帮助各单位直观了解当前安全管理体系现状。</w:t>
      </w:r>
      <w:r>
        <w:rPr>
          <w:rFonts w:hint="eastAsia" w:ascii="宋体" w:hAnsi="宋体" w:cs="宋体"/>
          <w:b/>
          <w:bCs/>
          <w:szCs w:val="21"/>
        </w:rPr>
        <w:t>（投标人须提供承诺函，未按要求提供的按无效投标处理）</w:t>
      </w:r>
    </w:p>
    <w:p>
      <w:pPr>
        <w:spacing w:line="360" w:lineRule="auto"/>
        <w:rPr>
          <w:rFonts w:ascii="宋体" w:hAnsi="宋体" w:cs="宋体"/>
          <w:szCs w:val="21"/>
        </w:rPr>
      </w:pPr>
      <w:r>
        <w:rPr>
          <w:rFonts w:hint="eastAsia" w:ascii="宋体" w:hAnsi="宋体" w:cs="宋体"/>
          <w:szCs w:val="21"/>
        </w:rPr>
        <w:t>（十）安全保密要求</w:t>
      </w:r>
    </w:p>
    <w:p>
      <w:pPr>
        <w:spacing w:line="360" w:lineRule="auto"/>
        <w:ind w:firstLine="640"/>
        <w:rPr>
          <w:rFonts w:ascii="宋体" w:hAnsi="宋体" w:cs="宋体"/>
          <w:szCs w:val="21"/>
        </w:rPr>
      </w:pPr>
      <w:r>
        <w:rPr>
          <w:rFonts w:hint="eastAsia" w:ascii="宋体" w:hAnsi="宋体" w:cs="宋体"/>
          <w:szCs w:val="21"/>
        </w:rPr>
        <w:t>中标方凡参与该项目且有可能接触采购人工作相关数据信息的，均应签订保密承诺函。</w:t>
      </w:r>
    </w:p>
    <w:p>
      <w:pPr>
        <w:spacing w:line="360" w:lineRule="auto"/>
        <w:rPr>
          <w:rFonts w:ascii="宋体" w:hAnsi="宋体" w:cs="宋体"/>
          <w:szCs w:val="21"/>
        </w:rPr>
      </w:pPr>
      <w:r>
        <w:rPr>
          <w:rFonts w:hint="eastAsia" w:ascii="宋体" w:hAnsi="宋体" w:cs="宋体"/>
          <w:szCs w:val="21"/>
        </w:rPr>
        <w:t>（十一）建设期要求</w:t>
      </w:r>
    </w:p>
    <w:p>
      <w:pPr>
        <w:spacing w:line="360" w:lineRule="auto"/>
        <w:ind w:firstLine="630" w:firstLineChars="300"/>
        <w:rPr>
          <w:rFonts w:hint="default" w:ascii="宋体" w:hAnsi="宋体" w:cs="宋体"/>
          <w:szCs w:val="21"/>
          <w:lang w:val="en-US" w:eastAsia="zh-CN"/>
        </w:rPr>
      </w:pPr>
      <w:r>
        <w:rPr>
          <w:rFonts w:hint="eastAsia" w:ascii="宋体" w:hAnsi="宋体" w:cs="宋体"/>
          <w:szCs w:val="21"/>
          <w:lang w:val="en-US" w:eastAsia="zh-CN"/>
        </w:rPr>
        <w:t>1年内完成竣工验收并交付使用。</w:t>
      </w:r>
    </w:p>
    <w:p>
      <w:pPr>
        <w:spacing w:line="360" w:lineRule="auto"/>
        <w:rPr>
          <w:rFonts w:ascii="宋体" w:hAnsi="宋体" w:cs="宋体"/>
          <w:szCs w:val="21"/>
        </w:rPr>
      </w:pPr>
      <w:r>
        <w:rPr>
          <w:rFonts w:hint="eastAsia" w:ascii="宋体" w:hAnsi="宋体" w:cs="宋体"/>
          <w:szCs w:val="21"/>
        </w:rPr>
        <w:t>（十二）持续优化服务要求</w:t>
      </w:r>
    </w:p>
    <w:p>
      <w:pPr>
        <w:spacing w:line="360" w:lineRule="auto"/>
        <w:ind w:firstLine="420" w:firstLineChars="200"/>
        <w:rPr>
          <w:rFonts w:ascii="宋体" w:hAnsi="宋体" w:cs="宋体"/>
          <w:szCs w:val="21"/>
        </w:rPr>
      </w:pPr>
      <w:r>
        <w:rPr>
          <w:rFonts w:hint="eastAsia" w:ascii="宋体" w:hAnsi="宋体" w:cs="宋体"/>
          <w:szCs w:val="21"/>
        </w:rPr>
        <w:t>在</w:t>
      </w:r>
      <w:r>
        <w:rPr>
          <w:rFonts w:hint="eastAsia" w:ascii="宋体" w:hAnsi="宋体" w:cs="宋体"/>
          <w:szCs w:val="21"/>
          <w:lang w:eastAsia="zh-CN"/>
        </w:rPr>
        <w:t>运维期</w:t>
      </w:r>
      <w:r>
        <w:rPr>
          <w:rFonts w:hint="eastAsia" w:ascii="宋体" w:hAnsi="宋体" w:cs="宋体"/>
          <w:szCs w:val="21"/>
        </w:rPr>
        <w:t>间，中标方对于采购人提出的符合实际工作需求的合理功能优化或定制开发要求，给与积极响应，及时组织人员进行功能优化或定制开发，中标方承担相关开发费用。</w:t>
      </w:r>
      <w:r>
        <w:rPr>
          <w:rFonts w:hint="eastAsia" w:ascii="宋体" w:hAnsi="宋体" w:cs="宋体"/>
          <w:b/>
          <w:bCs/>
          <w:szCs w:val="21"/>
        </w:rPr>
        <w:t>（投标人须提供承诺函，未按要求提供的按无效投标处理）</w:t>
      </w:r>
    </w:p>
    <w:p>
      <w:pPr>
        <w:spacing w:line="360" w:lineRule="auto"/>
        <w:rPr>
          <w:rFonts w:ascii="宋体" w:hAnsi="宋体" w:cs="宋体"/>
          <w:szCs w:val="21"/>
        </w:rPr>
      </w:pPr>
      <w:r>
        <w:rPr>
          <w:rFonts w:hint="eastAsia" w:ascii="宋体" w:hAnsi="宋体" w:cs="宋体"/>
          <w:szCs w:val="21"/>
        </w:rPr>
        <w:t>（十三）IPv6通信要求</w:t>
      </w:r>
    </w:p>
    <w:p>
      <w:pPr>
        <w:spacing w:line="360" w:lineRule="auto"/>
        <w:rPr>
          <w:rFonts w:ascii="宋体" w:hAnsi="宋体" w:cs="宋体"/>
          <w:szCs w:val="21"/>
        </w:rPr>
      </w:pPr>
      <w:r>
        <w:rPr>
          <w:rFonts w:hint="eastAsia" w:ascii="宋体" w:hAnsi="宋体" w:cs="宋体"/>
          <w:szCs w:val="21"/>
        </w:rPr>
        <w:t xml:space="preserve">    安全产品均支持IPv6通信要求。</w:t>
      </w:r>
      <w:r>
        <w:rPr>
          <w:rFonts w:hint="eastAsia" w:ascii="宋体" w:hAnsi="宋体" w:cs="宋体"/>
          <w:b/>
          <w:bCs/>
          <w:szCs w:val="21"/>
        </w:rPr>
        <w:t>（投标人须提供承诺函，未按要求提供的按无效投标处理）</w:t>
      </w:r>
    </w:p>
    <w:p>
      <w:pPr>
        <w:spacing w:line="360" w:lineRule="auto"/>
        <w:rPr>
          <w:rFonts w:ascii="宋体" w:hAnsi="宋体" w:cs="宋体"/>
          <w:szCs w:val="21"/>
        </w:rPr>
      </w:pPr>
      <w:r>
        <w:rPr>
          <w:rFonts w:hint="eastAsia" w:ascii="宋体" w:hAnsi="宋体" w:cs="宋体"/>
          <w:szCs w:val="21"/>
        </w:rPr>
        <w:t>（十四）条款优先级要求</w:t>
      </w:r>
    </w:p>
    <w:p>
      <w:pPr>
        <w:spacing w:line="360" w:lineRule="auto"/>
        <w:ind w:firstLine="420" w:firstLineChars="200"/>
        <w:rPr>
          <w:rFonts w:ascii="宋体" w:hAnsi="宋体" w:cs="宋体"/>
          <w:szCs w:val="21"/>
        </w:rPr>
      </w:pPr>
      <w:r>
        <w:rPr>
          <w:rFonts w:hint="eastAsia" w:ascii="宋体" w:hAnsi="宋体" w:cs="宋体"/>
          <w:szCs w:val="21"/>
        </w:rPr>
        <w:t>招标文件中涉及的技术和服务要求如存在前后不一致，中标方在合同履行过程需按有利于采购人的条款约定进行履约。</w:t>
      </w:r>
      <w:r>
        <w:rPr>
          <w:rFonts w:hint="eastAsia" w:ascii="宋体" w:hAnsi="宋体" w:cs="宋体"/>
          <w:b/>
          <w:bCs/>
          <w:szCs w:val="21"/>
        </w:rPr>
        <w:t>（投标人须提供承诺函，未按要求提供的按无效投标处理）</w:t>
      </w:r>
    </w:p>
    <w:p>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OWMwMjBhZDhhYWE0ZWFkMDE4NzVjMjQ2NzU0MmUifQ=="/>
  </w:docVars>
  <w:rsids>
    <w:rsidRoot w:val="7B4A1B6C"/>
    <w:rsid w:val="7B4A1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pPr>
    <w:rPr>
      <w:sz w:val="32"/>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
    <w:qFormat/>
    <w:uiPriority w:val="0"/>
    <w:pPr>
      <w:widowControl w:val="0"/>
      <w:overflowPunct w:val="0"/>
      <w:snapToGrid w:val="0"/>
      <w:spacing w:line="360" w:lineRule="auto"/>
      <w:ind w:firstLine="200" w:firstLineChars="200"/>
      <w:jc w:val="both"/>
    </w:pPr>
    <w:rPr>
      <w:rFonts w:ascii="仿宋_GB2312"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2023-09-06T05:53:00Z</dcterms:created>
  <dc:creator>Cindy</dc:creator>
  <cp:lastModifiedBy>Cindy</cp:lastModifiedBy>
  <dcterms:modified xsi:type="dcterms:W3CDTF">2023-09-06T05:54:34Z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8A31AC0B71F0431E852C96B1C4EAAED2_11</vt:lpwstr>
  </property>
</Properties>
</file>