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107D">
      <w:pPr>
        <w:keepNext w:val="0"/>
        <w:keepLines w:val="0"/>
        <w:pageBreakBefore w:val="0"/>
        <w:widowControl w:val="0"/>
        <w:kinsoku/>
        <w:wordWrap/>
        <w:overflowPunct/>
        <w:topLinePunct w:val="0"/>
        <w:autoSpaceDE/>
        <w:autoSpaceDN/>
        <w:bidi w:val="0"/>
        <w:adjustRightInd/>
        <w:snapToGrid w:val="0"/>
        <w:spacing w:after="157" w:afterLines="50" w:line="360" w:lineRule="auto"/>
        <w:jc w:val="center"/>
        <w:textAlignment w:val="baseline"/>
        <w:rPr>
          <w:rFonts w:hint="eastAsia" w:cs="宋体"/>
          <w:b/>
          <w:color w:val="auto"/>
          <w:sz w:val="36"/>
          <w:szCs w:val="36"/>
          <w:lang w:eastAsia="zh-CN"/>
        </w:rPr>
      </w:pPr>
      <w:r>
        <w:rPr>
          <w:rFonts w:hint="eastAsia" w:cs="宋体"/>
          <w:b/>
          <w:color w:val="auto"/>
          <w:sz w:val="36"/>
          <w:szCs w:val="36"/>
          <w:lang w:eastAsia="zh-CN"/>
        </w:rPr>
        <w:t>安阳市妇幼保健院危重新生儿救治中心建设急救</w:t>
      </w:r>
    </w:p>
    <w:p w14:paraId="39D1FEBD">
      <w:pPr>
        <w:keepNext w:val="0"/>
        <w:keepLines w:val="0"/>
        <w:pageBreakBefore w:val="0"/>
        <w:widowControl w:val="0"/>
        <w:kinsoku/>
        <w:wordWrap/>
        <w:overflowPunct/>
        <w:topLinePunct w:val="0"/>
        <w:autoSpaceDE/>
        <w:autoSpaceDN/>
        <w:bidi w:val="0"/>
        <w:adjustRightInd/>
        <w:snapToGrid w:val="0"/>
        <w:spacing w:after="157" w:afterLines="50" w:line="360" w:lineRule="auto"/>
        <w:jc w:val="center"/>
        <w:textAlignment w:val="baseline"/>
        <w:rPr>
          <w:rFonts w:hint="default" w:ascii="宋体" w:hAnsi="宋体" w:eastAsia="宋体" w:cs="宋体"/>
          <w:b/>
          <w:color w:val="auto"/>
          <w:spacing w:val="40"/>
          <w:sz w:val="36"/>
          <w:szCs w:val="36"/>
          <w:lang w:val="en-US"/>
        </w:rPr>
      </w:pPr>
      <w:r>
        <w:rPr>
          <w:rFonts w:hint="eastAsia" w:cs="宋体"/>
          <w:b/>
          <w:color w:val="auto"/>
          <w:sz w:val="36"/>
          <w:szCs w:val="36"/>
          <w:lang w:eastAsia="zh-CN"/>
        </w:rPr>
        <w:t>生命支持类设备采购项目（</w:t>
      </w:r>
      <w:r>
        <w:rPr>
          <w:rFonts w:hint="eastAsia" w:cs="宋体"/>
          <w:b/>
          <w:color w:val="auto"/>
          <w:sz w:val="36"/>
          <w:szCs w:val="36"/>
          <w:lang w:val="en-US" w:eastAsia="zh-CN"/>
        </w:rPr>
        <w:t>二次）</w:t>
      </w:r>
    </w:p>
    <w:p w14:paraId="7A64197B">
      <w:pPr>
        <w:widowControl w:val="0"/>
        <w:snapToGrid w:val="0"/>
        <w:spacing w:line="560" w:lineRule="exact"/>
        <w:ind w:firstLine="261" w:firstLineChars="50"/>
        <w:jc w:val="center"/>
        <w:rPr>
          <w:rFonts w:hint="eastAsia" w:ascii="宋体" w:hAnsi="宋体" w:eastAsia="宋体" w:cs="宋体"/>
          <w:b/>
          <w:color w:val="auto"/>
          <w:spacing w:val="40"/>
          <w:sz w:val="44"/>
          <w:szCs w:val="44"/>
        </w:rPr>
      </w:pPr>
    </w:p>
    <w:p w14:paraId="52230547">
      <w:pPr>
        <w:widowControl w:val="0"/>
        <w:snapToGrid w:val="0"/>
        <w:spacing w:before="240" w:beforeLines="100" w:line="240" w:lineRule="auto"/>
        <w:jc w:val="both"/>
        <w:rPr>
          <w:rFonts w:hint="eastAsia" w:ascii="宋体" w:hAnsi="宋体" w:eastAsia="宋体" w:cs="宋体"/>
          <w:b/>
          <w:color w:val="auto"/>
          <w:sz w:val="44"/>
        </w:rPr>
      </w:pPr>
    </w:p>
    <w:p w14:paraId="1CDE01F2">
      <w:pPr>
        <w:pStyle w:val="30"/>
        <w:rPr>
          <w:rFonts w:hint="eastAsia" w:ascii="宋体" w:hAnsi="宋体" w:eastAsia="宋体" w:cs="宋体"/>
          <w:b/>
          <w:color w:val="auto"/>
          <w:sz w:val="44"/>
        </w:rPr>
      </w:pPr>
    </w:p>
    <w:p w14:paraId="25440AD7">
      <w:pPr>
        <w:widowControl w:val="0"/>
        <w:snapToGrid w:val="0"/>
        <w:spacing w:before="240" w:beforeLines="100" w:line="240" w:lineRule="auto"/>
        <w:jc w:val="center"/>
        <w:rPr>
          <w:rFonts w:hint="eastAsia" w:ascii="宋体" w:hAnsi="宋体" w:eastAsia="宋体" w:cs="宋体"/>
          <w:b/>
          <w:color w:val="auto"/>
          <w:sz w:val="116"/>
          <w:szCs w:val="116"/>
        </w:rPr>
      </w:pPr>
      <w:r>
        <w:rPr>
          <w:rFonts w:hint="eastAsia" w:ascii="宋体" w:hAnsi="宋体" w:eastAsia="宋体" w:cs="宋体"/>
          <w:b/>
          <w:color w:val="auto"/>
          <w:sz w:val="116"/>
          <w:szCs w:val="116"/>
        </w:rPr>
        <w:t>招 标 文 件</w:t>
      </w:r>
    </w:p>
    <w:p w14:paraId="400D5911">
      <w:pPr>
        <w:widowControl w:val="0"/>
        <w:snapToGrid w:val="0"/>
        <w:spacing w:before="240" w:beforeLines="100"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rPr>
        <w:t>项目编号：</w:t>
      </w:r>
      <w:r>
        <w:rPr>
          <w:rFonts w:hint="eastAsia" w:cs="宋体"/>
          <w:color w:val="auto"/>
          <w:sz w:val="32"/>
          <w:szCs w:val="32"/>
          <w:lang w:eastAsia="zh-CN"/>
        </w:rPr>
        <w:t>安财招标采购-2025-49</w:t>
      </w:r>
    </w:p>
    <w:p w14:paraId="1A2990DA">
      <w:pPr>
        <w:widowControl w:val="0"/>
        <w:snapToGrid w:val="0"/>
        <w:spacing w:before="240" w:beforeLines="100" w:line="560" w:lineRule="exact"/>
        <w:jc w:val="center"/>
        <w:rPr>
          <w:rFonts w:hint="eastAsia" w:ascii="宋体" w:hAnsi="宋体" w:eastAsia="宋体" w:cs="宋体"/>
          <w:b/>
          <w:color w:val="auto"/>
          <w:sz w:val="44"/>
        </w:rPr>
      </w:pPr>
    </w:p>
    <w:p w14:paraId="0737944A">
      <w:pPr>
        <w:widowControl w:val="0"/>
        <w:snapToGrid w:val="0"/>
        <w:spacing w:before="240" w:beforeLines="100" w:line="560" w:lineRule="exact"/>
        <w:jc w:val="center"/>
        <w:rPr>
          <w:rFonts w:hint="eastAsia" w:ascii="宋体" w:hAnsi="宋体" w:eastAsia="宋体" w:cs="宋体"/>
          <w:b/>
          <w:color w:val="auto"/>
          <w:sz w:val="44"/>
        </w:rPr>
      </w:pPr>
    </w:p>
    <w:p w14:paraId="6096599C">
      <w:pPr>
        <w:bidi w:val="0"/>
        <w:spacing w:line="360" w:lineRule="auto"/>
        <w:rPr>
          <w:rFonts w:hint="eastAsia"/>
          <w:b/>
          <w:bCs/>
          <w:color w:val="auto"/>
          <w:sz w:val="32"/>
          <w:szCs w:val="28"/>
        </w:rPr>
      </w:pPr>
    </w:p>
    <w:p w14:paraId="11DD01B6">
      <w:pPr>
        <w:pStyle w:val="30"/>
        <w:rPr>
          <w:rFonts w:hint="eastAsia"/>
          <w:b/>
          <w:bCs/>
          <w:color w:val="auto"/>
          <w:sz w:val="32"/>
          <w:szCs w:val="28"/>
        </w:rPr>
      </w:pPr>
    </w:p>
    <w:p w14:paraId="56E2509A">
      <w:pPr>
        <w:pStyle w:val="30"/>
        <w:rPr>
          <w:rFonts w:hint="eastAsia"/>
          <w:b/>
          <w:bCs/>
          <w:color w:val="auto"/>
          <w:sz w:val="32"/>
          <w:szCs w:val="28"/>
        </w:rPr>
      </w:pPr>
    </w:p>
    <w:p w14:paraId="11891AA3">
      <w:pPr>
        <w:pStyle w:val="30"/>
        <w:rPr>
          <w:rFonts w:hint="eastAsia"/>
          <w:b/>
          <w:bCs/>
          <w:color w:val="auto"/>
          <w:sz w:val="32"/>
          <w:szCs w:val="28"/>
        </w:rPr>
      </w:pPr>
    </w:p>
    <w:p w14:paraId="10708255">
      <w:pPr>
        <w:bidi w:val="0"/>
        <w:spacing w:line="360" w:lineRule="auto"/>
        <w:ind w:left="1260" w:leftChars="0" w:firstLine="420" w:firstLineChars="0"/>
        <w:rPr>
          <w:rFonts w:hint="eastAsia"/>
          <w:b/>
          <w:bCs/>
          <w:color w:val="auto"/>
          <w:sz w:val="32"/>
          <w:szCs w:val="28"/>
          <w:lang w:eastAsia="zh-CN"/>
        </w:rPr>
      </w:pPr>
      <w:r>
        <w:rPr>
          <w:rFonts w:hint="eastAsia"/>
          <w:b/>
          <w:bCs/>
          <w:color w:val="auto"/>
          <w:sz w:val="32"/>
          <w:szCs w:val="28"/>
        </w:rPr>
        <w:t>采购人：</w:t>
      </w:r>
      <w:r>
        <w:rPr>
          <w:rFonts w:hint="eastAsia"/>
          <w:b/>
          <w:bCs/>
          <w:color w:val="auto"/>
          <w:sz w:val="32"/>
          <w:szCs w:val="28"/>
          <w:lang w:eastAsia="zh-CN"/>
        </w:rPr>
        <w:t>安阳市妇幼保健院</w:t>
      </w:r>
    </w:p>
    <w:p w14:paraId="0DC07E83">
      <w:pPr>
        <w:bidi w:val="0"/>
        <w:spacing w:line="360" w:lineRule="auto"/>
        <w:ind w:left="1260" w:leftChars="0" w:firstLine="420" w:firstLineChars="0"/>
        <w:rPr>
          <w:rFonts w:hint="eastAsia"/>
          <w:b/>
          <w:bCs/>
          <w:color w:val="auto"/>
          <w:sz w:val="32"/>
          <w:szCs w:val="28"/>
          <w:lang w:eastAsia="zh-CN"/>
        </w:rPr>
      </w:pPr>
      <w:r>
        <w:rPr>
          <w:rFonts w:hint="eastAsia"/>
          <w:b/>
          <w:bCs/>
          <w:color w:val="auto"/>
          <w:sz w:val="32"/>
          <w:szCs w:val="28"/>
          <w:lang w:eastAsia="zh-CN"/>
        </w:rPr>
        <w:t>代理机构：河南众鼎招标代理有限公司</w:t>
      </w:r>
    </w:p>
    <w:p w14:paraId="50F5426D">
      <w:pPr>
        <w:bidi w:val="0"/>
        <w:spacing w:line="360" w:lineRule="auto"/>
        <w:ind w:left="1260" w:leftChars="0" w:firstLine="420" w:firstLineChars="0"/>
        <w:rPr>
          <w:rFonts w:hint="eastAsia"/>
          <w:b/>
          <w:bCs/>
          <w:color w:val="auto"/>
          <w:sz w:val="32"/>
          <w:szCs w:val="28"/>
          <w:highlight w:val="none"/>
          <w:lang w:eastAsia="zh-CN"/>
        </w:rPr>
      </w:pPr>
      <w:r>
        <w:rPr>
          <w:rFonts w:hint="eastAsia"/>
          <w:b/>
          <w:bCs/>
          <w:color w:val="auto"/>
          <w:sz w:val="32"/>
          <w:szCs w:val="28"/>
          <w:lang w:eastAsia="zh-CN"/>
        </w:rPr>
        <w:t>日    期：二〇二</w:t>
      </w:r>
      <w:r>
        <w:rPr>
          <w:rFonts w:hint="eastAsia"/>
          <w:b/>
          <w:bCs/>
          <w:color w:val="auto"/>
          <w:sz w:val="32"/>
          <w:szCs w:val="28"/>
          <w:highlight w:val="none"/>
          <w:lang w:val="en-US" w:eastAsia="zh-CN"/>
        </w:rPr>
        <w:t>五</w:t>
      </w:r>
      <w:r>
        <w:rPr>
          <w:rFonts w:hint="eastAsia"/>
          <w:b/>
          <w:bCs/>
          <w:color w:val="auto"/>
          <w:sz w:val="32"/>
          <w:szCs w:val="28"/>
          <w:highlight w:val="none"/>
          <w:lang w:eastAsia="zh-CN"/>
        </w:rPr>
        <w:t>年</w:t>
      </w:r>
      <w:r>
        <w:rPr>
          <w:rFonts w:hint="eastAsia"/>
          <w:b/>
          <w:bCs/>
          <w:color w:val="auto"/>
          <w:sz w:val="32"/>
          <w:szCs w:val="28"/>
          <w:highlight w:val="none"/>
          <w:lang w:val="en-US" w:eastAsia="zh-CN"/>
        </w:rPr>
        <w:t>十二</w:t>
      </w:r>
      <w:r>
        <w:rPr>
          <w:rFonts w:hint="eastAsia"/>
          <w:b/>
          <w:bCs/>
          <w:color w:val="auto"/>
          <w:sz w:val="32"/>
          <w:szCs w:val="28"/>
          <w:highlight w:val="none"/>
          <w:lang w:eastAsia="zh-CN"/>
        </w:rPr>
        <w:t>月</w:t>
      </w:r>
    </w:p>
    <w:p w14:paraId="393D7EE8">
      <w:pPr>
        <w:jc w:val="center"/>
        <w:rPr>
          <w:rFonts w:hint="eastAsia" w:ascii="宋体" w:hAnsi="宋体" w:eastAsia="宋体" w:cs="宋体"/>
          <w:b/>
          <w:bCs/>
          <w:color w:val="auto"/>
          <w:sz w:val="36"/>
          <w:szCs w:val="36"/>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B5020F4">
      <w:pPr>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t xml:space="preserve">目 </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lang w:val="zh-CN"/>
        </w:rPr>
        <w:t>录</w:t>
      </w:r>
    </w:p>
    <w:p w14:paraId="1596D6C3">
      <w:pPr>
        <w:pStyle w:val="15"/>
        <w:tabs>
          <w:tab w:val="right" w:leader="dot" w:pos="8306"/>
        </w:tabs>
        <w:rPr>
          <w:color w:val="auto"/>
        </w:rPr>
      </w:pPr>
      <w:bookmarkStart w:id="0" w:name="_Toc12149173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_Toc15896 </w:instrText>
      </w:r>
      <w:r>
        <w:rPr>
          <w:color w:val="auto"/>
        </w:rPr>
        <w:fldChar w:fldCharType="separate"/>
      </w:r>
      <w:r>
        <w:rPr>
          <w:rFonts w:hint="eastAsia"/>
          <w:color w:val="auto"/>
        </w:rPr>
        <w:t>第一章  招标公告</w:t>
      </w:r>
      <w:r>
        <w:rPr>
          <w:color w:val="auto"/>
        </w:rPr>
        <w:tab/>
      </w:r>
      <w:r>
        <w:rPr>
          <w:color w:val="auto"/>
        </w:rPr>
        <w:fldChar w:fldCharType="begin"/>
      </w:r>
      <w:r>
        <w:rPr>
          <w:color w:val="auto"/>
        </w:rPr>
        <w:instrText xml:space="preserve"> PAGEREF _Toc15896 \h </w:instrText>
      </w:r>
      <w:r>
        <w:rPr>
          <w:color w:val="auto"/>
        </w:rPr>
        <w:fldChar w:fldCharType="separate"/>
      </w:r>
      <w:r>
        <w:rPr>
          <w:color w:val="auto"/>
        </w:rPr>
        <w:t>1</w:t>
      </w:r>
      <w:r>
        <w:rPr>
          <w:color w:val="auto"/>
        </w:rPr>
        <w:fldChar w:fldCharType="end"/>
      </w:r>
      <w:r>
        <w:rPr>
          <w:color w:val="auto"/>
        </w:rPr>
        <w:fldChar w:fldCharType="end"/>
      </w:r>
    </w:p>
    <w:p w14:paraId="063A5AF2">
      <w:pPr>
        <w:pStyle w:val="16"/>
        <w:tabs>
          <w:tab w:val="right" w:leader="dot" w:pos="8306"/>
        </w:tabs>
        <w:rPr>
          <w:color w:val="auto"/>
        </w:rPr>
      </w:pPr>
      <w:r>
        <w:rPr>
          <w:color w:val="auto"/>
        </w:rPr>
        <w:fldChar w:fldCharType="begin"/>
      </w:r>
      <w:r>
        <w:rPr>
          <w:color w:val="auto"/>
        </w:rPr>
        <w:instrText xml:space="preserve"> HYPERLINK \l _Toc4502 </w:instrText>
      </w:r>
      <w:r>
        <w:rPr>
          <w:color w:val="auto"/>
        </w:rPr>
        <w:fldChar w:fldCharType="separate"/>
      </w:r>
      <w:r>
        <w:rPr>
          <w:rFonts w:hint="eastAsia"/>
          <w:color w:val="auto"/>
        </w:rPr>
        <w:t>1</w:t>
      </w:r>
      <w:r>
        <w:rPr>
          <w:rFonts w:hint="eastAsia"/>
          <w:color w:val="auto"/>
          <w:lang w:val="en-US" w:eastAsia="zh-CN"/>
        </w:rPr>
        <w:t>.</w:t>
      </w:r>
      <w:r>
        <w:rPr>
          <w:rFonts w:hint="eastAsia"/>
          <w:color w:val="auto"/>
        </w:rPr>
        <w:t>项目基本情况</w:t>
      </w:r>
      <w:r>
        <w:rPr>
          <w:color w:val="auto"/>
        </w:rPr>
        <w:tab/>
      </w:r>
      <w:r>
        <w:rPr>
          <w:color w:val="auto"/>
        </w:rPr>
        <w:fldChar w:fldCharType="begin"/>
      </w:r>
      <w:r>
        <w:rPr>
          <w:color w:val="auto"/>
        </w:rPr>
        <w:instrText xml:space="preserve"> PAGEREF _Toc4502 \h </w:instrText>
      </w:r>
      <w:r>
        <w:rPr>
          <w:color w:val="auto"/>
        </w:rPr>
        <w:fldChar w:fldCharType="separate"/>
      </w:r>
      <w:r>
        <w:rPr>
          <w:color w:val="auto"/>
        </w:rPr>
        <w:t>1</w:t>
      </w:r>
      <w:r>
        <w:rPr>
          <w:color w:val="auto"/>
        </w:rPr>
        <w:fldChar w:fldCharType="end"/>
      </w:r>
      <w:r>
        <w:rPr>
          <w:color w:val="auto"/>
        </w:rPr>
        <w:fldChar w:fldCharType="end"/>
      </w:r>
    </w:p>
    <w:p w14:paraId="76F2343A">
      <w:pPr>
        <w:pStyle w:val="16"/>
        <w:tabs>
          <w:tab w:val="right" w:leader="dot" w:pos="8306"/>
        </w:tabs>
        <w:rPr>
          <w:color w:val="auto"/>
        </w:rPr>
      </w:pPr>
      <w:r>
        <w:rPr>
          <w:color w:val="auto"/>
        </w:rPr>
        <w:fldChar w:fldCharType="begin"/>
      </w:r>
      <w:r>
        <w:rPr>
          <w:color w:val="auto"/>
        </w:rPr>
        <w:instrText xml:space="preserve"> HYPERLINK \l _Toc24326 </w:instrText>
      </w:r>
      <w:r>
        <w:rPr>
          <w:color w:val="auto"/>
        </w:rPr>
        <w:fldChar w:fldCharType="separate"/>
      </w:r>
      <w:r>
        <w:rPr>
          <w:rFonts w:hint="eastAsia"/>
          <w:color w:val="auto"/>
        </w:rPr>
        <w:t>2.</w:t>
      </w:r>
      <w:r>
        <w:rPr>
          <w:rFonts w:hint="eastAsia"/>
          <w:color w:val="auto"/>
          <w:lang w:eastAsia="zh-CN"/>
        </w:rPr>
        <w:t>投标人</w:t>
      </w:r>
      <w:r>
        <w:rPr>
          <w:rFonts w:hint="eastAsia"/>
          <w:color w:val="auto"/>
        </w:rPr>
        <w:t>的资格要求</w:t>
      </w:r>
      <w:r>
        <w:rPr>
          <w:color w:val="auto"/>
        </w:rPr>
        <w:tab/>
      </w:r>
      <w:r>
        <w:rPr>
          <w:color w:val="auto"/>
        </w:rPr>
        <w:fldChar w:fldCharType="begin"/>
      </w:r>
      <w:r>
        <w:rPr>
          <w:color w:val="auto"/>
        </w:rPr>
        <w:instrText xml:space="preserve"> PAGEREF _Toc24326 \h </w:instrText>
      </w:r>
      <w:r>
        <w:rPr>
          <w:color w:val="auto"/>
        </w:rPr>
        <w:fldChar w:fldCharType="separate"/>
      </w:r>
      <w:r>
        <w:rPr>
          <w:color w:val="auto"/>
        </w:rPr>
        <w:t>1</w:t>
      </w:r>
      <w:r>
        <w:rPr>
          <w:color w:val="auto"/>
        </w:rPr>
        <w:fldChar w:fldCharType="end"/>
      </w:r>
      <w:r>
        <w:rPr>
          <w:color w:val="auto"/>
        </w:rPr>
        <w:fldChar w:fldCharType="end"/>
      </w:r>
    </w:p>
    <w:p w14:paraId="6A8F8EC5">
      <w:pPr>
        <w:pStyle w:val="16"/>
        <w:tabs>
          <w:tab w:val="right" w:leader="dot" w:pos="8306"/>
        </w:tabs>
        <w:rPr>
          <w:color w:val="auto"/>
        </w:rPr>
      </w:pPr>
      <w:r>
        <w:rPr>
          <w:color w:val="auto"/>
        </w:rPr>
        <w:fldChar w:fldCharType="begin"/>
      </w:r>
      <w:r>
        <w:rPr>
          <w:color w:val="auto"/>
        </w:rPr>
        <w:instrText xml:space="preserve"> HYPERLINK \l _Toc10152 </w:instrText>
      </w:r>
      <w:r>
        <w:rPr>
          <w:color w:val="auto"/>
        </w:rPr>
        <w:fldChar w:fldCharType="separate"/>
      </w:r>
      <w:r>
        <w:rPr>
          <w:rFonts w:hint="eastAsia"/>
          <w:color w:val="auto"/>
        </w:rPr>
        <w:t>3.获取招标文件</w:t>
      </w:r>
      <w:r>
        <w:rPr>
          <w:color w:val="auto"/>
        </w:rPr>
        <w:tab/>
      </w:r>
      <w:r>
        <w:rPr>
          <w:color w:val="auto"/>
        </w:rPr>
        <w:fldChar w:fldCharType="begin"/>
      </w:r>
      <w:r>
        <w:rPr>
          <w:color w:val="auto"/>
        </w:rPr>
        <w:instrText xml:space="preserve"> PAGEREF _Toc10152 \h </w:instrText>
      </w:r>
      <w:r>
        <w:rPr>
          <w:color w:val="auto"/>
        </w:rPr>
        <w:fldChar w:fldCharType="separate"/>
      </w:r>
      <w:r>
        <w:rPr>
          <w:color w:val="auto"/>
        </w:rPr>
        <w:t>3</w:t>
      </w:r>
      <w:r>
        <w:rPr>
          <w:color w:val="auto"/>
        </w:rPr>
        <w:fldChar w:fldCharType="end"/>
      </w:r>
      <w:r>
        <w:rPr>
          <w:color w:val="auto"/>
        </w:rPr>
        <w:fldChar w:fldCharType="end"/>
      </w:r>
    </w:p>
    <w:p w14:paraId="50E71EE0">
      <w:pPr>
        <w:pStyle w:val="16"/>
        <w:tabs>
          <w:tab w:val="right" w:leader="dot" w:pos="8306"/>
        </w:tabs>
        <w:rPr>
          <w:color w:val="auto"/>
        </w:rPr>
      </w:pPr>
      <w:r>
        <w:rPr>
          <w:color w:val="auto"/>
        </w:rPr>
        <w:fldChar w:fldCharType="begin"/>
      </w:r>
      <w:r>
        <w:rPr>
          <w:color w:val="auto"/>
        </w:rPr>
        <w:instrText xml:space="preserve"> HYPERLINK \l _Toc24801 </w:instrText>
      </w:r>
      <w:r>
        <w:rPr>
          <w:color w:val="auto"/>
        </w:rPr>
        <w:fldChar w:fldCharType="separate"/>
      </w:r>
      <w:r>
        <w:rPr>
          <w:rFonts w:hint="eastAsia"/>
          <w:color w:val="auto"/>
        </w:rPr>
        <w:t>4.提交投标文件截止时间（投标截止时间及地点）</w:t>
      </w:r>
      <w:r>
        <w:rPr>
          <w:color w:val="auto"/>
        </w:rPr>
        <w:tab/>
      </w:r>
      <w:r>
        <w:rPr>
          <w:color w:val="auto"/>
        </w:rPr>
        <w:fldChar w:fldCharType="begin"/>
      </w:r>
      <w:r>
        <w:rPr>
          <w:color w:val="auto"/>
        </w:rPr>
        <w:instrText xml:space="preserve"> PAGEREF _Toc24801 \h </w:instrText>
      </w:r>
      <w:r>
        <w:rPr>
          <w:color w:val="auto"/>
        </w:rPr>
        <w:fldChar w:fldCharType="separate"/>
      </w:r>
      <w:r>
        <w:rPr>
          <w:color w:val="auto"/>
        </w:rPr>
        <w:t>3</w:t>
      </w:r>
      <w:r>
        <w:rPr>
          <w:color w:val="auto"/>
        </w:rPr>
        <w:fldChar w:fldCharType="end"/>
      </w:r>
      <w:r>
        <w:rPr>
          <w:color w:val="auto"/>
        </w:rPr>
        <w:fldChar w:fldCharType="end"/>
      </w:r>
    </w:p>
    <w:p w14:paraId="6DF9B150">
      <w:pPr>
        <w:pStyle w:val="16"/>
        <w:tabs>
          <w:tab w:val="right" w:leader="dot" w:pos="8306"/>
        </w:tabs>
        <w:rPr>
          <w:color w:val="auto"/>
        </w:rPr>
      </w:pPr>
      <w:r>
        <w:rPr>
          <w:color w:val="auto"/>
        </w:rPr>
        <w:fldChar w:fldCharType="begin"/>
      </w:r>
      <w:r>
        <w:rPr>
          <w:color w:val="auto"/>
        </w:rPr>
        <w:instrText xml:space="preserve"> HYPERLINK \l _Toc18957 </w:instrText>
      </w:r>
      <w:r>
        <w:rPr>
          <w:color w:val="auto"/>
        </w:rPr>
        <w:fldChar w:fldCharType="separate"/>
      </w:r>
      <w:r>
        <w:rPr>
          <w:rFonts w:hint="eastAsia"/>
          <w:color w:val="auto"/>
        </w:rPr>
        <w:t>5.开标时间和地点</w:t>
      </w:r>
      <w:r>
        <w:rPr>
          <w:color w:val="auto"/>
        </w:rPr>
        <w:tab/>
      </w:r>
      <w:r>
        <w:rPr>
          <w:color w:val="auto"/>
        </w:rPr>
        <w:fldChar w:fldCharType="begin"/>
      </w:r>
      <w:r>
        <w:rPr>
          <w:color w:val="auto"/>
        </w:rPr>
        <w:instrText xml:space="preserve"> PAGEREF _Toc18957 \h </w:instrText>
      </w:r>
      <w:r>
        <w:rPr>
          <w:color w:val="auto"/>
        </w:rPr>
        <w:fldChar w:fldCharType="separate"/>
      </w:r>
      <w:r>
        <w:rPr>
          <w:color w:val="auto"/>
        </w:rPr>
        <w:t>3</w:t>
      </w:r>
      <w:r>
        <w:rPr>
          <w:color w:val="auto"/>
        </w:rPr>
        <w:fldChar w:fldCharType="end"/>
      </w:r>
      <w:r>
        <w:rPr>
          <w:color w:val="auto"/>
        </w:rPr>
        <w:fldChar w:fldCharType="end"/>
      </w:r>
    </w:p>
    <w:p w14:paraId="5E3986E8">
      <w:pPr>
        <w:pStyle w:val="16"/>
        <w:tabs>
          <w:tab w:val="right" w:leader="dot" w:pos="8306"/>
        </w:tabs>
        <w:rPr>
          <w:color w:val="auto"/>
        </w:rPr>
      </w:pPr>
      <w:r>
        <w:rPr>
          <w:color w:val="auto"/>
        </w:rPr>
        <w:fldChar w:fldCharType="begin"/>
      </w:r>
      <w:r>
        <w:rPr>
          <w:color w:val="auto"/>
        </w:rPr>
        <w:instrText xml:space="preserve"> HYPERLINK \l _Toc9588 </w:instrText>
      </w:r>
      <w:r>
        <w:rPr>
          <w:color w:val="auto"/>
        </w:rPr>
        <w:fldChar w:fldCharType="separate"/>
      </w:r>
      <w:r>
        <w:rPr>
          <w:rFonts w:hint="eastAsia"/>
          <w:color w:val="auto"/>
        </w:rPr>
        <w:t>6.发布公告的媒介及招标公告期限</w:t>
      </w:r>
      <w:r>
        <w:rPr>
          <w:color w:val="auto"/>
        </w:rPr>
        <w:tab/>
      </w:r>
      <w:r>
        <w:rPr>
          <w:color w:val="auto"/>
        </w:rPr>
        <w:fldChar w:fldCharType="begin"/>
      </w:r>
      <w:r>
        <w:rPr>
          <w:color w:val="auto"/>
        </w:rPr>
        <w:instrText xml:space="preserve"> PAGEREF _Toc9588 \h </w:instrText>
      </w:r>
      <w:r>
        <w:rPr>
          <w:color w:val="auto"/>
        </w:rPr>
        <w:fldChar w:fldCharType="separate"/>
      </w:r>
      <w:r>
        <w:rPr>
          <w:color w:val="auto"/>
        </w:rPr>
        <w:t>3</w:t>
      </w:r>
      <w:r>
        <w:rPr>
          <w:color w:val="auto"/>
        </w:rPr>
        <w:fldChar w:fldCharType="end"/>
      </w:r>
      <w:r>
        <w:rPr>
          <w:color w:val="auto"/>
        </w:rPr>
        <w:fldChar w:fldCharType="end"/>
      </w:r>
    </w:p>
    <w:p w14:paraId="7DB9250E">
      <w:pPr>
        <w:pStyle w:val="16"/>
        <w:tabs>
          <w:tab w:val="right" w:leader="dot" w:pos="8306"/>
        </w:tabs>
        <w:rPr>
          <w:color w:val="auto"/>
        </w:rPr>
      </w:pPr>
      <w:r>
        <w:rPr>
          <w:color w:val="auto"/>
        </w:rPr>
        <w:fldChar w:fldCharType="begin"/>
      </w:r>
      <w:r>
        <w:rPr>
          <w:color w:val="auto"/>
        </w:rPr>
        <w:instrText xml:space="preserve"> HYPERLINK \l _Toc3628 </w:instrText>
      </w:r>
      <w:r>
        <w:rPr>
          <w:color w:val="auto"/>
        </w:rPr>
        <w:fldChar w:fldCharType="separate"/>
      </w:r>
      <w:r>
        <w:rPr>
          <w:rFonts w:hint="eastAsia"/>
          <w:color w:val="auto"/>
        </w:rPr>
        <w:t>7.其他补充事宜</w:t>
      </w:r>
      <w:r>
        <w:rPr>
          <w:color w:val="auto"/>
        </w:rPr>
        <w:tab/>
      </w:r>
      <w:r>
        <w:rPr>
          <w:color w:val="auto"/>
        </w:rPr>
        <w:fldChar w:fldCharType="begin"/>
      </w:r>
      <w:r>
        <w:rPr>
          <w:color w:val="auto"/>
        </w:rPr>
        <w:instrText xml:space="preserve"> PAGEREF _Toc3628 \h </w:instrText>
      </w:r>
      <w:r>
        <w:rPr>
          <w:color w:val="auto"/>
        </w:rPr>
        <w:fldChar w:fldCharType="separate"/>
      </w:r>
      <w:r>
        <w:rPr>
          <w:color w:val="auto"/>
        </w:rPr>
        <w:t>3</w:t>
      </w:r>
      <w:r>
        <w:rPr>
          <w:color w:val="auto"/>
        </w:rPr>
        <w:fldChar w:fldCharType="end"/>
      </w:r>
      <w:r>
        <w:rPr>
          <w:color w:val="auto"/>
        </w:rPr>
        <w:fldChar w:fldCharType="end"/>
      </w:r>
    </w:p>
    <w:p w14:paraId="23D8E314">
      <w:pPr>
        <w:pStyle w:val="16"/>
        <w:tabs>
          <w:tab w:val="right" w:leader="dot" w:pos="8306"/>
        </w:tabs>
        <w:rPr>
          <w:color w:val="auto"/>
        </w:rPr>
      </w:pPr>
      <w:r>
        <w:rPr>
          <w:color w:val="auto"/>
        </w:rPr>
        <w:fldChar w:fldCharType="begin"/>
      </w:r>
      <w:r>
        <w:rPr>
          <w:color w:val="auto"/>
        </w:rPr>
        <w:instrText xml:space="preserve"> HYPERLINK \l _Toc25649 </w:instrText>
      </w:r>
      <w:r>
        <w:rPr>
          <w:color w:val="auto"/>
        </w:rPr>
        <w:fldChar w:fldCharType="separate"/>
      </w:r>
      <w:r>
        <w:rPr>
          <w:rFonts w:hint="eastAsia"/>
          <w:color w:val="auto"/>
        </w:rPr>
        <w:t>8.对本次招标提出询问，请按以下方式联系</w:t>
      </w:r>
      <w:r>
        <w:rPr>
          <w:color w:val="auto"/>
        </w:rPr>
        <w:tab/>
      </w:r>
      <w:r>
        <w:rPr>
          <w:color w:val="auto"/>
        </w:rPr>
        <w:fldChar w:fldCharType="begin"/>
      </w:r>
      <w:r>
        <w:rPr>
          <w:color w:val="auto"/>
        </w:rPr>
        <w:instrText xml:space="preserve"> PAGEREF _Toc25649 \h </w:instrText>
      </w:r>
      <w:r>
        <w:rPr>
          <w:color w:val="auto"/>
        </w:rPr>
        <w:fldChar w:fldCharType="separate"/>
      </w:r>
      <w:r>
        <w:rPr>
          <w:color w:val="auto"/>
        </w:rPr>
        <w:t>4</w:t>
      </w:r>
      <w:r>
        <w:rPr>
          <w:color w:val="auto"/>
        </w:rPr>
        <w:fldChar w:fldCharType="end"/>
      </w:r>
      <w:r>
        <w:rPr>
          <w:color w:val="auto"/>
        </w:rPr>
        <w:fldChar w:fldCharType="end"/>
      </w:r>
    </w:p>
    <w:p w14:paraId="27D6EFB1">
      <w:pPr>
        <w:pStyle w:val="16"/>
        <w:tabs>
          <w:tab w:val="right" w:leader="dot" w:pos="8306"/>
        </w:tabs>
        <w:rPr>
          <w:color w:val="auto"/>
        </w:rPr>
      </w:pPr>
      <w:r>
        <w:rPr>
          <w:color w:val="auto"/>
        </w:rPr>
        <w:fldChar w:fldCharType="begin"/>
      </w:r>
      <w:r>
        <w:rPr>
          <w:color w:val="auto"/>
        </w:rPr>
        <w:instrText xml:space="preserve"> HYPERLINK \l _Toc28361 </w:instrText>
      </w:r>
      <w:r>
        <w:rPr>
          <w:color w:val="auto"/>
        </w:rPr>
        <w:fldChar w:fldCharType="separate"/>
      </w:r>
      <w:r>
        <w:rPr>
          <w:rFonts w:hint="eastAsia"/>
          <w:color w:val="auto"/>
        </w:rPr>
        <w:t>9.网上电子交易提示</w:t>
      </w:r>
      <w:r>
        <w:rPr>
          <w:color w:val="auto"/>
        </w:rPr>
        <w:tab/>
      </w:r>
      <w:r>
        <w:rPr>
          <w:color w:val="auto"/>
        </w:rPr>
        <w:fldChar w:fldCharType="begin"/>
      </w:r>
      <w:r>
        <w:rPr>
          <w:color w:val="auto"/>
        </w:rPr>
        <w:instrText xml:space="preserve"> PAGEREF _Toc28361 \h </w:instrText>
      </w:r>
      <w:r>
        <w:rPr>
          <w:color w:val="auto"/>
        </w:rPr>
        <w:fldChar w:fldCharType="separate"/>
      </w:r>
      <w:r>
        <w:rPr>
          <w:color w:val="auto"/>
        </w:rPr>
        <w:t>4</w:t>
      </w:r>
      <w:r>
        <w:rPr>
          <w:color w:val="auto"/>
        </w:rPr>
        <w:fldChar w:fldCharType="end"/>
      </w:r>
      <w:r>
        <w:rPr>
          <w:color w:val="auto"/>
        </w:rPr>
        <w:fldChar w:fldCharType="end"/>
      </w:r>
    </w:p>
    <w:p w14:paraId="3ED9FED6">
      <w:pPr>
        <w:pStyle w:val="15"/>
        <w:tabs>
          <w:tab w:val="right" w:leader="dot" w:pos="8306"/>
        </w:tabs>
        <w:rPr>
          <w:color w:val="auto"/>
        </w:rPr>
      </w:pPr>
      <w:r>
        <w:rPr>
          <w:color w:val="auto"/>
        </w:rPr>
        <w:fldChar w:fldCharType="begin"/>
      </w:r>
      <w:r>
        <w:rPr>
          <w:color w:val="auto"/>
        </w:rPr>
        <w:instrText xml:space="preserve"> HYPERLINK \l _Toc12665 </w:instrText>
      </w:r>
      <w:r>
        <w:rPr>
          <w:color w:val="auto"/>
        </w:rPr>
        <w:fldChar w:fldCharType="separate"/>
      </w:r>
      <w:r>
        <w:rPr>
          <w:rFonts w:hint="eastAsia"/>
          <w:color w:val="auto"/>
        </w:rPr>
        <w:t>第二章  招标项目要求及采购需求</w:t>
      </w:r>
      <w:r>
        <w:rPr>
          <w:color w:val="auto"/>
        </w:rPr>
        <w:tab/>
      </w:r>
      <w:r>
        <w:rPr>
          <w:color w:val="auto"/>
        </w:rPr>
        <w:fldChar w:fldCharType="begin"/>
      </w:r>
      <w:r>
        <w:rPr>
          <w:color w:val="auto"/>
        </w:rPr>
        <w:instrText xml:space="preserve"> PAGEREF _Toc12665 \h </w:instrText>
      </w:r>
      <w:r>
        <w:rPr>
          <w:color w:val="auto"/>
        </w:rPr>
        <w:fldChar w:fldCharType="separate"/>
      </w:r>
      <w:r>
        <w:rPr>
          <w:color w:val="auto"/>
        </w:rPr>
        <w:t>6</w:t>
      </w:r>
      <w:r>
        <w:rPr>
          <w:color w:val="auto"/>
        </w:rPr>
        <w:fldChar w:fldCharType="end"/>
      </w:r>
      <w:r>
        <w:rPr>
          <w:color w:val="auto"/>
        </w:rPr>
        <w:fldChar w:fldCharType="end"/>
      </w:r>
    </w:p>
    <w:p w14:paraId="16BCD87A">
      <w:pPr>
        <w:pStyle w:val="16"/>
        <w:tabs>
          <w:tab w:val="right" w:leader="dot" w:pos="8306"/>
        </w:tabs>
        <w:rPr>
          <w:color w:val="auto"/>
        </w:rPr>
      </w:pPr>
      <w:r>
        <w:rPr>
          <w:color w:val="auto"/>
        </w:rPr>
        <w:fldChar w:fldCharType="begin"/>
      </w:r>
      <w:r>
        <w:rPr>
          <w:color w:val="auto"/>
        </w:rPr>
        <w:instrText xml:space="preserve"> HYPERLINK \l _Toc26795 </w:instrText>
      </w:r>
      <w:r>
        <w:rPr>
          <w:color w:val="auto"/>
        </w:rPr>
        <w:fldChar w:fldCharType="separate"/>
      </w:r>
      <w:r>
        <w:rPr>
          <w:rFonts w:hint="eastAsia"/>
          <w:color w:val="auto"/>
        </w:rPr>
        <w:t>1. 招标项目、标段（包）划分、投标报价</w:t>
      </w:r>
      <w:r>
        <w:rPr>
          <w:color w:val="auto"/>
        </w:rPr>
        <w:tab/>
      </w:r>
      <w:r>
        <w:rPr>
          <w:color w:val="auto"/>
        </w:rPr>
        <w:fldChar w:fldCharType="begin"/>
      </w:r>
      <w:r>
        <w:rPr>
          <w:color w:val="auto"/>
        </w:rPr>
        <w:instrText xml:space="preserve"> PAGEREF _Toc26795 \h </w:instrText>
      </w:r>
      <w:r>
        <w:rPr>
          <w:color w:val="auto"/>
        </w:rPr>
        <w:fldChar w:fldCharType="separate"/>
      </w:r>
      <w:r>
        <w:rPr>
          <w:color w:val="auto"/>
        </w:rPr>
        <w:t>6</w:t>
      </w:r>
      <w:r>
        <w:rPr>
          <w:color w:val="auto"/>
        </w:rPr>
        <w:fldChar w:fldCharType="end"/>
      </w:r>
      <w:r>
        <w:rPr>
          <w:color w:val="auto"/>
        </w:rPr>
        <w:fldChar w:fldCharType="end"/>
      </w:r>
    </w:p>
    <w:p w14:paraId="72A24CF4">
      <w:pPr>
        <w:pStyle w:val="16"/>
        <w:tabs>
          <w:tab w:val="right" w:leader="dot" w:pos="8306"/>
        </w:tabs>
        <w:rPr>
          <w:color w:val="auto"/>
        </w:rPr>
      </w:pPr>
      <w:r>
        <w:rPr>
          <w:color w:val="auto"/>
        </w:rPr>
        <w:fldChar w:fldCharType="begin"/>
      </w:r>
      <w:r>
        <w:rPr>
          <w:color w:val="auto"/>
        </w:rPr>
        <w:instrText xml:space="preserve"> HYPERLINK \l _Toc4415 </w:instrText>
      </w:r>
      <w:r>
        <w:rPr>
          <w:color w:val="auto"/>
        </w:rPr>
        <w:fldChar w:fldCharType="separate"/>
      </w:r>
      <w:r>
        <w:rPr>
          <w:rFonts w:hint="eastAsia"/>
          <w:color w:val="auto"/>
        </w:rPr>
        <w:t>2. 标段（包）内容（范围）及具体采购需求</w:t>
      </w:r>
      <w:r>
        <w:rPr>
          <w:color w:val="auto"/>
        </w:rPr>
        <w:tab/>
      </w:r>
      <w:r>
        <w:rPr>
          <w:color w:val="auto"/>
        </w:rPr>
        <w:fldChar w:fldCharType="begin"/>
      </w:r>
      <w:r>
        <w:rPr>
          <w:color w:val="auto"/>
        </w:rPr>
        <w:instrText xml:space="preserve"> PAGEREF _Toc4415 \h </w:instrText>
      </w:r>
      <w:r>
        <w:rPr>
          <w:color w:val="auto"/>
        </w:rPr>
        <w:fldChar w:fldCharType="separate"/>
      </w:r>
      <w:r>
        <w:rPr>
          <w:color w:val="auto"/>
        </w:rPr>
        <w:t>6</w:t>
      </w:r>
      <w:r>
        <w:rPr>
          <w:color w:val="auto"/>
        </w:rPr>
        <w:fldChar w:fldCharType="end"/>
      </w:r>
      <w:r>
        <w:rPr>
          <w:color w:val="auto"/>
        </w:rPr>
        <w:fldChar w:fldCharType="end"/>
      </w:r>
    </w:p>
    <w:p w14:paraId="151DCB00">
      <w:pPr>
        <w:pStyle w:val="16"/>
        <w:tabs>
          <w:tab w:val="right" w:leader="dot" w:pos="8306"/>
        </w:tabs>
        <w:rPr>
          <w:color w:val="auto"/>
        </w:rPr>
      </w:pPr>
      <w:r>
        <w:rPr>
          <w:color w:val="auto"/>
        </w:rPr>
        <w:fldChar w:fldCharType="begin"/>
      </w:r>
      <w:r>
        <w:rPr>
          <w:color w:val="auto"/>
        </w:rPr>
        <w:instrText xml:space="preserve"> HYPERLINK \l _Toc2361 </w:instrText>
      </w:r>
      <w:r>
        <w:rPr>
          <w:color w:val="auto"/>
        </w:rPr>
        <w:fldChar w:fldCharType="separate"/>
      </w:r>
      <w:r>
        <w:rPr>
          <w:rFonts w:hint="eastAsia"/>
          <w:color w:val="auto"/>
        </w:rPr>
        <w:t>3. 项目其他要求</w:t>
      </w:r>
      <w:r>
        <w:rPr>
          <w:color w:val="auto"/>
        </w:rPr>
        <w:tab/>
      </w:r>
      <w:r>
        <w:rPr>
          <w:color w:val="auto"/>
        </w:rPr>
        <w:fldChar w:fldCharType="begin"/>
      </w:r>
      <w:r>
        <w:rPr>
          <w:color w:val="auto"/>
        </w:rPr>
        <w:instrText xml:space="preserve"> PAGEREF _Toc2361 \h </w:instrText>
      </w:r>
      <w:r>
        <w:rPr>
          <w:color w:val="auto"/>
        </w:rPr>
        <w:fldChar w:fldCharType="separate"/>
      </w:r>
      <w:r>
        <w:rPr>
          <w:color w:val="auto"/>
        </w:rPr>
        <w:t>16</w:t>
      </w:r>
      <w:r>
        <w:rPr>
          <w:color w:val="auto"/>
        </w:rPr>
        <w:fldChar w:fldCharType="end"/>
      </w:r>
      <w:r>
        <w:rPr>
          <w:color w:val="auto"/>
        </w:rPr>
        <w:fldChar w:fldCharType="end"/>
      </w:r>
    </w:p>
    <w:p w14:paraId="54742C60">
      <w:pPr>
        <w:pStyle w:val="15"/>
        <w:tabs>
          <w:tab w:val="right" w:leader="dot" w:pos="8306"/>
        </w:tabs>
        <w:rPr>
          <w:color w:val="auto"/>
        </w:rPr>
      </w:pPr>
      <w:r>
        <w:rPr>
          <w:color w:val="auto"/>
        </w:rPr>
        <w:fldChar w:fldCharType="begin"/>
      </w:r>
      <w:r>
        <w:rPr>
          <w:color w:val="auto"/>
        </w:rPr>
        <w:instrText xml:space="preserve"> HYPERLINK \l _Toc30622 </w:instrText>
      </w:r>
      <w:r>
        <w:rPr>
          <w:color w:val="auto"/>
        </w:rPr>
        <w:fldChar w:fldCharType="separate"/>
      </w:r>
      <w:r>
        <w:rPr>
          <w:rFonts w:hint="eastAsia"/>
          <w:color w:val="auto"/>
        </w:rPr>
        <w:t>第三章  投标人须知</w:t>
      </w:r>
      <w:r>
        <w:rPr>
          <w:color w:val="auto"/>
        </w:rPr>
        <w:tab/>
      </w:r>
      <w:r>
        <w:rPr>
          <w:color w:val="auto"/>
        </w:rPr>
        <w:fldChar w:fldCharType="begin"/>
      </w:r>
      <w:r>
        <w:rPr>
          <w:color w:val="auto"/>
        </w:rPr>
        <w:instrText xml:space="preserve"> PAGEREF _Toc30622 \h </w:instrText>
      </w:r>
      <w:r>
        <w:rPr>
          <w:color w:val="auto"/>
        </w:rPr>
        <w:fldChar w:fldCharType="separate"/>
      </w:r>
      <w:r>
        <w:rPr>
          <w:color w:val="auto"/>
        </w:rPr>
        <w:t>17</w:t>
      </w:r>
      <w:r>
        <w:rPr>
          <w:color w:val="auto"/>
        </w:rPr>
        <w:fldChar w:fldCharType="end"/>
      </w:r>
      <w:r>
        <w:rPr>
          <w:color w:val="auto"/>
        </w:rPr>
        <w:fldChar w:fldCharType="end"/>
      </w:r>
    </w:p>
    <w:p w14:paraId="51D76C50">
      <w:pPr>
        <w:pStyle w:val="16"/>
        <w:tabs>
          <w:tab w:val="right" w:leader="dot" w:pos="8306"/>
        </w:tabs>
        <w:rPr>
          <w:color w:val="auto"/>
        </w:rPr>
      </w:pPr>
      <w:r>
        <w:rPr>
          <w:color w:val="auto"/>
        </w:rPr>
        <w:fldChar w:fldCharType="begin"/>
      </w:r>
      <w:r>
        <w:rPr>
          <w:color w:val="auto"/>
        </w:rPr>
        <w:instrText xml:space="preserve"> HYPERLINK \l _Toc26404 </w:instrText>
      </w:r>
      <w:r>
        <w:rPr>
          <w:color w:val="auto"/>
        </w:rPr>
        <w:fldChar w:fldCharType="separate"/>
      </w:r>
      <w:r>
        <w:rPr>
          <w:rFonts w:hint="eastAsia"/>
          <w:color w:val="auto"/>
        </w:rPr>
        <w:t>投标人须知前附表</w:t>
      </w:r>
      <w:r>
        <w:rPr>
          <w:color w:val="auto"/>
        </w:rPr>
        <w:tab/>
      </w:r>
      <w:r>
        <w:rPr>
          <w:color w:val="auto"/>
        </w:rPr>
        <w:fldChar w:fldCharType="begin"/>
      </w:r>
      <w:r>
        <w:rPr>
          <w:color w:val="auto"/>
        </w:rPr>
        <w:instrText xml:space="preserve"> PAGEREF _Toc26404 \h </w:instrText>
      </w:r>
      <w:r>
        <w:rPr>
          <w:color w:val="auto"/>
        </w:rPr>
        <w:fldChar w:fldCharType="separate"/>
      </w:r>
      <w:r>
        <w:rPr>
          <w:color w:val="auto"/>
        </w:rPr>
        <w:t>17</w:t>
      </w:r>
      <w:r>
        <w:rPr>
          <w:color w:val="auto"/>
        </w:rPr>
        <w:fldChar w:fldCharType="end"/>
      </w:r>
      <w:r>
        <w:rPr>
          <w:color w:val="auto"/>
        </w:rPr>
        <w:fldChar w:fldCharType="end"/>
      </w:r>
    </w:p>
    <w:p w14:paraId="76212FB2">
      <w:pPr>
        <w:pStyle w:val="16"/>
        <w:tabs>
          <w:tab w:val="right" w:leader="dot" w:pos="8306"/>
        </w:tabs>
        <w:rPr>
          <w:color w:val="auto"/>
        </w:rPr>
      </w:pPr>
      <w:r>
        <w:rPr>
          <w:color w:val="auto"/>
        </w:rPr>
        <w:fldChar w:fldCharType="begin"/>
      </w:r>
      <w:r>
        <w:rPr>
          <w:color w:val="auto"/>
        </w:rPr>
        <w:instrText xml:space="preserve"> HYPERLINK \l _Toc28514 </w:instrText>
      </w:r>
      <w:r>
        <w:rPr>
          <w:color w:val="auto"/>
        </w:rPr>
        <w:fldChar w:fldCharType="separate"/>
      </w:r>
      <w:r>
        <w:rPr>
          <w:rFonts w:hint="eastAsia"/>
          <w:color w:val="auto"/>
          <w:lang w:val="zh-CN"/>
        </w:rPr>
        <w:t>1 总则</w:t>
      </w:r>
      <w:r>
        <w:rPr>
          <w:color w:val="auto"/>
        </w:rPr>
        <w:tab/>
      </w:r>
      <w:r>
        <w:rPr>
          <w:color w:val="auto"/>
        </w:rPr>
        <w:fldChar w:fldCharType="begin"/>
      </w:r>
      <w:r>
        <w:rPr>
          <w:color w:val="auto"/>
        </w:rPr>
        <w:instrText xml:space="preserve"> PAGEREF _Toc28514 \h </w:instrText>
      </w:r>
      <w:r>
        <w:rPr>
          <w:color w:val="auto"/>
        </w:rPr>
        <w:fldChar w:fldCharType="separate"/>
      </w:r>
      <w:r>
        <w:rPr>
          <w:color w:val="auto"/>
        </w:rPr>
        <w:t>20</w:t>
      </w:r>
      <w:r>
        <w:rPr>
          <w:color w:val="auto"/>
        </w:rPr>
        <w:fldChar w:fldCharType="end"/>
      </w:r>
      <w:r>
        <w:rPr>
          <w:color w:val="auto"/>
        </w:rPr>
        <w:fldChar w:fldCharType="end"/>
      </w:r>
    </w:p>
    <w:p w14:paraId="595D90BF">
      <w:pPr>
        <w:pStyle w:val="16"/>
        <w:tabs>
          <w:tab w:val="right" w:leader="dot" w:pos="8306"/>
        </w:tabs>
        <w:rPr>
          <w:color w:val="auto"/>
        </w:rPr>
      </w:pPr>
      <w:r>
        <w:rPr>
          <w:color w:val="auto"/>
        </w:rPr>
        <w:fldChar w:fldCharType="begin"/>
      </w:r>
      <w:r>
        <w:rPr>
          <w:color w:val="auto"/>
        </w:rPr>
        <w:instrText xml:space="preserve"> HYPERLINK \l _Toc32102 </w:instrText>
      </w:r>
      <w:r>
        <w:rPr>
          <w:color w:val="auto"/>
        </w:rPr>
        <w:fldChar w:fldCharType="separate"/>
      </w:r>
      <w:r>
        <w:rPr>
          <w:rFonts w:hint="eastAsia"/>
          <w:color w:val="auto"/>
          <w:lang w:val="zh-CN"/>
        </w:rPr>
        <w:t>2 招标文件</w:t>
      </w:r>
      <w:r>
        <w:rPr>
          <w:color w:val="auto"/>
        </w:rPr>
        <w:tab/>
      </w:r>
      <w:r>
        <w:rPr>
          <w:color w:val="auto"/>
        </w:rPr>
        <w:fldChar w:fldCharType="begin"/>
      </w:r>
      <w:r>
        <w:rPr>
          <w:color w:val="auto"/>
        </w:rPr>
        <w:instrText xml:space="preserve"> PAGEREF _Toc32102 \h </w:instrText>
      </w:r>
      <w:r>
        <w:rPr>
          <w:color w:val="auto"/>
        </w:rPr>
        <w:fldChar w:fldCharType="separate"/>
      </w:r>
      <w:r>
        <w:rPr>
          <w:color w:val="auto"/>
        </w:rPr>
        <w:t>23</w:t>
      </w:r>
      <w:r>
        <w:rPr>
          <w:color w:val="auto"/>
        </w:rPr>
        <w:fldChar w:fldCharType="end"/>
      </w:r>
      <w:r>
        <w:rPr>
          <w:color w:val="auto"/>
        </w:rPr>
        <w:fldChar w:fldCharType="end"/>
      </w:r>
    </w:p>
    <w:p w14:paraId="1A80DF98">
      <w:pPr>
        <w:pStyle w:val="16"/>
        <w:tabs>
          <w:tab w:val="right" w:leader="dot" w:pos="8306"/>
        </w:tabs>
        <w:rPr>
          <w:color w:val="auto"/>
        </w:rPr>
      </w:pPr>
      <w:r>
        <w:rPr>
          <w:color w:val="auto"/>
        </w:rPr>
        <w:fldChar w:fldCharType="begin"/>
      </w:r>
      <w:r>
        <w:rPr>
          <w:color w:val="auto"/>
        </w:rPr>
        <w:instrText xml:space="preserve"> HYPERLINK \l _Toc7570 </w:instrText>
      </w:r>
      <w:r>
        <w:rPr>
          <w:color w:val="auto"/>
        </w:rPr>
        <w:fldChar w:fldCharType="separate"/>
      </w:r>
      <w:r>
        <w:rPr>
          <w:rFonts w:hint="eastAsia"/>
          <w:color w:val="auto"/>
          <w:lang w:val="zh-CN"/>
        </w:rPr>
        <w:t>3 投标文件</w:t>
      </w:r>
      <w:r>
        <w:rPr>
          <w:color w:val="auto"/>
        </w:rPr>
        <w:tab/>
      </w:r>
      <w:r>
        <w:rPr>
          <w:color w:val="auto"/>
        </w:rPr>
        <w:fldChar w:fldCharType="begin"/>
      </w:r>
      <w:r>
        <w:rPr>
          <w:color w:val="auto"/>
        </w:rPr>
        <w:instrText xml:space="preserve"> PAGEREF _Toc7570 \h </w:instrText>
      </w:r>
      <w:r>
        <w:rPr>
          <w:color w:val="auto"/>
        </w:rPr>
        <w:fldChar w:fldCharType="separate"/>
      </w:r>
      <w:r>
        <w:rPr>
          <w:color w:val="auto"/>
        </w:rPr>
        <w:t>24</w:t>
      </w:r>
      <w:r>
        <w:rPr>
          <w:color w:val="auto"/>
        </w:rPr>
        <w:fldChar w:fldCharType="end"/>
      </w:r>
      <w:r>
        <w:rPr>
          <w:color w:val="auto"/>
        </w:rPr>
        <w:fldChar w:fldCharType="end"/>
      </w:r>
    </w:p>
    <w:p w14:paraId="402D6BF6">
      <w:pPr>
        <w:pStyle w:val="16"/>
        <w:tabs>
          <w:tab w:val="right" w:leader="dot" w:pos="8306"/>
        </w:tabs>
        <w:rPr>
          <w:color w:val="auto"/>
        </w:rPr>
      </w:pPr>
      <w:r>
        <w:rPr>
          <w:color w:val="auto"/>
        </w:rPr>
        <w:fldChar w:fldCharType="begin"/>
      </w:r>
      <w:r>
        <w:rPr>
          <w:color w:val="auto"/>
        </w:rPr>
        <w:instrText xml:space="preserve"> HYPERLINK \l _Toc25362 </w:instrText>
      </w:r>
      <w:r>
        <w:rPr>
          <w:color w:val="auto"/>
        </w:rPr>
        <w:fldChar w:fldCharType="separate"/>
      </w:r>
      <w:r>
        <w:rPr>
          <w:rFonts w:hint="eastAsia"/>
          <w:color w:val="auto"/>
          <w:lang w:val="zh-CN"/>
        </w:rPr>
        <w:t>4 投标</w:t>
      </w:r>
      <w:r>
        <w:rPr>
          <w:color w:val="auto"/>
        </w:rPr>
        <w:tab/>
      </w:r>
      <w:r>
        <w:rPr>
          <w:color w:val="auto"/>
        </w:rPr>
        <w:fldChar w:fldCharType="begin"/>
      </w:r>
      <w:r>
        <w:rPr>
          <w:color w:val="auto"/>
        </w:rPr>
        <w:instrText xml:space="preserve"> PAGEREF _Toc25362 \h </w:instrText>
      </w:r>
      <w:r>
        <w:rPr>
          <w:color w:val="auto"/>
        </w:rPr>
        <w:fldChar w:fldCharType="separate"/>
      </w:r>
      <w:r>
        <w:rPr>
          <w:color w:val="auto"/>
        </w:rPr>
        <w:t>28</w:t>
      </w:r>
      <w:r>
        <w:rPr>
          <w:color w:val="auto"/>
        </w:rPr>
        <w:fldChar w:fldCharType="end"/>
      </w:r>
      <w:r>
        <w:rPr>
          <w:color w:val="auto"/>
        </w:rPr>
        <w:fldChar w:fldCharType="end"/>
      </w:r>
    </w:p>
    <w:p w14:paraId="2D951534">
      <w:pPr>
        <w:pStyle w:val="16"/>
        <w:tabs>
          <w:tab w:val="right" w:leader="dot" w:pos="8306"/>
        </w:tabs>
        <w:rPr>
          <w:color w:val="auto"/>
        </w:rPr>
      </w:pPr>
      <w:r>
        <w:rPr>
          <w:color w:val="auto"/>
        </w:rPr>
        <w:fldChar w:fldCharType="begin"/>
      </w:r>
      <w:r>
        <w:rPr>
          <w:color w:val="auto"/>
        </w:rPr>
        <w:instrText xml:space="preserve"> HYPERLINK \l _Toc21110 </w:instrText>
      </w:r>
      <w:r>
        <w:rPr>
          <w:color w:val="auto"/>
        </w:rPr>
        <w:fldChar w:fldCharType="separate"/>
      </w:r>
      <w:r>
        <w:rPr>
          <w:rFonts w:hint="eastAsia"/>
          <w:color w:val="auto"/>
          <w:lang w:val="zh-CN"/>
        </w:rPr>
        <w:t>5 开标</w:t>
      </w:r>
      <w:r>
        <w:rPr>
          <w:color w:val="auto"/>
        </w:rPr>
        <w:tab/>
      </w:r>
      <w:r>
        <w:rPr>
          <w:color w:val="auto"/>
        </w:rPr>
        <w:fldChar w:fldCharType="begin"/>
      </w:r>
      <w:r>
        <w:rPr>
          <w:color w:val="auto"/>
        </w:rPr>
        <w:instrText xml:space="preserve"> PAGEREF _Toc21110 \h </w:instrText>
      </w:r>
      <w:r>
        <w:rPr>
          <w:color w:val="auto"/>
        </w:rPr>
        <w:fldChar w:fldCharType="separate"/>
      </w:r>
      <w:r>
        <w:rPr>
          <w:color w:val="auto"/>
        </w:rPr>
        <w:t>29</w:t>
      </w:r>
      <w:r>
        <w:rPr>
          <w:color w:val="auto"/>
        </w:rPr>
        <w:fldChar w:fldCharType="end"/>
      </w:r>
      <w:r>
        <w:rPr>
          <w:color w:val="auto"/>
        </w:rPr>
        <w:fldChar w:fldCharType="end"/>
      </w:r>
    </w:p>
    <w:p w14:paraId="28AA0ECC">
      <w:pPr>
        <w:pStyle w:val="16"/>
        <w:tabs>
          <w:tab w:val="right" w:leader="dot" w:pos="8306"/>
        </w:tabs>
        <w:rPr>
          <w:color w:val="auto"/>
        </w:rPr>
      </w:pPr>
      <w:r>
        <w:rPr>
          <w:color w:val="auto"/>
        </w:rPr>
        <w:fldChar w:fldCharType="begin"/>
      </w:r>
      <w:r>
        <w:rPr>
          <w:color w:val="auto"/>
        </w:rPr>
        <w:instrText xml:space="preserve"> HYPERLINK \l _Toc28364 </w:instrText>
      </w:r>
      <w:r>
        <w:rPr>
          <w:color w:val="auto"/>
        </w:rPr>
        <w:fldChar w:fldCharType="separate"/>
      </w:r>
      <w:r>
        <w:rPr>
          <w:rFonts w:hint="eastAsia"/>
          <w:color w:val="auto"/>
          <w:lang w:val="zh-CN"/>
        </w:rPr>
        <w:t>6 资格性审查</w:t>
      </w:r>
      <w:r>
        <w:rPr>
          <w:color w:val="auto"/>
        </w:rPr>
        <w:tab/>
      </w:r>
      <w:r>
        <w:rPr>
          <w:color w:val="auto"/>
        </w:rPr>
        <w:fldChar w:fldCharType="begin"/>
      </w:r>
      <w:r>
        <w:rPr>
          <w:color w:val="auto"/>
        </w:rPr>
        <w:instrText xml:space="preserve"> PAGEREF _Toc28364 \h </w:instrText>
      </w:r>
      <w:r>
        <w:rPr>
          <w:color w:val="auto"/>
        </w:rPr>
        <w:fldChar w:fldCharType="separate"/>
      </w:r>
      <w:r>
        <w:rPr>
          <w:color w:val="auto"/>
        </w:rPr>
        <w:t>30</w:t>
      </w:r>
      <w:r>
        <w:rPr>
          <w:color w:val="auto"/>
        </w:rPr>
        <w:fldChar w:fldCharType="end"/>
      </w:r>
      <w:r>
        <w:rPr>
          <w:color w:val="auto"/>
        </w:rPr>
        <w:fldChar w:fldCharType="end"/>
      </w:r>
    </w:p>
    <w:p w14:paraId="71D33D8C">
      <w:pPr>
        <w:pStyle w:val="16"/>
        <w:tabs>
          <w:tab w:val="right" w:leader="dot" w:pos="8306"/>
        </w:tabs>
        <w:rPr>
          <w:color w:val="auto"/>
        </w:rPr>
      </w:pPr>
      <w:r>
        <w:rPr>
          <w:color w:val="auto"/>
        </w:rPr>
        <w:fldChar w:fldCharType="begin"/>
      </w:r>
      <w:r>
        <w:rPr>
          <w:color w:val="auto"/>
        </w:rPr>
        <w:instrText xml:space="preserve"> HYPERLINK \l _Toc7095 </w:instrText>
      </w:r>
      <w:r>
        <w:rPr>
          <w:color w:val="auto"/>
        </w:rPr>
        <w:fldChar w:fldCharType="separate"/>
      </w:r>
      <w:r>
        <w:rPr>
          <w:rFonts w:hint="eastAsia"/>
          <w:color w:val="auto"/>
          <w:lang w:val="zh-CN"/>
        </w:rPr>
        <w:t>7 评审</w:t>
      </w:r>
      <w:r>
        <w:rPr>
          <w:color w:val="auto"/>
        </w:rPr>
        <w:tab/>
      </w:r>
      <w:r>
        <w:rPr>
          <w:color w:val="auto"/>
        </w:rPr>
        <w:fldChar w:fldCharType="begin"/>
      </w:r>
      <w:r>
        <w:rPr>
          <w:color w:val="auto"/>
        </w:rPr>
        <w:instrText xml:space="preserve"> PAGEREF _Toc7095 \h </w:instrText>
      </w:r>
      <w:r>
        <w:rPr>
          <w:color w:val="auto"/>
        </w:rPr>
        <w:fldChar w:fldCharType="separate"/>
      </w:r>
      <w:r>
        <w:rPr>
          <w:color w:val="auto"/>
        </w:rPr>
        <w:t>30</w:t>
      </w:r>
      <w:r>
        <w:rPr>
          <w:color w:val="auto"/>
        </w:rPr>
        <w:fldChar w:fldCharType="end"/>
      </w:r>
      <w:r>
        <w:rPr>
          <w:color w:val="auto"/>
        </w:rPr>
        <w:fldChar w:fldCharType="end"/>
      </w:r>
    </w:p>
    <w:p w14:paraId="120D19D3">
      <w:pPr>
        <w:pStyle w:val="16"/>
        <w:tabs>
          <w:tab w:val="right" w:leader="dot" w:pos="8306"/>
        </w:tabs>
        <w:rPr>
          <w:color w:val="auto"/>
        </w:rPr>
      </w:pPr>
      <w:r>
        <w:rPr>
          <w:color w:val="auto"/>
        </w:rPr>
        <w:fldChar w:fldCharType="begin"/>
      </w:r>
      <w:r>
        <w:rPr>
          <w:color w:val="auto"/>
        </w:rPr>
        <w:instrText xml:space="preserve"> HYPERLINK \l _Toc2788 </w:instrText>
      </w:r>
      <w:r>
        <w:rPr>
          <w:color w:val="auto"/>
        </w:rPr>
        <w:fldChar w:fldCharType="separate"/>
      </w:r>
      <w:r>
        <w:rPr>
          <w:rFonts w:hint="eastAsia"/>
          <w:color w:val="auto"/>
          <w:lang w:val="zh-CN"/>
        </w:rPr>
        <w:t>8 授予合同</w:t>
      </w:r>
      <w:r>
        <w:rPr>
          <w:color w:val="auto"/>
        </w:rPr>
        <w:tab/>
      </w:r>
      <w:r>
        <w:rPr>
          <w:color w:val="auto"/>
        </w:rPr>
        <w:fldChar w:fldCharType="begin"/>
      </w:r>
      <w:r>
        <w:rPr>
          <w:color w:val="auto"/>
        </w:rPr>
        <w:instrText xml:space="preserve"> PAGEREF _Toc2788 \h </w:instrText>
      </w:r>
      <w:r>
        <w:rPr>
          <w:color w:val="auto"/>
        </w:rPr>
        <w:fldChar w:fldCharType="separate"/>
      </w:r>
      <w:r>
        <w:rPr>
          <w:color w:val="auto"/>
        </w:rPr>
        <w:t>31</w:t>
      </w:r>
      <w:r>
        <w:rPr>
          <w:color w:val="auto"/>
        </w:rPr>
        <w:fldChar w:fldCharType="end"/>
      </w:r>
      <w:r>
        <w:rPr>
          <w:color w:val="auto"/>
        </w:rPr>
        <w:fldChar w:fldCharType="end"/>
      </w:r>
    </w:p>
    <w:p w14:paraId="05D266A6">
      <w:pPr>
        <w:pStyle w:val="16"/>
        <w:tabs>
          <w:tab w:val="right" w:leader="dot" w:pos="8306"/>
        </w:tabs>
        <w:rPr>
          <w:color w:val="auto"/>
        </w:rPr>
      </w:pPr>
      <w:r>
        <w:rPr>
          <w:color w:val="auto"/>
        </w:rPr>
        <w:fldChar w:fldCharType="begin"/>
      </w:r>
      <w:r>
        <w:rPr>
          <w:color w:val="auto"/>
        </w:rPr>
        <w:instrText xml:space="preserve"> HYPERLINK \l _Toc10371 </w:instrText>
      </w:r>
      <w:r>
        <w:rPr>
          <w:color w:val="auto"/>
        </w:rPr>
        <w:fldChar w:fldCharType="separate"/>
      </w:r>
      <w:r>
        <w:rPr>
          <w:rFonts w:hint="eastAsia"/>
          <w:color w:val="auto"/>
          <w:lang w:val="zh-CN"/>
        </w:rPr>
        <w:t>9 验收</w:t>
      </w:r>
      <w:r>
        <w:rPr>
          <w:color w:val="auto"/>
        </w:rPr>
        <w:tab/>
      </w:r>
      <w:r>
        <w:rPr>
          <w:color w:val="auto"/>
        </w:rPr>
        <w:fldChar w:fldCharType="begin"/>
      </w:r>
      <w:r>
        <w:rPr>
          <w:color w:val="auto"/>
        </w:rPr>
        <w:instrText xml:space="preserve"> PAGEREF _Toc10371 \h </w:instrText>
      </w:r>
      <w:r>
        <w:rPr>
          <w:color w:val="auto"/>
        </w:rPr>
        <w:fldChar w:fldCharType="separate"/>
      </w:r>
      <w:r>
        <w:rPr>
          <w:color w:val="auto"/>
        </w:rPr>
        <w:t>33</w:t>
      </w:r>
      <w:r>
        <w:rPr>
          <w:color w:val="auto"/>
        </w:rPr>
        <w:fldChar w:fldCharType="end"/>
      </w:r>
      <w:r>
        <w:rPr>
          <w:color w:val="auto"/>
        </w:rPr>
        <w:fldChar w:fldCharType="end"/>
      </w:r>
    </w:p>
    <w:p w14:paraId="34EC6D0E">
      <w:pPr>
        <w:pStyle w:val="16"/>
        <w:tabs>
          <w:tab w:val="right" w:leader="dot" w:pos="8306"/>
        </w:tabs>
        <w:rPr>
          <w:color w:val="auto"/>
        </w:rPr>
      </w:pPr>
      <w:r>
        <w:rPr>
          <w:color w:val="auto"/>
        </w:rPr>
        <w:fldChar w:fldCharType="begin"/>
      </w:r>
      <w:r>
        <w:rPr>
          <w:color w:val="auto"/>
        </w:rPr>
        <w:instrText xml:space="preserve"> HYPERLINK \l _Toc26472 </w:instrText>
      </w:r>
      <w:r>
        <w:rPr>
          <w:color w:val="auto"/>
        </w:rPr>
        <w:fldChar w:fldCharType="separate"/>
      </w:r>
      <w:r>
        <w:rPr>
          <w:rFonts w:hint="eastAsia"/>
          <w:color w:val="auto"/>
          <w:lang w:val="zh-CN"/>
        </w:rPr>
        <w:t>10 付款</w:t>
      </w:r>
      <w:r>
        <w:rPr>
          <w:color w:val="auto"/>
        </w:rPr>
        <w:tab/>
      </w:r>
      <w:r>
        <w:rPr>
          <w:color w:val="auto"/>
        </w:rPr>
        <w:fldChar w:fldCharType="begin"/>
      </w:r>
      <w:r>
        <w:rPr>
          <w:color w:val="auto"/>
        </w:rPr>
        <w:instrText xml:space="preserve"> PAGEREF _Toc26472 \h </w:instrText>
      </w:r>
      <w:r>
        <w:rPr>
          <w:color w:val="auto"/>
        </w:rPr>
        <w:fldChar w:fldCharType="separate"/>
      </w:r>
      <w:r>
        <w:rPr>
          <w:color w:val="auto"/>
        </w:rPr>
        <w:t>34</w:t>
      </w:r>
      <w:r>
        <w:rPr>
          <w:color w:val="auto"/>
        </w:rPr>
        <w:fldChar w:fldCharType="end"/>
      </w:r>
      <w:r>
        <w:rPr>
          <w:color w:val="auto"/>
        </w:rPr>
        <w:fldChar w:fldCharType="end"/>
      </w:r>
    </w:p>
    <w:p w14:paraId="72E29BC4">
      <w:pPr>
        <w:pStyle w:val="16"/>
        <w:tabs>
          <w:tab w:val="right" w:leader="dot" w:pos="8306"/>
        </w:tabs>
        <w:rPr>
          <w:color w:val="auto"/>
        </w:rPr>
      </w:pPr>
      <w:r>
        <w:rPr>
          <w:color w:val="auto"/>
        </w:rPr>
        <w:fldChar w:fldCharType="begin"/>
      </w:r>
      <w:r>
        <w:rPr>
          <w:color w:val="auto"/>
        </w:rPr>
        <w:instrText xml:space="preserve"> HYPERLINK \l _Toc6112 </w:instrText>
      </w:r>
      <w:r>
        <w:rPr>
          <w:color w:val="auto"/>
        </w:rPr>
        <w:fldChar w:fldCharType="separate"/>
      </w:r>
      <w:r>
        <w:rPr>
          <w:rFonts w:hint="eastAsia"/>
          <w:color w:val="auto"/>
          <w:lang w:val="zh-CN"/>
        </w:rPr>
        <w:t>11 其他</w:t>
      </w:r>
      <w:r>
        <w:rPr>
          <w:color w:val="auto"/>
        </w:rPr>
        <w:tab/>
      </w:r>
      <w:r>
        <w:rPr>
          <w:color w:val="auto"/>
        </w:rPr>
        <w:fldChar w:fldCharType="begin"/>
      </w:r>
      <w:r>
        <w:rPr>
          <w:color w:val="auto"/>
        </w:rPr>
        <w:instrText xml:space="preserve"> PAGEREF _Toc6112 \h </w:instrText>
      </w:r>
      <w:r>
        <w:rPr>
          <w:color w:val="auto"/>
        </w:rPr>
        <w:fldChar w:fldCharType="separate"/>
      </w:r>
      <w:r>
        <w:rPr>
          <w:color w:val="auto"/>
        </w:rPr>
        <w:t>34</w:t>
      </w:r>
      <w:r>
        <w:rPr>
          <w:color w:val="auto"/>
        </w:rPr>
        <w:fldChar w:fldCharType="end"/>
      </w:r>
      <w:r>
        <w:rPr>
          <w:color w:val="auto"/>
        </w:rPr>
        <w:fldChar w:fldCharType="end"/>
      </w:r>
    </w:p>
    <w:p w14:paraId="47AD6CFE">
      <w:pPr>
        <w:pStyle w:val="16"/>
        <w:tabs>
          <w:tab w:val="right" w:leader="dot" w:pos="8306"/>
        </w:tabs>
        <w:rPr>
          <w:color w:val="auto"/>
        </w:rPr>
      </w:pPr>
      <w:r>
        <w:rPr>
          <w:color w:val="auto"/>
        </w:rPr>
        <w:fldChar w:fldCharType="begin"/>
      </w:r>
      <w:r>
        <w:rPr>
          <w:color w:val="auto"/>
        </w:rPr>
        <w:instrText xml:space="preserve"> HYPERLINK \l _Toc25004 </w:instrText>
      </w:r>
      <w:r>
        <w:rPr>
          <w:color w:val="auto"/>
        </w:rPr>
        <w:fldChar w:fldCharType="separate"/>
      </w:r>
      <w:r>
        <w:rPr>
          <w:rFonts w:hint="eastAsia"/>
          <w:color w:val="auto"/>
          <w:lang w:val="zh-CN"/>
        </w:rPr>
        <w:t>12 河南省政府采购合同融资政策告知函</w:t>
      </w:r>
      <w:r>
        <w:rPr>
          <w:color w:val="auto"/>
        </w:rPr>
        <w:tab/>
      </w:r>
      <w:r>
        <w:rPr>
          <w:color w:val="auto"/>
        </w:rPr>
        <w:fldChar w:fldCharType="begin"/>
      </w:r>
      <w:r>
        <w:rPr>
          <w:color w:val="auto"/>
        </w:rPr>
        <w:instrText xml:space="preserve"> PAGEREF _Toc25004 \h </w:instrText>
      </w:r>
      <w:r>
        <w:rPr>
          <w:color w:val="auto"/>
        </w:rPr>
        <w:fldChar w:fldCharType="separate"/>
      </w:r>
      <w:r>
        <w:rPr>
          <w:color w:val="auto"/>
        </w:rPr>
        <w:t>34</w:t>
      </w:r>
      <w:r>
        <w:rPr>
          <w:color w:val="auto"/>
        </w:rPr>
        <w:fldChar w:fldCharType="end"/>
      </w:r>
      <w:r>
        <w:rPr>
          <w:color w:val="auto"/>
        </w:rPr>
        <w:fldChar w:fldCharType="end"/>
      </w:r>
    </w:p>
    <w:p w14:paraId="7C515A22">
      <w:pPr>
        <w:pStyle w:val="15"/>
        <w:tabs>
          <w:tab w:val="right" w:leader="dot" w:pos="8306"/>
        </w:tabs>
        <w:rPr>
          <w:color w:val="auto"/>
        </w:rPr>
      </w:pPr>
      <w:r>
        <w:rPr>
          <w:color w:val="auto"/>
        </w:rPr>
        <w:fldChar w:fldCharType="begin"/>
      </w:r>
      <w:r>
        <w:rPr>
          <w:color w:val="auto"/>
        </w:rPr>
        <w:instrText xml:space="preserve"> HYPERLINK \l _Toc19097 </w:instrText>
      </w:r>
      <w:r>
        <w:rPr>
          <w:color w:val="auto"/>
        </w:rPr>
        <w:fldChar w:fldCharType="separate"/>
      </w:r>
      <w:r>
        <w:rPr>
          <w:rFonts w:hint="eastAsia"/>
          <w:color w:val="auto"/>
          <w:lang w:val="zh-CN"/>
        </w:rPr>
        <w:t>第四章  评标办法（综合评分法）</w:t>
      </w:r>
      <w:r>
        <w:rPr>
          <w:color w:val="auto"/>
        </w:rPr>
        <w:tab/>
      </w:r>
      <w:r>
        <w:rPr>
          <w:color w:val="auto"/>
        </w:rPr>
        <w:fldChar w:fldCharType="begin"/>
      </w:r>
      <w:r>
        <w:rPr>
          <w:color w:val="auto"/>
        </w:rPr>
        <w:instrText xml:space="preserve"> PAGEREF _Toc19097 \h </w:instrText>
      </w:r>
      <w:r>
        <w:rPr>
          <w:color w:val="auto"/>
        </w:rPr>
        <w:fldChar w:fldCharType="separate"/>
      </w:r>
      <w:r>
        <w:rPr>
          <w:color w:val="auto"/>
        </w:rPr>
        <w:t>35</w:t>
      </w:r>
      <w:r>
        <w:rPr>
          <w:color w:val="auto"/>
        </w:rPr>
        <w:fldChar w:fldCharType="end"/>
      </w:r>
      <w:r>
        <w:rPr>
          <w:color w:val="auto"/>
        </w:rPr>
        <w:fldChar w:fldCharType="end"/>
      </w:r>
    </w:p>
    <w:p w14:paraId="4F8E1853">
      <w:pPr>
        <w:pStyle w:val="16"/>
        <w:tabs>
          <w:tab w:val="right" w:leader="dot" w:pos="8306"/>
        </w:tabs>
        <w:rPr>
          <w:color w:val="auto"/>
        </w:rPr>
      </w:pPr>
      <w:r>
        <w:rPr>
          <w:color w:val="auto"/>
        </w:rPr>
        <w:fldChar w:fldCharType="begin"/>
      </w:r>
      <w:r>
        <w:rPr>
          <w:color w:val="auto"/>
        </w:rPr>
        <w:instrText xml:space="preserve"> HYPERLINK \l _Toc29970 </w:instrText>
      </w:r>
      <w:r>
        <w:rPr>
          <w:color w:val="auto"/>
        </w:rPr>
        <w:fldChar w:fldCharType="separate"/>
      </w:r>
      <w:r>
        <w:rPr>
          <w:rFonts w:hint="eastAsia"/>
          <w:color w:val="auto"/>
        </w:rPr>
        <w:t>评标办法前附表</w:t>
      </w:r>
      <w:r>
        <w:rPr>
          <w:color w:val="auto"/>
        </w:rPr>
        <w:tab/>
      </w:r>
      <w:r>
        <w:rPr>
          <w:color w:val="auto"/>
        </w:rPr>
        <w:fldChar w:fldCharType="begin"/>
      </w:r>
      <w:r>
        <w:rPr>
          <w:color w:val="auto"/>
        </w:rPr>
        <w:instrText xml:space="preserve"> PAGEREF _Toc29970 \h </w:instrText>
      </w:r>
      <w:r>
        <w:rPr>
          <w:color w:val="auto"/>
        </w:rPr>
        <w:fldChar w:fldCharType="separate"/>
      </w:r>
      <w:r>
        <w:rPr>
          <w:color w:val="auto"/>
        </w:rPr>
        <w:t>35</w:t>
      </w:r>
      <w:r>
        <w:rPr>
          <w:color w:val="auto"/>
        </w:rPr>
        <w:fldChar w:fldCharType="end"/>
      </w:r>
      <w:r>
        <w:rPr>
          <w:color w:val="auto"/>
        </w:rPr>
        <w:fldChar w:fldCharType="end"/>
      </w:r>
    </w:p>
    <w:p w14:paraId="3E4E49BE">
      <w:pPr>
        <w:pStyle w:val="16"/>
        <w:tabs>
          <w:tab w:val="right" w:leader="dot" w:pos="8306"/>
        </w:tabs>
        <w:rPr>
          <w:color w:val="auto"/>
        </w:rPr>
      </w:pPr>
      <w:r>
        <w:rPr>
          <w:color w:val="auto"/>
        </w:rPr>
        <w:fldChar w:fldCharType="begin"/>
      </w:r>
      <w:r>
        <w:rPr>
          <w:color w:val="auto"/>
        </w:rPr>
        <w:instrText xml:space="preserve"> HYPERLINK \l _Toc23898 </w:instrText>
      </w:r>
      <w:r>
        <w:rPr>
          <w:color w:val="auto"/>
        </w:rPr>
        <w:fldChar w:fldCharType="separate"/>
      </w:r>
      <w:r>
        <w:rPr>
          <w:rFonts w:hint="eastAsia"/>
          <w:color w:val="auto"/>
        </w:rPr>
        <w:t>评标办法前附表------分值构成与评分标准</w:t>
      </w:r>
      <w:r>
        <w:rPr>
          <w:color w:val="auto"/>
        </w:rPr>
        <w:tab/>
      </w:r>
      <w:r>
        <w:rPr>
          <w:color w:val="auto"/>
        </w:rPr>
        <w:fldChar w:fldCharType="begin"/>
      </w:r>
      <w:r>
        <w:rPr>
          <w:color w:val="auto"/>
        </w:rPr>
        <w:instrText xml:space="preserve"> PAGEREF _Toc23898 \h </w:instrText>
      </w:r>
      <w:r>
        <w:rPr>
          <w:color w:val="auto"/>
        </w:rPr>
        <w:fldChar w:fldCharType="separate"/>
      </w:r>
      <w:r>
        <w:rPr>
          <w:color w:val="auto"/>
        </w:rPr>
        <w:t>36</w:t>
      </w:r>
      <w:r>
        <w:rPr>
          <w:color w:val="auto"/>
        </w:rPr>
        <w:fldChar w:fldCharType="end"/>
      </w:r>
      <w:r>
        <w:rPr>
          <w:color w:val="auto"/>
        </w:rPr>
        <w:fldChar w:fldCharType="end"/>
      </w:r>
    </w:p>
    <w:p w14:paraId="4082AF06">
      <w:pPr>
        <w:pStyle w:val="16"/>
        <w:tabs>
          <w:tab w:val="right" w:leader="dot" w:pos="8306"/>
        </w:tabs>
        <w:rPr>
          <w:color w:val="auto"/>
        </w:rPr>
      </w:pPr>
      <w:r>
        <w:rPr>
          <w:color w:val="auto"/>
        </w:rPr>
        <w:fldChar w:fldCharType="begin"/>
      </w:r>
      <w:r>
        <w:rPr>
          <w:color w:val="auto"/>
        </w:rPr>
        <w:instrText xml:space="preserve"> HYPERLINK \l _Toc26395 </w:instrText>
      </w:r>
      <w:r>
        <w:rPr>
          <w:color w:val="auto"/>
        </w:rPr>
        <w:fldChar w:fldCharType="separate"/>
      </w:r>
      <w:r>
        <w:rPr>
          <w:rFonts w:hint="eastAsia"/>
          <w:color w:val="auto"/>
          <w:lang w:val="zh-CN"/>
        </w:rPr>
        <w:t>1. 评标方法</w:t>
      </w:r>
      <w:r>
        <w:rPr>
          <w:color w:val="auto"/>
        </w:rPr>
        <w:tab/>
      </w:r>
      <w:r>
        <w:rPr>
          <w:color w:val="auto"/>
        </w:rPr>
        <w:fldChar w:fldCharType="begin"/>
      </w:r>
      <w:r>
        <w:rPr>
          <w:color w:val="auto"/>
        </w:rPr>
        <w:instrText xml:space="preserve"> PAGEREF _Toc26395 \h </w:instrText>
      </w:r>
      <w:r>
        <w:rPr>
          <w:color w:val="auto"/>
        </w:rPr>
        <w:fldChar w:fldCharType="separate"/>
      </w:r>
      <w:r>
        <w:rPr>
          <w:color w:val="auto"/>
        </w:rPr>
        <w:t>38</w:t>
      </w:r>
      <w:r>
        <w:rPr>
          <w:color w:val="auto"/>
        </w:rPr>
        <w:fldChar w:fldCharType="end"/>
      </w:r>
      <w:r>
        <w:rPr>
          <w:color w:val="auto"/>
        </w:rPr>
        <w:fldChar w:fldCharType="end"/>
      </w:r>
    </w:p>
    <w:p w14:paraId="2664E0CF">
      <w:pPr>
        <w:pStyle w:val="16"/>
        <w:tabs>
          <w:tab w:val="right" w:leader="dot" w:pos="8306"/>
        </w:tabs>
        <w:rPr>
          <w:color w:val="auto"/>
        </w:rPr>
      </w:pPr>
      <w:r>
        <w:rPr>
          <w:color w:val="auto"/>
        </w:rPr>
        <w:fldChar w:fldCharType="begin"/>
      </w:r>
      <w:r>
        <w:rPr>
          <w:color w:val="auto"/>
        </w:rPr>
        <w:instrText xml:space="preserve"> HYPERLINK \l _Toc21758 </w:instrText>
      </w:r>
      <w:r>
        <w:rPr>
          <w:color w:val="auto"/>
        </w:rPr>
        <w:fldChar w:fldCharType="separate"/>
      </w:r>
      <w:r>
        <w:rPr>
          <w:rFonts w:hint="eastAsia"/>
          <w:color w:val="auto"/>
          <w:lang w:val="zh-CN"/>
        </w:rPr>
        <w:t>2. 评标标准</w:t>
      </w:r>
      <w:r>
        <w:rPr>
          <w:color w:val="auto"/>
        </w:rPr>
        <w:tab/>
      </w:r>
      <w:r>
        <w:rPr>
          <w:color w:val="auto"/>
        </w:rPr>
        <w:fldChar w:fldCharType="begin"/>
      </w:r>
      <w:r>
        <w:rPr>
          <w:color w:val="auto"/>
        </w:rPr>
        <w:instrText xml:space="preserve"> PAGEREF _Toc21758 \h </w:instrText>
      </w:r>
      <w:r>
        <w:rPr>
          <w:color w:val="auto"/>
        </w:rPr>
        <w:fldChar w:fldCharType="separate"/>
      </w:r>
      <w:r>
        <w:rPr>
          <w:color w:val="auto"/>
        </w:rPr>
        <w:t>39</w:t>
      </w:r>
      <w:r>
        <w:rPr>
          <w:color w:val="auto"/>
        </w:rPr>
        <w:fldChar w:fldCharType="end"/>
      </w:r>
      <w:r>
        <w:rPr>
          <w:color w:val="auto"/>
        </w:rPr>
        <w:fldChar w:fldCharType="end"/>
      </w:r>
    </w:p>
    <w:p w14:paraId="32943DE5">
      <w:pPr>
        <w:pStyle w:val="16"/>
        <w:tabs>
          <w:tab w:val="right" w:leader="dot" w:pos="8306"/>
        </w:tabs>
        <w:rPr>
          <w:color w:val="auto"/>
        </w:rPr>
      </w:pPr>
      <w:r>
        <w:rPr>
          <w:color w:val="auto"/>
        </w:rPr>
        <w:fldChar w:fldCharType="begin"/>
      </w:r>
      <w:r>
        <w:rPr>
          <w:color w:val="auto"/>
        </w:rPr>
        <w:instrText xml:space="preserve"> HYPERLINK \l _Toc12557 </w:instrText>
      </w:r>
      <w:r>
        <w:rPr>
          <w:color w:val="auto"/>
        </w:rPr>
        <w:fldChar w:fldCharType="separate"/>
      </w:r>
      <w:r>
        <w:rPr>
          <w:rFonts w:hint="eastAsia"/>
          <w:color w:val="auto"/>
          <w:lang w:val="zh-CN"/>
        </w:rPr>
        <w:t>3. 评标程序</w:t>
      </w:r>
      <w:r>
        <w:rPr>
          <w:color w:val="auto"/>
        </w:rPr>
        <w:tab/>
      </w:r>
      <w:r>
        <w:rPr>
          <w:color w:val="auto"/>
        </w:rPr>
        <w:fldChar w:fldCharType="begin"/>
      </w:r>
      <w:r>
        <w:rPr>
          <w:color w:val="auto"/>
        </w:rPr>
        <w:instrText xml:space="preserve"> PAGEREF _Toc12557 \h </w:instrText>
      </w:r>
      <w:r>
        <w:rPr>
          <w:color w:val="auto"/>
        </w:rPr>
        <w:fldChar w:fldCharType="separate"/>
      </w:r>
      <w:r>
        <w:rPr>
          <w:color w:val="auto"/>
        </w:rPr>
        <w:t>39</w:t>
      </w:r>
      <w:r>
        <w:rPr>
          <w:color w:val="auto"/>
        </w:rPr>
        <w:fldChar w:fldCharType="end"/>
      </w:r>
      <w:r>
        <w:rPr>
          <w:color w:val="auto"/>
        </w:rPr>
        <w:fldChar w:fldCharType="end"/>
      </w:r>
    </w:p>
    <w:p w14:paraId="225E7C77">
      <w:pPr>
        <w:pStyle w:val="16"/>
        <w:tabs>
          <w:tab w:val="right" w:leader="dot" w:pos="8306"/>
        </w:tabs>
        <w:rPr>
          <w:color w:val="auto"/>
        </w:rPr>
      </w:pPr>
      <w:r>
        <w:rPr>
          <w:color w:val="auto"/>
        </w:rPr>
        <w:fldChar w:fldCharType="begin"/>
      </w:r>
      <w:r>
        <w:rPr>
          <w:color w:val="auto"/>
        </w:rPr>
        <w:instrText xml:space="preserve"> HYPERLINK \l _Toc5673 </w:instrText>
      </w:r>
      <w:r>
        <w:rPr>
          <w:color w:val="auto"/>
        </w:rPr>
        <w:fldChar w:fldCharType="separate"/>
      </w:r>
      <w:r>
        <w:rPr>
          <w:rFonts w:hint="eastAsia"/>
          <w:color w:val="auto"/>
          <w:lang w:val="zh-CN"/>
        </w:rPr>
        <w:t>4. 政府采购促进中小企业发展扶持政策</w:t>
      </w:r>
      <w:r>
        <w:rPr>
          <w:color w:val="auto"/>
        </w:rPr>
        <w:tab/>
      </w:r>
      <w:r>
        <w:rPr>
          <w:color w:val="auto"/>
        </w:rPr>
        <w:fldChar w:fldCharType="begin"/>
      </w:r>
      <w:r>
        <w:rPr>
          <w:color w:val="auto"/>
        </w:rPr>
        <w:instrText xml:space="preserve"> PAGEREF _Toc5673 \h </w:instrText>
      </w:r>
      <w:r>
        <w:rPr>
          <w:color w:val="auto"/>
        </w:rPr>
        <w:fldChar w:fldCharType="separate"/>
      </w:r>
      <w:r>
        <w:rPr>
          <w:color w:val="auto"/>
        </w:rPr>
        <w:t>44</w:t>
      </w:r>
      <w:r>
        <w:rPr>
          <w:color w:val="auto"/>
        </w:rPr>
        <w:fldChar w:fldCharType="end"/>
      </w:r>
      <w:r>
        <w:rPr>
          <w:color w:val="auto"/>
        </w:rPr>
        <w:fldChar w:fldCharType="end"/>
      </w:r>
    </w:p>
    <w:p w14:paraId="483DFF84">
      <w:pPr>
        <w:pStyle w:val="15"/>
        <w:tabs>
          <w:tab w:val="right" w:leader="dot" w:pos="8306"/>
        </w:tabs>
        <w:rPr>
          <w:color w:val="auto"/>
        </w:rPr>
      </w:pPr>
      <w:r>
        <w:rPr>
          <w:color w:val="auto"/>
        </w:rPr>
        <w:fldChar w:fldCharType="begin"/>
      </w:r>
      <w:r>
        <w:rPr>
          <w:color w:val="auto"/>
        </w:rPr>
        <w:instrText xml:space="preserve"> HYPERLINK \l _Toc31661 </w:instrText>
      </w:r>
      <w:r>
        <w:rPr>
          <w:color w:val="auto"/>
        </w:rPr>
        <w:fldChar w:fldCharType="separate"/>
      </w:r>
      <w:r>
        <w:rPr>
          <w:rFonts w:hint="eastAsia"/>
          <w:color w:val="auto"/>
        </w:rPr>
        <w:t>第五章  合同主要条款</w:t>
      </w:r>
      <w:r>
        <w:rPr>
          <w:color w:val="auto"/>
        </w:rPr>
        <w:tab/>
      </w:r>
      <w:r>
        <w:rPr>
          <w:color w:val="auto"/>
        </w:rPr>
        <w:fldChar w:fldCharType="begin"/>
      </w:r>
      <w:r>
        <w:rPr>
          <w:color w:val="auto"/>
        </w:rPr>
        <w:instrText xml:space="preserve"> PAGEREF _Toc31661 \h </w:instrText>
      </w:r>
      <w:r>
        <w:rPr>
          <w:color w:val="auto"/>
        </w:rPr>
        <w:fldChar w:fldCharType="separate"/>
      </w:r>
      <w:r>
        <w:rPr>
          <w:color w:val="auto"/>
        </w:rPr>
        <w:t>48</w:t>
      </w:r>
      <w:r>
        <w:rPr>
          <w:color w:val="auto"/>
        </w:rPr>
        <w:fldChar w:fldCharType="end"/>
      </w:r>
      <w:r>
        <w:rPr>
          <w:color w:val="auto"/>
        </w:rPr>
        <w:fldChar w:fldCharType="end"/>
      </w:r>
    </w:p>
    <w:p w14:paraId="53CCD99F">
      <w:pPr>
        <w:pStyle w:val="16"/>
        <w:tabs>
          <w:tab w:val="right" w:leader="dot" w:pos="8306"/>
        </w:tabs>
        <w:rPr>
          <w:color w:val="auto"/>
        </w:rPr>
      </w:pPr>
      <w:r>
        <w:rPr>
          <w:color w:val="auto"/>
        </w:rPr>
        <w:fldChar w:fldCharType="begin"/>
      </w:r>
      <w:r>
        <w:rPr>
          <w:color w:val="auto"/>
        </w:rPr>
        <w:instrText xml:space="preserve"> HYPERLINK \l _Toc19084 </w:instrText>
      </w:r>
      <w:r>
        <w:rPr>
          <w:color w:val="auto"/>
        </w:rPr>
        <w:fldChar w:fldCharType="separate"/>
      </w:r>
      <w:r>
        <w:rPr>
          <w:rFonts w:hint="eastAsia"/>
          <w:color w:val="auto"/>
        </w:rPr>
        <w:t>第一节 政府采购合同协议书</w:t>
      </w:r>
      <w:r>
        <w:rPr>
          <w:color w:val="auto"/>
        </w:rPr>
        <w:tab/>
      </w:r>
      <w:r>
        <w:rPr>
          <w:color w:val="auto"/>
        </w:rPr>
        <w:fldChar w:fldCharType="begin"/>
      </w:r>
      <w:r>
        <w:rPr>
          <w:color w:val="auto"/>
        </w:rPr>
        <w:instrText xml:space="preserve"> PAGEREF _Toc19084 \h </w:instrText>
      </w:r>
      <w:r>
        <w:rPr>
          <w:color w:val="auto"/>
        </w:rPr>
        <w:fldChar w:fldCharType="separate"/>
      </w:r>
      <w:r>
        <w:rPr>
          <w:color w:val="auto"/>
        </w:rPr>
        <w:t>50</w:t>
      </w:r>
      <w:r>
        <w:rPr>
          <w:color w:val="auto"/>
        </w:rPr>
        <w:fldChar w:fldCharType="end"/>
      </w:r>
      <w:r>
        <w:rPr>
          <w:color w:val="auto"/>
        </w:rPr>
        <w:fldChar w:fldCharType="end"/>
      </w:r>
    </w:p>
    <w:p w14:paraId="7E2A59DC">
      <w:pPr>
        <w:pStyle w:val="16"/>
        <w:tabs>
          <w:tab w:val="right" w:leader="dot" w:pos="8306"/>
        </w:tabs>
        <w:rPr>
          <w:color w:val="auto"/>
        </w:rPr>
      </w:pPr>
      <w:r>
        <w:rPr>
          <w:color w:val="auto"/>
        </w:rPr>
        <w:fldChar w:fldCharType="begin"/>
      </w:r>
      <w:r>
        <w:rPr>
          <w:color w:val="auto"/>
        </w:rPr>
        <w:instrText xml:space="preserve"> HYPERLINK \l _Toc26077 </w:instrText>
      </w:r>
      <w:r>
        <w:rPr>
          <w:color w:val="auto"/>
        </w:rPr>
        <w:fldChar w:fldCharType="separate"/>
      </w:r>
      <w:r>
        <w:rPr>
          <w:rFonts w:hint="eastAsia"/>
          <w:color w:val="auto"/>
        </w:rPr>
        <w:t>第二节 政府采购合同通用条款</w:t>
      </w:r>
      <w:r>
        <w:rPr>
          <w:color w:val="auto"/>
        </w:rPr>
        <w:tab/>
      </w:r>
      <w:r>
        <w:rPr>
          <w:color w:val="auto"/>
        </w:rPr>
        <w:fldChar w:fldCharType="begin"/>
      </w:r>
      <w:r>
        <w:rPr>
          <w:color w:val="auto"/>
        </w:rPr>
        <w:instrText xml:space="preserve"> PAGEREF _Toc26077 \h </w:instrText>
      </w:r>
      <w:r>
        <w:rPr>
          <w:color w:val="auto"/>
        </w:rPr>
        <w:fldChar w:fldCharType="separate"/>
      </w:r>
      <w:r>
        <w:rPr>
          <w:color w:val="auto"/>
        </w:rPr>
        <w:t>54</w:t>
      </w:r>
      <w:r>
        <w:rPr>
          <w:color w:val="auto"/>
        </w:rPr>
        <w:fldChar w:fldCharType="end"/>
      </w:r>
      <w:r>
        <w:rPr>
          <w:color w:val="auto"/>
        </w:rPr>
        <w:fldChar w:fldCharType="end"/>
      </w:r>
    </w:p>
    <w:p w14:paraId="6FDB39D0">
      <w:pPr>
        <w:pStyle w:val="16"/>
        <w:tabs>
          <w:tab w:val="right" w:leader="dot" w:pos="8306"/>
        </w:tabs>
        <w:rPr>
          <w:color w:val="auto"/>
        </w:rPr>
      </w:pPr>
      <w:r>
        <w:rPr>
          <w:color w:val="auto"/>
        </w:rPr>
        <w:fldChar w:fldCharType="begin"/>
      </w:r>
      <w:r>
        <w:rPr>
          <w:color w:val="auto"/>
        </w:rPr>
        <w:instrText xml:space="preserve"> HYPERLINK \l _Toc10643 </w:instrText>
      </w:r>
      <w:r>
        <w:rPr>
          <w:color w:val="auto"/>
        </w:rPr>
        <w:fldChar w:fldCharType="separate"/>
      </w:r>
      <w:r>
        <w:rPr>
          <w:rFonts w:hint="eastAsia"/>
          <w:color w:val="auto"/>
        </w:rPr>
        <w:t>第三节 政府采购合同专用条款</w:t>
      </w:r>
      <w:r>
        <w:rPr>
          <w:color w:val="auto"/>
        </w:rPr>
        <w:tab/>
      </w:r>
      <w:r>
        <w:rPr>
          <w:color w:val="auto"/>
        </w:rPr>
        <w:fldChar w:fldCharType="begin"/>
      </w:r>
      <w:r>
        <w:rPr>
          <w:color w:val="auto"/>
        </w:rPr>
        <w:instrText xml:space="preserve"> PAGEREF _Toc10643 \h </w:instrText>
      </w:r>
      <w:r>
        <w:rPr>
          <w:color w:val="auto"/>
        </w:rPr>
        <w:fldChar w:fldCharType="separate"/>
      </w:r>
      <w:r>
        <w:rPr>
          <w:color w:val="auto"/>
        </w:rPr>
        <w:t>62</w:t>
      </w:r>
      <w:r>
        <w:rPr>
          <w:color w:val="auto"/>
        </w:rPr>
        <w:fldChar w:fldCharType="end"/>
      </w:r>
      <w:r>
        <w:rPr>
          <w:color w:val="auto"/>
        </w:rPr>
        <w:fldChar w:fldCharType="end"/>
      </w:r>
    </w:p>
    <w:p w14:paraId="5654402C">
      <w:pPr>
        <w:pStyle w:val="15"/>
        <w:tabs>
          <w:tab w:val="right" w:leader="dot" w:pos="8306"/>
        </w:tabs>
        <w:rPr>
          <w:color w:val="auto"/>
        </w:rPr>
      </w:pPr>
      <w:r>
        <w:rPr>
          <w:color w:val="auto"/>
        </w:rPr>
        <w:fldChar w:fldCharType="begin"/>
      </w:r>
      <w:r>
        <w:rPr>
          <w:color w:val="auto"/>
        </w:rPr>
        <w:instrText xml:space="preserve"> HYPERLINK \l _Toc21793 </w:instrText>
      </w:r>
      <w:r>
        <w:rPr>
          <w:color w:val="auto"/>
        </w:rPr>
        <w:fldChar w:fldCharType="separate"/>
      </w:r>
      <w:r>
        <w:rPr>
          <w:rFonts w:hint="eastAsia"/>
          <w:color w:val="auto"/>
          <w:lang w:val="zh-CN"/>
        </w:rPr>
        <w:t>第六章  投标文件格式</w:t>
      </w:r>
      <w:r>
        <w:rPr>
          <w:color w:val="auto"/>
        </w:rPr>
        <w:tab/>
      </w:r>
      <w:r>
        <w:rPr>
          <w:color w:val="auto"/>
        </w:rPr>
        <w:fldChar w:fldCharType="begin"/>
      </w:r>
      <w:r>
        <w:rPr>
          <w:color w:val="auto"/>
        </w:rPr>
        <w:instrText xml:space="preserve"> PAGEREF _Toc21793 \h </w:instrText>
      </w:r>
      <w:r>
        <w:rPr>
          <w:color w:val="auto"/>
        </w:rPr>
        <w:fldChar w:fldCharType="separate"/>
      </w:r>
      <w:r>
        <w:rPr>
          <w:color w:val="auto"/>
        </w:rPr>
        <w:t>65</w:t>
      </w:r>
      <w:r>
        <w:rPr>
          <w:color w:val="auto"/>
        </w:rPr>
        <w:fldChar w:fldCharType="end"/>
      </w:r>
      <w:r>
        <w:rPr>
          <w:color w:val="auto"/>
        </w:rPr>
        <w:fldChar w:fldCharType="end"/>
      </w:r>
    </w:p>
    <w:p w14:paraId="0123E0FE">
      <w:pPr>
        <w:rPr>
          <w:color w:val="auto"/>
        </w:rPr>
      </w:pPr>
      <w:r>
        <w:rPr>
          <w:color w:val="auto"/>
        </w:rPr>
        <w:fldChar w:fldCharType="end"/>
      </w:r>
    </w:p>
    <w:p w14:paraId="631D2EE1">
      <w:pPr>
        <w:pStyle w:val="2"/>
        <w:pageBreakBefore w:val="0"/>
        <w:kinsoku/>
        <w:wordWrap/>
        <w:overflowPunct/>
        <w:topLinePunct w:val="0"/>
        <w:autoSpaceDE/>
        <w:autoSpaceDN/>
        <w:bidi w:val="0"/>
        <w:spacing w:line="436" w:lineRule="exact"/>
        <w:rPr>
          <w:rFonts w:hint="eastAsia"/>
          <w:color w:val="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5896"/>
    </w:p>
    <w:p w14:paraId="2894421A">
      <w:pPr>
        <w:pStyle w:val="2"/>
        <w:pageBreakBefore w:val="0"/>
        <w:kinsoku/>
        <w:wordWrap/>
        <w:overflowPunct/>
        <w:topLinePunct w:val="0"/>
        <w:autoSpaceDE/>
        <w:autoSpaceDN/>
        <w:bidi w:val="0"/>
        <w:spacing w:line="436" w:lineRule="exact"/>
        <w:rPr>
          <w:rFonts w:hint="eastAsia"/>
          <w:color w:val="auto"/>
        </w:rPr>
      </w:pPr>
      <w:r>
        <w:rPr>
          <w:rFonts w:hint="eastAsia"/>
          <w:color w:val="auto"/>
        </w:rPr>
        <w:t>第一章  招标公告</w:t>
      </w:r>
      <w:bookmarkEnd w:id="0"/>
      <w:bookmarkEnd w:id="1"/>
    </w:p>
    <w:p w14:paraId="278471D4">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2" w:name="_Toc4502"/>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项目基本情况</w:t>
      </w:r>
      <w:bookmarkEnd w:id="2"/>
    </w:p>
    <w:p w14:paraId="44FB972A">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1.项目编号：</w:t>
      </w:r>
      <w:r>
        <w:rPr>
          <w:rFonts w:hint="eastAsia" w:cs="宋体"/>
          <w:color w:val="auto"/>
          <w:sz w:val="24"/>
          <w:szCs w:val="24"/>
          <w:lang w:eastAsia="zh-CN"/>
        </w:rPr>
        <w:t>安财招标采购-2025-49</w:t>
      </w:r>
    </w:p>
    <w:p w14:paraId="4A611B80">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安阳市妇幼保健院危重新生儿救治中心建设</w:t>
      </w:r>
    </w:p>
    <w:p w14:paraId="069C9507">
      <w:pPr>
        <w:keepNext w:val="0"/>
        <w:keepLines w:val="0"/>
        <w:pageBreakBefore w:val="0"/>
        <w:widowControl w:val="0"/>
        <w:kinsoku/>
        <w:wordWrap/>
        <w:overflowPunct/>
        <w:topLinePunct w:val="0"/>
        <w:autoSpaceDE/>
        <w:autoSpaceDN/>
        <w:bidi w:val="0"/>
        <w:adjustRightInd w:val="0"/>
        <w:snapToGrid w:val="0"/>
        <w:spacing w:line="440" w:lineRule="exact"/>
        <w:ind w:firstLine="1980" w:firstLineChars="825"/>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急救生命支持类设备采购项目</w:t>
      </w:r>
      <w:r>
        <w:rPr>
          <w:rFonts w:hint="eastAsia" w:cs="宋体"/>
          <w:color w:val="auto"/>
          <w:sz w:val="24"/>
          <w:szCs w:val="24"/>
          <w:lang w:eastAsia="zh-CN"/>
        </w:rPr>
        <w:t>（</w:t>
      </w:r>
      <w:r>
        <w:rPr>
          <w:rFonts w:hint="eastAsia" w:cs="宋体"/>
          <w:color w:val="auto"/>
          <w:sz w:val="24"/>
          <w:szCs w:val="24"/>
          <w:lang w:val="en-US" w:eastAsia="zh-CN"/>
        </w:rPr>
        <w:t>二次）</w:t>
      </w:r>
    </w:p>
    <w:p w14:paraId="36E1F575">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采购方式：公开招标</w:t>
      </w:r>
    </w:p>
    <w:p w14:paraId="780B0FA2">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1300000.00</w:t>
      </w:r>
      <w:r>
        <w:rPr>
          <w:rFonts w:hint="eastAsia" w:ascii="宋体" w:hAnsi="宋体" w:eastAsia="宋体" w:cs="宋体"/>
          <w:color w:val="auto"/>
          <w:sz w:val="24"/>
          <w:szCs w:val="24"/>
        </w:rPr>
        <w:t>元</w:t>
      </w:r>
    </w:p>
    <w:p w14:paraId="4D2C1C91">
      <w:pPr>
        <w:keepNext w:val="0"/>
        <w:keepLines w:val="0"/>
        <w:pageBreakBefore w:val="0"/>
        <w:widowControl w:val="0"/>
        <w:kinsoku/>
        <w:wordWrap/>
        <w:overflowPunct/>
        <w:topLinePunct w:val="0"/>
        <w:autoSpaceDE/>
        <w:autoSpaceDN/>
        <w:bidi w:val="0"/>
        <w:adjustRightInd w:val="0"/>
        <w:snapToGrid w:val="0"/>
        <w:spacing w:line="440" w:lineRule="exact"/>
        <w:ind w:firstLine="720" w:firstLineChars="3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最高限价：1300000.00</w:t>
      </w:r>
      <w:r>
        <w:rPr>
          <w:rFonts w:hint="eastAsia" w:ascii="宋体" w:hAnsi="宋体" w:eastAsia="宋体" w:cs="宋体"/>
          <w:color w:val="auto"/>
          <w:sz w:val="24"/>
          <w:szCs w:val="24"/>
        </w:rPr>
        <w:t>元</w:t>
      </w:r>
    </w:p>
    <w:tbl>
      <w:tblPr>
        <w:tblStyle w:val="24"/>
        <w:tblW w:w="9259"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33"/>
        <w:gridCol w:w="3008"/>
        <w:gridCol w:w="1634"/>
        <w:gridCol w:w="1967"/>
      </w:tblGrid>
      <w:tr w14:paraId="7AB0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DD203E">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序号</w:t>
            </w:r>
          </w:p>
        </w:tc>
        <w:tc>
          <w:tcPr>
            <w:tcW w:w="1833" w:type="dxa"/>
            <w:vAlign w:val="center"/>
          </w:tcPr>
          <w:p w14:paraId="3CB89C23">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包号</w:t>
            </w:r>
          </w:p>
        </w:tc>
        <w:tc>
          <w:tcPr>
            <w:tcW w:w="3008" w:type="dxa"/>
            <w:vAlign w:val="center"/>
          </w:tcPr>
          <w:p w14:paraId="121DEE3D">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包名称</w:t>
            </w:r>
          </w:p>
        </w:tc>
        <w:tc>
          <w:tcPr>
            <w:tcW w:w="1634" w:type="dxa"/>
            <w:vAlign w:val="center"/>
          </w:tcPr>
          <w:p w14:paraId="5635CE36">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包预算（元）</w:t>
            </w:r>
          </w:p>
        </w:tc>
        <w:tc>
          <w:tcPr>
            <w:tcW w:w="1967" w:type="dxa"/>
            <w:vAlign w:val="center"/>
          </w:tcPr>
          <w:p w14:paraId="2CC25FFC">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包最高限价（元）</w:t>
            </w:r>
          </w:p>
        </w:tc>
      </w:tr>
      <w:tr w14:paraId="71F9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9BFDDE">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833" w:type="dxa"/>
            <w:vAlign w:val="center"/>
          </w:tcPr>
          <w:p w14:paraId="7BA7BC64">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4"/>
                <w:szCs w:val="24"/>
                <w:vertAlign w:val="baseline"/>
                <w:lang w:val="en-US" w:eastAsia="zh-CN"/>
              </w:rPr>
            </w:pPr>
            <w:r>
              <w:rPr>
                <w:rFonts w:hint="eastAsia" w:cs="宋体"/>
                <w:color w:val="auto"/>
                <w:sz w:val="24"/>
                <w:szCs w:val="24"/>
                <w:highlight w:val="none"/>
                <w:vertAlign w:val="baseline"/>
                <w:lang w:val="en-US" w:eastAsia="zh-CN"/>
              </w:rPr>
              <w:t>安财招标采购-2025-49-1</w:t>
            </w:r>
          </w:p>
        </w:tc>
        <w:tc>
          <w:tcPr>
            <w:tcW w:w="3008" w:type="dxa"/>
            <w:vAlign w:val="center"/>
          </w:tcPr>
          <w:p w14:paraId="64B9F7EB">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default" w:ascii="宋体" w:hAnsi="宋体" w:eastAsia="宋体" w:cs="宋体"/>
                <w:color w:val="auto"/>
                <w:sz w:val="24"/>
                <w:szCs w:val="24"/>
                <w:vertAlign w:val="baseline"/>
                <w:lang w:val="en-US"/>
              </w:rPr>
            </w:pPr>
            <w:r>
              <w:rPr>
                <w:rFonts w:hint="eastAsia" w:ascii="宋体" w:hAnsi="宋体" w:eastAsia="宋体" w:cs="宋体"/>
                <w:color w:val="auto"/>
                <w:sz w:val="24"/>
                <w:szCs w:val="24"/>
                <w:vertAlign w:val="baseline"/>
                <w:lang w:eastAsia="zh-CN"/>
              </w:rPr>
              <w:t>安阳市妇幼保健院危重新生儿救治中心建设急救生命支持类设备采购项目</w:t>
            </w:r>
          </w:p>
        </w:tc>
        <w:tc>
          <w:tcPr>
            <w:tcW w:w="1634" w:type="dxa"/>
            <w:vAlign w:val="center"/>
          </w:tcPr>
          <w:p w14:paraId="623727DB">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highlight w:val="none"/>
                <w:vertAlign w:val="baseline"/>
                <w:lang w:val="en-US" w:eastAsia="zh-CN"/>
              </w:rPr>
              <w:t>1300000.00</w:t>
            </w:r>
          </w:p>
        </w:tc>
        <w:tc>
          <w:tcPr>
            <w:tcW w:w="1967" w:type="dxa"/>
            <w:vAlign w:val="center"/>
          </w:tcPr>
          <w:p w14:paraId="5EAC8401">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1300000.00</w:t>
            </w:r>
          </w:p>
        </w:tc>
      </w:tr>
    </w:tbl>
    <w:p w14:paraId="75F03A2A">
      <w:pPr>
        <w:keepNext w:val="0"/>
        <w:keepLines w:val="0"/>
        <w:pageBreakBefore w:val="0"/>
        <w:numPr>
          <w:ilvl w:val="0"/>
          <w:numId w:val="2"/>
        </w:numPr>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采购需求（包括但不限于标的的名称、数量、简要技术需求或服务要求等）：</w:t>
      </w:r>
    </w:p>
    <w:p w14:paraId="3AD73E2D">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5.1危重新生儿救治中心建设急救生命支持类设备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详见招标文件技术要求</w:t>
      </w:r>
    </w:p>
    <w:p w14:paraId="789F6CED">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5.2免费质保</w:t>
      </w:r>
      <w:r>
        <w:rPr>
          <w:rFonts w:hint="eastAsia" w:ascii="宋体" w:hAnsi="宋体" w:eastAsia="宋体" w:cs="宋体"/>
          <w:color w:val="auto"/>
          <w:sz w:val="24"/>
          <w:szCs w:val="24"/>
          <w:highlight w:val="none"/>
          <w:lang w:val="en-US" w:eastAsia="zh-CN"/>
        </w:rPr>
        <w:t>期：验收合格之日起整机原厂质保3年；</w:t>
      </w:r>
    </w:p>
    <w:p w14:paraId="426131CF">
      <w:pPr>
        <w:keepNext w:val="0"/>
        <w:keepLines w:val="0"/>
        <w:pageBreakBefore w:val="0"/>
        <w:kinsoku/>
        <w:wordWrap/>
        <w:overflowPunct/>
        <w:topLinePunct w:val="0"/>
        <w:autoSpaceDE/>
        <w:autoSpaceDN/>
        <w:bidi w:val="0"/>
        <w:adjustRightInd w:val="0"/>
        <w:snapToGrid w:val="0"/>
        <w:spacing w:line="460" w:lineRule="exact"/>
        <w:ind w:firstLine="540" w:firstLineChars="225"/>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详见招标文件第二章1.2</w:t>
      </w:r>
    </w:p>
    <w:p w14:paraId="42234A28">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本项目（是/否）接受联合体投标：</w:t>
      </w:r>
      <w:r>
        <w:rPr>
          <w:rFonts w:hint="eastAsia" w:ascii="宋体" w:hAnsi="宋体" w:eastAsia="宋体" w:cs="宋体"/>
          <w:color w:val="auto"/>
          <w:sz w:val="24"/>
          <w:szCs w:val="24"/>
          <w:lang w:val="zh-CN"/>
        </w:rPr>
        <w:t>否</w:t>
      </w:r>
    </w:p>
    <w:p w14:paraId="629B97E0">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w:t>
      </w:r>
      <w:r>
        <w:rPr>
          <w:rFonts w:hint="eastAsia" w:ascii="宋体" w:hAnsi="宋体" w:eastAsia="宋体" w:cs="宋体"/>
          <w:color w:val="auto"/>
          <w:sz w:val="24"/>
          <w:szCs w:val="24"/>
          <w:highlight w:val="none"/>
          <w:lang w:val="zh-CN"/>
        </w:rPr>
        <w:t>否</w:t>
      </w:r>
    </w:p>
    <w:p w14:paraId="761144A5">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是否专门面向中小企业：否</w:t>
      </w:r>
    </w:p>
    <w:p w14:paraId="0A4B2762">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3" w:name="_Toc24326"/>
      <w:r>
        <w:rPr>
          <w:rFonts w:hint="eastAsia" w:ascii="宋体" w:hAnsi="宋体" w:eastAsia="宋体" w:cs="宋体"/>
          <w:color w:val="auto"/>
          <w:sz w:val="24"/>
          <w:szCs w:val="24"/>
          <w:lang w:val="en-US" w:eastAsia="zh-CN"/>
        </w:rPr>
        <w:t>二、投标</w:t>
      </w:r>
      <w:r>
        <w:rPr>
          <w:rFonts w:hint="eastAsia" w:ascii="宋体" w:hAnsi="宋体" w:eastAsia="宋体" w:cs="宋体"/>
          <w:color w:val="auto"/>
          <w:sz w:val="24"/>
          <w:szCs w:val="24"/>
        </w:rPr>
        <w:t>人的资格要求：</w:t>
      </w:r>
      <w:bookmarkEnd w:id="3"/>
    </w:p>
    <w:p w14:paraId="7CB462A9">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满足《中华人民共和国政府采购法》第二十二条规定；</w:t>
      </w:r>
    </w:p>
    <w:p w14:paraId="79943362">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落实政府采购政策需满足的资格要求：无专项资格要求。</w:t>
      </w:r>
    </w:p>
    <w:p w14:paraId="2D233DCD">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本项目的特定资格要求：</w:t>
      </w:r>
    </w:p>
    <w:p w14:paraId="7BFEE41B">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3.1满足《中华人民共和国政府采购法》第二十二条第一款规定的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基础性资格要求；</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自行承诺并承担后果，承诺书不实的，</w:t>
      </w:r>
      <w:r>
        <w:rPr>
          <w:rFonts w:hint="eastAsia" w:ascii="宋体" w:hAnsi="宋体" w:eastAsia="宋体" w:cs="宋体"/>
          <w:color w:val="auto"/>
          <w:sz w:val="24"/>
          <w:szCs w:val="24"/>
          <w:lang w:val="en-US" w:eastAsia="zh-CN"/>
        </w:rPr>
        <w:t>按《政府采购法》有关提供虚假材料的有关规定给予处罚。</w:t>
      </w:r>
    </w:p>
    <w:p w14:paraId="3146A96D">
      <w:pPr>
        <w:keepNext w:val="0"/>
        <w:keepLines w:val="0"/>
        <w:pageBreakBefore w:val="0"/>
        <w:widowControl w:val="0"/>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资格要求的其他</w:t>
      </w:r>
      <w:r>
        <w:rPr>
          <w:rFonts w:hint="eastAsia" w:ascii="宋体" w:hAnsi="宋体" w:eastAsia="宋体" w:cs="宋体"/>
          <w:color w:val="auto"/>
          <w:sz w:val="24"/>
          <w:szCs w:val="24"/>
        </w:rPr>
        <w:t>规定</w:t>
      </w:r>
    </w:p>
    <w:p w14:paraId="12DD8763">
      <w:pPr>
        <w:keepNext w:val="0"/>
        <w:keepLines w:val="0"/>
        <w:pageBreakBefore w:val="0"/>
        <w:widowControl w:val="0"/>
        <w:numPr>
          <w:ilvl w:val="0"/>
          <w:numId w:val="0"/>
        </w:numPr>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应当无不良信用记录。(在“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b/>
          <w:bCs/>
          <w:color w:val="auto"/>
          <w:sz w:val="24"/>
          <w:szCs w:val="24"/>
        </w:rPr>
        <w:t>均未列入</w:t>
      </w:r>
      <w:r>
        <w:rPr>
          <w:rFonts w:hint="eastAsia" w:ascii="宋体" w:hAnsi="宋体" w:eastAsia="宋体" w:cs="宋体"/>
          <w:color w:val="auto"/>
          <w:sz w:val="24"/>
          <w:szCs w:val="24"/>
        </w:rPr>
        <w:t>)。</w:t>
      </w:r>
    </w:p>
    <w:p w14:paraId="741087DA">
      <w:pPr>
        <w:keepNext w:val="0"/>
        <w:keepLines w:val="0"/>
        <w:pageBreakBefore w:val="0"/>
        <w:widowControl w:val="0"/>
        <w:numPr>
          <w:ilvl w:val="0"/>
          <w:numId w:val="0"/>
        </w:numPr>
        <w:kinsoku/>
        <w:wordWrap/>
        <w:overflowPunct/>
        <w:topLinePunct w:val="0"/>
        <w:autoSpaceDE/>
        <w:autoSpaceDN/>
        <w:bidi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递交投标文件后，采购人或者采购代理机构将按以上信用信息查询渠道在解密投标文件之前对参加本项目的投标人信用记录进行查询，投标人有上述任一不良信用记录的，其投标将被拒绝</w:t>
      </w:r>
      <w:r>
        <w:rPr>
          <w:rFonts w:hint="eastAsia" w:ascii="宋体" w:hAnsi="宋体" w:eastAsia="宋体" w:cs="宋体"/>
          <w:color w:val="auto"/>
          <w:sz w:val="24"/>
          <w:szCs w:val="24"/>
          <w:lang w:eastAsia="zh-CN"/>
        </w:rPr>
        <w:t>、作</w:t>
      </w:r>
      <w:r>
        <w:rPr>
          <w:rFonts w:hint="eastAsia" w:ascii="宋体" w:hAnsi="宋体" w:eastAsia="宋体" w:cs="宋体"/>
          <w:color w:val="auto"/>
          <w:sz w:val="24"/>
          <w:szCs w:val="24"/>
        </w:rPr>
        <w:t>为无效投标。查询的网页内容将以截图或者拍照作为证据留存。</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可不提供相关证明材料。</w:t>
      </w:r>
    </w:p>
    <w:p w14:paraId="07ADE92D">
      <w:pPr>
        <w:keepNext w:val="0"/>
        <w:keepLines w:val="0"/>
        <w:pageBreakBefore w:val="0"/>
        <w:widowControl w:val="0"/>
        <w:numPr>
          <w:ilvl w:val="0"/>
          <w:numId w:val="0"/>
        </w:numPr>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单位负责人为同一人或者存在直接控股、管理关系的不同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，不得参加本合同项下的政府采购活动。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自行承诺并承担后果，承诺书不实的，按《政府采购法》有关提供虚假材料的有关规定给予处罚。</w:t>
      </w:r>
    </w:p>
    <w:p w14:paraId="1844AF18">
      <w:pPr>
        <w:keepNext w:val="0"/>
        <w:keepLines w:val="0"/>
        <w:pageBreakBefore w:val="0"/>
        <w:widowControl w:val="0"/>
        <w:numPr>
          <w:ilvl w:val="0"/>
          <w:numId w:val="0"/>
        </w:numPr>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）为本招标项目提供整体设计、规范编制或者项目管理、监理、检测等服务的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，不得再参加本招标项目。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自行承诺并承担后果，承诺书不实的，按《政府采购法》有关提供虚假材料的有关规定给予处罚。</w:t>
      </w:r>
    </w:p>
    <w:p w14:paraId="05A84907">
      <w:pPr>
        <w:keepNext w:val="0"/>
        <w:keepLines w:val="0"/>
        <w:pageBreakBefore w:val="0"/>
        <w:widowControl w:val="0"/>
        <w:kinsoku/>
        <w:wordWrap/>
        <w:overflowPunct/>
        <w:topLinePunct w:val="0"/>
        <w:autoSpaceDE/>
        <w:autoSpaceDN/>
        <w:bidi w:val="0"/>
        <w:snapToGrid w:val="0"/>
        <w:spacing w:line="440" w:lineRule="exact"/>
        <w:ind w:firstLine="542" w:firstLineChars="225"/>
        <w:rPr>
          <w:rFonts w:hint="eastAsia" w:ascii="宋体" w:hAnsi="宋体" w:eastAsia="宋体" w:cs="宋体"/>
          <w:b/>
          <w:bCs/>
          <w:color w:val="auto"/>
          <w:sz w:val="24"/>
          <w:szCs w:val="24"/>
        </w:rPr>
      </w:pPr>
      <w:r>
        <w:rPr>
          <w:rFonts w:hint="eastAsia" w:ascii="宋体" w:hAnsi="宋体" w:eastAsia="宋体" w:cs="宋体"/>
          <w:b/>
          <w:bCs/>
          <w:color w:val="auto"/>
          <w:sz w:val="24"/>
          <w:szCs w:val="24"/>
        </w:rPr>
        <w:t>3.3项目的特定资格要求：</w:t>
      </w:r>
    </w:p>
    <w:p w14:paraId="0E81B7EE">
      <w:pPr>
        <w:keepNext w:val="0"/>
        <w:keepLines w:val="0"/>
        <w:pageBreakBefore w:val="0"/>
        <w:widowControl w:val="0"/>
        <w:numPr>
          <w:ilvl w:val="0"/>
          <w:numId w:val="0"/>
        </w:numPr>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（1）投标人为</w:t>
      </w:r>
      <w:r>
        <w:rPr>
          <w:rFonts w:hint="eastAsia" w:ascii="宋体" w:hAnsi="宋体" w:eastAsia="宋体" w:cs="宋体"/>
          <w:color w:val="auto"/>
          <w:sz w:val="24"/>
          <w:szCs w:val="24"/>
          <w:highlight w:val="none"/>
        </w:rPr>
        <w:t>生产企业（制造商）</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须具有医疗器械生产许可证</w:t>
      </w:r>
      <w:r>
        <w:rPr>
          <w:rFonts w:hint="eastAsia" w:ascii="宋体" w:hAnsi="宋体" w:eastAsia="宋体" w:cs="宋体"/>
          <w:color w:val="auto"/>
          <w:sz w:val="24"/>
          <w:szCs w:val="24"/>
          <w:highlight w:val="none"/>
          <w:lang w:val="en-US" w:eastAsia="zh-CN"/>
        </w:rPr>
        <w:t>、医疗器械经营许可证及医疗器械二类备案凭证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投标人为</w:t>
      </w:r>
      <w:r>
        <w:rPr>
          <w:rFonts w:hint="eastAsia" w:ascii="宋体" w:hAnsi="宋体" w:eastAsia="宋体" w:cs="宋体"/>
          <w:color w:val="auto"/>
          <w:sz w:val="24"/>
          <w:szCs w:val="24"/>
          <w:highlight w:val="none"/>
        </w:rPr>
        <w:t>代理商（销售商）</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须具有</w:t>
      </w:r>
      <w:r>
        <w:rPr>
          <w:rFonts w:hint="eastAsia" w:ascii="宋体" w:hAnsi="宋体" w:eastAsia="宋体" w:cs="宋体"/>
          <w:color w:val="auto"/>
          <w:sz w:val="24"/>
          <w:szCs w:val="24"/>
          <w:highlight w:val="none"/>
          <w:lang w:val="en-US" w:eastAsia="zh-CN"/>
        </w:rPr>
        <w:t>医疗器械经营许可证及医疗器械二类备案凭证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医疗器械经营许可证及医疗器械二类备案凭证</w:t>
      </w:r>
      <w:r>
        <w:rPr>
          <w:rFonts w:hint="eastAsia" w:ascii="宋体" w:hAnsi="宋体" w:eastAsia="宋体" w:cs="宋体"/>
          <w:color w:val="auto"/>
          <w:sz w:val="24"/>
          <w:szCs w:val="24"/>
          <w:highlight w:val="none"/>
        </w:rPr>
        <w:t>均须在有效期内。</w:t>
      </w:r>
    </w:p>
    <w:p w14:paraId="619EED3E">
      <w:pPr>
        <w:keepNext w:val="0"/>
        <w:keepLines w:val="0"/>
        <w:pageBreakBefore w:val="0"/>
        <w:widowControl w:val="0"/>
        <w:numPr>
          <w:ilvl w:val="0"/>
          <w:numId w:val="0"/>
        </w:numPr>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（2）所投医疗设备必须符合国家标准、行业标准和专业标准等相关标准，并符合中华人民共和国国务院令第739号修订后的《医疗器械监督管理条例》相关规定；</w:t>
      </w:r>
    </w:p>
    <w:p w14:paraId="3AE97BAC">
      <w:pPr>
        <w:keepNext w:val="0"/>
        <w:keepLines w:val="0"/>
        <w:pageBreakBefore w:val="0"/>
        <w:widowControl w:val="0"/>
        <w:numPr>
          <w:ilvl w:val="0"/>
          <w:numId w:val="0"/>
        </w:numPr>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（3）具备法律、行政法规规定的其他条件。</w:t>
      </w:r>
    </w:p>
    <w:p w14:paraId="6736DAC1">
      <w:pPr>
        <w:keepNext w:val="0"/>
        <w:keepLines w:val="0"/>
        <w:pageBreakBefore w:val="0"/>
        <w:widowControl w:val="0"/>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）本项目（是/否）接受联合体投标：</w:t>
      </w:r>
      <w:r>
        <w:rPr>
          <w:rFonts w:hint="eastAsia" w:ascii="宋体" w:hAnsi="宋体" w:eastAsia="宋体" w:cs="宋体"/>
          <w:color w:val="auto"/>
          <w:sz w:val="24"/>
          <w:szCs w:val="24"/>
          <w:lang w:val="en-US" w:eastAsia="zh-CN"/>
        </w:rPr>
        <w:t>否</w:t>
      </w:r>
    </w:p>
    <w:p w14:paraId="4AFC7B33">
      <w:pPr>
        <w:keepNext w:val="0"/>
        <w:keepLines w:val="0"/>
        <w:pageBreakBefore w:val="0"/>
        <w:widowControl w:val="0"/>
        <w:kinsoku/>
        <w:wordWrap/>
        <w:overflowPunct/>
        <w:topLinePunct w:val="0"/>
        <w:autoSpaceDE/>
        <w:autoSpaceDN/>
        <w:bidi w:val="0"/>
        <w:adjustRightIn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注：（1）所有证照均应为有效的证照；文中“近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前”指距投标截止时间。</w:t>
      </w:r>
    </w:p>
    <w:p w14:paraId="7659098F">
      <w:pPr>
        <w:keepNext w:val="0"/>
        <w:keepLines w:val="0"/>
        <w:pageBreakBefore w:val="0"/>
        <w:widowControl w:val="0"/>
        <w:kinsoku/>
        <w:wordWrap/>
        <w:overflowPunct/>
        <w:topLinePunct w:val="0"/>
        <w:autoSpaceDE/>
        <w:autoSpaceDN/>
        <w:bidi w:val="0"/>
        <w:adjustRightIn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（2）资格证明材料（文件）应附于投标文件中并经投标人电子签章。投标人对资格证明文件真实性有效合规承担责任，提供虚假材料的为无效投标并将进一步追究其责任。</w:t>
      </w:r>
    </w:p>
    <w:p w14:paraId="4AD0CCFC">
      <w:pPr>
        <w:pStyle w:val="19"/>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（3）本项目采取资格后审，开标后，将由采购人或者采购代理机构对投标人的资格证明材料（文件）等进行资格审核，未按要求逐一提供</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资格审查不合格的为无效投标，投标人应自负其风险费用。</w:t>
      </w:r>
    </w:p>
    <w:p w14:paraId="13625BB1">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4" w:name="_Toc35393792"/>
      <w:bookmarkStart w:id="5" w:name="_Toc10152"/>
      <w:bookmarkStart w:id="6" w:name="_Toc35393623"/>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获取招标文件</w:t>
      </w:r>
      <w:bookmarkEnd w:id="4"/>
      <w:bookmarkEnd w:id="5"/>
      <w:bookmarkEnd w:id="6"/>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06"/>
      </w:tblGrid>
      <w:tr w14:paraId="1A02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306" w:type="dxa"/>
            <w:shd w:val="clear" w:color="auto" w:fill="FFFFFF"/>
            <w:tcMar>
              <w:top w:w="0" w:type="dxa"/>
              <w:left w:w="0" w:type="dxa"/>
              <w:bottom w:w="0" w:type="dxa"/>
              <w:right w:w="0" w:type="dxa"/>
            </w:tcMar>
            <w:vAlign w:val="center"/>
          </w:tcPr>
          <w:p w14:paraId="2D5E7F3A">
            <w:pPr>
              <w:keepNext w:val="0"/>
              <w:keepLines w:val="0"/>
              <w:pageBreakBefore w:val="0"/>
              <w:widowControl w:val="0"/>
              <w:kinsoku/>
              <w:wordWrap/>
              <w:overflowPunct/>
              <w:topLinePunct w:val="0"/>
              <w:autoSpaceDE/>
              <w:autoSpaceDN/>
              <w:bidi w:val="0"/>
              <w:adjustRightInd w:val="0"/>
              <w:spacing w:line="440" w:lineRule="exact"/>
              <w:ind w:firstLine="540" w:firstLineChars="225"/>
              <w:textAlignment w:val="baseline"/>
              <w:rPr>
                <w:rFonts w:hint="eastAsia" w:ascii="宋体" w:hAnsi="宋体" w:eastAsia="宋体" w:cs="宋体"/>
                <w:color w:val="auto"/>
                <w:sz w:val="24"/>
                <w:szCs w:val="24"/>
                <w:lang w:val="en-US" w:eastAsia="zh-CN"/>
              </w:rPr>
            </w:pPr>
            <w:bookmarkStart w:id="7" w:name="_Toc28359082"/>
            <w:bookmarkStart w:id="8" w:name="_Toc28359005"/>
            <w:bookmarkStart w:id="9" w:name="_Toc35393793"/>
            <w:bookmarkStart w:id="10" w:name="_Toc35393624"/>
            <w:bookmarkStart w:id="11" w:name="_Toc24801"/>
            <w:r>
              <w:rPr>
                <w:rFonts w:hint="eastAsia" w:ascii="宋体" w:hAnsi="宋体" w:eastAsia="宋体" w:cs="宋体"/>
                <w:color w:val="auto"/>
                <w:sz w:val="24"/>
                <w:szCs w:val="24"/>
                <w:lang w:val="en-US" w:eastAsia="zh-CN"/>
              </w:rPr>
              <w:t>1.时间：2025年1</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11</w:t>
            </w:r>
            <w:r>
              <w:rPr>
                <w:rFonts w:hint="eastAsia" w:ascii="宋体" w:hAnsi="宋体" w:eastAsia="宋体" w:cs="宋体"/>
                <w:color w:val="auto"/>
                <w:sz w:val="24"/>
                <w:szCs w:val="24"/>
                <w:lang w:val="en-US" w:eastAsia="zh-CN"/>
              </w:rPr>
              <w:t>日至2025年1</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17</w:t>
            </w:r>
            <w:r>
              <w:rPr>
                <w:rFonts w:hint="eastAsia" w:ascii="宋体" w:hAnsi="宋体" w:eastAsia="宋体" w:cs="宋体"/>
                <w:color w:val="auto"/>
                <w:sz w:val="24"/>
                <w:szCs w:val="24"/>
                <w:lang w:val="en-US" w:eastAsia="zh-CN"/>
              </w:rPr>
              <w:t>日，每天上午00:00至12:00，下午12:00至23:59（北京时间，法定节假日除外）</w:t>
            </w:r>
          </w:p>
        </w:tc>
      </w:tr>
      <w:tr w14:paraId="37D0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306" w:type="dxa"/>
            <w:shd w:val="clear" w:color="auto" w:fill="FFFFFF"/>
            <w:tcMar>
              <w:top w:w="0" w:type="dxa"/>
              <w:left w:w="0" w:type="dxa"/>
              <w:bottom w:w="0" w:type="dxa"/>
              <w:right w:w="0" w:type="dxa"/>
            </w:tcMar>
            <w:vAlign w:val="center"/>
          </w:tcPr>
          <w:p w14:paraId="5FB794C1">
            <w:pPr>
              <w:keepNext w:val="0"/>
              <w:keepLines w:val="0"/>
              <w:pageBreakBefore w:val="0"/>
              <w:widowControl w:val="0"/>
              <w:kinsoku/>
              <w:wordWrap/>
              <w:overflowPunct/>
              <w:topLinePunct w:val="0"/>
              <w:autoSpaceDE/>
              <w:autoSpaceDN/>
              <w:bidi w:val="0"/>
              <w:adjustRightInd w:val="0"/>
              <w:spacing w:line="440" w:lineRule="exact"/>
              <w:ind w:firstLine="540" w:firstLineChars="2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w:t>
            </w:r>
            <w:r>
              <w:rPr>
                <w:rFonts w:hint="eastAsia" w:ascii="宋体" w:hAnsi="宋体" w:eastAsia="宋体" w:cs="宋体"/>
                <w:color w:val="auto"/>
                <w:sz w:val="24"/>
                <w:szCs w:val="24"/>
              </w:rPr>
              <w:t>登录</w:t>
            </w:r>
            <w:r>
              <w:rPr>
                <w:rFonts w:hint="eastAsia" w:ascii="宋体" w:hAnsi="宋体" w:eastAsia="宋体" w:cs="宋体"/>
                <w:color w:val="auto"/>
                <w:sz w:val="24"/>
                <w:szCs w:val="24"/>
                <w:lang w:val="en-US" w:eastAsia="zh-CN"/>
              </w:rPr>
              <w:t>安阳市公共资源交易中心网站（https：//ggzy.anyang.gov.cn），在【交易主体登录】入口完成注册。凭数字证书下载《招标文件》及其他资料。</w:t>
            </w:r>
          </w:p>
        </w:tc>
      </w:tr>
      <w:tr w14:paraId="72FE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306" w:type="dxa"/>
            <w:shd w:val="clear" w:color="auto" w:fill="FFFFFF"/>
            <w:tcMar>
              <w:top w:w="0" w:type="dxa"/>
              <w:left w:w="0" w:type="dxa"/>
              <w:bottom w:w="0" w:type="dxa"/>
              <w:right w:w="0" w:type="dxa"/>
            </w:tcMar>
            <w:vAlign w:val="center"/>
          </w:tcPr>
          <w:p w14:paraId="22606DD0">
            <w:pPr>
              <w:keepNext w:val="0"/>
              <w:keepLines w:val="0"/>
              <w:pageBreakBefore w:val="0"/>
              <w:widowControl w:val="0"/>
              <w:kinsoku/>
              <w:wordWrap/>
              <w:overflowPunct/>
              <w:topLinePunct w:val="0"/>
              <w:autoSpaceDE/>
              <w:autoSpaceDN/>
              <w:bidi w:val="0"/>
              <w:adjustRightInd w:val="0"/>
              <w:spacing w:line="440" w:lineRule="exact"/>
              <w:ind w:firstLine="540" w:firstLineChars="2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3.方式：网上下载；具体流程请查询安阳市公共资源交易中心网站-服务指南-操作手册-《安阳市公共资源交易系统投标人（供应商）操作手册》。如有技术问题请咨询400-998-0000、0372-3387739。</w:t>
            </w:r>
          </w:p>
        </w:tc>
      </w:tr>
      <w:tr w14:paraId="60E1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306" w:type="dxa"/>
            <w:shd w:val="clear" w:color="auto" w:fill="FFFFFF"/>
            <w:tcMar>
              <w:top w:w="0" w:type="dxa"/>
              <w:left w:w="0" w:type="dxa"/>
              <w:bottom w:w="0" w:type="dxa"/>
              <w:right w:w="0" w:type="dxa"/>
            </w:tcMar>
            <w:vAlign w:val="center"/>
          </w:tcPr>
          <w:p w14:paraId="137F4DB7">
            <w:pPr>
              <w:keepNext w:val="0"/>
              <w:keepLines w:val="0"/>
              <w:pageBreakBefore w:val="0"/>
              <w:widowControl w:val="0"/>
              <w:kinsoku/>
              <w:wordWrap/>
              <w:overflowPunct/>
              <w:topLinePunct w:val="0"/>
              <w:autoSpaceDE/>
              <w:autoSpaceDN/>
              <w:bidi w:val="0"/>
              <w:adjustRightInd w:val="0"/>
              <w:spacing w:line="440" w:lineRule="exact"/>
              <w:ind w:firstLine="540" w:firstLineChars="2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4.售价：0元</w:t>
            </w:r>
          </w:p>
        </w:tc>
      </w:tr>
    </w:tbl>
    <w:p w14:paraId="105262F5">
      <w:pPr>
        <w:pStyle w:val="3"/>
        <w:pageBreakBefore w:val="0"/>
        <w:kinsoku/>
        <w:wordWrap/>
        <w:overflowPunct/>
        <w:topLinePunct w:val="0"/>
        <w:autoSpaceDE/>
        <w:autoSpaceDN/>
        <w:bidi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提交投标文件</w:t>
      </w:r>
      <w:bookmarkEnd w:id="7"/>
      <w:bookmarkEnd w:id="8"/>
      <w:r>
        <w:rPr>
          <w:rFonts w:hint="eastAsia" w:ascii="宋体" w:hAnsi="宋体" w:eastAsia="宋体" w:cs="宋体"/>
          <w:color w:val="auto"/>
          <w:sz w:val="24"/>
          <w:szCs w:val="24"/>
        </w:rPr>
        <w:t>截止时间</w:t>
      </w:r>
      <w:bookmarkEnd w:id="9"/>
      <w:bookmarkEnd w:id="10"/>
      <w:r>
        <w:rPr>
          <w:rFonts w:hint="eastAsia" w:ascii="宋体" w:hAnsi="宋体" w:eastAsia="宋体" w:cs="宋体"/>
          <w:color w:val="auto"/>
          <w:sz w:val="24"/>
          <w:szCs w:val="24"/>
        </w:rPr>
        <w:t>（投标截止时间及地点）</w:t>
      </w:r>
      <w:bookmarkEnd w:id="11"/>
    </w:p>
    <w:p w14:paraId="6CA2143D">
      <w:pPr>
        <w:keepNext w:val="0"/>
        <w:keepLines w:val="0"/>
        <w:pageBreakBefore w:val="0"/>
        <w:widowControl w:val="0"/>
        <w:kinsoku/>
        <w:wordWrap/>
        <w:overflowPunct/>
        <w:topLinePunct w:val="0"/>
        <w:autoSpaceDE/>
        <w:autoSpaceDN/>
        <w:bidi w:val="0"/>
        <w:adjustRightInd w:val="0"/>
        <w:spacing w:line="440" w:lineRule="exact"/>
        <w:ind w:firstLine="540" w:firstLineChars="22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31</w:t>
      </w:r>
      <w:r>
        <w:rPr>
          <w:rFonts w:hint="eastAsia" w:ascii="宋体" w:hAnsi="宋体" w:eastAsia="宋体" w:cs="宋体"/>
          <w:color w:val="auto"/>
          <w:sz w:val="24"/>
          <w:szCs w:val="24"/>
        </w:rPr>
        <w:t>日09时00分（北京时间）</w:t>
      </w:r>
    </w:p>
    <w:p w14:paraId="68CD2A62">
      <w:pPr>
        <w:keepNext w:val="0"/>
        <w:keepLines w:val="0"/>
        <w:pageBreakBefore w:val="0"/>
        <w:widowControl w:val="0"/>
        <w:kinsoku/>
        <w:wordWrap/>
        <w:overflowPunct/>
        <w:topLinePunct w:val="0"/>
        <w:autoSpaceDE/>
        <w:autoSpaceDN/>
        <w:bidi w:val="0"/>
        <w:adjustRightInd w:val="0"/>
        <w:spacing w:line="440" w:lineRule="exact"/>
        <w:ind w:firstLine="540" w:firstLineChars="22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地点：于安阳市公共资源交易平台网上上传递交、并由投标人在规定时间远程解密。</w:t>
      </w:r>
    </w:p>
    <w:p w14:paraId="0C0F35CB">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12" w:name="_Toc18957"/>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开标时间和地点</w:t>
      </w:r>
      <w:bookmarkEnd w:id="12"/>
    </w:p>
    <w:p w14:paraId="3BCF6513">
      <w:pPr>
        <w:keepNext w:val="0"/>
        <w:keepLines w:val="0"/>
        <w:pageBreakBefore w:val="0"/>
        <w:widowControl w:val="0"/>
        <w:kinsoku/>
        <w:wordWrap/>
        <w:overflowPunct/>
        <w:topLinePunct w:val="0"/>
        <w:autoSpaceDE/>
        <w:autoSpaceDN/>
        <w:bidi w:val="0"/>
        <w:adjustRightIn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31</w:t>
      </w:r>
      <w:r>
        <w:rPr>
          <w:rFonts w:hint="eastAsia" w:ascii="宋体" w:hAnsi="宋体" w:eastAsia="宋体" w:cs="宋体"/>
          <w:color w:val="auto"/>
          <w:sz w:val="24"/>
          <w:szCs w:val="24"/>
        </w:rPr>
        <w:t>日09时00分（北京时间）</w:t>
      </w:r>
    </w:p>
    <w:p w14:paraId="420BB43D">
      <w:pPr>
        <w:keepNext w:val="0"/>
        <w:keepLines w:val="0"/>
        <w:pageBreakBefore w:val="0"/>
        <w:widowControl w:val="0"/>
        <w:kinsoku/>
        <w:wordWrap/>
        <w:overflowPunct/>
        <w:topLinePunct w:val="0"/>
        <w:autoSpaceDE/>
        <w:autoSpaceDN/>
        <w:bidi w:val="0"/>
        <w:adjustRightInd w:val="0"/>
        <w:spacing w:line="440" w:lineRule="exact"/>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地点（管理员网上操作地点）：</w:t>
      </w:r>
      <w:r>
        <w:rPr>
          <w:rFonts w:hint="eastAsia" w:ascii="宋体" w:hAnsi="宋体" w:eastAsia="宋体" w:cs="宋体"/>
          <w:color w:val="auto"/>
          <w:sz w:val="24"/>
          <w:szCs w:val="24"/>
          <w:lang w:val="en-US" w:eastAsia="zh-CN"/>
        </w:rPr>
        <w:t>安阳市公共资源交易中心五楼集中开标大厅</w:t>
      </w:r>
      <w:r>
        <w:rPr>
          <w:rFonts w:hint="eastAsia" w:cs="宋体"/>
          <w:color w:val="auto"/>
          <w:sz w:val="24"/>
          <w:szCs w:val="24"/>
          <w:lang w:val="en-US" w:eastAsia="zh-CN"/>
        </w:rPr>
        <w:t>一</w:t>
      </w:r>
      <w:r>
        <w:rPr>
          <w:rFonts w:hint="eastAsia" w:ascii="宋体" w:hAnsi="宋体" w:eastAsia="宋体" w:cs="宋体"/>
          <w:color w:val="auto"/>
          <w:sz w:val="24"/>
          <w:szCs w:val="24"/>
          <w:highlight w:val="none"/>
          <w:lang w:val="en-US" w:eastAsia="zh-CN"/>
        </w:rPr>
        <w:t>室（</w:t>
      </w:r>
      <w:r>
        <w:rPr>
          <w:rFonts w:hint="eastAsia" w:ascii="宋体" w:hAnsi="宋体" w:eastAsia="宋体" w:cs="宋体"/>
          <w:color w:val="auto"/>
          <w:sz w:val="24"/>
          <w:szCs w:val="24"/>
          <w:lang w:val="en-US" w:eastAsia="zh-CN"/>
        </w:rPr>
        <w:t>安阳市文峰大道东段559号安阳市民之家）</w:t>
      </w:r>
    </w:p>
    <w:p w14:paraId="1B0F4ED1">
      <w:pPr>
        <w:keepNext w:val="0"/>
        <w:keepLines w:val="0"/>
        <w:pageBreakBefore w:val="0"/>
        <w:widowControl w:val="0"/>
        <w:kinsoku/>
        <w:wordWrap/>
        <w:overflowPunct/>
        <w:topLinePunct w:val="0"/>
        <w:autoSpaceDE/>
        <w:autoSpaceDN/>
        <w:bidi w:val="0"/>
        <w:adjustRightInd w:val="0"/>
        <w:spacing w:line="440" w:lineRule="exact"/>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文件》解密等。因投标人原因未能解密、解密失败或解密超时的将被拒绝。</w:t>
      </w:r>
    </w:p>
    <w:p w14:paraId="7E5B45C7">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13" w:name="_Toc9588"/>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发布公告的媒介及招标公告期限</w:t>
      </w:r>
      <w:bookmarkEnd w:id="13"/>
    </w:p>
    <w:p w14:paraId="5ACA7D8E">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本项目在《河南省政府采购网》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安阳市政府采购网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《全国公共资源交易平台（河南省·安阳市）安阳市公共资源交易中心》</w:t>
      </w:r>
      <w:r>
        <w:rPr>
          <w:rFonts w:hint="eastAsia" w:ascii="宋体" w:hAnsi="宋体" w:eastAsia="宋体" w:cs="宋体"/>
          <w:color w:val="auto"/>
          <w:sz w:val="24"/>
          <w:szCs w:val="24"/>
          <w:lang w:eastAsia="zh-CN"/>
        </w:rPr>
        <w:t>《中国招标投标公共服务平台》</w:t>
      </w:r>
      <w:r>
        <w:rPr>
          <w:rFonts w:hint="eastAsia" w:ascii="宋体" w:hAnsi="宋体" w:eastAsia="宋体" w:cs="宋体"/>
          <w:color w:val="auto"/>
          <w:sz w:val="24"/>
          <w:szCs w:val="24"/>
        </w:rPr>
        <w:t>网站上同期发布。招标公告期限为五个工作日。</w:t>
      </w:r>
    </w:p>
    <w:p w14:paraId="01645863">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14" w:name="_Toc35393795"/>
      <w:bookmarkStart w:id="15" w:name="_Toc35393626"/>
      <w:bookmarkStart w:id="16" w:name="_Toc3628"/>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其他补充事宜</w:t>
      </w:r>
      <w:bookmarkEnd w:id="14"/>
      <w:bookmarkEnd w:id="15"/>
      <w:bookmarkEnd w:id="16"/>
    </w:p>
    <w:p w14:paraId="348DFE03">
      <w:pPr>
        <w:keepNext w:val="0"/>
        <w:keepLines w:val="0"/>
        <w:pageBreakBefore w:val="0"/>
        <w:widowControl w:val="0"/>
        <w:kinsoku/>
        <w:wordWrap/>
        <w:overflowPunct/>
        <w:topLinePunct w:val="0"/>
        <w:autoSpaceDE/>
        <w:autoSpaceDN/>
        <w:bidi w:val="0"/>
        <w:snapToGrid w:val="0"/>
        <w:spacing w:line="440" w:lineRule="exact"/>
        <w:ind w:firstLine="542" w:firstLineChars="225"/>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7.1项目落实的政府采购政策：</w:t>
      </w:r>
      <w:r>
        <w:rPr>
          <w:rFonts w:hint="eastAsia" w:ascii="宋体" w:hAnsi="宋体" w:eastAsia="宋体" w:cs="宋体"/>
          <w:b w:val="0"/>
          <w:bCs w:val="0"/>
          <w:color w:val="auto"/>
          <w:sz w:val="24"/>
          <w:szCs w:val="24"/>
        </w:rPr>
        <w:t>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2281E551">
      <w:pPr>
        <w:keepNext w:val="0"/>
        <w:keepLines w:val="0"/>
        <w:pageBreakBefore w:val="0"/>
        <w:widowControl w:val="0"/>
        <w:kinsoku/>
        <w:wordWrap/>
        <w:overflowPunct/>
        <w:topLinePunct w:val="0"/>
        <w:autoSpaceDE/>
        <w:autoSpaceDN/>
        <w:bidi w:val="0"/>
        <w:snapToGrid w:val="0"/>
        <w:spacing w:line="440" w:lineRule="exact"/>
        <w:ind w:firstLine="542" w:firstLineChars="225"/>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7.2政府采购合同融资</w:t>
      </w:r>
    </w:p>
    <w:p w14:paraId="4465322C">
      <w:pPr>
        <w:keepNext w:val="0"/>
        <w:keepLines w:val="0"/>
        <w:pageBreakBefore w:val="0"/>
        <w:widowControl w:val="0"/>
        <w:kinsoku/>
        <w:wordWrap/>
        <w:overflowPunct/>
        <w:topLinePunct w:val="0"/>
        <w:autoSpaceDE/>
        <w:autoSpaceDN/>
        <w:bidi w:val="0"/>
        <w:adjustRightInd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根据豫财购〔2017〕10号和安财购〔2017〕7号文要求，参加政府采购项目的中小微企业</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，持中标（成交）通知书可向金融机构申请合同融资，详情请登录安阳市政府采购网（http://anyang.hngp.gov.cn/anyang），进入网站飘窗或业务指南窗口了解金融机构提供的融资服务内容。</w:t>
      </w:r>
    </w:p>
    <w:p w14:paraId="4E99DA44">
      <w:pPr>
        <w:pStyle w:val="19"/>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firstLine="542" w:firstLineChars="225"/>
        <w:rPr>
          <w:rFonts w:hint="eastAsia" w:ascii="宋体" w:hAnsi="宋体" w:eastAsia="宋体" w:cs="宋体"/>
          <w:b/>
          <w:bCs/>
          <w:color w:val="auto"/>
          <w:sz w:val="24"/>
          <w:szCs w:val="24"/>
        </w:rPr>
      </w:pPr>
      <w:r>
        <w:rPr>
          <w:rFonts w:hint="eastAsia" w:ascii="宋体" w:hAnsi="宋体" w:eastAsia="宋体" w:cs="宋体"/>
          <w:b/>
          <w:bCs/>
          <w:color w:val="auto"/>
          <w:sz w:val="24"/>
          <w:szCs w:val="24"/>
        </w:rPr>
        <w:t>7.3网上电子交易系统网址</w:t>
      </w:r>
    </w:p>
    <w:p w14:paraId="00911038">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7.3.1全国公共资源交易平台（河南省·安阳市）</w:t>
      </w:r>
      <w:r>
        <w:rPr>
          <w:rFonts w:hint="eastAsia" w:ascii="宋体" w:hAnsi="宋体" w:eastAsia="宋体" w:cs="宋体"/>
          <w:b/>
          <w:color w:val="auto"/>
          <w:sz w:val="24"/>
          <w:szCs w:val="24"/>
          <w:lang w:val="en-US" w:eastAsia="zh-CN"/>
        </w:rPr>
        <w:t>https://ggzy.anyang.gov.cn/</w:t>
      </w:r>
      <w:r>
        <w:rPr>
          <w:rFonts w:hint="eastAsia" w:ascii="宋体" w:hAnsi="宋体" w:eastAsia="宋体" w:cs="宋体"/>
          <w:b/>
          <w:color w:val="auto"/>
          <w:sz w:val="24"/>
          <w:szCs w:val="24"/>
        </w:rPr>
        <w:t>招标文件简称“安阳市公共资源交易平台”</w:t>
      </w:r>
    </w:p>
    <w:p w14:paraId="172A7535">
      <w:pPr>
        <w:keepNext w:val="0"/>
        <w:keepLines w:val="0"/>
        <w:pageBreakBefore w:val="0"/>
        <w:widowControl w:val="0"/>
        <w:kinsoku/>
        <w:wordWrap/>
        <w:overflowPunct/>
        <w:topLinePunct w:val="0"/>
        <w:autoSpaceDE/>
        <w:autoSpaceDN/>
        <w:bidi w:val="0"/>
        <w:snapToGrid w:val="0"/>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bCs w:val="0"/>
          <w:color w:val="auto"/>
          <w:sz w:val="24"/>
          <w:szCs w:val="24"/>
        </w:rPr>
        <w:t>7.3.2</w:t>
      </w:r>
      <w:bookmarkStart w:id="17" w:name="_Toc35393796"/>
      <w:bookmarkStart w:id="18" w:name="_Toc28359085"/>
      <w:bookmarkStart w:id="19" w:name="_Toc35393627"/>
      <w:bookmarkStart w:id="20" w:name="_Toc28359008"/>
      <w:r>
        <w:rPr>
          <w:rFonts w:hint="eastAsia" w:ascii="宋体" w:hAnsi="宋体" w:eastAsia="宋体" w:cs="宋体"/>
          <w:b/>
          <w:bCs w:val="0"/>
          <w:color w:val="auto"/>
          <w:sz w:val="24"/>
          <w:szCs w:val="24"/>
        </w:rPr>
        <w:t>投标文件制作软件：在安阳市公共资源交易平台进行下载、并安装投标文件制作工具，查看《</w:t>
      </w:r>
      <w:r>
        <w:rPr>
          <w:rFonts w:hint="eastAsia" w:ascii="宋体" w:hAnsi="宋体" w:eastAsia="宋体" w:cs="宋体"/>
          <w:b/>
          <w:bCs w:val="0"/>
          <w:color w:val="auto"/>
          <w:sz w:val="24"/>
          <w:szCs w:val="24"/>
          <w:lang w:val="en-US" w:eastAsia="zh-CN"/>
        </w:rPr>
        <w:t>招标</w:t>
      </w:r>
      <w:r>
        <w:rPr>
          <w:rFonts w:hint="eastAsia" w:ascii="宋体" w:hAnsi="宋体" w:eastAsia="宋体" w:cs="宋体"/>
          <w:b/>
          <w:bCs w:val="0"/>
          <w:color w:val="auto"/>
          <w:sz w:val="24"/>
          <w:szCs w:val="24"/>
        </w:rPr>
        <w:t>文件》和制作电子《</w:t>
      </w:r>
      <w:r>
        <w:rPr>
          <w:rFonts w:hint="eastAsia" w:ascii="宋体" w:hAnsi="宋体" w:eastAsia="宋体" w:cs="宋体"/>
          <w:b/>
          <w:bCs w:val="0"/>
          <w:color w:val="auto"/>
          <w:sz w:val="24"/>
          <w:szCs w:val="24"/>
          <w:lang w:val="en-US" w:eastAsia="zh-CN"/>
        </w:rPr>
        <w:t>投标</w:t>
      </w:r>
      <w:r>
        <w:rPr>
          <w:rFonts w:hint="eastAsia" w:ascii="宋体" w:hAnsi="宋体" w:eastAsia="宋体" w:cs="宋体"/>
          <w:b/>
          <w:bCs w:val="0"/>
          <w:color w:val="auto"/>
          <w:sz w:val="24"/>
          <w:szCs w:val="24"/>
        </w:rPr>
        <w:t>文件》。</w:t>
      </w:r>
    </w:p>
    <w:p w14:paraId="14B47E51">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21" w:name="_Toc25649"/>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对本次招标提出询问，请按以下方式联系。</w:t>
      </w:r>
      <w:bookmarkEnd w:id="17"/>
      <w:bookmarkEnd w:id="18"/>
      <w:bookmarkEnd w:id="19"/>
      <w:bookmarkEnd w:id="20"/>
      <w:bookmarkEnd w:id="21"/>
    </w:p>
    <w:p w14:paraId="6DAA7E37">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8.1采购人信息</w:t>
      </w:r>
    </w:p>
    <w:p w14:paraId="7F7037A6">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安阳市妇幼保健院</w:t>
      </w:r>
    </w:p>
    <w:p w14:paraId="2AB4B6DA">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安阳市解放大道</w:t>
      </w:r>
    </w:p>
    <w:p w14:paraId="5D6BFDAB">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王女士</w:t>
      </w:r>
    </w:p>
    <w:p w14:paraId="1418A9A2">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22" w:name="_Toc28359086"/>
      <w:bookmarkStart w:id="23" w:name="_Toc28359009"/>
      <w:r>
        <w:rPr>
          <w:rFonts w:hint="eastAsia" w:ascii="宋体" w:hAnsi="宋体" w:eastAsia="宋体" w:cs="宋体"/>
          <w:color w:val="auto"/>
          <w:sz w:val="24"/>
          <w:szCs w:val="24"/>
          <w:highlight w:val="none"/>
        </w:rPr>
        <w:t>0372-3285</w:t>
      </w:r>
      <w:r>
        <w:rPr>
          <w:rFonts w:hint="eastAsia" w:cs="宋体"/>
          <w:color w:val="auto"/>
          <w:sz w:val="24"/>
          <w:szCs w:val="24"/>
          <w:highlight w:val="none"/>
          <w:lang w:val="en-US" w:eastAsia="zh-CN"/>
        </w:rPr>
        <w:t>036</w:t>
      </w:r>
    </w:p>
    <w:p w14:paraId="7E0E4954">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8.2 采购代理机构信息</w:t>
      </w:r>
      <w:bookmarkEnd w:id="22"/>
      <w:bookmarkEnd w:id="23"/>
    </w:p>
    <w:p w14:paraId="3C9E8EF1">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河南众鼎招标代理有限公司</w:t>
      </w:r>
    </w:p>
    <w:p w14:paraId="541EA81E">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color w:val="auto"/>
          <w:sz w:val="24"/>
          <w:szCs w:val="24"/>
          <w:lang w:val="en-US" w:eastAsia="zh-CN"/>
        </w:rPr>
        <w:t>安阳市文昌大道与东工路交叉口向南160米路东</w:t>
      </w:r>
    </w:p>
    <w:p w14:paraId="5BC7F22B">
      <w:pPr>
        <w:keepNext w:val="0"/>
        <w:keepLines w:val="0"/>
        <w:pageBreakBefore w:val="0"/>
        <w:kinsoku/>
        <w:wordWrap/>
        <w:overflowPunct/>
        <w:topLinePunct w:val="0"/>
        <w:autoSpaceDE/>
        <w:autoSpaceDN/>
        <w:bidi w:val="0"/>
        <w:spacing w:line="440" w:lineRule="exact"/>
        <w:ind w:firstLine="1440" w:firstLineChars="6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福九鼎锅炉4楼402室</w:t>
      </w:r>
    </w:p>
    <w:p w14:paraId="47AC4026">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宋丹丹</w:t>
      </w:r>
    </w:p>
    <w:p w14:paraId="4495CAFD">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bookmarkStart w:id="24" w:name="_Toc28359010"/>
      <w:bookmarkStart w:id="25" w:name="_Toc28359087"/>
      <w:r>
        <w:rPr>
          <w:rFonts w:hint="eastAsia" w:ascii="宋体" w:hAnsi="宋体" w:eastAsia="宋体" w:cs="宋体"/>
          <w:color w:val="auto"/>
          <w:sz w:val="24"/>
          <w:szCs w:val="24"/>
          <w:lang w:val="en-US" w:eastAsia="zh-CN"/>
        </w:rPr>
        <w:t>17630606792</w:t>
      </w:r>
    </w:p>
    <w:p w14:paraId="556A5E25">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8.3 项目联系方式</w:t>
      </w:r>
      <w:bookmarkEnd w:id="24"/>
      <w:bookmarkEnd w:id="25"/>
    </w:p>
    <w:p w14:paraId="5E8FF5E4">
      <w:pPr>
        <w:pStyle w:val="10"/>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宋丹丹</w:t>
      </w:r>
    </w:p>
    <w:p w14:paraId="7F4CFF35">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17630606792</w:t>
      </w:r>
    </w:p>
    <w:p w14:paraId="785D8D9E">
      <w:pPr>
        <w:pStyle w:val="3"/>
        <w:pageBreakBefore w:val="0"/>
        <w:kinsoku/>
        <w:wordWrap/>
        <w:overflowPunct/>
        <w:topLinePunct w:val="0"/>
        <w:autoSpaceDE/>
        <w:autoSpaceDN/>
        <w:bidi w:val="0"/>
        <w:spacing w:line="440" w:lineRule="exact"/>
        <w:rPr>
          <w:rFonts w:hint="eastAsia" w:ascii="宋体" w:hAnsi="宋体" w:eastAsia="宋体" w:cs="宋体"/>
          <w:color w:val="auto"/>
          <w:sz w:val="24"/>
          <w:szCs w:val="24"/>
        </w:rPr>
      </w:pPr>
      <w:bookmarkStart w:id="26" w:name="_Toc28361"/>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网上电子交易提示：</w:t>
      </w:r>
      <w:bookmarkEnd w:id="26"/>
      <w:r>
        <w:rPr>
          <w:rFonts w:hint="eastAsia" w:ascii="宋体" w:hAnsi="宋体" w:eastAsia="宋体" w:cs="宋体"/>
          <w:color w:val="auto"/>
          <w:sz w:val="24"/>
          <w:szCs w:val="24"/>
        </w:rPr>
        <w:t xml:space="preserve"> </w:t>
      </w:r>
    </w:p>
    <w:p w14:paraId="444293E1">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9.1 注册：投标人完成注册、办理数字证书后，方可获取招标文件、参加投标等网上电子交易。</w:t>
      </w:r>
    </w:p>
    <w:p w14:paraId="0738624A">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9.2 获取招标文件：按本章第3条“获取招标文件”办理。</w:t>
      </w:r>
    </w:p>
    <w:p w14:paraId="1A6C1795">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b/>
          <w:color w:val="auto"/>
          <w:sz w:val="24"/>
          <w:szCs w:val="24"/>
          <w:lang w:val="zh-CN"/>
        </w:rPr>
      </w:pPr>
      <w:r>
        <w:rPr>
          <w:rFonts w:hint="eastAsia" w:ascii="宋体" w:hAnsi="宋体" w:eastAsia="宋体" w:cs="宋体"/>
          <w:color w:val="auto"/>
          <w:sz w:val="24"/>
          <w:szCs w:val="24"/>
        </w:rPr>
        <w:t>9.3 招标文件的澄清与修改或延期的通知：按《招标文件》第三章“投标人须知”第2条“2.4 招标文件的澄清、修改、补充的通知，及相应时间变更”执行。</w:t>
      </w:r>
      <w:r>
        <w:rPr>
          <w:rFonts w:hint="eastAsia" w:ascii="宋体" w:hAnsi="宋体" w:eastAsia="宋体" w:cs="宋体"/>
          <w:b/>
          <w:color w:val="auto"/>
          <w:sz w:val="24"/>
          <w:szCs w:val="24"/>
          <w:lang w:val="zh-CN"/>
        </w:rPr>
        <w:t>不另行通知。</w:t>
      </w:r>
    </w:p>
    <w:p w14:paraId="77823794">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lang w:val="zh-CN"/>
        </w:rPr>
      </w:pPr>
      <w:r>
        <w:rPr>
          <w:rFonts w:hint="eastAsia" w:ascii="宋体" w:hAnsi="宋体" w:eastAsia="宋体" w:cs="宋体"/>
          <w:color w:val="auto"/>
          <w:sz w:val="24"/>
          <w:szCs w:val="24"/>
        </w:rPr>
        <w:t>9.4《</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文件》编制：在安阳市公共资源交易中心网站（</w:t>
      </w:r>
      <w:r>
        <w:rPr>
          <w:rFonts w:hint="eastAsia" w:ascii="宋体" w:hAnsi="宋体" w:eastAsia="宋体" w:cs="宋体"/>
          <w:color w:val="auto"/>
          <w:sz w:val="24"/>
          <w:szCs w:val="24"/>
          <w:u w:color="000000"/>
          <w:lang w:val="en-US" w:eastAsia="zh-CN" w:bidi="ar-SA"/>
        </w:rPr>
        <w:t>https://ggzy.anyang.gov.cn/</w:t>
      </w:r>
      <w:r>
        <w:rPr>
          <w:rFonts w:hint="eastAsia" w:ascii="宋体" w:hAnsi="宋体" w:eastAsia="宋体" w:cs="宋体"/>
          <w:color w:val="auto"/>
          <w:sz w:val="24"/>
          <w:szCs w:val="24"/>
        </w:rPr>
        <w:t>）下载并安装投标文件制作工具、进行编制，按《</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文件》第三章“投标人须知”第3条第7款“3.7 《</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文件》的编制”执行，</w:t>
      </w:r>
      <w:r>
        <w:rPr>
          <w:rFonts w:hint="eastAsia" w:ascii="宋体" w:hAnsi="宋体" w:eastAsia="宋体" w:cs="宋体"/>
          <w:color w:val="auto"/>
          <w:sz w:val="24"/>
          <w:szCs w:val="24"/>
          <w:lang w:val="zh-CN"/>
        </w:rPr>
        <w:t>否则将会评定为无效投标。</w:t>
      </w:r>
    </w:p>
    <w:p w14:paraId="1BAC1A6F">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b/>
          <w:bCs/>
          <w:color w:val="auto"/>
          <w:sz w:val="24"/>
          <w:szCs w:val="24"/>
        </w:rPr>
      </w:pPr>
      <w:r>
        <w:rPr>
          <w:rFonts w:hint="eastAsia" w:ascii="宋体" w:hAnsi="宋体" w:eastAsia="宋体" w:cs="宋体"/>
          <w:color w:val="auto"/>
          <w:sz w:val="24"/>
          <w:szCs w:val="24"/>
        </w:rPr>
        <w:t>9.5《</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文件》递交：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应在投标截止时间前上传加密的电子</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投标文件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（*.aytf）到安阳市公共资源交易平台。按《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》第三章“</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须知”第4条 “4.《</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》的提交”执行，</w:t>
      </w:r>
      <w:r>
        <w:rPr>
          <w:rFonts w:hint="eastAsia" w:ascii="宋体" w:hAnsi="宋体" w:eastAsia="宋体" w:cs="宋体"/>
          <w:b/>
          <w:bCs/>
          <w:color w:val="auto"/>
          <w:sz w:val="24"/>
          <w:szCs w:val="24"/>
          <w:lang w:val="zh-CN"/>
        </w:rPr>
        <w:t>否则将会评定为无效投标。</w:t>
      </w:r>
    </w:p>
    <w:p w14:paraId="22DDB69A">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9.6《</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》解密：本项目采用远程不见面交易的模式，开标当日，</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无需到开标现场参加开标会议，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应当在投标截止时间前，使用IE浏览器登录到安阳市公共资源交易不见面开标大厅，点击右上方【登录】按钮进入，在线准时参加开标活动并进行投标文件解密等。按《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》第三章“</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须知”第5条“5《</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》的开启”执行，</w:t>
      </w:r>
      <w:r>
        <w:rPr>
          <w:rFonts w:hint="eastAsia" w:ascii="宋体" w:hAnsi="宋体" w:eastAsia="宋体" w:cs="宋体"/>
          <w:b/>
          <w:bCs/>
          <w:color w:val="auto"/>
          <w:sz w:val="24"/>
          <w:szCs w:val="24"/>
          <w:lang w:val="zh-CN"/>
        </w:rPr>
        <w:t>否则其投标将不能被接受。</w:t>
      </w:r>
    </w:p>
    <w:p w14:paraId="54565924">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lang w:val="zh-CN"/>
        </w:rPr>
      </w:pPr>
      <w:r>
        <w:rPr>
          <w:rFonts w:hint="eastAsia" w:ascii="宋体" w:hAnsi="宋体" w:eastAsia="宋体" w:cs="宋体"/>
          <w:color w:val="auto"/>
          <w:sz w:val="24"/>
          <w:szCs w:val="24"/>
        </w:rPr>
        <w:t>9.7</w:t>
      </w:r>
      <w:r>
        <w:rPr>
          <w:rFonts w:hint="eastAsia" w:ascii="宋体" w:hAnsi="宋体" w:eastAsia="宋体" w:cs="宋体"/>
          <w:color w:val="auto"/>
          <w:sz w:val="24"/>
          <w:szCs w:val="24"/>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753F4E5E">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①锁名称变更前建议先在交易系统修改单位名称为最新的，变更完成后再变更锁名称，以免因名称不一致无法正常登录系统。</w:t>
      </w:r>
    </w:p>
    <w:p w14:paraId="57E84D01">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zh-CN"/>
        </w:rPr>
        <w:t>②锁延期之后序列号可能会发生改变（视不同CA而定），变更后需要重新进行绑定。</w:t>
      </w:r>
    </w:p>
    <w:p w14:paraId="73AF050D">
      <w:pPr>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rPr>
      </w:pPr>
      <w:r>
        <w:rPr>
          <w:rFonts w:hint="eastAsia" w:ascii="宋体" w:hAnsi="宋体" w:eastAsia="宋体" w:cs="宋体"/>
          <w:color w:val="auto"/>
          <w:sz w:val="24"/>
          <w:szCs w:val="24"/>
        </w:rPr>
        <w:t>9.8政府采购电子交易中，投标人网上电子交易的系统操作规则应以安阳市公共资源交易平台即时发布的相关规则为准。</w:t>
      </w:r>
    </w:p>
    <w:p w14:paraId="2A5063BB">
      <w:pPr>
        <w:pageBreakBefore w:val="0"/>
        <w:widowControl w:val="0"/>
        <w:kinsoku/>
        <w:wordWrap/>
        <w:overflowPunct/>
        <w:topLinePunct w:val="0"/>
        <w:autoSpaceDE/>
        <w:autoSpaceDN/>
        <w:bidi w:val="0"/>
        <w:adjustRightInd w:val="0"/>
        <w:snapToGrid w:val="0"/>
        <w:spacing w:line="440" w:lineRule="exact"/>
        <w:ind w:firstLine="540" w:firstLineChars="225"/>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望投标人充分熟悉网上电子交易操作流程、以便有效投标。</w:t>
      </w:r>
    </w:p>
    <w:p w14:paraId="2F85E350">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 如遇到网上系统操作等技术问题请咨询400-998-0000、0372-3387739。</w:t>
      </w:r>
    </w:p>
    <w:p w14:paraId="1F272661">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220" w:firstLineChars="2175"/>
        <w:jc w:val="right"/>
        <w:rPr>
          <w:rFonts w:hint="eastAsia" w:ascii="宋体" w:hAnsi="宋体" w:eastAsia="宋体" w:cs="宋体"/>
          <w:color w:val="auto"/>
          <w:sz w:val="24"/>
          <w:szCs w:val="24"/>
          <w:lang w:eastAsia="zh-CN"/>
        </w:rPr>
      </w:pPr>
    </w:p>
    <w:p w14:paraId="1B0D98B3">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ind w:firstLine="5220" w:firstLineChars="2175"/>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河南众鼎招标代理有限公司</w:t>
      </w:r>
    </w:p>
    <w:p w14:paraId="4BEC508B">
      <w:pPr>
        <w:keepNext w:val="0"/>
        <w:keepLines w:val="0"/>
        <w:pageBreakBefore w:val="0"/>
        <w:widowControl w:val="0"/>
        <w:tabs>
          <w:tab w:val="left" w:pos="39"/>
          <w:tab w:val="left" w:pos="96"/>
        </w:tabs>
        <w:kinsoku/>
        <w:wordWrap/>
        <w:overflowPunct/>
        <w:topLinePunct w:val="0"/>
        <w:autoSpaceDE/>
        <w:autoSpaceDN/>
        <w:bidi w:val="0"/>
        <w:snapToGrid w:val="0"/>
        <w:spacing w:line="440" w:lineRule="exact"/>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二〇二</w:t>
      </w:r>
      <w:r>
        <w:rPr>
          <w:rFonts w:hint="eastAsia" w:cs="宋体"/>
          <w:color w:val="auto"/>
          <w:sz w:val="24"/>
          <w:szCs w:val="24"/>
          <w:lang w:val="en-US" w:eastAsia="zh-CN"/>
        </w:rPr>
        <w:t>五</w:t>
      </w:r>
      <w:r>
        <w:rPr>
          <w:rFonts w:hint="eastAsia" w:ascii="宋体" w:hAnsi="宋体" w:eastAsia="宋体" w:cs="宋体"/>
          <w:color w:val="auto"/>
          <w:sz w:val="24"/>
          <w:szCs w:val="24"/>
        </w:rPr>
        <w:t>年</w:t>
      </w:r>
      <w:r>
        <w:rPr>
          <w:rFonts w:hint="eastAsia" w:cs="宋体"/>
          <w:color w:val="auto"/>
          <w:sz w:val="24"/>
          <w:szCs w:val="24"/>
          <w:lang w:val="en-US" w:eastAsia="zh-CN"/>
        </w:rPr>
        <w:t>十二</w:t>
      </w:r>
      <w:r>
        <w:rPr>
          <w:rFonts w:hint="eastAsia" w:ascii="宋体" w:hAnsi="宋体" w:eastAsia="宋体" w:cs="宋体"/>
          <w:color w:val="auto"/>
          <w:sz w:val="24"/>
          <w:szCs w:val="24"/>
        </w:rPr>
        <w:t>月</w:t>
      </w:r>
      <w:r>
        <w:rPr>
          <w:rFonts w:hint="eastAsia" w:cs="宋体"/>
          <w:color w:val="auto"/>
          <w:sz w:val="24"/>
          <w:szCs w:val="24"/>
          <w:lang w:val="en-US" w:eastAsia="zh-CN"/>
        </w:rPr>
        <w:t>十</w:t>
      </w:r>
      <w:r>
        <w:rPr>
          <w:rFonts w:hint="eastAsia" w:ascii="宋体" w:hAnsi="宋体" w:eastAsia="宋体" w:cs="宋体"/>
          <w:color w:val="auto"/>
          <w:sz w:val="24"/>
          <w:szCs w:val="24"/>
        </w:rPr>
        <w:t>日</w:t>
      </w:r>
    </w:p>
    <w:p w14:paraId="0408EFC6">
      <w:pPr>
        <w:rPr>
          <w:rFonts w:hint="eastAsia" w:ascii="宋体" w:hAnsi="宋体" w:eastAsia="宋体" w:cs="宋体"/>
          <w:b/>
          <w:color w:val="auto"/>
          <w:sz w:val="36"/>
          <w:szCs w:val="36"/>
        </w:rPr>
      </w:pPr>
      <w:bookmarkStart w:id="27" w:name="_Toc121491740"/>
      <w:r>
        <w:rPr>
          <w:rFonts w:hint="eastAsia" w:ascii="宋体" w:hAnsi="宋体" w:eastAsia="宋体" w:cs="宋体"/>
          <w:b/>
          <w:color w:val="auto"/>
          <w:sz w:val="36"/>
          <w:szCs w:val="36"/>
        </w:rPr>
        <w:br w:type="page"/>
      </w:r>
    </w:p>
    <w:p w14:paraId="482D908B">
      <w:pPr>
        <w:pStyle w:val="2"/>
        <w:bidi w:val="0"/>
        <w:rPr>
          <w:rFonts w:hint="eastAsia"/>
          <w:color w:val="auto"/>
        </w:rPr>
      </w:pPr>
      <w:bookmarkStart w:id="28" w:name="_Toc12665"/>
      <w:r>
        <w:rPr>
          <w:rFonts w:hint="eastAsia"/>
          <w:color w:val="auto"/>
        </w:rPr>
        <w:t>第二章  招标项目要求及采购需求</w:t>
      </w:r>
      <w:bookmarkEnd w:id="27"/>
      <w:bookmarkEnd w:id="28"/>
    </w:p>
    <w:p w14:paraId="72F3D444">
      <w:pPr>
        <w:pStyle w:val="3"/>
        <w:pageBreakBefore w:val="0"/>
        <w:kinsoku/>
        <w:wordWrap/>
        <w:overflowPunct/>
        <w:topLinePunct w:val="0"/>
        <w:autoSpaceDE/>
        <w:autoSpaceDN/>
        <w:bidi w:val="0"/>
        <w:spacing w:line="440" w:lineRule="exact"/>
        <w:ind w:left="0"/>
        <w:rPr>
          <w:rFonts w:hint="eastAsia"/>
          <w:color w:val="auto"/>
        </w:rPr>
      </w:pPr>
      <w:bookmarkStart w:id="29" w:name="_Toc26795"/>
      <w:bookmarkStart w:id="30" w:name="_Toc121491741"/>
      <w:r>
        <w:rPr>
          <w:rFonts w:hint="eastAsia"/>
          <w:color w:val="auto"/>
        </w:rPr>
        <w:t>1. 招标项目、标段（包）划分、投标报价</w:t>
      </w:r>
      <w:bookmarkEnd w:id="29"/>
      <w:bookmarkEnd w:id="30"/>
    </w:p>
    <w:p w14:paraId="6C06629C">
      <w:pPr>
        <w:keepNext w:val="0"/>
        <w:keepLines w:val="0"/>
        <w:pageBreakBefore w:val="0"/>
        <w:widowControl w:val="0"/>
        <w:kinsoku/>
        <w:wordWrap/>
        <w:overflowPunct/>
        <w:topLinePunct w:val="0"/>
        <w:autoSpaceDE/>
        <w:autoSpaceDN/>
        <w:bidi w:val="0"/>
        <w:snapToGrid w:val="0"/>
        <w:spacing w:line="440" w:lineRule="exact"/>
        <w:ind w:left="0" w:firstLine="482" w:firstLineChars="200"/>
        <w:jc w:val="left"/>
        <w:textAlignment w:val="baseline"/>
        <w:rPr>
          <w:rFonts w:hint="eastAsia" w:cs="宋体"/>
          <w:color w:val="auto"/>
          <w:sz w:val="24"/>
          <w:szCs w:val="24"/>
          <w:lang w:eastAsia="zh-CN"/>
        </w:rPr>
      </w:pPr>
      <w:r>
        <w:rPr>
          <w:rFonts w:hint="eastAsia" w:ascii="宋体" w:hAnsi="宋体" w:eastAsia="宋体" w:cs="宋体"/>
          <w:b/>
          <w:color w:val="auto"/>
          <w:sz w:val="24"/>
          <w:szCs w:val="24"/>
        </w:rPr>
        <w:t>1.1招标项目名称</w:t>
      </w:r>
      <w:r>
        <w:rPr>
          <w:rFonts w:hint="eastAsia" w:ascii="宋体" w:hAnsi="宋体" w:eastAsia="宋体" w:cs="宋体"/>
          <w:color w:val="auto"/>
          <w:sz w:val="24"/>
          <w:szCs w:val="24"/>
        </w:rPr>
        <w:t>：</w:t>
      </w:r>
      <w:r>
        <w:rPr>
          <w:rFonts w:hint="eastAsia" w:cs="宋体"/>
          <w:color w:val="auto"/>
          <w:sz w:val="24"/>
          <w:szCs w:val="24"/>
          <w:lang w:eastAsia="zh-CN"/>
        </w:rPr>
        <w:t>安阳市妇幼保健院危重新生儿救治中心建设</w:t>
      </w:r>
    </w:p>
    <w:p w14:paraId="7E5696AE">
      <w:pPr>
        <w:keepNext w:val="0"/>
        <w:keepLines w:val="0"/>
        <w:pageBreakBefore w:val="0"/>
        <w:widowControl w:val="0"/>
        <w:kinsoku/>
        <w:wordWrap/>
        <w:overflowPunct/>
        <w:topLinePunct w:val="0"/>
        <w:autoSpaceDE/>
        <w:autoSpaceDN/>
        <w:bidi w:val="0"/>
        <w:snapToGrid w:val="0"/>
        <w:spacing w:line="440" w:lineRule="exact"/>
        <w:ind w:left="0" w:firstLine="2640" w:firstLineChars="1100"/>
        <w:jc w:val="left"/>
        <w:textAlignment w:val="baseline"/>
        <w:rPr>
          <w:rFonts w:hint="default" w:cs="宋体"/>
          <w:color w:val="auto"/>
          <w:sz w:val="24"/>
          <w:szCs w:val="24"/>
          <w:lang w:val="en-US" w:eastAsia="zh-CN"/>
        </w:rPr>
      </w:pPr>
      <w:r>
        <w:rPr>
          <w:rFonts w:hint="eastAsia" w:cs="宋体"/>
          <w:color w:val="auto"/>
          <w:sz w:val="24"/>
          <w:szCs w:val="24"/>
          <w:lang w:eastAsia="zh-CN"/>
        </w:rPr>
        <w:t>急救生命支持类设备采购项目（</w:t>
      </w:r>
      <w:r>
        <w:rPr>
          <w:rFonts w:hint="eastAsia" w:cs="宋体"/>
          <w:color w:val="auto"/>
          <w:sz w:val="24"/>
          <w:szCs w:val="24"/>
          <w:lang w:val="en-US" w:eastAsia="zh-CN"/>
        </w:rPr>
        <w:t>二次）</w:t>
      </w:r>
    </w:p>
    <w:p w14:paraId="51D05DB9">
      <w:pPr>
        <w:keepNext w:val="0"/>
        <w:keepLines w:val="0"/>
        <w:pageBreakBefore w:val="0"/>
        <w:widowControl w:val="0"/>
        <w:kinsoku/>
        <w:wordWrap/>
        <w:overflowPunct/>
        <w:topLinePunct w:val="0"/>
        <w:autoSpaceDE/>
        <w:autoSpaceDN/>
        <w:bidi w:val="0"/>
        <w:snapToGrid w:val="0"/>
        <w:spacing w:line="440" w:lineRule="exact"/>
        <w:ind w:left="0"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1.2 标段（包）划分及其交付（实施）期交付（实施）地点</w:t>
      </w:r>
      <w:r>
        <w:rPr>
          <w:rFonts w:hint="eastAsia" w:ascii="宋体" w:hAnsi="宋体" w:eastAsia="宋体" w:cs="宋体"/>
          <w:color w:val="auto"/>
          <w:sz w:val="24"/>
          <w:szCs w:val="24"/>
        </w:rPr>
        <w:t>：本次招标项目划分为1个标段（包）。</w:t>
      </w:r>
    </w:p>
    <w:tbl>
      <w:tblPr>
        <w:tblStyle w:val="23"/>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1985"/>
        <w:gridCol w:w="2551"/>
        <w:gridCol w:w="2084"/>
        <w:gridCol w:w="1493"/>
      </w:tblGrid>
      <w:tr w14:paraId="2101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0248" w:type="dxa"/>
            <w:gridSpan w:val="5"/>
            <w:tcBorders>
              <w:top w:val="single" w:color="auto" w:sz="4" w:space="0"/>
              <w:left w:val="single" w:color="auto" w:sz="4" w:space="0"/>
              <w:bottom w:val="single" w:color="auto" w:sz="4" w:space="0"/>
              <w:right w:val="single" w:color="auto" w:sz="4" w:space="0"/>
            </w:tcBorders>
            <w:vAlign w:val="center"/>
          </w:tcPr>
          <w:p w14:paraId="4A4BFEB3">
            <w:pPr>
              <w:keepNext w:val="0"/>
              <w:keepLines w:val="0"/>
              <w:pageBreakBefore w:val="0"/>
              <w:widowControl w:val="0"/>
              <w:kinsoku/>
              <w:wordWrap/>
              <w:overflowPunct/>
              <w:topLinePunct w:val="0"/>
              <w:autoSpaceDE/>
              <w:autoSpaceDN/>
              <w:bidi w:val="0"/>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标段（包）一览表</w:t>
            </w:r>
          </w:p>
        </w:tc>
      </w:tr>
      <w:tr w14:paraId="0C7E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135" w:type="dxa"/>
            <w:vAlign w:val="center"/>
          </w:tcPr>
          <w:p w14:paraId="2C5209AA">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985" w:type="dxa"/>
            <w:vAlign w:val="center"/>
          </w:tcPr>
          <w:p w14:paraId="69E1C358">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标段（包）名称</w:t>
            </w:r>
          </w:p>
        </w:tc>
        <w:tc>
          <w:tcPr>
            <w:tcW w:w="2551" w:type="dxa"/>
            <w:vAlign w:val="center"/>
          </w:tcPr>
          <w:p w14:paraId="30428D90">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标段（包）内容（范围）</w:t>
            </w:r>
          </w:p>
        </w:tc>
        <w:tc>
          <w:tcPr>
            <w:tcW w:w="2084" w:type="dxa"/>
            <w:vAlign w:val="center"/>
          </w:tcPr>
          <w:p w14:paraId="0E2F3E8C">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合同履行期限</w:t>
            </w:r>
          </w:p>
          <w:p w14:paraId="23E12D6B">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（交付&lt;实施&gt;期）</w:t>
            </w:r>
          </w:p>
        </w:tc>
        <w:tc>
          <w:tcPr>
            <w:tcW w:w="1493" w:type="dxa"/>
            <w:vAlign w:val="center"/>
          </w:tcPr>
          <w:p w14:paraId="4BD87EB9">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交付（实施）地点</w:t>
            </w:r>
          </w:p>
        </w:tc>
      </w:tr>
      <w:tr w14:paraId="7A8F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135" w:type="dxa"/>
            <w:vAlign w:val="center"/>
          </w:tcPr>
          <w:p w14:paraId="3F549669">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default" w:ascii="宋体" w:hAnsi="宋体" w:eastAsia="宋体" w:cs="宋体"/>
                <w:color w:val="auto"/>
                <w:sz w:val="24"/>
                <w:szCs w:val="24"/>
                <w:lang w:val="en-US" w:eastAsia="zh-CN"/>
              </w:rPr>
            </w:pPr>
            <w:r>
              <w:rPr>
                <w:rFonts w:hint="eastAsia" w:cs="宋体"/>
                <w:color w:val="auto"/>
                <w:sz w:val="24"/>
                <w:szCs w:val="24"/>
                <w:lang w:eastAsia="zh-CN"/>
              </w:rPr>
              <w:t>安阳市妇幼保健院危重新生儿救治中心建设急救生命支持类设备采购项目（</w:t>
            </w:r>
            <w:r>
              <w:rPr>
                <w:rFonts w:hint="eastAsia" w:cs="宋体"/>
                <w:color w:val="auto"/>
                <w:sz w:val="24"/>
                <w:szCs w:val="24"/>
                <w:lang w:val="en-US" w:eastAsia="zh-CN"/>
              </w:rPr>
              <w:t>二次）</w:t>
            </w:r>
          </w:p>
        </w:tc>
        <w:tc>
          <w:tcPr>
            <w:tcW w:w="1985" w:type="dxa"/>
            <w:vAlign w:val="center"/>
          </w:tcPr>
          <w:p w14:paraId="15658E03">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同项目名称</w:t>
            </w:r>
          </w:p>
        </w:tc>
        <w:tc>
          <w:tcPr>
            <w:tcW w:w="2551" w:type="dxa"/>
            <w:vAlign w:val="center"/>
          </w:tcPr>
          <w:p w14:paraId="71F910C0">
            <w:pPr>
              <w:keepNext w:val="0"/>
              <w:keepLines w:val="0"/>
              <w:pageBreakBefore w:val="0"/>
              <w:widowControl w:val="0"/>
              <w:kinsoku/>
              <w:wordWrap/>
              <w:overflowPunct/>
              <w:topLinePunct w:val="0"/>
              <w:autoSpaceDE/>
              <w:autoSpaceDN/>
              <w:bidi w:val="0"/>
              <w:adjustRightInd/>
              <w:snapToGrid w:val="0"/>
              <w:spacing w:line="440" w:lineRule="exact"/>
              <w:ind w:left="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见“第二章第2条：标段（包）内容（范围）及具体采购需求”</w:t>
            </w:r>
          </w:p>
        </w:tc>
        <w:tc>
          <w:tcPr>
            <w:tcW w:w="2084" w:type="dxa"/>
            <w:vAlign w:val="center"/>
          </w:tcPr>
          <w:p w14:paraId="2B9FC844">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合同签订</w:t>
            </w:r>
            <w:r>
              <w:rPr>
                <w:rFonts w:hint="eastAsia" w:ascii="宋体" w:hAnsi="宋体" w:eastAsia="宋体" w:cs="宋体"/>
                <w:color w:val="auto"/>
                <w:sz w:val="24"/>
                <w:szCs w:val="24"/>
                <w:lang w:val="en-US" w:eastAsia="zh-CN"/>
              </w:rPr>
              <w:t>后，接到采购人通知60</w:t>
            </w:r>
            <w:r>
              <w:rPr>
                <w:rFonts w:hint="eastAsia" w:ascii="宋体" w:hAnsi="宋体" w:eastAsia="宋体" w:cs="宋体"/>
                <w:color w:val="auto"/>
                <w:sz w:val="24"/>
                <w:szCs w:val="24"/>
              </w:rPr>
              <w:t>日内</w:t>
            </w:r>
            <w:r>
              <w:rPr>
                <w:rFonts w:hint="eastAsia" w:ascii="宋体" w:hAnsi="宋体" w:eastAsia="宋体" w:cs="宋体"/>
                <w:color w:val="auto"/>
                <w:sz w:val="24"/>
                <w:szCs w:val="24"/>
                <w:lang w:val="en-US" w:eastAsia="zh-CN"/>
              </w:rPr>
              <w:t>安装调试完毕</w:t>
            </w:r>
          </w:p>
        </w:tc>
        <w:tc>
          <w:tcPr>
            <w:tcW w:w="1493" w:type="dxa"/>
            <w:vAlign w:val="center"/>
          </w:tcPr>
          <w:p w14:paraId="29E71317">
            <w:pPr>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采购人指定地点</w:t>
            </w:r>
          </w:p>
        </w:tc>
      </w:tr>
    </w:tbl>
    <w:p w14:paraId="05C5BB05">
      <w:pPr>
        <w:keepNext w:val="0"/>
        <w:keepLines w:val="0"/>
        <w:pageBreakBefore w:val="0"/>
        <w:kinsoku/>
        <w:wordWrap/>
        <w:overflowPunct/>
        <w:topLinePunct w:val="0"/>
        <w:autoSpaceDE/>
        <w:autoSpaceDN/>
        <w:bidi w:val="0"/>
        <w:adjustRightInd/>
        <w:spacing w:line="440" w:lineRule="exact"/>
        <w:ind w:left="0"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1.3 投标报价（价格构成）</w:t>
      </w:r>
    </w:p>
    <w:p w14:paraId="7382A623">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1.3.1 投标人的投标报价应为达到正常使用条件下的</w:t>
      </w:r>
      <w:r>
        <w:rPr>
          <w:rFonts w:hint="eastAsia" w:cs="宋体"/>
          <w:color w:val="auto"/>
          <w:sz w:val="24"/>
          <w:szCs w:val="24"/>
          <w:lang w:val="en-US" w:eastAsia="zh-CN"/>
        </w:rPr>
        <w:t>完工</w:t>
      </w:r>
      <w:r>
        <w:rPr>
          <w:rFonts w:hint="eastAsia" w:ascii="宋体" w:hAnsi="宋体" w:eastAsia="宋体" w:cs="宋体"/>
          <w:color w:val="auto"/>
          <w:sz w:val="24"/>
          <w:szCs w:val="24"/>
        </w:rPr>
        <w:t>交验价，包括产品价款、相关税款、备品备件价、易损件价、专用工具价、</w:t>
      </w:r>
      <w:r>
        <w:rPr>
          <w:rFonts w:hint="eastAsia" w:cs="宋体"/>
          <w:color w:val="auto"/>
          <w:sz w:val="24"/>
          <w:szCs w:val="24"/>
          <w:lang w:val="en-US" w:eastAsia="zh-CN"/>
        </w:rPr>
        <w:t>安装调试费、培训费、</w:t>
      </w:r>
      <w:r>
        <w:rPr>
          <w:rFonts w:hint="eastAsia" w:ascii="宋体" w:hAnsi="宋体" w:eastAsia="宋体" w:cs="宋体"/>
          <w:color w:val="auto"/>
          <w:sz w:val="24"/>
          <w:szCs w:val="24"/>
        </w:rPr>
        <w:t>售后及技术服务费、知识产权（如有）、保险（如需）、货物包装及运送到安阳地区指定地点的运杂费、装卸费等与招标项目相关的、必须的款项及费用（包括未列明而完成交验所必须的所有设备、材料、工具、费用）。中标价格在中标合同范围内固定不变。</w:t>
      </w:r>
    </w:p>
    <w:p w14:paraId="2F1B6685">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投标报价为一次性报价，报价时间截止后对投标报价的任何承诺、修改，除法定修正或招标文件规定修正情形外，评标委员会将不予考虑。</w:t>
      </w:r>
    </w:p>
    <w:p w14:paraId="6111A47C">
      <w:pPr>
        <w:keepNext w:val="0"/>
        <w:keepLines w:val="0"/>
        <w:pageBreakBefore w:val="0"/>
        <w:widowControl w:val="0"/>
        <w:kinsoku/>
        <w:wordWrap/>
        <w:overflowPunct/>
        <w:topLinePunct w:val="0"/>
        <w:autoSpaceDE/>
        <w:autoSpaceDN/>
        <w:bidi w:val="0"/>
        <w:adjustRightInd/>
        <w:snapToGrid w:val="0"/>
        <w:spacing w:line="440" w:lineRule="exact"/>
        <w:ind w:left="0" w:firstLine="482"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1.3.3 如投标人的投标报价未超过</w:t>
      </w:r>
      <w:r>
        <w:rPr>
          <w:rFonts w:hint="eastAsia" w:ascii="宋体" w:hAnsi="宋体" w:eastAsia="宋体" w:cs="宋体"/>
          <w:b/>
          <w:bCs/>
          <w:color w:val="auto"/>
          <w:sz w:val="24"/>
          <w:lang w:val="zh-CN"/>
        </w:rPr>
        <w:t>预算金额</w:t>
      </w:r>
      <w:r>
        <w:rPr>
          <w:rFonts w:hint="eastAsia" w:ascii="宋体" w:hAnsi="宋体" w:eastAsia="宋体" w:cs="宋体"/>
          <w:b/>
          <w:bCs/>
          <w:color w:val="auto"/>
          <w:sz w:val="24"/>
          <w:lang w:val="zh-CN" w:eastAsia="zh-CN"/>
        </w:rPr>
        <w:t>未超过最高限价</w:t>
      </w:r>
      <w:r>
        <w:rPr>
          <w:rFonts w:hint="eastAsia" w:ascii="宋体" w:hAnsi="宋体" w:eastAsia="宋体" w:cs="宋体"/>
          <w:b/>
          <w:bCs/>
          <w:color w:val="auto"/>
          <w:sz w:val="24"/>
          <w:szCs w:val="24"/>
        </w:rPr>
        <w:t>（见招标公告）的</w:t>
      </w:r>
      <w:r>
        <w:rPr>
          <w:rFonts w:hint="eastAsia" w:cs="宋体"/>
          <w:b/>
          <w:bCs/>
          <w:color w:val="auto"/>
          <w:sz w:val="24"/>
          <w:szCs w:val="24"/>
          <w:lang w:eastAsia="zh-CN"/>
        </w:rPr>
        <w:t>投标人</w:t>
      </w:r>
      <w:r>
        <w:rPr>
          <w:rFonts w:hint="eastAsia" w:ascii="宋体" w:hAnsi="宋体" w:eastAsia="宋体" w:cs="宋体"/>
          <w:b/>
          <w:bCs/>
          <w:color w:val="auto"/>
          <w:sz w:val="24"/>
          <w:szCs w:val="24"/>
        </w:rPr>
        <w:t>不足三家的，该标段（包）做废标处理。</w:t>
      </w:r>
    </w:p>
    <w:p w14:paraId="5714D17B">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1.3.4 遵循第三章投标人须知3.7.5项规定。</w:t>
      </w:r>
    </w:p>
    <w:p w14:paraId="3DBF2F5E">
      <w:pPr>
        <w:pStyle w:val="3"/>
        <w:pageBreakBefore w:val="0"/>
        <w:kinsoku/>
        <w:wordWrap/>
        <w:overflowPunct/>
        <w:topLinePunct w:val="0"/>
        <w:autoSpaceDE/>
        <w:autoSpaceDN/>
        <w:bidi w:val="0"/>
        <w:spacing w:line="440" w:lineRule="exact"/>
        <w:ind w:left="0"/>
        <w:rPr>
          <w:rFonts w:hint="eastAsia"/>
          <w:color w:val="auto"/>
        </w:rPr>
      </w:pPr>
      <w:bookmarkStart w:id="31" w:name="_Toc121491742"/>
      <w:bookmarkStart w:id="32" w:name="_Toc4415"/>
      <w:r>
        <w:rPr>
          <w:rFonts w:hint="eastAsia"/>
          <w:color w:val="auto"/>
        </w:rPr>
        <w:t>2. 标段（包）内容（范围）及具体采购需求</w:t>
      </w:r>
      <w:bookmarkEnd w:id="31"/>
      <w:bookmarkEnd w:id="32"/>
    </w:p>
    <w:p w14:paraId="4F172A47">
      <w:pPr>
        <w:keepNext w:val="0"/>
        <w:keepLines w:val="0"/>
        <w:pageBreakBefore w:val="0"/>
        <w:kinsoku/>
        <w:wordWrap/>
        <w:overflowPunct/>
        <w:topLinePunct w:val="0"/>
        <w:autoSpaceDE/>
        <w:autoSpaceDN/>
        <w:bidi w:val="0"/>
        <w:spacing w:line="440" w:lineRule="exact"/>
        <w:ind w:left="0"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2.1采购标的需实现的功能或者目标，标段（包）总体范围：</w:t>
      </w:r>
      <w:r>
        <w:rPr>
          <w:rFonts w:hint="eastAsia" w:ascii="宋体" w:hAnsi="宋体" w:eastAsia="宋体" w:cs="宋体"/>
          <w:color w:val="auto"/>
          <w:sz w:val="24"/>
          <w:szCs w:val="24"/>
        </w:rPr>
        <w:t xml:space="preserve"> </w:t>
      </w:r>
    </w:p>
    <w:p w14:paraId="6788D526">
      <w:pPr>
        <w:keepNext w:val="0"/>
        <w:keepLines w:val="0"/>
        <w:pageBreakBefore w:val="0"/>
        <w:kinsoku/>
        <w:wordWrap/>
        <w:overflowPunct/>
        <w:topLinePunct w:val="0"/>
        <w:autoSpaceDE/>
        <w:autoSpaceDN/>
        <w:bidi w:val="0"/>
        <w:adjustRightInd w:val="0"/>
        <w:snapToGrid w:val="0"/>
        <w:spacing w:line="440" w:lineRule="exact"/>
        <w:ind w:left="0"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按时保质保量满足采购人正常工作需要。</w:t>
      </w:r>
    </w:p>
    <w:p w14:paraId="6AE7E756">
      <w:pPr>
        <w:keepNext w:val="0"/>
        <w:keepLines w:val="0"/>
        <w:pageBreakBefore w:val="0"/>
        <w:kinsoku/>
        <w:wordWrap/>
        <w:overflowPunct/>
        <w:topLinePunct w:val="0"/>
        <w:autoSpaceDE/>
        <w:autoSpaceDN/>
        <w:bidi w:val="0"/>
        <w:adjustRightInd w:val="0"/>
        <w:snapToGrid w:val="0"/>
        <w:spacing w:line="440" w:lineRule="exact"/>
        <w:ind w:left="0"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szCs w:val="24"/>
        </w:rPr>
        <w:t>中标人负责设备的安装、调试，并具备正常使用条件。</w:t>
      </w:r>
    </w:p>
    <w:p w14:paraId="6891AE17">
      <w:pPr>
        <w:keepNext w:val="0"/>
        <w:keepLines w:val="0"/>
        <w:pageBreakBefore w:val="0"/>
        <w:kinsoku/>
        <w:wordWrap/>
        <w:overflowPunct/>
        <w:topLinePunct w:val="0"/>
        <w:autoSpaceDE/>
        <w:autoSpaceDN/>
        <w:bidi w:val="0"/>
        <w:adjustRightInd w:val="0"/>
        <w:snapToGrid w:val="0"/>
        <w:spacing w:line="440" w:lineRule="exact"/>
        <w:ind w:left="0"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2.2 项目落实的政府采购政策（法规标准条款）</w:t>
      </w:r>
    </w:p>
    <w:p w14:paraId="5FA7AC77">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2.2.1 政府采购节能产品、环境标志产品实施品目清单管理后，对本次采购产品属于“节能产品政府采购品目清单”中强制采购品目的，投标产品应当具有相应的认证证书（认证证书应当为国家确定的认证机构出具</w:t>
      </w:r>
      <w:r>
        <w:rPr>
          <w:rFonts w:hint="eastAsia" w:cs="宋体"/>
          <w:color w:val="auto"/>
          <w:sz w:val="24"/>
          <w:szCs w:val="24"/>
          <w:lang w:eastAsia="zh-CN"/>
        </w:rPr>
        <w:t>且</w:t>
      </w:r>
      <w:r>
        <w:rPr>
          <w:rFonts w:hint="eastAsia" w:ascii="宋体" w:hAnsi="宋体" w:eastAsia="宋体" w:cs="宋体"/>
          <w:color w:val="auto"/>
          <w:sz w:val="24"/>
          <w:szCs w:val="24"/>
        </w:rPr>
        <w:t>应处于有效期之内），</w:t>
      </w:r>
      <w:r>
        <w:rPr>
          <w:rFonts w:hint="eastAsia" w:cs="宋体"/>
          <w:color w:val="auto"/>
          <w:sz w:val="24"/>
          <w:szCs w:val="24"/>
          <w:lang w:val="en-US" w:eastAsia="zh-CN"/>
        </w:rPr>
        <w:t>《</w:t>
      </w:r>
      <w:r>
        <w:rPr>
          <w:rFonts w:hint="eastAsia" w:ascii="宋体" w:hAnsi="宋体" w:eastAsia="宋体" w:cs="宋体"/>
          <w:color w:val="auto"/>
          <w:sz w:val="24"/>
          <w:szCs w:val="24"/>
        </w:rPr>
        <w:t>投标文件</w:t>
      </w:r>
      <w:r>
        <w:rPr>
          <w:rFonts w:hint="eastAsia" w:cs="宋体"/>
          <w:color w:val="auto"/>
          <w:sz w:val="24"/>
          <w:szCs w:val="24"/>
          <w:lang w:val="en-US" w:eastAsia="zh-CN"/>
        </w:rPr>
        <w:t>》</w:t>
      </w:r>
      <w:r>
        <w:rPr>
          <w:rFonts w:hint="eastAsia" w:ascii="宋体" w:hAnsi="宋体" w:eastAsia="宋体" w:cs="宋体"/>
          <w:color w:val="auto"/>
          <w:sz w:val="24"/>
          <w:szCs w:val="24"/>
        </w:rPr>
        <w:t>中应当提供相应的认证证书（认证证书应当为国家确定的认证机构出具</w:t>
      </w:r>
      <w:r>
        <w:rPr>
          <w:rFonts w:hint="eastAsia" w:cs="宋体"/>
          <w:color w:val="auto"/>
          <w:sz w:val="24"/>
          <w:szCs w:val="24"/>
          <w:lang w:eastAsia="zh-CN"/>
        </w:rPr>
        <w:t>且</w:t>
      </w:r>
      <w:r>
        <w:rPr>
          <w:rFonts w:hint="eastAsia" w:ascii="宋体" w:hAnsi="宋体" w:eastAsia="宋体" w:cs="宋体"/>
          <w:color w:val="auto"/>
          <w:sz w:val="24"/>
          <w:szCs w:val="24"/>
        </w:rPr>
        <w:t>应处于有效期之内）。</w:t>
      </w:r>
    </w:p>
    <w:p w14:paraId="4B70CC2F">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属于政府强制采购品目</w:t>
      </w:r>
      <w:r>
        <w:rPr>
          <w:rFonts w:hint="eastAsia" w:cs="宋体"/>
          <w:color w:val="auto"/>
          <w:sz w:val="24"/>
          <w:szCs w:val="24"/>
          <w:lang w:eastAsia="zh-CN"/>
        </w:rPr>
        <w:t>，而</w:t>
      </w:r>
      <w:r>
        <w:rPr>
          <w:rFonts w:hint="eastAsia" w:ascii="宋体" w:hAnsi="宋体" w:eastAsia="宋体" w:cs="宋体"/>
          <w:color w:val="auto"/>
          <w:sz w:val="24"/>
          <w:szCs w:val="24"/>
        </w:rPr>
        <w:t>未按要求提供相应资料的，</w:t>
      </w:r>
      <w:r>
        <w:rPr>
          <w:rFonts w:hint="eastAsia" w:ascii="宋体" w:hAnsi="宋体" w:eastAsia="宋体" w:cs="宋体"/>
          <w:b/>
          <w:color w:val="auto"/>
          <w:sz w:val="24"/>
          <w:szCs w:val="24"/>
        </w:rPr>
        <w:t>为无效投标</w:t>
      </w:r>
      <w:r>
        <w:rPr>
          <w:rFonts w:hint="eastAsia" w:ascii="宋体" w:hAnsi="宋体" w:eastAsia="宋体" w:cs="宋体"/>
          <w:color w:val="auto"/>
          <w:sz w:val="24"/>
          <w:szCs w:val="24"/>
        </w:rPr>
        <w:t>。</w:t>
      </w:r>
    </w:p>
    <w:p w14:paraId="161004B8">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2.2.2 同等条件下，获得节能产品认证证书或环境标志产品认证证书的产品优先采购。(认证证书应当为国家确定的认证机构出具</w:t>
      </w:r>
      <w:r>
        <w:rPr>
          <w:rFonts w:hint="eastAsia" w:cs="宋体"/>
          <w:color w:val="auto"/>
          <w:sz w:val="24"/>
          <w:szCs w:val="24"/>
          <w:lang w:eastAsia="zh-CN"/>
        </w:rPr>
        <w:t>且</w:t>
      </w:r>
      <w:r>
        <w:rPr>
          <w:rFonts w:hint="eastAsia" w:ascii="宋体" w:hAnsi="宋体" w:eastAsia="宋体" w:cs="宋体"/>
          <w:color w:val="auto"/>
          <w:sz w:val="24"/>
          <w:szCs w:val="24"/>
        </w:rPr>
        <w:t>应处于有效期之内。)</w:t>
      </w:r>
    </w:p>
    <w:p w14:paraId="52AEFB15">
      <w:pPr>
        <w:keepNext w:val="0"/>
        <w:keepLines w:val="0"/>
        <w:pageBreakBefore w:val="0"/>
        <w:kinsoku/>
        <w:wordWrap/>
        <w:overflowPunct/>
        <w:topLinePunct w:val="0"/>
        <w:autoSpaceDE/>
        <w:autoSpaceDN/>
        <w:bidi w:val="0"/>
        <w:adjustRightInd w:val="0"/>
        <w:snapToGrid w:val="0"/>
        <w:spacing w:line="440" w:lineRule="exact"/>
        <w:ind w:left="0"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2.2.3 本次采购不允许进口产品参加。</w:t>
      </w:r>
    </w:p>
    <w:p w14:paraId="59ECBB10">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2.2.4信息安全产品须通过国家信息安全认证中心认证，计算机产品须预装正版操作系统软件。</w:t>
      </w:r>
    </w:p>
    <w:p w14:paraId="770D8208">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2.2.5 促进中小企业发展扶持政策：见第四章“评审办法”第4条。</w:t>
      </w:r>
    </w:p>
    <w:p w14:paraId="508A340A">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2.2.6促进残疾人就业、支持监狱企</w:t>
      </w:r>
      <w:bookmarkStart w:id="95" w:name="_GoBack"/>
      <w:bookmarkEnd w:id="95"/>
      <w:r>
        <w:rPr>
          <w:rFonts w:hint="eastAsia" w:ascii="宋体" w:hAnsi="宋体" w:eastAsia="宋体" w:cs="宋体"/>
          <w:color w:val="auto"/>
          <w:sz w:val="24"/>
          <w:szCs w:val="24"/>
        </w:rPr>
        <w:t>业发展：见第四章“评标办法”第4条。</w:t>
      </w:r>
    </w:p>
    <w:p w14:paraId="47478400">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2.2.7 所供产品有商品包装的应当使用绿色包装。所供产品有其他环保政策要求的，应符合相关环保法律政策要求。</w:t>
      </w:r>
    </w:p>
    <w:p w14:paraId="1FE767D0">
      <w:pPr>
        <w:keepNext w:val="0"/>
        <w:keepLines w:val="0"/>
        <w:pageBreakBefore w:val="0"/>
        <w:kinsoku/>
        <w:wordWrap/>
        <w:overflowPunct/>
        <w:topLinePunct w:val="0"/>
        <w:autoSpaceDE/>
        <w:autoSpaceDN/>
        <w:bidi w:val="0"/>
        <w:adjustRightInd w:val="0"/>
        <w:snapToGrid w:val="0"/>
        <w:spacing w:line="44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2.2.8 支持绿色建筑、绿色建材，支持使用低VOCs含量涂料和胶黏剂，支持不发达、少数民族地区的企业，促进自主创新产业发展，支持脱贫攻坚等；同等条件下，优先采购。</w:t>
      </w:r>
    </w:p>
    <w:p w14:paraId="568724FC">
      <w:pPr>
        <w:keepNext w:val="0"/>
        <w:keepLines w:val="0"/>
        <w:pageBreakBefore w:val="0"/>
        <w:kinsoku/>
        <w:wordWrap/>
        <w:overflowPunct/>
        <w:topLinePunct w:val="0"/>
        <w:autoSpaceDE/>
        <w:autoSpaceDN/>
        <w:bidi w:val="0"/>
        <w:adjustRightInd w:val="0"/>
        <w:snapToGrid w:val="0"/>
        <w:spacing w:line="440" w:lineRule="exact"/>
        <w:ind w:left="0"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2.3采购标的需执行的国家相关标准、行业标准、地方标准或者其他标准、规范；</w:t>
      </w:r>
    </w:p>
    <w:p w14:paraId="79BA4D16">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14:paraId="09F7D8B1">
      <w:pPr>
        <w:keepNext w:val="0"/>
        <w:keepLines w:val="0"/>
        <w:pageBreakBefore w:val="0"/>
        <w:kinsoku/>
        <w:wordWrap/>
        <w:overflowPunct/>
        <w:topLinePunct w:val="0"/>
        <w:autoSpaceDE/>
        <w:autoSpaceDN/>
        <w:bidi w:val="0"/>
        <w:spacing w:line="440" w:lineRule="exact"/>
        <w:ind w:left="0" w:firstLine="482" w:firstLineChars="200"/>
        <w:textAlignment w:val="baseline"/>
        <w:rPr>
          <w:rFonts w:hint="default"/>
          <w:b/>
          <w:bCs/>
          <w:color w:val="auto"/>
          <w:lang w:val="en-US" w:eastAsia="zh-CN"/>
        </w:rPr>
      </w:pPr>
      <w:r>
        <w:rPr>
          <w:rFonts w:hint="eastAsia" w:ascii="宋体" w:hAnsi="宋体" w:eastAsia="宋体" w:cs="宋体"/>
          <w:b/>
          <w:color w:val="auto"/>
          <w:sz w:val="24"/>
          <w:szCs w:val="24"/>
          <w:highlight w:val="none"/>
        </w:rPr>
        <w:t>2.4标段（包）内容（具体范围、数量），具体技术要求（</w:t>
      </w:r>
      <w:r>
        <w:rPr>
          <w:rFonts w:hint="eastAsia" w:ascii="宋体" w:hAnsi="宋体" w:eastAsia="宋体" w:cs="宋体"/>
          <w:color w:val="auto"/>
          <w:sz w:val="24"/>
          <w:highlight w:val="none"/>
        </w:rPr>
        <w:t>采购标的需满足的质量、安全、技术规格、物理特性等）</w:t>
      </w:r>
    </w:p>
    <w:p w14:paraId="7A9810B9">
      <w:pPr>
        <w:pStyle w:val="10"/>
        <w:pageBreakBefore w:val="0"/>
        <w:kinsoku/>
        <w:wordWrap/>
        <w:overflowPunct/>
        <w:topLinePunct w:val="0"/>
        <w:autoSpaceDE/>
        <w:autoSpaceDN/>
        <w:bidi w:val="0"/>
        <w:spacing w:line="440" w:lineRule="exact"/>
        <w:ind w:left="0"/>
        <w:jc w:val="left"/>
        <w:rPr>
          <w:rFonts w:hint="default"/>
          <w:b/>
          <w:bCs/>
          <w:color w:val="auto"/>
          <w:sz w:val="28"/>
          <w:szCs w:val="28"/>
          <w:highlight w:val="yellow"/>
          <w:vertAlign w:val="baseline"/>
          <w:lang w:val="en-US" w:eastAsia="zh-CN"/>
        </w:rPr>
      </w:pPr>
      <w:r>
        <w:rPr>
          <w:rFonts w:hint="eastAsia"/>
          <w:b/>
          <w:bCs/>
          <w:color w:val="auto"/>
          <w:sz w:val="28"/>
          <w:szCs w:val="28"/>
          <w:lang w:val="en-US" w:eastAsia="zh-CN"/>
        </w:rPr>
        <w:t>一、设备清单</w:t>
      </w:r>
    </w:p>
    <w:tbl>
      <w:tblPr>
        <w:tblStyle w:val="24"/>
        <w:tblW w:w="9765"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3174"/>
        <w:gridCol w:w="1399"/>
        <w:gridCol w:w="1517"/>
        <w:gridCol w:w="2505"/>
      </w:tblGrid>
      <w:tr w14:paraId="2A1B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 w:type="dxa"/>
            <w:vAlign w:val="center"/>
          </w:tcPr>
          <w:p w14:paraId="41B3AAC3">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b/>
                <w:bCs/>
                <w:color w:val="auto"/>
                <w:sz w:val="28"/>
                <w:szCs w:val="28"/>
                <w:highlight w:val="yellow"/>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序号</w:t>
            </w:r>
          </w:p>
        </w:tc>
        <w:tc>
          <w:tcPr>
            <w:tcW w:w="3174" w:type="dxa"/>
            <w:vAlign w:val="center"/>
          </w:tcPr>
          <w:p w14:paraId="09FD91F0">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b/>
                <w:bCs/>
                <w:color w:val="auto"/>
                <w:sz w:val="28"/>
                <w:szCs w:val="28"/>
                <w:highlight w:val="yellow"/>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设备名称</w:t>
            </w:r>
          </w:p>
        </w:tc>
        <w:tc>
          <w:tcPr>
            <w:tcW w:w="1399" w:type="dxa"/>
            <w:vAlign w:val="center"/>
          </w:tcPr>
          <w:p w14:paraId="1708F82D">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b/>
                <w:bCs/>
                <w:color w:val="auto"/>
                <w:sz w:val="28"/>
                <w:szCs w:val="28"/>
                <w:highlight w:val="yellow"/>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数量</w:t>
            </w:r>
          </w:p>
        </w:tc>
        <w:tc>
          <w:tcPr>
            <w:tcW w:w="1517" w:type="dxa"/>
            <w:vAlign w:val="center"/>
          </w:tcPr>
          <w:p w14:paraId="38B9CE32">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b/>
                <w:bCs/>
                <w:color w:val="auto"/>
                <w:sz w:val="28"/>
                <w:szCs w:val="28"/>
                <w:highlight w:val="yellow"/>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质量层次</w:t>
            </w:r>
          </w:p>
        </w:tc>
        <w:tc>
          <w:tcPr>
            <w:tcW w:w="2505" w:type="dxa"/>
            <w:vAlign w:val="center"/>
          </w:tcPr>
          <w:p w14:paraId="5637CCAB">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b/>
                <w:bCs/>
                <w:color w:val="auto"/>
                <w:sz w:val="28"/>
                <w:szCs w:val="28"/>
                <w:highlight w:val="yellow"/>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免费质保期</w:t>
            </w:r>
          </w:p>
        </w:tc>
      </w:tr>
      <w:tr w14:paraId="677F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 w:type="dxa"/>
            <w:shd w:val="clear" w:color="auto" w:fill="auto"/>
            <w:vAlign w:val="center"/>
          </w:tcPr>
          <w:p w14:paraId="24E875BF">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ascii="宋体" w:hAnsi="宋体" w:eastAsia="宋体" w:cs="宋体"/>
                <w:b/>
                <w:bCs/>
                <w:i w:val="0"/>
                <w:iCs w:val="0"/>
                <w:color w:val="auto"/>
                <w:sz w:val="24"/>
                <w:szCs w:val="24"/>
                <w:highlight w:val="none"/>
                <w:u w:val="none" w:color="000000"/>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174" w:type="dxa"/>
            <w:shd w:val="clear" w:color="auto" w:fill="auto"/>
            <w:vAlign w:val="center"/>
          </w:tcPr>
          <w:p w14:paraId="3E48CCE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新生儿有创高频呼吸机</w:t>
            </w:r>
          </w:p>
          <w:p w14:paraId="01EA71ED">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color="000000"/>
                <w:lang w:val="en-US" w:eastAsia="zh-CN" w:bidi="ar-SA"/>
              </w:rPr>
            </w:pPr>
            <w:r>
              <w:rPr>
                <w:rFonts w:hint="eastAsia" w:cs="宋体"/>
                <w:b/>
                <w:bCs/>
                <w:i w:val="0"/>
                <w:iCs w:val="0"/>
                <w:color w:val="auto"/>
                <w:kern w:val="0"/>
                <w:sz w:val="24"/>
                <w:szCs w:val="24"/>
                <w:highlight w:val="none"/>
                <w:u w:val="none"/>
                <w:lang w:val="en-US" w:eastAsia="zh-CN" w:bidi="ar"/>
              </w:rPr>
              <w:t>（核心产品）</w:t>
            </w:r>
          </w:p>
        </w:tc>
        <w:tc>
          <w:tcPr>
            <w:tcW w:w="1399" w:type="dxa"/>
            <w:shd w:val="clear" w:color="auto" w:fill="auto"/>
            <w:vAlign w:val="center"/>
          </w:tcPr>
          <w:p w14:paraId="7BC1878F">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ascii="宋体" w:hAnsi="宋体" w:eastAsia="宋体" w:cs="宋体"/>
                <w:b/>
                <w:bCs/>
                <w:i w:val="0"/>
                <w:iCs w:val="0"/>
                <w:color w:val="auto"/>
                <w:sz w:val="24"/>
                <w:szCs w:val="24"/>
                <w:highlight w:val="none"/>
                <w:u w:val="none" w:color="000000"/>
                <w:lang w:val="en-US" w:eastAsia="zh-CN" w:bidi="ar-SA"/>
              </w:rPr>
            </w:pPr>
            <w:r>
              <w:rPr>
                <w:rFonts w:hint="eastAsia" w:cs="宋体"/>
                <w:b/>
                <w:bCs/>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台</w:t>
            </w:r>
          </w:p>
        </w:tc>
        <w:tc>
          <w:tcPr>
            <w:tcW w:w="1517" w:type="dxa"/>
            <w:shd w:val="clear" w:color="auto" w:fill="auto"/>
            <w:vAlign w:val="center"/>
          </w:tcPr>
          <w:p w14:paraId="1EA7207C">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default" w:ascii="宋体" w:hAnsi="宋体" w:eastAsia="宋体" w:cs="宋体"/>
                <w:b/>
                <w:bCs/>
                <w:i w:val="0"/>
                <w:iCs w:val="0"/>
                <w:color w:val="auto"/>
                <w:sz w:val="24"/>
                <w:szCs w:val="24"/>
                <w:highlight w:val="none"/>
                <w:u w:val="none" w:color="000000"/>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国产</w:t>
            </w:r>
          </w:p>
        </w:tc>
        <w:tc>
          <w:tcPr>
            <w:tcW w:w="2505" w:type="dxa"/>
            <w:vMerge w:val="restart"/>
            <w:vAlign w:val="center"/>
          </w:tcPr>
          <w:p w14:paraId="50C109FC">
            <w:pPr>
              <w:pStyle w:val="10"/>
              <w:jc w:val="center"/>
              <w:rPr>
                <w:rFonts w:hint="default"/>
                <w:b/>
                <w:bCs/>
                <w:color w:val="auto"/>
                <w:sz w:val="28"/>
                <w:szCs w:val="28"/>
                <w:highlight w:val="yellow"/>
                <w:vertAlign w:val="baseline"/>
                <w:lang w:val="en-US" w:eastAsia="zh-CN"/>
              </w:rPr>
            </w:pPr>
            <w:r>
              <w:rPr>
                <w:rFonts w:hint="default" w:ascii="宋体" w:hAnsi="宋体" w:eastAsia="宋体" w:cs="宋体"/>
                <w:i w:val="0"/>
                <w:iCs w:val="0"/>
                <w:color w:val="auto"/>
                <w:kern w:val="0"/>
                <w:sz w:val="24"/>
                <w:szCs w:val="24"/>
                <w:highlight w:val="none"/>
                <w:u w:val="none" w:color="000000"/>
                <w:lang w:val="en-US" w:eastAsia="zh-CN" w:bidi="ar"/>
              </w:rPr>
              <w:t>验收合格之日</w:t>
            </w:r>
            <w:r>
              <w:rPr>
                <w:rFonts w:hint="eastAsia" w:ascii="宋体" w:hAnsi="宋体" w:eastAsia="宋体" w:cs="宋体"/>
                <w:i w:val="0"/>
                <w:iCs w:val="0"/>
                <w:color w:val="auto"/>
                <w:kern w:val="0"/>
                <w:sz w:val="24"/>
                <w:szCs w:val="24"/>
                <w:highlight w:val="none"/>
                <w:u w:val="none" w:color="000000"/>
                <w:lang w:val="en-US" w:eastAsia="zh-CN" w:bidi="ar"/>
              </w:rPr>
              <w:t>起整机原厂质保3年</w:t>
            </w:r>
          </w:p>
        </w:tc>
      </w:tr>
      <w:tr w14:paraId="72B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 w:type="dxa"/>
            <w:shd w:val="clear" w:color="auto" w:fill="auto"/>
            <w:vAlign w:val="center"/>
          </w:tcPr>
          <w:p w14:paraId="1209911E">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3174" w:type="dxa"/>
            <w:shd w:val="clear" w:color="auto" w:fill="auto"/>
            <w:vAlign w:val="center"/>
          </w:tcPr>
          <w:p w14:paraId="3DCB6800">
            <w:pPr>
              <w:keepNext w:val="0"/>
              <w:keepLines w:val="0"/>
              <w:widowControl/>
              <w:suppressLineNumbers w:val="0"/>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T-组合</w:t>
            </w:r>
          </w:p>
        </w:tc>
        <w:tc>
          <w:tcPr>
            <w:tcW w:w="1399" w:type="dxa"/>
            <w:shd w:val="clear" w:color="auto" w:fill="auto"/>
            <w:vAlign w:val="center"/>
          </w:tcPr>
          <w:p w14:paraId="67BF1A6F">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cs="宋体"/>
                <w:i w:val="0"/>
                <w:iCs w:val="0"/>
                <w:color w:val="auto"/>
                <w:kern w:val="0"/>
                <w:sz w:val="24"/>
                <w:szCs w:val="24"/>
                <w:u w:val="none"/>
                <w:lang w:val="en-US" w:eastAsia="zh-CN" w:bidi="ar"/>
              </w:rPr>
              <w:t>8套</w:t>
            </w:r>
          </w:p>
        </w:tc>
        <w:tc>
          <w:tcPr>
            <w:tcW w:w="1517" w:type="dxa"/>
            <w:shd w:val="clear" w:color="auto" w:fill="auto"/>
            <w:vAlign w:val="center"/>
          </w:tcPr>
          <w:p w14:paraId="6D477718">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国产</w:t>
            </w:r>
          </w:p>
        </w:tc>
        <w:tc>
          <w:tcPr>
            <w:tcW w:w="2505" w:type="dxa"/>
            <w:vMerge w:val="continue"/>
          </w:tcPr>
          <w:p w14:paraId="1ED4EF01">
            <w:pPr>
              <w:pStyle w:val="10"/>
              <w:jc w:val="center"/>
              <w:rPr>
                <w:rFonts w:hint="default"/>
                <w:b/>
                <w:bCs/>
                <w:color w:val="auto"/>
                <w:sz w:val="28"/>
                <w:szCs w:val="28"/>
                <w:highlight w:val="yellow"/>
                <w:vertAlign w:val="baseline"/>
                <w:lang w:val="en-US" w:eastAsia="zh-CN"/>
              </w:rPr>
            </w:pPr>
          </w:p>
        </w:tc>
      </w:tr>
      <w:tr w14:paraId="49CD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 w:type="dxa"/>
            <w:shd w:val="clear" w:color="auto" w:fill="auto"/>
            <w:vAlign w:val="center"/>
          </w:tcPr>
          <w:p w14:paraId="1BB5CCDF">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b/>
                <w:bCs/>
                <w:i w:val="0"/>
                <w:iCs w:val="0"/>
                <w:color w:val="auto"/>
                <w:sz w:val="24"/>
                <w:szCs w:val="24"/>
                <w:highlight w:val="none"/>
                <w:u w:val="none" w:color="000000"/>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3174" w:type="dxa"/>
            <w:shd w:val="clear" w:color="auto" w:fill="auto"/>
            <w:vAlign w:val="center"/>
          </w:tcPr>
          <w:p w14:paraId="5869C08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新生儿转运监护仪</w:t>
            </w:r>
          </w:p>
        </w:tc>
        <w:tc>
          <w:tcPr>
            <w:tcW w:w="1399" w:type="dxa"/>
            <w:shd w:val="clear" w:color="auto" w:fill="auto"/>
            <w:vAlign w:val="center"/>
          </w:tcPr>
          <w:p w14:paraId="1F8D7559">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b w:val="0"/>
                <w:bCs w:val="0"/>
                <w:i w:val="0"/>
                <w:iCs w:val="0"/>
                <w:color w:val="auto"/>
                <w:sz w:val="24"/>
                <w:szCs w:val="24"/>
                <w:highlight w:val="none"/>
                <w:u w:val="none" w:color="000000"/>
                <w:lang w:val="en-US" w:eastAsia="zh-CN" w:bidi="ar-SA"/>
              </w:rPr>
            </w:pPr>
            <w:r>
              <w:rPr>
                <w:rFonts w:hint="eastAsia" w:cs="宋体"/>
                <w:b w:val="0"/>
                <w:bCs w:val="0"/>
                <w:i w:val="0"/>
                <w:iCs w:val="0"/>
                <w:color w:val="auto"/>
                <w:kern w:val="0"/>
                <w:sz w:val="24"/>
                <w:szCs w:val="24"/>
                <w:highlight w:val="none"/>
                <w:u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517" w:type="dxa"/>
            <w:shd w:val="clear" w:color="auto" w:fill="auto"/>
            <w:vAlign w:val="center"/>
          </w:tcPr>
          <w:p w14:paraId="58014FFF">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b w:val="0"/>
                <w:bCs w:val="0"/>
                <w:i w:val="0"/>
                <w:iCs w:val="0"/>
                <w:color w:val="auto"/>
                <w:sz w:val="24"/>
                <w:szCs w:val="24"/>
                <w:highlight w:val="none"/>
                <w:u w:val="none" w:color="000000"/>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c>
          <w:tcPr>
            <w:tcW w:w="2505" w:type="dxa"/>
            <w:vMerge w:val="continue"/>
          </w:tcPr>
          <w:p w14:paraId="471ED21A">
            <w:pPr>
              <w:pStyle w:val="10"/>
              <w:jc w:val="center"/>
              <w:rPr>
                <w:rFonts w:hint="default"/>
                <w:b/>
                <w:bCs/>
                <w:color w:val="auto"/>
                <w:sz w:val="28"/>
                <w:szCs w:val="28"/>
                <w:highlight w:val="yellow"/>
                <w:vertAlign w:val="baseline"/>
                <w:lang w:val="en-US" w:eastAsia="zh-CN"/>
              </w:rPr>
            </w:pPr>
          </w:p>
        </w:tc>
      </w:tr>
      <w:tr w14:paraId="1AE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 w:type="dxa"/>
            <w:shd w:val="clear" w:color="auto" w:fill="auto"/>
            <w:vAlign w:val="center"/>
          </w:tcPr>
          <w:p w14:paraId="06C32A27">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3174" w:type="dxa"/>
            <w:shd w:val="clear" w:color="auto" w:fill="auto"/>
            <w:vAlign w:val="center"/>
          </w:tcPr>
          <w:p w14:paraId="768972AF">
            <w:pPr>
              <w:keepNext w:val="0"/>
              <w:keepLines w:val="0"/>
              <w:widowControl/>
              <w:suppressLineNumbers w:val="0"/>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新生儿心电监护仪1</w:t>
            </w:r>
          </w:p>
        </w:tc>
        <w:tc>
          <w:tcPr>
            <w:tcW w:w="1399" w:type="dxa"/>
            <w:shd w:val="clear" w:color="auto" w:fill="auto"/>
            <w:vAlign w:val="center"/>
          </w:tcPr>
          <w:p w14:paraId="675F3B38">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cs="宋体"/>
                <w:i w:val="0"/>
                <w:iCs w:val="0"/>
                <w:color w:val="auto"/>
                <w:kern w:val="0"/>
                <w:sz w:val="24"/>
                <w:szCs w:val="24"/>
                <w:u w:val="none"/>
                <w:lang w:val="en-US" w:eastAsia="zh-CN" w:bidi="ar"/>
              </w:rPr>
              <w:t>8</w:t>
            </w:r>
            <w:r>
              <w:rPr>
                <w:rFonts w:hint="eastAsia" w:ascii="宋体" w:hAnsi="宋体" w:eastAsia="宋体" w:cs="宋体"/>
                <w:i w:val="0"/>
                <w:iCs w:val="0"/>
                <w:color w:val="auto"/>
                <w:kern w:val="0"/>
                <w:sz w:val="24"/>
                <w:szCs w:val="24"/>
                <w:u w:val="none"/>
                <w:lang w:val="en-US" w:eastAsia="zh-CN" w:bidi="ar"/>
              </w:rPr>
              <w:t>套</w:t>
            </w:r>
          </w:p>
        </w:tc>
        <w:tc>
          <w:tcPr>
            <w:tcW w:w="1517" w:type="dxa"/>
            <w:shd w:val="clear" w:color="auto" w:fill="auto"/>
            <w:vAlign w:val="center"/>
          </w:tcPr>
          <w:p w14:paraId="7703B4D5">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国产</w:t>
            </w:r>
          </w:p>
        </w:tc>
        <w:tc>
          <w:tcPr>
            <w:tcW w:w="2505" w:type="dxa"/>
            <w:vMerge w:val="continue"/>
          </w:tcPr>
          <w:p w14:paraId="5595BE14">
            <w:pPr>
              <w:pStyle w:val="10"/>
              <w:jc w:val="center"/>
              <w:rPr>
                <w:rFonts w:hint="default"/>
                <w:b/>
                <w:bCs/>
                <w:color w:val="auto"/>
                <w:sz w:val="28"/>
                <w:szCs w:val="28"/>
                <w:highlight w:val="yellow"/>
                <w:vertAlign w:val="baseline"/>
                <w:lang w:val="en-US" w:eastAsia="zh-CN"/>
              </w:rPr>
            </w:pPr>
          </w:p>
        </w:tc>
      </w:tr>
      <w:tr w14:paraId="24DE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 w:type="dxa"/>
            <w:shd w:val="clear" w:color="auto" w:fill="auto"/>
            <w:vAlign w:val="center"/>
          </w:tcPr>
          <w:p w14:paraId="7FD7E888">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3174" w:type="dxa"/>
            <w:shd w:val="clear" w:color="auto" w:fill="auto"/>
            <w:vAlign w:val="center"/>
          </w:tcPr>
          <w:p w14:paraId="37DD4217">
            <w:pPr>
              <w:keepNext w:val="0"/>
              <w:keepLines w:val="0"/>
              <w:widowControl/>
              <w:suppressLineNumbers w:val="0"/>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新生儿心电监护仪2</w:t>
            </w:r>
          </w:p>
        </w:tc>
        <w:tc>
          <w:tcPr>
            <w:tcW w:w="1399" w:type="dxa"/>
            <w:shd w:val="clear" w:color="auto" w:fill="auto"/>
            <w:vAlign w:val="center"/>
          </w:tcPr>
          <w:p w14:paraId="28BB9976">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1517" w:type="dxa"/>
            <w:shd w:val="clear" w:color="auto" w:fill="auto"/>
            <w:vAlign w:val="center"/>
          </w:tcPr>
          <w:p w14:paraId="75413C67">
            <w:pPr>
              <w:keepNext w:val="0"/>
              <w:keepLines w:val="0"/>
              <w:pageBreakBefore w:val="0"/>
              <w:widowControl/>
              <w:suppressLineNumbers w:val="0"/>
              <w:kinsoku/>
              <w:wordWrap/>
              <w:overflowPunct/>
              <w:topLinePunct w:val="0"/>
              <w:autoSpaceDE/>
              <w:autoSpaceDN/>
              <w:bidi w:val="0"/>
              <w:spacing w:line="450" w:lineRule="exact"/>
              <w:jc w:val="center"/>
              <w:textAlignment w:val="center"/>
              <w:rPr>
                <w:rFonts w:hint="eastAsia"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lang w:val="en-US" w:eastAsia="zh-CN" w:bidi="ar"/>
              </w:rPr>
              <w:t>国产</w:t>
            </w:r>
          </w:p>
        </w:tc>
        <w:tc>
          <w:tcPr>
            <w:tcW w:w="2505" w:type="dxa"/>
            <w:vMerge w:val="continue"/>
          </w:tcPr>
          <w:p w14:paraId="11B70A5A">
            <w:pPr>
              <w:pStyle w:val="10"/>
              <w:jc w:val="center"/>
              <w:rPr>
                <w:rFonts w:hint="default"/>
                <w:b/>
                <w:bCs/>
                <w:color w:val="auto"/>
                <w:sz w:val="28"/>
                <w:szCs w:val="28"/>
                <w:highlight w:val="yellow"/>
                <w:vertAlign w:val="baseline"/>
                <w:lang w:val="en-US" w:eastAsia="zh-CN"/>
              </w:rPr>
            </w:pPr>
          </w:p>
        </w:tc>
      </w:tr>
    </w:tbl>
    <w:p w14:paraId="081C49C9">
      <w:pPr>
        <w:pStyle w:val="10"/>
        <w:jc w:val="both"/>
        <w:rPr>
          <w:rFonts w:hint="default"/>
          <w:b/>
          <w:bCs/>
          <w:color w:val="auto"/>
          <w:sz w:val="28"/>
          <w:szCs w:val="28"/>
          <w:highlight w:val="none"/>
          <w:lang w:val="en-US" w:eastAsia="zh-CN"/>
        </w:rPr>
      </w:pPr>
      <w:r>
        <w:rPr>
          <w:rFonts w:hint="eastAsia"/>
          <w:b/>
          <w:bCs/>
          <w:color w:val="auto"/>
          <w:sz w:val="28"/>
          <w:szCs w:val="28"/>
          <w:highlight w:val="none"/>
          <w:lang w:val="en-US" w:eastAsia="zh-CN"/>
        </w:rPr>
        <w:t>二、技术要求</w:t>
      </w:r>
    </w:p>
    <w:tbl>
      <w:tblPr>
        <w:tblStyle w:val="24"/>
        <w:tblW w:w="9765"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33"/>
        <w:gridCol w:w="6098"/>
        <w:gridCol w:w="1536"/>
      </w:tblGrid>
      <w:tr w14:paraId="0D8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8" w:type="dxa"/>
            <w:shd w:val="clear" w:color="auto" w:fill="auto"/>
            <w:vAlign w:val="center"/>
          </w:tcPr>
          <w:p w14:paraId="7085AB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sz w:val="24"/>
                <w:szCs w:val="24"/>
                <w:u w:val="none" w:color="000000"/>
                <w:lang w:val="en-US" w:eastAsia="zh-CN" w:bidi="ar-SA"/>
              </w:rPr>
            </w:pPr>
            <w:r>
              <w:rPr>
                <w:rFonts w:hint="eastAsia" w:ascii="宋体" w:hAnsi="宋体" w:eastAsia="宋体" w:cs="宋体"/>
                <w:b/>
                <w:bCs/>
                <w:i w:val="0"/>
                <w:iCs w:val="0"/>
                <w:color w:val="auto"/>
                <w:kern w:val="0"/>
                <w:sz w:val="24"/>
                <w:szCs w:val="24"/>
                <w:u w:val="none" w:color="000000"/>
                <w:lang w:val="en-US" w:eastAsia="zh-CN" w:bidi="ar"/>
              </w:rPr>
              <w:t>序号</w:t>
            </w:r>
          </w:p>
        </w:tc>
        <w:tc>
          <w:tcPr>
            <w:tcW w:w="1433" w:type="dxa"/>
            <w:shd w:val="clear" w:color="auto" w:fill="auto"/>
            <w:vAlign w:val="center"/>
          </w:tcPr>
          <w:p w14:paraId="6986EC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sz w:val="24"/>
                <w:szCs w:val="24"/>
                <w:u w:val="none" w:color="000000"/>
                <w:lang w:val="en-US" w:eastAsia="zh-CN" w:bidi="ar-SA"/>
              </w:rPr>
            </w:pPr>
            <w:r>
              <w:rPr>
                <w:rFonts w:hint="eastAsia" w:ascii="宋体" w:hAnsi="宋体" w:eastAsia="宋体" w:cs="宋体"/>
                <w:b/>
                <w:bCs/>
                <w:i w:val="0"/>
                <w:iCs w:val="0"/>
                <w:color w:val="auto"/>
                <w:kern w:val="0"/>
                <w:sz w:val="24"/>
                <w:szCs w:val="24"/>
                <w:u w:val="none" w:color="000000"/>
                <w:lang w:val="en-US" w:eastAsia="zh-CN" w:bidi="ar"/>
              </w:rPr>
              <w:t>采购内容</w:t>
            </w:r>
          </w:p>
        </w:tc>
        <w:tc>
          <w:tcPr>
            <w:tcW w:w="6098" w:type="dxa"/>
            <w:shd w:val="clear" w:color="auto" w:fill="auto"/>
            <w:vAlign w:val="center"/>
          </w:tcPr>
          <w:p w14:paraId="2E922D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sz w:val="24"/>
                <w:szCs w:val="24"/>
                <w:u w:val="none" w:color="000000"/>
                <w:lang w:val="en-US" w:eastAsia="zh-CN" w:bidi="ar-SA"/>
              </w:rPr>
            </w:pPr>
            <w:r>
              <w:rPr>
                <w:rFonts w:hint="eastAsia" w:ascii="宋体" w:hAnsi="宋体" w:eastAsia="宋体" w:cs="宋体"/>
                <w:b/>
                <w:bCs/>
                <w:i w:val="0"/>
                <w:iCs w:val="0"/>
                <w:color w:val="auto"/>
                <w:kern w:val="0"/>
                <w:sz w:val="24"/>
                <w:szCs w:val="24"/>
                <w:u w:val="none" w:color="000000"/>
                <w:lang w:val="en-US" w:eastAsia="zh-CN" w:bidi="ar"/>
              </w:rPr>
              <w:t>基本技术要求</w:t>
            </w:r>
          </w:p>
        </w:tc>
        <w:tc>
          <w:tcPr>
            <w:tcW w:w="1536" w:type="dxa"/>
            <w:shd w:val="clear" w:color="auto" w:fill="auto"/>
            <w:vAlign w:val="center"/>
          </w:tcPr>
          <w:p w14:paraId="0EBC3E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FF"/>
                <w:sz w:val="24"/>
                <w:szCs w:val="24"/>
                <w:u w:val="none" w:color="000000"/>
                <w:lang w:val="en-US" w:eastAsia="zh-CN" w:bidi="ar-SA"/>
              </w:rPr>
            </w:pPr>
            <w:r>
              <w:rPr>
                <w:rFonts w:hint="eastAsia" w:cs="宋体"/>
                <w:b/>
                <w:bCs/>
                <w:i w:val="0"/>
                <w:iCs w:val="0"/>
                <w:color w:val="auto"/>
                <w:kern w:val="0"/>
                <w:sz w:val="24"/>
                <w:szCs w:val="24"/>
                <w:u w:val="none" w:color="000000"/>
                <w:lang w:val="en-US" w:eastAsia="zh-CN" w:bidi="ar"/>
              </w:rPr>
              <w:t>中小企业划分</w:t>
            </w:r>
          </w:p>
        </w:tc>
      </w:tr>
      <w:tr w14:paraId="70C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7" w:hRule="atLeast"/>
        </w:trPr>
        <w:tc>
          <w:tcPr>
            <w:tcW w:w="698" w:type="dxa"/>
            <w:shd w:val="clear" w:color="auto" w:fill="auto"/>
            <w:vAlign w:val="center"/>
          </w:tcPr>
          <w:p w14:paraId="31CACF99">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1</w:t>
            </w:r>
          </w:p>
        </w:tc>
        <w:tc>
          <w:tcPr>
            <w:tcW w:w="1433" w:type="dxa"/>
            <w:shd w:val="clear" w:color="auto" w:fill="auto"/>
            <w:vAlign w:val="center"/>
          </w:tcPr>
          <w:p w14:paraId="240A024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s="宋体"/>
                <w:color w:val="auto"/>
                <w:sz w:val="24"/>
                <w:szCs w:val="24"/>
                <w:u w:color="000000"/>
                <w:lang w:val="en-US" w:eastAsia="zh-CN" w:bidi="ar-SA"/>
              </w:rPr>
            </w:pPr>
            <w:r>
              <w:rPr>
                <w:rFonts w:hint="eastAsia" w:cs="宋体"/>
                <w:color w:val="auto"/>
                <w:sz w:val="24"/>
                <w:szCs w:val="24"/>
                <w:u w:color="000000"/>
                <w:lang w:val="en-US" w:eastAsia="zh-CN" w:bidi="ar-SA"/>
              </w:rPr>
              <w:t>新生儿有创高频呼吸机</w:t>
            </w:r>
          </w:p>
        </w:tc>
        <w:tc>
          <w:tcPr>
            <w:tcW w:w="6098" w:type="dxa"/>
            <w:shd w:val="clear" w:color="auto" w:fill="auto"/>
            <w:vAlign w:val="center"/>
          </w:tcPr>
          <w:p w14:paraId="4453F2B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b/>
                <w:bCs/>
                <w:color w:val="auto"/>
                <w:sz w:val="24"/>
                <w:szCs w:val="24"/>
                <w:u w:color="000000"/>
                <w:lang w:val="en-US" w:eastAsia="zh-CN" w:bidi="ar-SA"/>
              </w:rPr>
            </w:pPr>
            <w:r>
              <w:rPr>
                <w:rFonts w:hint="eastAsia" w:cs="宋体"/>
                <w:b/>
                <w:bCs/>
                <w:color w:val="auto"/>
                <w:sz w:val="24"/>
                <w:szCs w:val="24"/>
                <w:u w:color="000000"/>
                <w:lang w:val="en-US" w:eastAsia="zh-CN" w:bidi="ar-SA"/>
              </w:rPr>
              <w:t>一、基本功能：</w:t>
            </w:r>
          </w:p>
          <w:p w14:paraId="1E02D43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default" w:cs="宋体"/>
                <w:color w:val="auto"/>
                <w:sz w:val="24"/>
                <w:szCs w:val="24"/>
                <w:u w:color="000000"/>
                <w:lang w:val="en-US" w:eastAsia="zh-CN" w:bidi="ar-SA"/>
              </w:rPr>
              <w:t>1.</w:t>
            </w:r>
            <w:r>
              <w:rPr>
                <w:rFonts w:hint="eastAsia" w:cs="宋体"/>
                <w:color w:val="auto"/>
                <w:sz w:val="24"/>
                <w:szCs w:val="24"/>
                <w:u w:color="000000"/>
                <w:lang w:val="en-US" w:eastAsia="zh-CN" w:bidi="ar-SA"/>
              </w:rPr>
              <w:t>呼吸机适用范围：新生儿（含早产儿）和小儿（体重小于≤30kg）；</w:t>
            </w:r>
          </w:p>
          <w:p w14:paraId="0FAC693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default" w:cs="宋体"/>
                <w:color w:val="auto"/>
                <w:sz w:val="24"/>
                <w:szCs w:val="24"/>
                <w:u w:color="000000"/>
                <w:lang w:val="en-US" w:eastAsia="zh-CN" w:bidi="ar-SA"/>
              </w:rPr>
              <w:t>2.</w:t>
            </w:r>
            <w:r>
              <w:rPr>
                <w:rFonts w:hint="eastAsia" w:cs="宋体"/>
                <w:color w:val="auto"/>
                <w:sz w:val="24"/>
                <w:szCs w:val="24"/>
                <w:u w:color="000000"/>
                <w:lang w:val="en-US" w:eastAsia="zh-CN" w:bidi="ar-SA"/>
              </w:rPr>
              <w:t>彩色触摸显示屏，屏幕尺寸≥12英寸，至少有中文操作系统；</w:t>
            </w:r>
          </w:p>
          <w:p w14:paraId="3858CCD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default" w:cs="宋体"/>
                <w:color w:val="auto"/>
                <w:sz w:val="24"/>
                <w:szCs w:val="24"/>
                <w:u w:color="000000"/>
                <w:lang w:val="en-US" w:eastAsia="zh-CN" w:bidi="ar-SA"/>
              </w:rPr>
              <w:t>3.</w:t>
            </w:r>
            <w:r>
              <w:rPr>
                <w:rFonts w:hint="eastAsia" w:cs="宋体"/>
                <w:color w:val="auto"/>
                <w:sz w:val="24"/>
                <w:szCs w:val="24"/>
                <w:u w:color="000000"/>
                <w:lang w:val="en-US" w:eastAsia="zh-CN" w:bidi="ar-SA"/>
              </w:rPr>
              <w:t>内置环境光传感器，屏幕亮度可根据环境光的亮度进行自适应调整；</w:t>
            </w:r>
          </w:p>
          <w:p w14:paraId="69EE2B9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default" w:cs="宋体"/>
                <w:color w:val="auto"/>
                <w:sz w:val="24"/>
                <w:szCs w:val="24"/>
                <w:u w:color="000000"/>
                <w:lang w:val="en-US" w:eastAsia="zh-CN" w:bidi="ar-SA"/>
              </w:rPr>
              <w:t>4.</w:t>
            </w:r>
            <w:r>
              <w:rPr>
                <w:rFonts w:hint="eastAsia" w:cs="宋体"/>
                <w:color w:val="auto"/>
                <w:sz w:val="24"/>
                <w:szCs w:val="24"/>
                <w:u w:color="000000"/>
                <w:lang w:val="en-US" w:eastAsia="zh-CN" w:bidi="ar-SA"/>
              </w:rPr>
              <w:t>具有高频通气、常频通气、无创通气、高流量氧疗等功能；</w:t>
            </w:r>
          </w:p>
          <w:p w14:paraId="7CF6EE0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default" w:cs="宋体"/>
                <w:color w:val="auto"/>
                <w:sz w:val="24"/>
                <w:szCs w:val="24"/>
                <w:u w:color="000000"/>
                <w:lang w:val="en-US" w:eastAsia="zh-CN" w:bidi="ar-SA"/>
              </w:rPr>
              <w:t>5.</w:t>
            </w:r>
            <w:r>
              <w:rPr>
                <w:rFonts w:hint="eastAsia" w:cs="宋体"/>
                <w:color w:val="auto"/>
                <w:sz w:val="24"/>
                <w:szCs w:val="24"/>
                <w:u w:color="000000"/>
                <w:lang w:val="en-US" w:eastAsia="zh-CN" w:bidi="ar-SA"/>
              </w:rPr>
              <w:t>至少配备流量传感器，无需耗材，要求检测准确，不受外界影响，可长期使用；</w:t>
            </w:r>
          </w:p>
          <w:p w14:paraId="7388808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default" w:cs="宋体"/>
                <w:color w:val="auto"/>
                <w:sz w:val="24"/>
                <w:szCs w:val="24"/>
                <w:u w:color="000000"/>
                <w:lang w:val="en-US" w:eastAsia="zh-CN" w:bidi="ar-SA"/>
              </w:rPr>
              <w:t>6.</w:t>
            </w:r>
            <w:r>
              <w:rPr>
                <w:rFonts w:hint="eastAsia" w:cs="宋体"/>
                <w:color w:val="auto"/>
                <w:sz w:val="24"/>
                <w:szCs w:val="24"/>
                <w:u w:color="000000"/>
                <w:lang w:val="en-US" w:eastAsia="zh-CN" w:bidi="ar-SA"/>
              </w:rPr>
              <w:t>设备至少具备USB接口2个和VGA接口；</w:t>
            </w:r>
          </w:p>
          <w:p w14:paraId="5B3752C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s="宋体"/>
                <w:b/>
                <w:bCs/>
                <w:color w:val="auto"/>
                <w:sz w:val="24"/>
                <w:szCs w:val="24"/>
                <w:u w:color="000000"/>
                <w:lang w:val="en-US" w:eastAsia="zh-CN" w:bidi="ar-SA"/>
              </w:rPr>
            </w:pPr>
            <w:r>
              <w:rPr>
                <w:rFonts w:hint="eastAsia" w:cs="宋体"/>
                <w:b/>
                <w:bCs/>
                <w:color w:val="auto"/>
                <w:sz w:val="24"/>
                <w:szCs w:val="24"/>
                <w:u w:color="000000"/>
                <w:lang w:val="en-US" w:eastAsia="zh-CN" w:bidi="ar-SA"/>
              </w:rPr>
              <w:t>二、通气模式至少具备：</w:t>
            </w:r>
          </w:p>
          <w:p w14:paraId="425D426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1.高频通气：HFO；</w:t>
            </w:r>
          </w:p>
          <w:p w14:paraId="29BC3FD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▲2</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有创通气：PC（压力控制通气）、SIMV（vc+ps）、PRVC(压力调节容量保持通气)；</w:t>
            </w:r>
          </w:p>
          <w:p w14:paraId="1BB495B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▲3</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无创通气：NCPAP、NIPPV、SNIPPV、HFNC；NHFO无创高频通气；</w:t>
            </w:r>
          </w:p>
          <w:p w14:paraId="478F6E7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4.具备容量保证和容量限制功能；</w:t>
            </w:r>
          </w:p>
          <w:p w14:paraId="792D81A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5.具备高流量氧疗功能；</w:t>
            </w:r>
          </w:p>
          <w:p w14:paraId="58B39DC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b/>
                <w:bCs/>
                <w:color w:val="auto"/>
                <w:sz w:val="24"/>
                <w:szCs w:val="24"/>
                <w:u w:color="000000"/>
                <w:lang w:val="en-US" w:eastAsia="zh-CN" w:bidi="ar-SA"/>
              </w:rPr>
            </w:pPr>
            <w:r>
              <w:rPr>
                <w:rFonts w:hint="eastAsia" w:cs="宋体"/>
                <w:b/>
                <w:bCs/>
                <w:color w:val="auto"/>
                <w:sz w:val="24"/>
                <w:szCs w:val="24"/>
                <w:u w:color="000000"/>
                <w:lang w:val="en-US" w:eastAsia="zh-CN" w:bidi="ar-SA"/>
              </w:rPr>
              <w:t>三、参数调节范围：</w:t>
            </w:r>
          </w:p>
          <w:p w14:paraId="09742F1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1.氧浓度：21%-100%；</w:t>
            </w:r>
          </w:p>
          <w:p w14:paraId="1AF1AE2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▲2</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潮气量：至少包含2.0ml-300ml；</w:t>
            </w:r>
          </w:p>
          <w:p w14:paraId="3E62A63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s="宋体"/>
                <w:color w:val="auto"/>
                <w:sz w:val="24"/>
                <w:szCs w:val="24"/>
                <w:u w:color="000000"/>
                <w:lang w:val="en-US" w:eastAsia="zh-CN" w:bidi="ar-SA"/>
              </w:rPr>
            </w:pPr>
            <w:r>
              <w:rPr>
                <w:rFonts w:hint="eastAsia" w:cs="宋体"/>
                <w:color w:val="auto"/>
                <w:sz w:val="24"/>
                <w:szCs w:val="24"/>
                <w:u w:color="000000"/>
                <w:lang w:val="en-US" w:eastAsia="zh-CN" w:bidi="ar-SA"/>
              </w:rPr>
              <w:t>▲3</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吸气压力：至少包含1.0cmH₂O～100cmH₂O；</w:t>
            </w:r>
          </w:p>
          <w:p w14:paraId="7A91DBE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4.吸气时间：至少包含0.1s～10s；</w:t>
            </w:r>
          </w:p>
          <w:p w14:paraId="048F59B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s="宋体"/>
                <w:color w:val="auto"/>
                <w:sz w:val="24"/>
                <w:szCs w:val="24"/>
                <w:u w:color="000000"/>
                <w:lang w:val="en-US" w:eastAsia="zh-CN" w:bidi="ar-SA"/>
              </w:rPr>
            </w:pPr>
            <w:r>
              <w:rPr>
                <w:rFonts w:hint="eastAsia" w:cs="宋体"/>
                <w:color w:val="auto"/>
                <w:sz w:val="24"/>
                <w:szCs w:val="24"/>
                <w:u w:color="000000"/>
                <w:lang w:val="en-US" w:eastAsia="zh-CN" w:bidi="ar-SA"/>
              </w:rPr>
              <w:t>5</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呼末正压：至少包含0～50cmH₂O</w:t>
            </w:r>
          </w:p>
          <w:p w14:paraId="54ED3ED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6</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呼吸频率：至少包含4/min～200/min；</w:t>
            </w:r>
          </w:p>
          <w:p w14:paraId="0991A1F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7</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吸气上升时间范围：至少包含0s～0.2s；</w:t>
            </w:r>
          </w:p>
          <w:p w14:paraId="78D3DFD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8</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频率(高频)：至少包含2Hz～20Hz，频率的设置与振幅的设置范围互不干扰；</w:t>
            </w:r>
          </w:p>
          <w:p w14:paraId="7A93D35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▲9</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振幅(高频)：至少包含5.0cmH₂0～100cmH₂0；</w:t>
            </w:r>
          </w:p>
          <w:p w14:paraId="0A59559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10</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容量保证潮气量（高频、常频）；</w:t>
            </w:r>
          </w:p>
          <w:p w14:paraId="3A5987F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11</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至少具备压力触发、流量触发；</w:t>
            </w:r>
          </w:p>
          <w:p w14:paraId="31C1CAB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四、主要监测功能：</w:t>
            </w:r>
          </w:p>
          <w:p w14:paraId="3FD561C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1</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至少具备检测吸入和呼出潮气量；</w:t>
            </w:r>
          </w:p>
          <w:p w14:paraId="5B0F829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2</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至少具备检测吸入、呼出分钟通气量；</w:t>
            </w:r>
          </w:p>
          <w:p w14:paraId="7589B14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3</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至少具备检测自主呼吸分钟通气量；</w:t>
            </w:r>
          </w:p>
          <w:p w14:paraId="24055E7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4</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至少具备检测峰压参数功能；</w:t>
            </w:r>
          </w:p>
          <w:p w14:paraId="68F87F0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5</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具备检测肺顺应性参数功能（包含动态和静态）；</w:t>
            </w:r>
          </w:p>
          <w:p w14:paraId="7D9338F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6</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具备自动泄漏补偿功能；</w:t>
            </w:r>
          </w:p>
          <w:p w14:paraId="3067045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7</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具有开机自检和系统自检功能；</w:t>
            </w:r>
          </w:p>
          <w:p w14:paraId="142A384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8</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具备氧浓度报警功能；</w:t>
            </w:r>
          </w:p>
          <w:p w14:paraId="6315F85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9</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具备呼吸频率报警功能；</w:t>
            </w:r>
          </w:p>
          <w:p w14:paraId="56E8E8B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s="宋体"/>
                <w:color w:val="auto"/>
                <w:sz w:val="24"/>
                <w:szCs w:val="24"/>
                <w:u w:color="000000"/>
                <w:lang w:val="en-US" w:eastAsia="zh-CN" w:bidi="ar-SA"/>
              </w:rPr>
            </w:pPr>
            <w:r>
              <w:rPr>
                <w:rFonts w:hint="eastAsia" w:cs="宋体"/>
                <w:color w:val="auto"/>
                <w:sz w:val="24"/>
                <w:szCs w:val="24"/>
                <w:u w:color="000000"/>
                <w:lang w:val="en-US" w:eastAsia="zh-CN" w:bidi="ar-SA"/>
              </w:rPr>
              <w:t>五、其他</w:t>
            </w:r>
          </w:p>
          <w:p w14:paraId="3299FBE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s="宋体"/>
                <w:color w:val="auto"/>
                <w:sz w:val="24"/>
                <w:szCs w:val="24"/>
                <w:u w:color="000000"/>
                <w:lang w:val="en-US" w:eastAsia="zh-CN" w:bidi="ar-SA"/>
              </w:rPr>
            </w:pPr>
            <w:r>
              <w:rPr>
                <w:rFonts w:hint="eastAsia" w:cs="宋体"/>
                <w:color w:val="auto"/>
                <w:sz w:val="24"/>
                <w:szCs w:val="24"/>
                <w:u w:color="000000"/>
                <w:lang w:val="en-US" w:eastAsia="zh-CN" w:bidi="ar-SA"/>
              </w:rPr>
              <w:t>★1</w:t>
            </w:r>
            <w:r>
              <w:rPr>
                <w:rFonts w:hint="default" w:cs="宋体"/>
                <w:color w:val="auto"/>
                <w:sz w:val="24"/>
                <w:szCs w:val="24"/>
                <w:u w:color="000000"/>
                <w:lang w:val="en-US" w:eastAsia="zh-CN" w:bidi="ar-SA"/>
              </w:rPr>
              <w:t>.</w:t>
            </w:r>
            <w:r>
              <w:rPr>
                <w:rFonts w:hint="eastAsia" w:cs="宋体"/>
                <w:color w:val="auto"/>
                <w:sz w:val="24"/>
                <w:szCs w:val="24"/>
                <w:u w:color="000000"/>
                <w:lang w:val="en-US" w:eastAsia="zh-CN" w:bidi="ar-SA"/>
              </w:rPr>
              <w:t>配备新生儿复苏气囊2套、新生儿简易呼吸器6套；</w:t>
            </w:r>
          </w:p>
        </w:tc>
        <w:tc>
          <w:tcPr>
            <w:tcW w:w="1536" w:type="dxa"/>
            <w:shd w:val="clear" w:color="auto" w:fill="auto"/>
            <w:vAlign w:val="center"/>
          </w:tcPr>
          <w:p w14:paraId="63984363">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工业</w:t>
            </w:r>
            <w:r>
              <w:rPr>
                <w:rFonts w:hint="eastAsia" w:ascii="宋体" w:hAnsi="宋体" w:eastAsia="宋体" w:cs="宋体"/>
                <w:i w:val="0"/>
                <w:iCs w:val="0"/>
                <w:color w:val="auto"/>
                <w:kern w:val="0"/>
                <w:sz w:val="24"/>
                <w:szCs w:val="24"/>
                <w:u w:val="none" w:color="000000"/>
                <w:lang w:val="en-US" w:eastAsia="zh-CN" w:bidi="ar"/>
              </w:rPr>
              <w:br w:type="textWrapping"/>
            </w:r>
            <w:r>
              <w:rPr>
                <w:rFonts w:hint="eastAsia" w:ascii="宋体" w:hAnsi="宋体" w:eastAsia="宋体" w:cs="宋体"/>
                <w:i w:val="0"/>
                <w:iCs w:val="0"/>
                <w:color w:val="auto"/>
                <w:kern w:val="0"/>
                <w:sz w:val="24"/>
                <w:szCs w:val="24"/>
                <w:u w:val="none" w:color="000000"/>
                <w:lang w:val="en-US" w:eastAsia="zh-CN" w:bidi="ar"/>
              </w:rPr>
              <w:t>（制造业）</w:t>
            </w:r>
          </w:p>
        </w:tc>
      </w:tr>
      <w:tr w14:paraId="1019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vAlign w:val="center"/>
          </w:tcPr>
          <w:p w14:paraId="6F8B5495">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2</w:t>
            </w:r>
          </w:p>
        </w:tc>
        <w:tc>
          <w:tcPr>
            <w:tcW w:w="1433" w:type="dxa"/>
            <w:shd w:val="clear" w:color="auto" w:fill="auto"/>
            <w:vAlign w:val="center"/>
          </w:tcPr>
          <w:p w14:paraId="64AC018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drawing>
                <wp:anchor distT="0" distB="0" distL="114300" distR="114300" simplePos="0" relativeHeight="251660288" behindDoc="1" locked="0" layoutInCell="1" allowOverlap="1">
                  <wp:simplePos x="0" y="0"/>
                  <wp:positionH relativeFrom="column">
                    <wp:posOffset>7121525</wp:posOffset>
                  </wp:positionH>
                  <wp:positionV relativeFrom="paragraph">
                    <wp:posOffset>-10795</wp:posOffset>
                  </wp:positionV>
                  <wp:extent cx="1485900" cy="1438275"/>
                  <wp:effectExtent l="0" t="0" r="0" b="0"/>
                  <wp:wrapNone/>
                  <wp:docPr id="2" name="Picture 2" descr="鸽子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鸽子公章"/>
                          <pic:cNvPicPr>
                            <a:picLocks noChangeAspect="1"/>
                          </pic:cNvPicPr>
                        </pic:nvPicPr>
                        <pic:blipFill>
                          <a:blip r:embed="rId8"/>
                          <a:stretch>
                            <a:fillRect/>
                          </a:stretch>
                        </pic:blipFill>
                        <pic:spPr>
                          <a:xfrm>
                            <a:off x="0" y="0"/>
                            <a:ext cx="1485900" cy="1438275"/>
                          </a:xfrm>
                          <a:prstGeom prst="rect">
                            <a:avLst/>
                          </a:prstGeom>
                          <a:noFill/>
                          <a:ln w="9525">
                            <a:noFill/>
                          </a:ln>
                        </pic:spPr>
                      </pic:pic>
                    </a:graphicData>
                  </a:graphic>
                </wp:anchor>
              </w:drawing>
            </w:r>
            <w:r>
              <w:rPr>
                <w:rFonts w:hint="eastAsia" w:ascii="宋体" w:hAnsi="宋体" w:eastAsia="宋体" w:cs="宋体"/>
                <w:i w:val="0"/>
                <w:iCs w:val="0"/>
                <w:color w:val="auto"/>
                <w:sz w:val="24"/>
                <w:szCs w:val="24"/>
                <w:u w:val="none"/>
                <w:lang w:val="en-US" w:eastAsia="zh-CN"/>
              </w:rPr>
              <w:t>T</w:t>
            </w:r>
            <w:r>
              <w:rPr>
                <w:rFonts w:hint="eastAsia"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eastAsia="zh-CN"/>
              </w:rPr>
              <w:t>组合</w:t>
            </w:r>
          </w:p>
          <w:p w14:paraId="76E5D402">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p>
        </w:tc>
        <w:tc>
          <w:tcPr>
            <w:tcW w:w="6098" w:type="dxa"/>
            <w:shd w:val="clear" w:color="auto" w:fill="auto"/>
            <w:vAlign w:val="center"/>
          </w:tcPr>
          <w:p w14:paraId="54B89937">
            <w:pPr>
              <w:keepNext w:val="0"/>
              <w:keepLines w:val="0"/>
              <w:pageBreakBefore w:val="0"/>
              <w:widowControl/>
              <w:numPr>
                <w:ilvl w:val="0"/>
                <w:numId w:val="3"/>
              </w:numPr>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适用范围：</w:t>
            </w:r>
            <w:r>
              <w:rPr>
                <w:rFonts w:hint="eastAsia" w:ascii="宋体" w:hAnsi="宋体" w:eastAsia="宋体" w:cs="宋体"/>
                <w:i w:val="0"/>
                <w:iCs w:val="0"/>
                <w:color w:val="auto"/>
                <w:sz w:val="24"/>
                <w:szCs w:val="24"/>
                <w:highlight w:val="none"/>
                <w:u w:val="none"/>
              </w:rPr>
              <w:t>主要用于体重</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10公斤的新生儿和小儿提供一个受控和准确的复苏装置</w:t>
            </w:r>
            <w:r>
              <w:rPr>
                <w:rFonts w:hint="eastAsia" w:ascii="宋体" w:hAnsi="宋体" w:eastAsia="宋体" w:cs="宋体"/>
                <w:i w:val="0"/>
                <w:iCs w:val="0"/>
                <w:color w:val="auto"/>
                <w:sz w:val="24"/>
                <w:szCs w:val="24"/>
                <w:highlight w:val="none"/>
                <w:u w:val="none"/>
                <w:lang w:eastAsia="zh-CN"/>
              </w:rPr>
              <w:t>；</w:t>
            </w:r>
          </w:p>
          <w:p w14:paraId="7BAC2DD7">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二、</w:t>
            </w:r>
            <w:r>
              <w:rPr>
                <w:rFonts w:hint="eastAsia" w:ascii="宋体" w:hAnsi="宋体" w:eastAsia="宋体" w:cs="宋体"/>
                <w:b/>
                <w:bCs/>
                <w:i w:val="0"/>
                <w:iCs w:val="0"/>
                <w:color w:val="auto"/>
                <w:sz w:val="24"/>
                <w:szCs w:val="24"/>
                <w:highlight w:val="none"/>
                <w:u w:val="none"/>
              </w:rPr>
              <w:t>产品</w:t>
            </w:r>
            <w:r>
              <w:rPr>
                <w:rFonts w:hint="eastAsia" w:ascii="宋体" w:hAnsi="宋体" w:eastAsia="宋体" w:cs="宋体"/>
                <w:b/>
                <w:bCs/>
                <w:i w:val="0"/>
                <w:iCs w:val="0"/>
                <w:color w:val="auto"/>
                <w:sz w:val="24"/>
                <w:szCs w:val="24"/>
                <w:highlight w:val="none"/>
                <w:u w:val="none"/>
                <w:lang w:val="en-US" w:eastAsia="zh-CN"/>
              </w:rPr>
              <w:t>参数</w:t>
            </w:r>
          </w:p>
          <w:p w14:paraId="6EB560AD">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1.内置式一体化空氧混合器；</w:t>
            </w:r>
          </w:p>
          <w:p w14:paraId="2DB771A7">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受控吸气峰压PIP，安全地扩张新生儿/小儿的肺部并提供氧合作用；</w:t>
            </w:r>
            <w:r>
              <w:rPr>
                <w:rFonts w:hint="eastAsia" w:ascii="宋体" w:hAnsi="宋体" w:eastAsia="宋体" w:cs="宋体"/>
                <w:i w:val="0"/>
                <w:iCs w:val="0"/>
                <w:color w:val="auto"/>
                <w:sz w:val="24"/>
                <w:szCs w:val="24"/>
                <w:highlight w:val="none"/>
                <w:u w:val="none"/>
              </w:rPr>
              <w:br w:type="textWrapping"/>
            </w: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恒定CPAP/PEEP，使肺部在呼气时保持张开的状态，从而避免粘连受损并维持功能残气量</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br w:type="textWrapping"/>
            </w:r>
            <w:r>
              <w:rPr>
                <w:rFonts w:hint="eastAsia"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呼吸支持系统，可代替临时的呼吸、复苏支持；</w:t>
            </w:r>
            <w:r>
              <w:rPr>
                <w:rFonts w:hint="eastAsia" w:ascii="宋体" w:hAnsi="宋体" w:eastAsia="宋体" w:cs="宋体"/>
                <w:i w:val="0"/>
                <w:iCs w:val="0"/>
                <w:color w:val="auto"/>
                <w:sz w:val="24"/>
                <w:szCs w:val="24"/>
                <w:highlight w:val="none"/>
                <w:u w:val="none"/>
              </w:rPr>
              <w:br w:type="textWrapping"/>
            </w:r>
            <w:r>
              <w:rPr>
                <w:rFonts w:hint="eastAsia"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恒定一致和精确的CPAP/PEEP能协助婴儿在被转运的途中或在更换呼吸机管道的时候进行呼吸</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 xml:space="preserve">  </w:t>
            </w:r>
          </w:p>
          <w:p w14:paraId="0DBC24B0">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三、</w:t>
            </w:r>
            <w:r>
              <w:rPr>
                <w:rFonts w:hint="eastAsia" w:ascii="宋体" w:hAnsi="宋体" w:eastAsia="宋体" w:cs="宋体"/>
                <w:i w:val="0"/>
                <w:iCs w:val="0"/>
                <w:color w:val="auto"/>
                <w:sz w:val="24"/>
                <w:szCs w:val="24"/>
                <w:highlight w:val="none"/>
                <w:u w:val="none"/>
              </w:rPr>
              <w:t>技术规格</w:t>
            </w:r>
          </w:p>
          <w:p w14:paraId="17F5358C">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rPr>
              <w:t>流量调节LPM</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LPM-15</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LPM</w:t>
            </w:r>
            <w:r>
              <w:rPr>
                <w:rFonts w:hint="eastAsia" w:ascii="宋体" w:hAnsi="宋体" w:eastAsia="宋体" w:cs="宋体"/>
                <w:i w:val="0"/>
                <w:iCs w:val="0"/>
                <w:color w:val="auto"/>
                <w:sz w:val="24"/>
                <w:szCs w:val="24"/>
                <w:highlight w:val="none"/>
                <w:u w:val="none"/>
                <w:lang w:eastAsia="zh-CN"/>
              </w:rPr>
              <w:t>；</w:t>
            </w:r>
          </w:p>
          <w:p w14:paraId="0508B2B6">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氧浓度</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21%-100%</w:t>
            </w:r>
            <w:r>
              <w:rPr>
                <w:rFonts w:hint="eastAsia" w:ascii="宋体" w:hAnsi="宋体" w:eastAsia="宋体" w:cs="宋体"/>
                <w:i w:val="0"/>
                <w:iCs w:val="0"/>
                <w:color w:val="auto"/>
                <w:sz w:val="24"/>
                <w:szCs w:val="24"/>
                <w:highlight w:val="none"/>
                <w:u w:val="none"/>
                <w:lang w:eastAsia="zh-CN"/>
              </w:rPr>
              <w:t>；</w:t>
            </w:r>
          </w:p>
          <w:p w14:paraId="607F0A90">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气源供应故障和故障报警听觉报警</w:t>
            </w:r>
            <w:r>
              <w:rPr>
                <w:rFonts w:hint="eastAsia" w:ascii="宋体" w:hAnsi="宋体" w:eastAsia="宋体" w:cs="宋体"/>
                <w:i w:val="0"/>
                <w:iCs w:val="0"/>
                <w:color w:val="auto"/>
                <w:sz w:val="24"/>
                <w:szCs w:val="24"/>
                <w:highlight w:val="none"/>
                <w:u w:val="none"/>
                <w:lang w:eastAsia="zh-CN"/>
              </w:rPr>
              <w:t>；</w:t>
            </w:r>
          </w:p>
          <w:p w14:paraId="5C505829">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压力表</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2-10</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kPa（-20~100</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cm</w:t>
            </w:r>
            <w:r>
              <w:rPr>
                <w:rFonts w:hint="eastAsia" w:cs="宋体"/>
                <w:color w:val="auto"/>
                <w:sz w:val="24"/>
                <w:szCs w:val="24"/>
                <w:highlight w:val="none"/>
                <w:lang w:val="en-US" w:eastAsia="zh-CN"/>
              </w:rPr>
              <w:t>H₂0</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eastAsia="zh-CN"/>
              </w:rPr>
              <w:t>；</w:t>
            </w:r>
          </w:p>
          <w:p w14:paraId="605C776C">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压力限制（MAX-P）</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0-15</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LPM ≤60cm</w:t>
            </w:r>
            <w:r>
              <w:rPr>
                <w:rFonts w:hint="eastAsia" w:cs="宋体"/>
                <w:color w:val="auto"/>
                <w:sz w:val="24"/>
                <w:szCs w:val="24"/>
                <w:highlight w:val="none"/>
                <w:lang w:val="en-US" w:eastAsia="zh-CN"/>
              </w:rPr>
              <w:t>H₂0</w:t>
            </w:r>
            <w:r>
              <w:rPr>
                <w:rFonts w:hint="eastAsia" w:ascii="宋体" w:hAnsi="宋体" w:eastAsia="宋体" w:cs="宋体"/>
                <w:i w:val="0"/>
                <w:iCs w:val="0"/>
                <w:color w:val="auto"/>
                <w:sz w:val="24"/>
                <w:szCs w:val="24"/>
                <w:highlight w:val="none"/>
                <w:u w:val="none"/>
                <w:lang w:eastAsia="zh-CN"/>
              </w:rPr>
              <w:t>；</w:t>
            </w:r>
          </w:p>
          <w:p w14:paraId="7A7908E2">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green"/>
                <w:u w:val="none"/>
                <w:lang w:eastAsia="zh-CN"/>
              </w:rPr>
            </w:pPr>
            <w:r>
              <w:rPr>
                <w:rFonts w:hint="eastAsia" w:ascii="宋体" w:hAnsi="宋体" w:eastAsia="宋体" w:cs="宋体"/>
                <w:i w:val="0"/>
                <w:iCs w:val="0"/>
                <w:color w:val="auto"/>
                <w:sz w:val="24"/>
                <w:szCs w:val="24"/>
                <w:highlight w:val="none"/>
                <w:u w:val="none"/>
                <w:lang w:val="en-US" w:eastAsia="zh-CN"/>
              </w:rPr>
              <w:t>6.</w:t>
            </w:r>
            <w:r>
              <w:rPr>
                <w:rFonts w:hint="eastAsia" w:ascii="宋体" w:hAnsi="宋体" w:eastAsia="宋体" w:cs="宋体"/>
                <w:i w:val="0"/>
                <w:iCs w:val="0"/>
                <w:color w:val="auto"/>
                <w:sz w:val="24"/>
                <w:szCs w:val="24"/>
                <w:highlight w:val="none"/>
                <w:u w:val="none"/>
              </w:rPr>
              <w:t>吸气峰压（PIP）</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5-15</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LPM</w:t>
            </w:r>
            <w:r>
              <w:rPr>
                <w:rFonts w:hint="eastAsia"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kern w:val="0"/>
                <w:sz w:val="24"/>
                <w:szCs w:val="24"/>
                <w:u w:val="none"/>
                <w:lang w:val="en-US" w:eastAsia="zh-CN" w:bidi="ar"/>
              </w:rPr>
              <w:t>5-50cmH₂0</w:t>
            </w:r>
            <w:r>
              <w:rPr>
                <w:rFonts w:hint="eastAsia" w:ascii="宋体" w:hAnsi="宋体" w:eastAsia="宋体" w:cs="宋体"/>
                <w:i w:val="0"/>
                <w:iCs w:val="0"/>
                <w:color w:val="auto"/>
                <w:sz w:val="24"/>
                <w:szCs w:val="24"/>
                <w:highlight w:val="none"/>
                <w:u w:val="none"/>
                <w:lang w:eastAsia="zh-CN"/>
              </w:rPr>
              <w:t>；</w:t>
            </w:r>
            <w:r>
              <w:rPr>
                <w:rFonts w:hint="eastAsia" w:cs="宋体"/>
                <w:i w:val="0"/>
                <w:iCs w:val="0"/>
                <w:color w:val="auto"/>
                <w:sz w:val="24"/>
                <w:szCs w:val="24"/>
                <w:highlight w:val="none"/>
                <w:u w:val="none"/>
                <w:lang w:val="en-US" w:eastAsia="zh-CN"/>
              </w:rPr>
              <w:t>）</w:t>
            </w:r>
          </w:p>
          <w:p w14:paraId="209DAD84">
            <w:pPr>
              <w:keepNext w:val="0"/>
              <w:keepLines w:val="0"/>
              <w:pageBreakBefore w:val="0"/>
              <w:widowControl/>
              <w:suppressLineNumbers w:val="0"/>
              <w:kinsoku/>
              <w:wordWrap/>
              <w:overflowPunct/>
              <w:topLinePunct w:val="0"/>
              <w:bidi w:val="0"/>
              <w:snapToGrid/>
              <w:spacing w:line="440" w:lineRule="exact"/>
              <w:ind w:left="0"/>
              <w:jc w:val="left"/>
              <w:textAlignment w:val="center"/>
              <w:rPr>
                <w:rFonts w:hint="eastAsia" w:ascii="宋体" w:hAnsi="宋体" w:eastAsia="宋体" w:cs="宋体"/>
                <w:i w:val="0"/>
                <w:iCs w:val="0"/>
                <w:color w:val="auto"/>
                <w:sz w:val="24"/>
                <w:szCs w:val="24"/>
                <w:highlight w:val="none"/>
                <w:u w:val="none" w:color="000000"/>
                <w:lang w:val="en-US" w:eastAsia="zh-CN" w:bidi="ar-SA"/>
              </w:rPr>
            </w:pPr>
            <w:r>
              <w:rPr>
                <w:rFonts w:hint="eastAsia" w:ascii="宋体" w:hAnsi="宋体" w:eastAsia="宋体" w:cs="宋体"/>
                <w:i w:val="0"/>
                <w:iCs w:val="0"/>
                <w:color w:val="auto"/>
                <w:sz w:val="24"/>
                <w:szCs w:val="24"/>
                <w:highlight w:val="none"/>
                <w:u w:val="none"/>
                <w:lang w:val="en-US" w:eastAsia="zh-CN"/>
              </w:rPr>
              <w:t>7.</w:t>
            </w:r>
            <w:r>
              <w:rPr>
                <w:rFonts w:hint="eastAsia" w:ascii="宋体" w:hAnsi="宋体" w:eastAsia="宋体" w:cs="宋体"/>
                <w:i w:val="0"/>
                <w:iCs w:val="0"/>
                <w:color w:val="auto"/>
                <w:sz w:val="24"/>
                <w:szCs w:val="24"/>
                <w:highlight w:val="none"/>
                <w:u w:val="none"/>
              </w:rPr>
              <w:t>CPAP/PEEP</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5-15</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 xml:space="preserve">LPM </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kern w:val="0"/>
                <w:sz w:val="24"/>
                <w:szCs w:val="24"/>
                <w:u w:val="none"/>
                <w:lang w:val="en-US" w:eastAsia="zh-CN" w:bidi="ar"/>
              </w:rPr>
              <w:t>0.5-20 cmH₂0；</w:t>
            </w:r>
            <w:r>
              <w:rPr>
                <w:rFonts w:hint="eastAsia" w:cs="宋体"/>
                <w:i w:val="0"/>
                <w:iCs w:val="0"/>
                <w:color w:val="auto"/>
                <w:sz w:val="24"/>
                <w:szCs w:val="24"/>
                <w:highlight w:val="none"/>
                <w:u w:val="none"/>
                <w:lang w:eastAsia="zh-CN"/>
              </w:rPr>
              <w:t>）</w:t>
            </w:r>
          </w:p>
        </w:tc>
        <w:tc>
          <w:tcPr>
            <w:tcW w:w="1536" w:type="dxa"/>
            <w:shd w:val="clear" w:color="auto" w:fill="auto"/>
            <w:vAlign w:val="center"/>
          </w:tcPr>
          <w:p w14:paraId="410D804B">
            <w:pPr>
              <w:jc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工业</w:t>
            </w:r>
            <w:r>
              <w:rPr>
                <w:rFonts w:hint="eastAsia" w:ascii="宋体" w:hAnsi="宋体" w:eastAsia="宋体" w:cs="宋体"/>
                <w:i w:val="0"/>
                <w:iCs w:val="0"/>
                <w:color w:val="auto"/>
                <w:kern w:val="0"/>
                <w:sz w:val="24"/>
                <w:szCs w:val="24"/>
                <w:u w:val="none" w:color="000000"/>
                <w:lang w:val="en-US" w:eastAsia="zh-CN" w:bidi="ar"/>
              </w:rPr>
              <w:br w:type="textWrapping"/>
            </w:r>
            <w:r>
              <w:rPr>
                <w:rFonts w:hint="eastAsia" w:ascii="宋体" w:hAnsi="宋体" w:eastAsia="宋体" w:cs="宋体"/>
                <w:i w:val="0"/>
                <w:iCs w:val="0"/>
                <w:color w:val="auto"/>
                <w:kern w:val="0"/>
                <w:sz w:val="24"/>
                <w:szCs w:val="24"/>
                <w:u w:val="none" w:color="000000"/>
                <w:lang w:val="en-US" w:eastAsia="zh-CN" w:bidi="ar"/>
              </w:rPr>
              <w:t>（制造业）</w:t>
            </w:r>
          </w:p>
        </w:tc>
      </w:tr>
      <w:tr w14:paraId="4524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vAlign w:val="center"/>
          </w:tcPr>
          <w:p w14:paraId="60702BE9">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3</w:t>
            </w:r>
          </w:p>
        </w:tc>
        <w:tc>
          <w:tcPr>
            <w:tcW w:w="1433" w:type="dxa"/>
            <w:shd w:val="clear" w:color="auto" w:fill="auto"/>
            <w:vAlign w:val="center"/>
          </w:tcPr>
          <w:p w14:paraId="22FD04A6">
            <w:pPr>
              <w:keepNext w:val="0"/>
              <w:keepLines w:val="0"/>
              <w:widowControl/>
              <w:suppressLineNumbers w:val="0"/>
              <w:jc w:val="center"/>
              <w:rPr>
                <w:color w:val="auto"/>
              </w:rPr>
            </w:pPr>
            <w:r>
              <w:rPr>
                <w:rFonts w:hint="eastAsia" w:ascii="宋体" w:hAnsi="宋体" w:eastAsia="宋体" w:cs="宋体"/>
                <w:i w:val="0"/>
                <w:iCs w:val="0"/>
                <w:color w:val="auto"/>
                <w:kern w:val="0"/>
                <w:sz w:val="24"/>
                <w:szCs w:val="24"/>
                <w:u w:val="none"/>
                <w:lang w:val="en-US" w:eastAsia="zh-CN" w:bidi="ar"/>
              </w:rPr>
              <w:t>新生儿转运监护仪</w:t>
            </w:r>
          </w:p>
          <w:p w14:paraId="7F857D6B">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p>
        </w:tc>
        <w:tc>
          <w:tcPr>
            <w:tcW w:w="6098" w:type="dxa"/>
            <w:shd w:val="clear" w:color="auto" w:fill="auto"/>
            <w:vAlign w:val="center"/>
          </w:tcPr>
          <w:p w14:paraId="5B57B1EA">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1.适用于成人、小儿、新生儿的监测，满足救护车相关转运标准； </w:t>
            </w:r>
          </w:p>
          <w:p w14:paraId="18FF35A8">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▲2.≥5英寸彩色触摸显示屏，无风扇设计，内置锂电池；</w:t>
            </w:r>
          </w:p>
          <w:p w14:paraId="2669C4C9">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3.具</w:t>
            </w:r>
            <w:r>
              <w:rPr>
                <w:rFonts w:hint="eastAsia" w:cs="宋体"/>
                <w:color w:val="auto"/>
                <w:kern w:val="0"/>
                <w:sz w:val="24"/>
                <w:szCs w:val="24"/>
                <w:lang w:val="en-US" w:eastAsia="zh-CN" w:bidi="ar"/>
              </w:rPr>
              <w:t>备</w:t>
            </w:r>
            <w:r>
              <w:rPr>
                <w:rFonts w:hint="eastAsia" w:ascii="宋体" w:hAnsi="宋体" w:eastAsia="宋体" w:cs="宋体"/>
                <w:color w:val="auto"/>
                <w:kern w:val="0"/>
                <w:sz w:val="24"/>
                <w:szCs w:val="24"/>
                <w:lang w:val="en-US" w:eastAsia="zh-CN" w:bidi="ar"/>
              </w:rPr>
              <w:t xml:space="preserve">监测心电、血氧饱和度、脉搏、无创血压、呼吸、体温参数监测； </w:t>
            </w:r>
          </w:p>
          <w:p w14:paraId="36ECBE71">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4.具备3/5导心电，具有智能导联脱落监测功能，个别导联脱落的情况下仍可正常监护； </w:t>
            </w:r>
          </w:p>
          <w:p w14:paraId="7DF5C9F7">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5.具</w:t>
            </w:r>
            <w:r>
              <w:rPr>
                <w:rFonts w:hint="eastAsia" w:cs="宋体"/>
                <w:color w:val="auto"/>
                <w:kern w:val="0"/>
                <w:sz w:val="24"/>
                <w:szCs w:val="24"/>
                <w:lang w:val="en-US" w:eastAsia="zh-CN" w:bidi="ar"/>
              </w:rPr>
              <w:t>备</w:t>
            </w:r>
            <w:r>
              <w:rPr>
                <w:rFonts w:hint="eastAsia" w:ascii="宋体" w:hAnsi="宋体" w:eastAsia="宋体" w:cs="宋体"/>
                <w:color w:val="auto"/>
                <w:kern w:val="0"/>
                <w:sz w:val="24"/>
                <w:szCs w:val="24"/>
                <w:lang w:val="en-US" w:eastAsia="zh-CN" w:bidi="ar"/>
              </w:rPr>
              <w:t xml:space="preserve">心电抗干扰性； </w:t>
            </w:r>
          </w:p>
          <w:p w14:paraId="4710F2E5">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6.具</w:t>
            </w:r>
            <w:r>
              <w:rPr>
                <w:rFonts w:hint="eastAsia" w:cs="宋体"/>
                <w:color w:val="auto"/>
                <w:kern w:val="0"/>
                <w:sz w:val="24"/>
                <w:szCs w:val="24"/>
                <w:lang w:val="en-US" w:eastAsia="zh-CN" w:bidi="ar"/>
              </w:rPr>
              <w:t>备</w:t>
            </w:r>
            <w:r>
              <w:rPr>
                <w:rFonts w:hint="eastAsia" w:ascii="宋体" w:hAnsi="宋体" w:eastAsia="宋体" w:cs="宋体"/>
                <w:color w:val="auto"/>
                <w:kern w:val="0"/>
                <w:sz w:val="24"/>
                <w:szCs w:val="24"/>
                <w:lang w:val="en-US" w:eastAsia="zh-CN" w:bidi="ar"/>
              </w:rPr>
              <w:t xml:space="preserve">ST段分析功能； </w:t>
            </w:r>
          </w:p>
          <w:p w14:paraId="7ACCCD12">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7.具</w:t>
            </w:r>
            <w:r>
              <w:rPr>
                <w:rFonts w:hint="eastAsia" w:cs="宋体"/>
                <w:color w:val="auto"/>
                <w:kern w:val="0"/>
                <w:sz w:val="24"/>
                <w:szCs w:val="24"/>
                <w:lang w:val="en-US" w:eastAsia="zh-CN" w:bidi="ar"/>
              </w:rPr>
              <w:t>备</w:t>
            </w:r>
            <w:r>
              <w:rPr>
                <w:rFonts w:hint="eastAsia" w:ascii="宋体" w:hAnsi="宋体" w:eastAsia="宋体" w:cs="宋体"/>
                <w:color w:val="auto"/>
                <w:kern w:val="0"/>
                <w:sz w:val="24"/>
                <w:szCs w:val="24"/>
                <w:lang w:val="en-US" w:eastAsia="zh-CN" w:bidi="ar"/>
              </w:rPr>
              <w:t xml:space="preserve">≥20种心律失常事件分析； </w:t>
            </w:r>
          </w:p>
          <w:p w14:paraId="4A87CAD4">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8.具</w:t>
            </w:r>
            <w:r>
              <w:rPr>
                <w:rFonts w:hint="eastAsia" w:cs="宋体"/>
                <w:color w:val="auto"/>
                <w:kern w:val="0"/>
                <w:sz w:val="24"/>
                <w:szCs w:val="24"/>
                <w:lang w:val="en-US" w:eastAsia="zh-CN" w:bidi="ar"/>
              </w:rPr>
              <w:t>备</w:t>
            </w:r>
            <w:r>
              <w:rPr>
                <w:rFonts w:hint="eastAsia" w:ascii="宋体" w:hAnsi="宋体" w:eastAsia="宋体" w:cs="宋体"/>
                <w:color w:val="auto"/>
                <w:kern w:val="0"/>
                <w:sz w:val="24"/>
                <w:szCs w:val="24"/>
                <w:lang w:val="en-US" w:eastAsia="zh-CN" w:bidi="ar"/>
              </w:rPr>
              <w:t xml:space="preserve">QT/QTc 测量功能； </w:t>
            </w:r>
          </w:p>
          <w:p w14:paraId="2398245F">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9.心电波形速度支持 6.25mm/s、12.5mm/s、25mm/s和50mm/s；</w:t>
            </w:r>
          </w:p>
          <w:p w14:paraId="79FF72DC">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10.血压测量模式：手动、自动、整点和连续测量模式； </w:t>
            </w:r>
          </w:p>
          <w:p w14:paraId="28528908">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11.血氧饱和度监测可显示PI灌注指数； </w:t>
            </w:r>
          </w:p>
          <w:p w14:paraId="17C106B2">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12.≥100小时趋势表、趋势图回顾；</w:t>
            </w:r>
          </w:p>
          <w:p w14:paraId="760FEC1C">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13.≥24小时全息波形回顾； </w:t>
            </w:r>
          </w:p>
          <w:p w14:paraId="3332DBEE">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14.≥100小时NIBP数据回顾； </w:t>
            </w:r>
          </w:p>
          <w:p w14:paraId="3F6476F5">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color w:val="auto"/>
                <w:kern w:val="0"/>
                <w:sz w:val="24"/>
                <w:szCs w:val="24"/>
                <w:lang w:val="en-US" w:eastAsia="zh-CN" w:bidi="ar"/>
              </w:rPr>
              <w:t>▲15.转运监护仪支持插入床旁监护仪插槽作为参数模块使用，即插即用；</w:t>
            </w:r>
          </w:p>
        </w:tc>
        <w:tc>
          <w:tcPr>
            <w:tcW w:w="1536" w:type="dxa"/>
            <w:shd w:val="clear" w:color="auto" w:fill="auto"/>
            <w:vAlign w:val="center"/>
          </w:tcPr>
          <w:p w14:paraId="343E80E5">
            <w:pPr>
              <w:jc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工业</w:t>
            </w:r>
            <w:r>
              <w:rPr>
                <w:rFonts w:hint="eastAsia" w:ascii="宋体" w:hAnsi="宋体" w:eastAsia="宋体" w:cs="宋体"/>
                <w:i w:val="0"/>
                <w:iCs w:val="0"/>
                <w:color w:val="auto"/>
                <w:kern w:val="0"/>
                <w:sz w:val="24"/>
                <w:szCs w:val="24"/>
                <w:u w:val="none" w:color="000000"/>
                <w:lang w:val="en-US" w:eastAsia="zh-CN" w:bidi="ar"/>
              </w:rPr>
              <w:br w:type="textWrapping"/>
            </w:r>
            <w:r>
              <w:rPr>
                <w:rFonts w:hint="eastAsia" w:ascii="宋体" w:hAnsi="宋体" w:eastAsia="宋体" w:cs="宋体"/>
                <w:i w:val="0"/>
                <w:iCs w:val="0"/>
                <w:color w:val="auto"/>
                <w:kern w:val="0"/>
                <w:sz w:val="24"/>
                <w:szCs w:val="24"/>
                <w:u w:val="none" w:color="000000"/>
                <w:lang w:val="en-US" w:eastAsia="zh-CN" w:bidi="ar"/>
              </w:rPr>
              <w:t>（制造业）</w:t>
            </w:r>
          </w:p>
        </w:tc>
      </w:tr>
      <w:tr w14:paraId="5F84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vAlign w:val="center"/>
          </w:tcPr>
          <w:p w14:paraId="768C287E">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4</w:t>
            </w:r>
          </w:p>
        </w:tc>
        <w:tc>
          <w:tcPr>
            <w:tcW w:w="1433" w:type="dxa"/>
            <w:shd w:val="clear" w:color="auto" w:fill="auto"/>
            <w:vAlign w:val="center"/>
          </w:tcPr>
          <w:p w14:paraId="2AD797A7">
            <w:pPr>
              <w:keepNext w:val="0"/>
              <w:keepLines w:val="0"/>
              <w:widowControl/>
              <w:suppressLineNumbers w:val="0"/>
              <w:jc w:val="center"/>
              <w:textAlignment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b w:val="0"/>
                <w:bCs w:val="0"/>
                <w:color w:val="auto"/>
                <w:kern w:val="0"/>
                <w:sz w:val="24"/>
                <w:szCs w:val="24"/>
                <w:lang w:val="en-US" w:eastAsia="zh-CN" w:bidi="ar"/>
              </w:rPr>
              <w:t>新生儿心电监护仪1</w:t>
            </w:r>
          </w:p>
        </w:tc>
        <w:tc>
          <w:tcPr>
            <w:tcW w:w="6098" w:type="dxa"/>
            <w:shd w:val="clear" w:color="auto" w:fill="auto"/>
            <w:vAlign w:val="center"/>
          </w:tcPr>
          <w:p w14:paraId="1349DBC1">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一、整机要求： </w:t>
            </w:r>
          </w:p>
          <w:p w14:paraId="2D61A2C3">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1.一体式监护仪，无风扇设计；</w:t>
            </w:r>
          </w:p>
          <w:p w14:paraId="6C7741AD">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▲2.≥10寸彩色液晶显示屏，≥8通道波形显示；</w:t>
            </w:r>
          </w:p>
          <w:p w14:paraId="6BC00915">
            <w:pPr>
              <w:keepNext w:val="0"/>
              <w:keepLines w:val="0"/>
              <w:pageBreakBefore w:val="0"/>
              <w:widowControl/>
              <w:numPr>
                <w:ilvl w:val="0"/>
                <w:numId w:val="0"/>
              </w:numPr>
              <w:suppressLineNumbers w:val="0"/>
              <w:kinsoku/>
              <w:wordWrap/>
              <w:overflowPunct/>
              <w:topLinePunct w:val="0"/>
              <w:bidi w:val="0"/>
              <w:snapToGrid/>
              <w:spacing w:line="440" w:lineRule="exact"/>
              <w:ind w:left="0"/>
              <w:jc w:val="left"/>
              <w:rPr>
                <w:color w:val="auto"/>
                <w:highlight w:val="none"/>
              </w:rPr>
            </w:pPr>
            <w:r>
              <w:rPr>
                <w:rFonts w:hint="eastAsia"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标配锂电池；</w:t>
            </w:r>
          </w:p>
          <w:p w14:paraId="7F9E8C48">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二、监测参数： </w:t>
            </w:r>
          </w:p>
          <w:p w14:paraId="209D1F99">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1.标准配置可监测心电，呼吸，无创血压，血氧饱和度，脉搏和体温，适用于成人、小儿和新生儿； </w:t>
            </w:r>
          </w:p>
          <w:p w14:paraId="5F518142">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2.具备 ECG 多导同步分析功能； </w:t>
            </w:r>
          </w:p>
          <w:p w14:paraId="53411F41">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3.心电波形速度支持 6.25mm/s、12.5mm/s、25mm/s 和 50mm/s；</w:t>
            </w:r>
          </w:p>
          <w:p w14:paraId="31D9B239">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4.具备智能导联脱落监测功能，个别导联脱落的情况下仍能正常监护； </w:t>
            </w:r>
          </w:p>
          <w:p w14:paraId="3F641A2E">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5.具备心率变化统计界面，可显示24小时患者的心率变化和心率分布情况；</w:t>
            </w:r>
          </w:p>
          <w:p w14:paraId="1CE125BA">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6.具备SPO2和PR的实时监测，适用于成人，小儿和新生儿； </w:t>
            </w:r>
          </w:p>
          <w:p w14:paraId="26E7351E">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 xml:space="preserve">7.配置无创血压测量，适用于成人，小儿和新生儿；无创血压支持手动、连续、自动和序列测量模式，支持整点测量； </w:t>
            </w:r>
          </w:p>
          <w:p w14:paraId="5D07DD6A">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8.血氧饱和度监测可显示；PI；灌注指数</w:t>
            </w:r>
          </w:p>
          <w:p w14:paraId="2EC4B7D8">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b/>
                <w:bCs/>
                <w:color w:val="auto"/>
                <w:kern w:val="0"/>
                <w:sz w:val="24"/>
                <w:szCs w:val="24"/>
                <w:lang w:val="en-US" w:eastAsia="zh-CN" w:bidi="ar"/>
              </w:rPr>
              <w:t xml:space="preserve">三、系统功能： </w:t>
            </w:r>
          </w:p>
          <w:p w14:paraId="7FC7793E">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1.具</w:t>
            </w:r>
            <w:r>
              <w:rPr>
                <w:rFonts w:hint="eastAsia" w:cs="宋体"/>
                <w:color w:val="auto"/>
                <w:kern w:val="0"/>
                <w:sz w:val="24"/>
                <w:szCs w:val="24"/>
                <w:lang w:val="en-US" w:eastAsia="zh-CN" w:bidi="ar"/>
              </w:rPr>
              <w:t>备</w:t>
            </w:r>
            <w:r>
              <w:rPr>
                <w:rFonts w:hint="eastAsia" w:ascii="宋体" w:hAnsi="宋体" w:eastAsia="宋体" w:cs="宋体"/>
                <w:color w:val="auto"/>
                <w:kern w:val="0"/>
                <w:sz w:val="24"/>
                <w:szCs w:val="24"/>
                <w:lang w:val="en-US" w:eastAsia="zh-CN" w:bidi="ar"/>
              </w:rPr>
              <w:t>三级声光报警，报警级别可调；</w:t>
            </w:r>
          </w:p>
          <w:p w14:paraId="52757831">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2.支持所有监测参数报警限一键自动设置功能；</w:t>
            </w:r>
          </w:p>
          <w:p w14:paraId="742D5D62">
            <w:pPr>
              <w:keepNext w:val="0"/>
              <w:keepLines w:val="0"/>
              <w:pageBreakBefore w:val="0"/>
              <w:widowControl/>
              <w:suppressLineNumbers w:val="0"/>
              <w:kinsoku/>
              <w:wordWrap/>
              <w:overflowPunct/>
              <w:topLinePunct w:val="0"/>
              <w:bidi w:val="0"/>
              <w:snapToGrid/>
              <w:spacing w:line="440" w:lineRule="exact"/>
              <w:ind w:left="0"/>
              <w:jc w:val="left"/>
              <w:rPr>
                <w:color w:val="auto"/>
              </w:rPr>
            </w:pPr>
            <w:r>
              <w:rPr>
                <w:rFonts w:hint="eastAsia" w:ascii="宋体" w:hAnsi="宋体" w:eastAsia="宋体" w:cs="宋体"/>
                <w:color w:val="auto"/>
                <w:kern w:val="0"/>
                <w:sz w:val="24"/>
                <w:szCs w:val="24"/>
                <w:lang w:val="en-US" w:eastAsia="zh-CN" w:bidi="ar"/>
              </w:rPr>
              <w:t>3.具备监护模式、待机模式、演示模式、夜间模式、隐私模式</w:t>
            </w:r>
            <w:r>
              <w:rPr>
                <w:rFonts w:hint="eastAsia" w:cs="宋体"/>
                <w:color w:val="auto"/>
                <w:kern w:val="0"/>
                <w:sz w:val="24"/>
                <w:szCs w:val="24"/>
                <w:lang w:val="en-US" w:eastAsia="zh-CN" w:bidi="ar"/>
              </w:rPr>
              <w:t>等；</w:t>
            </w:r>
            <w:r>
              <w:rPr>
                <w:rFonts w:hint="eastAsia" w:ascii="宋体" w:hAnsi="宋体" w:eastAsia="宋体" w:cs="宋体"/>
                <w:color w:val="auto"/>
                <w:kern w:val="0"/>
                <w:sz w:val="24"/>
                <w:szCs w:val="24"/>
                <w:lang w:val="en-US" w:eastAsia="zh-CN" w:bidi="ar"/>
              </w:rPr>
              <w:t xml:space="preserve"> </w:t>
            </w:r>
          </w:p>
          <w:p w14:paraId="7E6093BB">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4.具备监护仪可存储功能，回放≥48小时波形全息回顾；</w:t>
            </w:r>
          </w:p>
          <w:p w14:paraId="5F5E5CAC">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四、配备中央监护站</w:t>
            </w:r>
          </w:p>
          <w:p w14:paraId="2BA50154">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1.中央监护站主机≥22英寸彩色液晶显示器；</w:t>
            </w:r>
          </w:p>
          <w:p w14:paraId="7E67343D">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▲2.中央监护站具备联网床旁监护仪；</w:t>
            </w:r>
          </w:p>
          <w:p w14:paraId="5A990999">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.中央监护站可查看多个患者的生命体征和报警数据</w:t>
            </w:r>
            <w:r>
              <w:rPr>
                <w:rFonts w:hint="eastAsia"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具备单个显示屏可显示≥20个病人数据;</w:t>
            </w:r>
          </w:p>
          <w:p w14:paraId="2B7481E4">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.中央监护站具备可以终端控制监护仪启动/停止NIBP测量;</w:t>
            </w:r>
          </w:p>
          <w:p w14:paraId="1D0D1996">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.中央监护站具备可以终端控制监护仪各种所配置模式，可一键进入;</w:t>
            </w:r>
          </w:p>
          <w:p w14:paraId="06C3BF40">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.中央监护站实现跟组显示，配置大字体界面;</w:t>
            </w:r>
          </w:p>
          <w:p w14:paraId="33D53F85">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.具备≥240小时趋势数据储存;</w:t>
            </w:r>
          </w:p>
          <w:p w14:paraId="03F85850">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.具有≥240小时ST段数据储存;</w:t>
            </w:r>
          </w:p>
          <w:p w14:paraId="2B1EF8FF">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cs="宋体"/>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.具备≥240小时全息波形数据储存;</w:t>
            </w:r>
          </w:p>
          <w:p w14:paraId="3DDB44CC">
            <w:pPr>
              <w:keepNext w:val="0"/>
              <w:keepLines w:val="0"/>
              <w:pageBreakBefore w:val="0"/>
              <w:widowControl/>
              <w:suppressLineNumbers w:val="0"/>
              <w:kinsoku/>
              <w:wordWrap/>
              <w:overflowPunct/>
              <w:topLinePunct w:val="0"/>
              <w:bidi w:val="0"/>
              <w:snapToGrid/>
              <w:spacing w:line="440" w:lineRule="exact"/>
              <w:ind w:lef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cs="宋体"/>
                <w:color w:val="auto"/>
                <w:kern w:val="0"/>
                <w:sz w:val="24"/>
                <w:szCs w:val="24"/>
                <w:lang w:val="en-US" w:eastAsia="zh-CN" w:bidi="ar"/>
              </w:rPr>
              <w:t>0</w:t>
            </w:r>
            <w:r>
              <w:rPr>
                <w:rFonts w:hint="eastAsia" w:ascii="宋体" w:hAnsi="宋体" w:eastAsia="宋体" w:cs="宋体"/>
                <w:color w:val="auto"/>
                <w:kern w:val="0"/>
                <w:sz w:val="24"/>
                <w:szCs w:val="24"/>
                <w:lang w:val="en-US" w:eastAsia="zh-CN" w:bidi="ar"/>
              </w:rPr>
              <w:t>.具备≥48小时呼吸氧合图曲线数据储蓄</w:t>
            </w:r>
          </w:p>
          <w:p w14:paraId="4B59E6E4">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.具备ST段分析，图像化显示界面，可快速查看ST值的变化;</w:t>
            </w:r>
          </w:p>
          <w:p w14:paraId="5AC55C07">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.具有房颤及室上性心律失常分析;</w:t>
            </w:r>
          </w:p>
          <w:p w14:paraId="2661DF14">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.具有手机端联网实时查看多个患者的生命体征和报警数据;</w:t>
            </w:r>
          </w:p>
          <w:p w14:paraId="12441570">
            <w:pPr>
              <w:keepNext w:val="0"/>
              <w:keepLines w:val="0"/>
              <w:pageBreakBefore w:val="0"/>
              <w:widowControl/>
              <w:suppressLineNumbers w:val="0"/>
              <w:kinsoku/>
              <w:wordWrap/>
              <w:overflowPunct/>
              <w:topLinePunct w:val="0"/>
              <w:bidi w:val="0"/>
              <w:snapToGrid/>
              <w:spacing w:line="440" w:lineRule="exact"/>
              <w:ind w:left="0"/>
              <w:jc w:val="left"/>
              <w:rPr>
                <w:rFonts w:hint="default" w:ascii="宋体" w:hAnsi="宋体" w:eastAsia="宋体" w:cs="宋体"/>
                <w:b/>
                <w:bCs/>
                <w:i w:val="0"/>
                <w:iCs w:val="0"/>
                <w:color w:val="auto"/>
                <w:sz w:val="24"/>
                <w:szCs w:val="24"/>
                <w:u w:val="none" w:color="000000"/>
                <w:lang w:val="en-US" w:eastAsia="zh-CN" w:bidi="ar-SA"/>
              </w:rPr>
            </w:pPr>
            <w:r>
              <w:rPr>
                <w:rFonts w:hint="eastAsia" w:ascii="宋体" w:hAnsi="宋体" w:eastAsia="宋体" w:cs="宋体"/>
                <w:color w:val="auto"/>
                <w:kern w:val="0"/>
                <w:sz w:val="24"/>
                <w:szCs w:val="24"/>
                <w:lang w:val="en-US" w:eastAsia="zh-CN" w:bidi="ar"/>
              </w:rPr>
              <w:t>1</w:t>
            </w:r>
            <w:r>
              <w:rPr>
                <w:rFonts w:hint="eastAsia"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.具有导联脱落提示、电池电压提示、信号强度提示功能;</w:t>
            </w:r>
          </w:p>
        </w:tc>
        <w:tc>
          <w:tcPr>
            <w:tcW w:w="1536" w:type="dxa"/>
            <w:shd w:val="clear" w:color="auto" w:fill="auto"/>
            <w:vAlign w:val="center"/>
          </w:tcPr>
          <w:p w14:paraId="4EE8677B">
            <w:pPr>
              <w:jc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工业</w:t>
            </w:r>
            <w:r>
              <w:rPr>
                <w:rFonts w:hint="eastAsia" w:ascii="宋体" w:hAnsi="宋体" w:eastAsia="宋体" w:cs="宋体"/>
                <w:i w:val="0"/>
                <w:iCs w:val="0"/>
                <w:color w:val="auto"/>
                <w:kern w:val="0"/>
                <w:sz w:val="24"/>
                <w:szCs w:val="24"/>
                <w:u w:val="none" w:color="000000"/>
                <w:lang w:val="en-US" w:eastAsia="zh-CN" w:bidi="ar"/>
              </w:rPr>
              <w:br w:type="textWrapping"/>
            </w:r>
            <w:r>
              <w:rPr>
                <w:rFonts w:hint="eastAsia" w:ascii="宋体" w:hAnsi="宋体" w:eastAsia="宋体" w:cs="宋体"/>
                <w:i w:val="0"/>
                <w:iCs w:val="0"/>
                <w:color w:val="auto"/>
                <w:kern w:val="0"/>
                <w:sz w:val="24"/>
                <w:szCs w:val="24"/>
                <w:u w:val="none" w:color="000000"/>
                <w:lang w:val="en-US" w:eastAsia="zh-CN" w:bidi="ar"/>
              </w:rPr>
              <w:t>（制造业）</w:t>
            </w:r>
          </w:p>
        </w:tc>
      </w:tr>
      <w:tr w14:paraId="7CB9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vAlign w:val="center"/>
          </w:tcPr>
          <w:p w14:paraId="0453ED68">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color="000000"/>
                <w:lang w:val="en-US" w:eastAsia="zh-CN" w:bidi="ar-SA"/>
              </w:rPr>
            </w:pPr>
            <w:r>
              <w:rPr>
                <w:rFonts w:hint="eastAsia" w:ascii="宋体" w:hAnsi="宋体" w:eastAsia="宋体" w:cs="宋体"/>
                <w:b/>
                <w:bCs/>
                <w:i w:val="0"/>
                <w:iCs w:val="0"/>
                <w:color w:val="auto"/>
                <w:kern w:val="0"/>
                <w:sz w:val="24"/>
                <w:szCs w:val="24"/>
                <w:u w:val="none" w:color="000000"/>
                <w:lang w:val="en-US" w:eastAsia="zh-CN" w:bidi="ar"/>
              </w:rPr>
              <w:t>5</w:t>
            </w:r>
          </w:p>
        </w:tc>
        <w:tc>
          <w:tcPr>
            <w:tcW w:w="1433" w:type="dxa"/>
            <w:shd w:val="clear" w:color="auto" w:fill="auto"/>
            <w:vAlign w:val="center"/>
          </w:tcPr>
          <w:p w14:paraId="026B81E0">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color="000000"/>
                <w:lang w:val="en-US" w:eastAsia="zh-CN" w:bidi="ar-SA"/>
              </w:rPr>
            </w:pPr>
            <w:r>
              <w:rPr>
                <w:rFonts w:hint="eastAsia" w:ascii="宋体" w:hAnsi="宋体" w:eastAsia="宋体" w:cs="宋体"/>
                <w:color w:val="auto"/>
                <w:kern w:val="2"/>
                <w:sz w:val="24"/>
                <w:szCs w:val="24"/>
                <w:lang w:val="en-US" w:eastAsia="zh-CN" w:bidi="ar-SA"/>
              </w:rPr>
              <w:t>新生儿心电监护仪</w:t>
            </w:r>
            <w:r>
              <w:rPr>
                <w:rFonts w:hint="eastAsia" w:ascii="宋体" w:hAnsi="宋体" w:eastAsia="宋体" w:cs="宋体"/>
                <w:i w:val="0"/>
                <w:iCs w:val="0"/>
                <w:color w:val="auto"/>
                <w:kern w:val="0"/>
                <w:sz w:val="24"/>
                <w:szCs w:val="24"/>
                <w:u w:val="none"/>
                <w:lang w:val="en-US" w:eastAsia="zh-CN" w:bidi="ar"/>
              </w:rPr>
              <w:t>2</w:t>
            </w:r>
          </w:p>
        </w:tc>
        <w:tc>
          <w:tcPr>
            <w:tcW w:w="6098" w:type="dxa"/>
            <w:shd w:val="clear" w:color="auto" w:fill="auto"/>
            <w:vAlign w:val="center"/>
          </w:tcPr>
          <w:p w14:paraId="30B71338">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▲1.模块化插件式一体化监护仪，主机插槽数≥4个;</w:t>
            </w:r>
          </w:p>
          <w:p w14:paraId="3FFD1C9F">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▲2.≥12.0英寸彩色电容触摸屏，≥8通道波形显示;</w:t>
            </w:r>
          </w:p>
          <w:p w14:paraId="7930D3A1">
            <w:pPr>
              <w:keepNext w:val="0"/>
              <w:keepLines w:val="0"/>
              <w:pageBreakBefore w:val="0"/>
              <w:widowControl/>
              <w:suppressLineNumbers w:val="0"/>
              <w:kinsoku/>
              <w:wordWrap/>
              <w:overflowPunct/>
              <w:topLinePunct w:val="0"/>
              <w:bidi w:val="0"/>
              <w:snapToGrid/>
              <w:spacing w:line="440" w:lineRule="exact"/>
              <w:ind w:left="0"/>
              <w:jc w:val="left"/>
              <w:rPr>
                <w:color w:val="auto"/>
                <w:highlight w:val="yellow"/>
              </w:rPr>
            </w:pPr>
            <w:r>
              <w:rPr>
                <w:rFonts w:hint="eastAsia" w:ascii="宋体" w:hAnsi="宋体" w:eastAsia="宋体" w:cs="宋体"/>
                <w:color w:val="auto"/>
                <w:kern w:val="2"/>
                <w:sz w:val="24"/>
                <w:szCs w:val="24"/>
                <w:lang w:val="en-US" w:eastAsia="zh-CN" w:bidi="ar-SA"/>
              </w:rPr>
              <w:t>3.采用无风扇设计，内置锂电池;</w:t>
            </w:r>
          </w:p>
          <w:p w14:paraId="65657585">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4.配置≥4个USB接口、VGA接口、DVI接口监测参数;</w:t>
            </w:r>
          </w:p>
          <w:p w14:paraId="10EBDF24">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▲5.支持3/5导心电监测、血氧饱和度、脉率、无创血压、呼吸、双有创压力监测、呼气末二氧化碳测定等功能监测，适用于成人、小儿、新生儿；</w:t>
            </w:r>
          </w:p>
          <w:p w14:paraId="0048934B">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≥20种实时心律失常分析、≥24小时心率失常统计</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ST段分析、≥120小时ST模块回顾功能；</w:t>
            </w:r>
          </w:p>
          <w:p w14:paraId="367A17AA">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.心电波形速度支持6.25mm/s、12.5mm/s、25mm/s和50mm/s；</w:t>
            </w:r>
          </w:p>
          <w:p w14:paraId="61C43138">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.支持导联类型自动识别功能，具备智能导联脱落监测功能，导联脱落的情况下仍能正常监护；</w:t>
            </w:r>
          </w:p>
          <w:p w14:paraId="700056F7">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≥4道IBP波形叠加显示；</w:t>
            </w:r>
          </w:p>
          <w:p w14:paraId="08F0528E">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肺动脉楔压（PAWP）的监测和PPV参数监测；</w:t>
            </w:r>
          </w:p>
          <w:p w14:paraId="29F0E972">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QT/QTc测量功能；</w:t>
            </w:r>
          </w:p>
          <w:p w14:paraId="6A793EBD">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.无创血压提供手动、自动间隔、连续、序列四种测量模式；</w:t>
            </w:r>
          </w:p>
          <w:p w14:paraId="364AE927">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.血氧饱和度监测可显示PI灌注指数；</w:t>
            </w:r>
          </w:p>
          <w:p w14:paraId="7E9ED3BA">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.配置血氧探头，支持浸泡清洁与消毒；</w:t>
            </w:r>
          </w:p>
          <w:p w14:paraId="0818F9BD">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≥4通道EEG，具备双频指数（BIS），肌电活动（EMG），抑制比（SR），频谱边缘频率（SEF）参数的监测；</w:t>
            </w:r>
          </w:p>
          <w:p w14:paraId="11F95769">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16</w:t>
            </w:r>
            <w:r>
              <w:rPr>
                <w:rFonts w:hint="eastAsia" w:ascii="宋体" w:hAnsi="宋体" w:eastAsia="宋体" w:cs="宋体"/>
                <w:color w:val="auto"/>
                <w:kern w:val="2"/>
                <w:sz w:val="24"/>
                <w:szCs w:val="24"/>
                <w:lang w:val="en-US" w:eastAsia="zh-CN" w:bidi="ar-SA"/>
              </w:rPr>
              <w:t>.≥200条事件回顾，报警触发时所有测量参数值，以及事件回顾时的报警事件列表；</w:t>
            </w:r>
          </w:p>
          <w:p w14:paraId="2FB7CC48">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大字体界面支持≥6个参数区的设置和显示；</w:t>
            </w:r>
          </w:p>
          <w:p w14:paraId="3DF6C9FB">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可自定义调节界面布局、波形和参数功能；</w:t>
            </w:r>
          </w:p>
          <w:p w14:paraId="3B5D24BF">
            <w:pPr>
              <w:keepNext w:val="0"/>
              <w:keepLines w:val="0"/>
              <w:pageBreakBefore w:val="0"/>
              <w:numPr>
                <w:ilvl w:val="0"/>
                <w:numId w:val="0"/>
              </w:numPr>
              <w:kinsoku/>
              <w:wordWrap/>
              <w:overflowPunct/>
              <w:topLinePunct w:val="0"/>
              <w:bidi w:val="0"/>
              <w:snapToGrid/>
              <w:spacing w:line="440" w:lineRule="exact"/>
              <w:ind w:left="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19</w:t>
            </w:r>
            <w:r>
              <w:rPr>
                <w:rFonts w:hint="eastAsia" w:ascii="宋体" w:hAnsi="宋体" w:eastAsia="宋体" w:cs="宋体"/>
                <w:color w:val="auto"/>
                <w:kern w:val="2"/>
                <w:sz w:val="24"/>
                <w:szCs w:val="24"/>
                <w:lang w:val="en-US" w:eastAsia="zh-CN" w:bidi="ar-SA"/>
              </w:rPr>
              <w:t>.具</w:t>
            </w:r>
            <w:r>
              <w:rPr>
                <w:rFonts w:hint="eastAsia" w:cs="宋体"/>
                <w:color w:val="auto"/>
                <w:kern w:val="0"/>
                <w:sz w:val="24"/>
                <w:szCs w:val="24"/>
                <w:lang w:val="en-US" w:eastAsia="zh-CN" w:bidi="ar"/>
              </w:rPr>
              <w:t>备</w:t>
            </w:r>
            <w:r>
              <w:rPr>
                <w:rFonts w:hint="eastAsia" w:ascii="宋体" w:hAnsi="宋体" w:eastAsia="宋体" w:cs="宋体"/>
                <w:color w:val="auto"/>
                <w:kern w:val="2"/>
                <w:sz w:val="24"/>
                <w:szCs w:val="24"/>
                <w:lang w:val="en-US" w:eastAsia="zh-CN" w:bidi="ar-SA"/>
              </w:rPr>
              <w:t>参数报警限一键设置功能；</w:t>
            </w:r>
          </w:p>
          <w:p w14:paraId="744C3413">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.≥40个参数的趋势表、趋势图回顾；</w:t>
            </w:r>
          </w:p>
          <w:p w14:paraId="1993A9A2">
            <w:pPr>
              <w:keepNext w:val="0"/>
              <w:keepLines w:val="0"/>
              <w:pageBreakBefore w:val="0"/>
              <w:numPr>
                <w:ilvl w:val="0"/>
                <w:numId w:val="0"/>
              </w:numPr>
              <w:kinsoku/>
              <w:wordWrap/>
              <w:overflowPunct/>
              <w:topLinePunct w:val="0"/>
              <w:bidi w:val="0"/>
              <w:snapToGrid/>
              <w:spacing w:line="440" w:lineRule="exact"/>
              <w:ind w:left="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.具备≥48小时全息波形的存储与回顾功能；</w:t>
            </w:r>
          </w:p>
          <w:p w14:paraId="2A4EB9D4">
            <w:pPr>
              <w:keepNext w:val="0"/>
              <w:keepLines w:val="0"/>
              <w:pageBreakBefore w:val="0"/>
              <w:numPr>
                <w:ilvl w:val="0"/>
                <w:numId w:val="0"/>
              </w:numPr>
              <w:kinsoku/>
              <w:wordWrap/>
              <w:overflowPunct/>
              <w:topLinePunct w:val="0"/>
              <w:bidi w:val="0"/>
              <w:snapToGrid/>
              <w:spacing w:line="440" w:lineRule="exact"/>
              <w:ind w:left="0" w:leftChars="0" w:firstLine="0" w:firstLineChars="0"/>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color w:val="auto"/>
                <w:kern w:val="2"/>
                <w:sz w:val="24"/>
                <w:szCs w:val="24"/>
                <w:lang w:val="en-US" w:eastAsia="zh-CN" w:bidi="ar-SA"/>
              </w:rPr>
              <w:t>2</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.整机工作模式具有监护模式、待机模式、体外循环；</w:t>
            </w:r>
          </w:p>
        </w:tc>
        <w:tc>
          <w:tcPr>
            <w:tcW w:w="1536" w:type="dxa"/>
            <w:shd w:val="clear" w:color="auto" w:fill="auto"/>
            <w:vAlign w:val="center"/>
          </w:tcPr>
          <w:p w14:paraId="42D31A89">
            <w:pPr>
              <w:jc w:val="center"/>
              <w:rPr>
                <w:rFonts w:hint="default" w:ascii="宋体" w:hAnsi="宋体" w:eastAsia="宋体" w:cs="宋体"/>
                <w:i w:val="0"/>
                <w:iCs w:val="0"/>
                <w:color w:val="auto"/>
                <w:sz w:val="24"/>
                <w:szCs w:val="24"/>
                <w:u w:val="none" w:color="000000"/>
                <w:lang w:val="en-US" w:eastAsia="zh-CN" w:bidi="ar-SA"/>
              </w:rPr>
            </w:pPr>
            <w:r>
              <w:rPr>
                <w:rFonts w:hint="eastAsia" w:ascii="宋体" w:hAnsi="宋体" w:eastAsia="宋体" w:cs="宋体"/>
                <w:i w:val="0"/>
                <w:iCs w:val="0"/>
                <w:color w:val="auto"/>
                <w:kern w:val="0"/>
                <w:sz w:val="24"/>
                <w:szCs w:val="24"/>
                <w:u w:val="none" w:color="000000"/>
                <w:lang w:val="en-US" w:eastAsia="zh-CN" w:bidi="ar"/>
              </w:rPr>
              <w:t>工业</w:t>
            </w:r>
            <w:r>
              <w:rPr>
                <w:rFonts w:hint="eastAsia" w:ascii="宋体" w:hAnsi="宋体" w:eastAsia="宋体" w:cs="宋体"/>
                <w:i w:val="0"/>
                <w:iCs w:val="0"/>
                <w:color w:val="auto"/>
                <w:kern w:val="0"/>
                <w:sz w:val="24"/>
                <w:szCs w:val="24"/>
                <w:u w:val="none" w:color="000000"/>
                <w:lang w:val="en-US" w:eastAsia="zh-CN" w:bidi="ar"/>
              </w:rPr>
              <w:br w:type="textWrapping"/>
            </w:r>
            <w:r>
              <w:rPr>
                <w:rFonts w:hint="eastAsia" w:ascii="宋体" w:hAnsi="宋体" w:eastAsia="宋体" w:cs="宋体"/>
                <w:i w:val="0"/>
                <w:iCs w:val="0"/>
                <w:color w:val="auto"/>
                <w:kern w:val="0"/>
                <w:sz w:val="24"/>
                <w:szCs w:val="24"/>
                <w:u w:val="none" w:color="000000"/>
                <w:lang w:val="en-US" w:eastAsia="zh-CN" w:bidi="ar"/>
              </w:rPr>
              <w:t>（制造业）</w:t>
            </w:r>
          </w:p>
        </w:tc>
      </w:tr>
      <w:tr w14:paraId="1C2C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5" w:type="dxa"/>
            <w:gridSpan w:val="4"/>
            <w:shd w:val="clear" w:color="auto" w:fill="auto"/>
            <w:vAlign w:val="center"/>
          </w:tcPr>
          <w:p w14:paraId="63CEF78F">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i w:val="0"/>
                <w:iCs w:val="0"/>
                <w:color w:val="auto"/>
                <w:kern w:val="0"/>
                <w:sz w:val="24"/>
                <w:szCs w:val="24"/>
                <w:u w:val="none" w:color="000000"/>
                <w:lang w:val="en-US" w:eastAsia="zh-CN" w:bidi="ar"/>
              </w:rPr>
            </w:pPr>
            <w:r>
              <w:rPr>
                <w:rFonts w:hint="eastAsia" w:cs="宋体"/>
                <w:b/>
                <w:bCs/>
                <w:i w:val="0"/>
                <w:iCs w:val="0"/>
                <w:color w:val="auto"/>
                <w:sz w:val="24"/>
                <w:szCs w:val="24"/>
                <w:u w:val="none"/>
                <w:lang w:val="en-US" w:eastAsia="zh-CN"/>
              </w:rPr>
              <w:t>★1、产品要求</w:t>
            </w:r>
            <w:r>
              <w:rPr>
                <w:rFonts w:hint="eastAsia" w:cs="宋体"/>
                <w:b/>
                <w:bCs/>
                <w:i w:val="0"/>
                <w:iCs w:val="0"/>
                <w:color w:val="auto"/>
                <w:sz w:val="24"/>
                <w:szCs w:val="24"/>
                <w:highlight w:val="none"/>
                <w:u w:val="none"/>
                <w:lang w:val="en-US" w:eastAsia="zh-CN"/>
              </w:rPr>
              <w:t>：所投产品属于医疗设备的必须于投标文件中提供《</w:t>
            </w:r>
            <w:r>
              <w:rPr>
                <w:rFonts w:hint="eastAsia" w:cs="宋体"/>
                <w:b/>
                <w:bCs/>
                <w:i w:val="0"/>
                <w:iCs w:val="0"/>
                <w:color w:val="auto"/>
                <w:sz w:val="24"/>
                <w:szCs w:val="24"/>
                <w:u w:val="none"/>
                <w:lang w:val="en-US" w:eastAsia="zh-CN"/>
              </w:rPr>
              <w:t>医疗器械注册证》，否则按废标处理。</w:t>
            </w:r>
          </w:p>
        </w:tc>
      </w:tr>
      <w:tr w14:paraId="0506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9765" w:type="dxa"/>
            <w:gridSpan w:val="4"/>
          </w:tcPr>
          <w:p w14:paraId="47A33523">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cs="宋体"/>
                <w:b/>
                <w:bCs/>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★1、本项目所有仪器设备如果涉及软件，软件使用最新版本且终身免费升级（包含但不限于应用软件、操作系统及数据库完善和稳定性升级服务【含新增功能软件（若有）】），</w:t>
            </w:r>
            <w:r>
              <w:rPr>
                <w:rFonts w:hint="eastAsia" w:ascii="宋体" w:hAnsi="宋体" w:eastAsia="宋体" w:cs="宋体"/>
                <w:b/>
                <w:bCs/>
                <w:i w:val="0"/>
                <w:iCs w:val="0"/>
                <w:color w:val="auto"/>
                <w:kern w:val="0"/>
                <w:sz w:val="24"/>
                <w:szCs w:val="24"/>
                <w:highlight w:val="none"/>
                <w:u w:val="none" w:color="000000"/>
                <w:lang w:val="en-US" w:eastAsia="zh-CN" w:bidi="ar"/>
              </w:rPr>
              <w:t>若需</w:t>
            </w:r>
            <w:r>
              <w:rPr>
                <w:rFonts w:hint="eastAsia" w:cs="宋体"/>
                <w:b/>
                <w:bCs/>
                <w:i w:val="0"/>
                <w:iCs w:val="0"/>
                <w:color w:val="auto"/>
                <w:sz w:val="24"/>
                <w:szCs w:val="24"/>
                <w:highlight w:val="none"/>
                <w:u w:val="none"/>
                <w:lang w:val="en-US" w:eastAsia="zh-CN"/>
              </w:rPr>
              <w:t>与我院信息系统无缝对接时，所产生的费用均由中标人承担；</w:t>
            </w:r>
          </w:p>
          <w:p w14:paraId="794EFA5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cs="宋体"/>
                <w:b/>
                <w:bCs/>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w:t>
            </w:r>
            <w:r>
              <w:rPr>
                <w:rFonts w:hint="eastAsia" w:cs="宋体"/>
                <w:b/>
                <w:bCs/>
                <w:i w:val="0"/>
                <w:iCs w:val="0"/>
                <w:color w:val="auto"/>
                <w:sz w:val="24"/>
                <w:szCs w:val="24"/>
                <w:highlight w:val="none"/>
                <w:u w:color="000000"/>
                <w:lang w:val="en-US" w:eastAsia="zh-CN" w:bidi="ar-SA"/>
              </w:rPr>
              <w:t>2</w:t>
            </w:r>
            <w:r>
              <w:rPr>
                <w:rFonts w:hint="eastAsia" w:ascii="宋体" w:hAnsi="Courier New" w:eastAsia="宋体" w:cs="宋体"/>
                <w:b/>
                <w:bCs/>
                <w:i w:val="0"/>
                <w:iCs w:val="0"/>
                <w:color w:val="auto"/>
                <w:sz w:val="24"/>
                <w:szCs w:val="24"/>
                <w:highlight w:val="none"/>
                <w:u w:color="000000"/>
                <w:lang w:val="en-US" w:eastAsia="zh-CN" w:bidi="ar-SA"/>
              </w:rPr>
              <w:t>、</w:t>
            </w:r>
            <w:r>
              <w:rPr>
                <w:rFonts w:hint="eastAsia" w:cs="宋体"/>
                <w:b/>
                <w:bCs/>
                <w:i w:val="0"/>
                <w:iCs w:val="0"/>
                <w:color w:val="auto"/>
                <w:sz w:val="24"/>
                <w:szCs w:val="24"/>
                <w:highlight w:val="none"/>
                <w:u w:val="none"/>
                <w:lang w:val="en-US" w:eastAsia="zh-CN"/>
              </w:rPr>
              <w:t>所投产品必须为2024年1月1日以后生产的设备；</w:t>
            </w:r>
          </w:p>
          <w:p w14:paraId="73D46ACE">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cs="宋体"/>
                <w:b/>
                <w:bCs/>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★3、若中标设备涉及信息软件须在使用期限内免费提供升级更新。</w:t>
            </w:r>
          </w:p>
          <w:p w14:paraId="12607B71">
            <w:pPr>
              <w:spacing w:before="176" w:line="219" w:lineRule="auto"/>
              <w:rPr>
                <w:rFonts w:hint="default" w:cs="宋体"/>
                <w:b/>
                <w:bCs/>
                <w:i w:val="0"/>
                <w:iCs w:val="0"/>
                <w:color w:val="auto"/>
                <w:sz w:val="24"/>
                <w:szCs w:val="24"/>
                <w:u w:val="none"/>
                <w:lang w:val="en-US" w:eastAsia="zh-CN"/>
              </w:rPr>
            </w:pPr>
            <w:r>
              <w:rPr>
                <w:rFonts w:ascii="宋体" w:hAnsi="宋体" w:eastAsia="宋体" w:cs="宋体"/>
                <w:b/>
                <w:bCs/>
                <w:color w:val="auto"/>
                <w:spacing w:val="-3"/>
                <w:sz w:val="24"/>
                <w:szCs w:val="24"/>
                <w:highlight w:val="none"/>
              </w:rPr>
              <w:t>备注：以上所有条款</w:t>
            </w:r>
            <w:r>
              <w:rPr>
                <w:rFonts w:hint="eastAsia" w:cs="宋体"/>
                <w:b/>
                <w:bCs/>
                <w:color w:val="auto"/>
                <w:spacing w:val="-3"/>
                <w:sz w:val="24"/>
                <w:szCs w:val="24"/>
                <w:highlight w:val="none"/>
                <w:lang w:val="en-US" w:eastAsia="zh-CN"/>
              </w:rPr>
              <w:t>均</w:t>
            </w:r>
            <w:r>
              <w:rPr>
                <w:rFonts w:ascii="宋体" w:hAnsi="宋体" w:eastAsia="宋体" w:cs="宋体"/>
                <w:b/>
                <w:bCs/>
                <w:color w:val="auto"/>
                <w:spacing w:val="-3"/>
                <w:sz w:val="24"/>
                <w:szCs w:val="24"/>
                <w:highlight w:val="none"/>
              </w:rPr>
              <w:t>须提供承诺函</w:t>
            </w:r>
            <w:r>
              <w:rPr>
                <w:rFonts w:ascii="宋体" w:hAnsi="宋体" w:eastAsia="宋体" w:cs="宋体"/>
                <w:b/>
                <w:bCs/>
                <w:color w:val="auto"/>
                <w:spacing w:val="-3"/>
                <w:sz w:val="24"/>
                <w:szCs w:val="24"/>
              </w:rPr>
              <w:t>，并加盖公章</w:t>
            </w:r>
            <w:r>
              <w:rPr>
                <w:rFonts w:hint="eastAsia" w:cs="宋体"/>
                <w:b/>
                <w:bCs/>
                <w:color w:val="auto"/>
                <w:spacing w:val="-3"/>
                <w:sz w:val="24"/>
                <w:szCs w:val="24"/>
                <w:lang w:eastAsia="zh-CN"/>
              </w:rPr>
              <w:t>，</w:t>
            </w:r>
            <w:r>
              <w:rPr>
                <w:rFonts w:hint="eastAsia" w:cs="宋体"/>
                <w:b/>
                <w:bCs/>
                <w:color w:val="auto"/>
                <w:spacing w:val="-3"/>
                <w:sz w:val="24"/>
                <w:szCs w:val="24"/>
                <w:lang w:val="en-US" w:eastAsia="zh-CN"/>
              </w:rPr>
              <w:t>未提供按废标处理</w:t>
            </w:r>
            <w:r>
              <w:rPr>
                <w:rFonts w:ascii="宋体" w:hAnsi="宋体" w:eastAsia="宋体" w:cs="宋体"/>
                <w:b/>
                <w:bCs/>
                <w:color w:val="auto"/>
                <w:spacing w:val="-3"/>
                <w:sz w:val="24"/>
                <w:szCs w:val="24"/>
              </w:rPr>
              <w:t>。</w:t>
            </w:r>
          </w:p>
        </w:tc>
      </w:tr>
      <w:tr w14:paraId="3034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765" w:type="dxa"/>
            <w:gridSpan w:val="4"/>
          </w:tcPr>
          <w:p w14:paraId="001BEF49">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宋体"/>
                <w:b/>
                <w:bCs/>
                <w:i w:val="0"/>
                <w:iCs w:val="0"/>
                <w:color w:val="auto"/>
                <w:sz w:val="24"/>
                <w:szCs w:val="24"/>
                <w:u w:val="none"/>
                <w:lang w:val="en-US" w:eastAsia="zh-CN"/>
              </w:rPr>
            </w:pPr>
            <w:r>
              <w:rPr>
                <w:rFonts w:hint="eastAsia" w:cs="宋体"/>
                <w:b/>
                <w:bCs/>
                <w:i w:val="0"/>
                <w:iCs w:val="0"/>
                <w:color w:val="auto"/>
                <w:sz w:val="24"/>
                <w:szCs w:val="24"/>
                <w:highlight w:val="none"/>
                <w:u w:val="none"/>
                <w:lang w:val="en-US" w:eastAsia="zh-CN"/>
              </w:rPr>
              <w:t>本标段（包）核心产品为：新生儿有创高频呼吸机</w:t>
            </w:r>
          </w:p>
        </w:tc>
      </w:tr>
    </w:tbl>
    <w:p w14:paraId="7A9B3342">
      <w:pPr>
        <w:keepNext w:val="0"/>
        <w:keepLines w:val="0"/>
        <w:pageBreakBefore w:val="0"/>
        <w:kinsoku/>
        <w:wordWrap/>
        <w:overflowPunct/>
        <w:topLinePunct w:val="0"/>
        <w:autoSpaceDE/>
        <w:autoSpaceDN/>
        <w:bidi w:val="0"/>
        <w:adjustRightInd w:val="0"/>
        <w:snapToGrid w:val="0"/>
        <w:spacing w:line="440" w:lineRule="exact"/>
        <w:ind w:left="0"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2.5 安全</w:t>
      </w:r>
    </w:p>
    <w:p w14:paraId="21D80FB0">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产品应符合国家、行业的各项安全标准，投标人对投标产品的安全性承担全部责任。生产或销售不符合保障人身、财产安全的国家标准、行业标准的产品，将依法承担民事及相应刑事责任。合同履行中的安全责任由中标人承担全部责任。</w:t>
      </w:r>
    </w:p>
    <w:p w14:paraId="76F7E327">
      <w:pPr>
        <w:keepNext w:val="0"/>
        <w:keepLines w:val="0"/>
        <w:pageBreakBefore w:val="0"/>
        <w:kinsoku/>
        <w:wordWrap/>
        <w:overflowPunct/>
        <w:topLinePunct w:val="0"/>
        <w:autoSpaceDE/>
        <w:autoSpaceDN/>
        <w:bidi w:val="0"/>
        <w:adjustRightInd w:val="0"/>
        <w:snapToGrid w:val="0"/>
        <w:spacing w:line="440" w:lineRule="exact"/>
        <w:ind w:left="0"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2.6 投标文件对“基本技术要求”的响应</w:t>
      </w:r>
    </w:p>
    <w:p w14:paraId="5736BDEB">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“基本技术要求”为采购需求的基础性要求，投标产品应当明确，投标技术参数应最终指向具体明确的产品。投标文件技术参数抄袭招标文件“基本技术要求”，投标产品不明确的</w:t>
      </w:r>
      <w:r>
        <w:rPr>
          <w:rFonts w:hint="eastAsia" w:cs="宋体"/>
          <w:color w:val="auto"/>
          <w:sz w:val="24"/>
          <w:szCs w:val="24"/>
          <w:lang w:eastAsia="zh-CN"/>
        </w:rPr>
        <w:t>或</w:t>
      </w:r>
      <w:r>
        <w:rPr>
          <w:rFonts w:hint="eastAsia" w:ascii="宋体" w:hAnsi="宋体" w:eastAsia="宋体" w:cs="宋体"/>
          <w:color w:val="auto"/>
          <w:sz w:val="24"/>
          <w:szCs w:val="24"/>
        </w:rPr>
        <w:t>与投标产品不一致的，评标委员会有权按照实质性判断原则评定其为</w:t>
      </w:r>
      <w:r>
        <w:rPr>
          <w:rFonts w:hint="eastAsia" w:ascii="宋体" w:hAnsi="宋体" w:eastAsia="宋体" w:cs="宋体"/>
          <w:b/>
          <w:bCs/>
          <w:color w:val="auto"/>
          <w:sz w:val="24"/>
          <w:szCs w:val="24"/>
        </w:rPr>
        <w:t>无效投标</w:t>
      </w:r>
      <w:r>
        <w:rPr>
          <w:rFonts w:hint="eastAsia" w:ascii="宋体" w:hAnsi="宋体" w:eastAsia="宋体" w:cs="宋体"/>
          <w:color w:val="auto"/>
          <w:sz w:val="24"/>
          <w:szCs w:val="24"/>
        </w:rPr>
        <w:t>。</w:t>
      </w:r>
    </w:p>
    <w:p w14:paraId="745128FF">
      <w:pPr>
        <w:keepNext w:val="0"/>
        <w:keepLines w:val="0"/>
        <w:pageBreakBefore w:val="0"/>
        <w:kinsoku/>
        <w:wordWrap/>
        <w:overflowPunct/>
        <w:topLinePunct w:val="0"/>
        <w:autoSpaceDE/>
        <w:autoSpaceDN/>
        <w:bidi w:val="0"/>
        <w:adjustRightInd w:val="0"/>
        <w:snapToGrid w:val="0"/>
        <w:spacing w:line="440" w:lineRule="exact"/>
        <w:ind w:left="0"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2.7技术偏离</w:t>
      </w:r>
    </w:p>
    <w:p w14:paraId="444EACF5">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2.7.1 “基本技术要求”列示的参数、规格为基础性要求，</w:t>
      </w:r>
      <w:r>
        <w:rPr>
          <w:rFonts w:hint="eastAsia" w:cs="宋体"/>
          <w:color w:val="auto"/>
          <w:sz w:val="24"/>
          <w:szCs w:val="24"/>
          <w:lang w:eastAsia="zh-CN"/>
        </w:rPr>
        <w:t>投标人</w:t>
      </w:r>
      <w:r>
        <w:rPr>
          <w:rFonts w:hint="eastAsia" w:ascii="宋体" w:hAnsi="宋体" w:eastAsia="宋体" w:cs="宋体"/>
          <w:color w:val="auto"/>
          <w:sz w:val="24"/>
          <w:szCs w:val="24"/>
        </w:rPr>
        <w:t>可提供质量性能参数相等或优于的其他产品；投标产品的规格参数与“基本技术要求”不同</w:t>
      </w:r>
      <w:r>
        <w:rPr>
          <w:rFonts w:hint="eastAsia" w:cs="宋体"/>
          <w:color w:val="auto"/>
          <w:sz w:val="24"/>
          <w:szCs w:val="24"/>
          <w:lang w:eastAsia="zh-CN"/>
        </w:rPr>
        <w:t>且投标人</w:t>
      </w:r>
      <w:r>
        <w:rPr>
          <w:rFonts w:hint="eastAsia" w:ascii="宋体" w:hAnsi="宋体" w:eastAsia="宋体" w:cs="宋体"/>
          <w:color w:val="auto"/>
          <w:sz w:val="24"/>
          <w:szCs w:val="24"/>
        </w:rPr>
        <w:t>认为投标产品的规格参数等于或优于“基本技术要求”的，</w:t>
      </w:r>
      <w:r>
        <w:rPr>
          <w:rFonts w:hint="eastAsia" w:cs="宋体"/>
          <w:color w:val="auto"/>
          <w:sz w:val="24"/>
          <w:szCs w:val="24"/>
          <w:lang w:eastAsia="zh-CN"/>
        </w:rPr>
        <w:t>投标人</w:t>
      </w:r>
      <w:r>
        <w:rPr>
          <w:rFonts w:hint="eastAsia" w:ascii="宋体" w:hAnsi="宋体" w:eastAsia="宋体" w:cs="宋体"/>
          <w:color w:val="auto"/>
          <w:sz w:val="24"/>
          <w:szCs w:val="24"/>
        </w:rPr>
        <w:t>应提供相关证明材料</w:t>
      </w:r>
      <w:r>
        <w:rPr>
          <w:rFonts w:hint="eastAsia" w:ascii="宋体" w:hAnsi="宋体" w:eastAsia="宋体" w:cs="宋体"/>
          <w:color w:val="auto"/>
          <w:sz w:val="24"/>
          <w:szCs w:val="24"/>
          <w:highlight w:val="none"/>
        </w:rPr>
        <w:t>（如：注册检验报告或</w:t>
      </w:r>
      <w:r>
        <w:rPr>
          <w:rFonts w:hint="eastAsia" w:cs="宋体"/>
          <w:color w:val="auto"/>
          <w:sz w:val="24"/>
          <w:szCs w:val="24"/>
          <w:highlight w:val="none"/>
          <w:lang w:eastAsia="zh-CN"/>
        </w:rPr>
        <w:t>操作手册</w:t>
      </w:r>
      <w:r>
        <w:rPr>
          <w:rFonts w:hint="eastAsia" w:ascii="宋体" w:hAnsi="宋体" w:eastAsia="宋体" w:cs="宋体"/>
          <w:color w:val="auto"/>
          <w:sz w:val="24"/>
          <w:szCs w:val="24"/>
          <w:highlight w:val="none"/>
        </w:rPr>
        <w:t>或</w:t>
      </w:r>
      <w:r>
        <w:rPr>
          <w:rFonts w:hint="eastAsia" w:cs="宋体"/>
          <w:color w:val="auto"/>
          <w:sz w:val="24"/>
          <w:szCs w:val="24"/>
          <w:highlight w:val="none"/>
          <w:lang w:eastAsia="zh-CN"/>
        </w:rPr>
        <w:t>技术白皮书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rPr>
        <w:t>以供评标委员会评审投标产品是否等于或优于“基本技术要求”、从而评定投标产品是否满足“基本技术要求”。</w:t>
      </w:r>
    </w:p>
    <w:p w14:paraId="130A8456">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“基本技术要求”列示的参数、规格为区间性描述的，投标产品参数规格在此区间内的、则显见的为符合“基本技术要求”。</w:t>
      </w:r>
    </w:p>
    <w:p w14:paraId="2D590ECA">
      <w:pPr>
        <w:keepNext w:val="0"/>
        <w:keepLines w:val="0"/>
        <w:pageBreakBefore w:val="0"/>
        <w:widowControl w:val="0"/>
        <w:kinsoku/>
        <w:wordWrap/>
        <w:overflowPunct/>
        <w:topLinePunct w:val="0"/>
        <w:autoSpaceDE/>
        <w:autoSpaceDN/>
        <w:bidi w:val="0"/>
        <w:adjustRightInd w:val="0"/>
        <w:snapToGrid w:val="0"/>
        <w:spacing w:line="440" w:lineRule="exact"/>
        <w:ind w:left="0" w:firstLine="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如“基本技术要求”中列示有品牌、型号、生产</w:t>
      </w:r>
      <w:r>
        <w:rPr>
          <w:rFonts w:hint="eastAsia" w:cs="宋体"/>
          <w:color w:val="auto"/>
          <w:sz w:val="24"/>
          <w:szCs w:val="24"/>
          <w:lang w:eastAsia="zh-CN"/>
        </w:rPr>
        <w:t>投标人</w:t>
      </w:r>
      <w:r>
        <w:rPr>
          <w:rFonts w:hint="eastAsia" w:ascii="宋体" w:hAnsi="宋体" w:eastAsia="宋体" w:cs="宋体"/>
          <w:color w:val="auto"/>
          <w:sz w:val="24"/>
          <w:szCs w:val="24"/>
        </w:rPr>
        <w:t>名称、专利、商标的，圴为“参照或相当于”的技术标准，</w:t>
      </w:r>
      <w:r>
        <w:rPr>
          <w:rFonts w:hint="eastAsia" w:cs="宋体"/>
          <w:color w:val="auto"/>
          <w:sz w:val="24"/>
          <w:szCs w:val="24"/>
          <w:lang w:eastAsia="zh-CN"/>
        </w:rPr>
        <w:t>投标人</w:t>
      </w:r>
      <w:r>
        <w:rPr>
          <w:rFonts w:hint="eastAsia" w:ascii="宋体" w:hAnsi="宋体" w:eastAsia="宋体" w:cs="宋体"/>
          <w:color w:val="auto"/>
          <w:sz w:val="24"/>
          <w:szCs w:val="24"/>
        </w:rPr>
        <w:t>可提供等于或优于的其他产品（其他的品牌、型号、生产</w:t>
      </w:r>
      <w:r>
        <w:rPr>
          <w:rFonts w:hint="eastAsia" w:cs="宋体"/>
          <w:color w:val="auto"/>
          <w:sz w:val="24"/>
          <w:szCs w:val="24"/>
          <w:lang w:eastAsia="zh-CN"/>
        </w:rPr>
        <w:t>投标人</w:t>
      </w:r>
      <w:r>
        <w:rPr>
          <w:rFonts w:hint="eastAsia" w:ascii="宋体" w:hAnsi="宋体" w:eastAsia="宋体" w:cs="宋体"/>
          <w:color w:val="auto"/>
          <w:sz w:val="24"/>
          <w:szCs w:val="24"/>
        </w:rPr>
        <w:t>、专利、商标）；</w:t>
      </w:r>
      <w:r>
        <w:rPr>
          <w:rFonts w:hint="eastAsia" w:cs="宋体"/>
          <w:color w:val="auto"/>
          <w:sz w:val="24"/>
          <w:szCs w:val="24"/>
          <w:lang w:eastAsia="zh-CN"/>
        </w:rPr>
        <w:t>投标人</w:t>
      </w:r>
      <w:r>
        <w:rPr>
          <w:rFonts w:hint="eastAsia" w:ascii="宋体" w:hAnsi="宋体" w:eastAsia="宋体" w:cs="宋体"/>
          <w:color w:val="auto"/>
          <w:sz w:val="24"/>
          <w:szCs w:val="24"/>
        </w:rPr>
        <w:t>应提供相关证明材料（</w:t>
      </w:r>
      <w:r>
        <w:rPr>
          <w:rFonts w:hint="eastAsia" w:ascii="宋体" w:hAnsi="宋体" w:eastAsia="宋体" w:cs="宋体"/>
          <w:color w:val="auto"/>
          <w:sz w:val="24"/>
          <w:szCs w:val="24"/>
          <w:highlight w:val="none"/>
        </w:rPr>
        <w:t>如</w:t>
      </w:r>
      <w:r>
        <w:rPr>
          <w:rFonts w:hint="eastAsia" w:cs="宋体"/>
          <w:color w:val="auto"/>
          <w:sz w:val="24"/>
          <w:szCs w:val="24"/>
          <w:highlight w:val="none"/>
          <w:lang w:eastAsia="zh-CN"/>
        </w:rPr>
        <w:t>注册检验报告或操作手册或技术白皮书等证明材料</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rPr>
        <w:t>供评标委员会评审投标产品是否等于或优于“基本技术要求”、从而评定投标产品是否满足“基本技术要求”。</w:t>
      </w:r>
    </w:p>
    <w:p w14:paraId="4D51A32B">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2.7.2 “基本技术要求”中带★项为实质性技术指标，实质性技术指标有一条不符合将导致无效投标。实质性技术指标的评定不纳入第四章评分因素打分条款。</w:t>
      </w:r>
    </w:p>
    <w:p w14:paraId="6DB8F063">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“基本技术要求”中带▲项为重要性技术指标，未标注符号项为一般性技术指标。评标委员会将按照第四章评分因素要求并根据投标人《投标文件》的技术指标的偏离性进行综合打分。</w:t>
      </w:r>
    </w:p>
    <w:p w14:paraId="4118147D">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所有技术参数的“符合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正偏离</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负偏离”均应在相关证明文件中体现，（相关证明文件包括：注册检验报告或</w:t>
      </w:r>
      <w:r>
        <w:rPr>
          <w:rFonts w:hint="eastAsia" w:cs="宋体"/>
          <w:color w:val="auto"/>
          <w:sz w:val="24"/>
          <w:szCs w:val="24"/>
          <w:highlight w:val="none"/>
          <w:lang w:eastAsia="zh-CN"/>
        </w:rPr>
        <w:t>操作手册</w:t>
      </w:r>
      <w:r>
        <w:rPr>
          <w:rFonts w:hint="eastAsia" w:ascii="宋体" w:hAnsi="宋体" w:eastAsia="宋体" w:cs="宋体"/>
          <w:color w:val="auto"/>
          <w:sz w:val="24"/>
          <w:szCs w:val="24"/>
          <w:highlight w:val="none"/>
        </w:rPr>
        <w:t>或</w:t>
      </w:r>
      <w:r>
        <w:rPr>
          <w:rFonts w:hint="eastAsia" w:cs="宋体"/>
          <w:color w:val="auto"/>
          <w:sz w:val="24"/>
          <w:szCs w:val="24"/>
          <w:highlight w:val="none"/>
          <w:lang w:eastAsia="zh-CN"/>
        </w:rPr>
        <w:t>技术白皮书</w:t>
      </w:r>
      <w:r>
        <w:rPr>
          <w:rFonts w:hint="eastAsia" w:cs="宋体"/>
          <w:color w:val="auto"/>
          <w:sz w:val="24"/>
          <w:szCs w:val="24"/>
          <w:highlight w:val="none"/>
          <w:lang w:val="en-US" w:eastAsia="zh-CN"/>
        </w:rPr>
        <w:t>等</w:t>
      </w:r>
      <w:r>
        <w:rPr>
          <w:rFonts w:hint="eastAsia" w:ascii="宋体" w:hAnsi="宋体" w:eastAsia="宋体" w:cs="宋体"/>
          <w:color w:val="auto"/>
          <w:sz w:val="24"/>
          <w:szCs w:val="24"/>
          <w:highlight w:val="none"/>
        </w:rPr>
        <w:t>证明材料）详见第四章“评标办法”。</w:t>
      </w:r>
    </w:p>
    <w:p w14:paraId="05F0F559">
      <w:pPr>
        <w:keepNext w:val="0"/>
        <w:keepLines w:val="0"/>
        <w:pageBreakBefore w:val="0"/>
        <w:widowControl w:val="0"/>
        <w:kinsoku/>
        <w:wordWrap/>
        <w:overflowPunct/>
        <w:topLinePunct w:val="0"/>
        <w:autoSpaceDE/>
        <w:autoSpaceDN/>
        <w:bidi w:val="0"/>
        <w:adjustRightInd w:val="0"/>
        <w:snapToGrid w:val="0"/>
        <w:spacing w:line="440" w:lineRule="exact"/>
        <w:ind w:left="0" w:firstLine="55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2.7.3 除招标文件“基本技术要求”有明确说明外，投标人所投标的各项设备均应为该设备的标准配置、不应改变或调换厂家的出厂标准配置；如确因市场因素无法按上述规格产品进行投标，应提供优于“基本技术要求”的同类产品进行投标，投标人应提供</w:t>
      </w:r>
      <w:r>
        <w:rPr>
          <w:rFonts w:hint="eastAsia" w:ascii="宋体" w:hAnsi="宋体" w:eastAsia="宋体" w:cs="宋体"/>
          <w:color w:val="auto"/>
          <w:sz w:val="24"/>
          <w:szCs w:val="24"/>
          <w:highlight w:val="none"/>
        </w:rPr>
        <w:t>注册检验报告或</w:t>
      </w:r>
      <w:r>
        <w:rPr>
          <w:rFonts w:hint="eastAsia" w:cs="宋体"/>
          <w:color w:val="auto"/>
          <w:sz w:val="24"/>
          <w:szCs w:val="24"/>
          <w:highlight w:val="none"/>
          <w:lang w:eastAsia="zh-CN"/>
        </w:rPr>
        <w:t>操作手册</w:t>
      </w:r>
      <w:r>
        <w:rPr>
          <w:rFonts w:hint="eastAsia" w:ascii="宋体" w:hAnsi="宋体" w:eastAsia="宋体" w:cs="宋体"/>
          <w:color w:val="auto"/>
          <w:sz w:val="24"/>
          <w:szCs w:val="24"/>
          <w:highlight w:val="none"/>
        </w:rPr>
        <w:t>或</w:t>
      </w:r>
      <w:r>
        <w:rPr>
          <w:rFonts w:hint="eastAsia" w:cs="宋体"/>
          <w:color w:val="auto"/>
          <w:sz w:val="24"/>
          <w:szCs w:val="24"/>
          <w:highlight w:val="none"/>
          <w:lang w:eastAsia="zh-CN"/>
        </w:rPr>
        <w:t>技术白皮书</w:t>
      </w:r>
      <w:r>
        <w:rPr>
          <w:rFonts w:hint="eastAsia" w:cs="宋体"/>
          <w:color w:val="auto"/>
          <w:sz w:val="24"/>
          <w:szCs w:val="24"/>
          <w:highlight w:val="none"/>
          <w:lang w:val="en-US" w:eastAsia="zh-CN"/>
        </w:rPr>
        <w:t>等</w:t>
      </w:r>
      <w:r>
        <w:rPr>
          <w:rFonts w:hint="eastAsia" w:ascii="宋体" w:hAnsi="宋体" w:eastAsia="宋体" w:cs="宋体"/>
          <w:color w:val="auto"/>
          <w:sz w:val="24"/>
          <w:szCs w:val="24"/>
        </w:rPr>
        <w:t>予以佐证（电子档）。</w:t>
      </w:r>
    </w:p>
    <w:p w14:paraId="50FED296">
      <w:pPr>
        <w:keepNext w:val="0"/>
        <w:keepLines w:val="0"/>
        <w:pageBreakBefore w:val="0"/>
        <w:widowControl w:val="0"/>
        <w:kinsoku/>
        <w:wordWrap/>
        <w:overflowPunct/>
        <w:topLinePunct w:val="0"/>
        <w:autoSpaceDE/>
        <w:autoSpaceDN/>
        <w:bidi w:val="0"/>
        <w:adjustRightInd w:val="0"/>
        <w:snapToGrid w:val="0"/>
        <w:spacing w:line="440" w:lineRule="exact"/>
        <w:ind w:left="0" w:firstLine="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2.7.4投标文件对技术偏差的描述要求：见第三章投标人须知3.7.3项。</w:t>
      </w:r>
    </w:p>
    <w:p w14:paraId="5964571F">
      <w:pPr>
        <w:keepNext w:val="0"/>
        <w:keepLines w:val="0"/>
        <w:pageBreakBefore w:val="0"/>
        <w:kinsoku/>
        <w:wordWrap/>
        <w:overflowPunct/>
        <w:topLinePunct w:val="0"/>
        <w:autoSpaceDE/>
        <w:autoSpaceDN/>
        <w:bidi w:val="0"/>
        <w:adjustRightInd w:val="0"/>
        <w:snapToGrid w:val="0"/>
        <w:spacing w:line="440" w:lineRule="exact"/>
        <w:ind w:left="0" w:firstLine="566" w:firstLineChars="235"/>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2.8 售后服务（采购标的需满足的服务标准、期限、效率等要求）</w:t>
      </w:r>
    </w:p>
    <w:p w14:paraId="34D0548B">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2.8.1货物的保修除按国家有关规定、各产品生产厂家规定及项目特殊要求处理外，还应满足下述条款：</w:t>
      </w:r>
    </w:p>
    <w:p w14:paraId="170E3497">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（1）招标文件中未明确列明保修条款的设备，</w:t>
      </w:r>
      <w:r>
        <w:rPr>
          <w:rFonts w:hint="eastAsia" w:ascii="宋体" w:hAnsi="宋体" w:cs="宋体"/>
          <w:b/>
          <w:bCs/>
          <w:color w:val="auto"/>
          <w:sz w:val="24"/>
          <w:szCs w:val="24"/>
          <w:highlight w:val="none"/>
        </w:rPr>
        <w:t>均需提供至少</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年的</w:t>
      </w:r>
      <w:r>
        <w:rPr>
          <w:rFonts w:hint="eastAsia" w:ascii="宋体" w:hAnsi="宋体" w:cs="宋体"/>
          <w:b/>
          <w:bCs/>
          <w:color w:val="auto"/>
          <w:sz w:val="24"/>
          <w:szCs w:val="24"/>
          <w:highlight w:val="none"/>
          <w:lang w:val="en-US" w:eastAsia="zh-CN"/>
        </w:rPr>
        <w:t>整机原厂</w:t>
      </w:r>
      <w:r>
        <w:rPr>
          <w:rFonts w:hint="eastAsia" w:ascii="宋体" w:hAnsi="宋体" w:cs="宋体"/>
          <w:b/>
          <w:bCs/>
          <w:color w:val="auto"/>
          <w:sz w:val="24"/>
          <w:szCs w:val="24"/>
          <w:highlight w:val="none"/>
        </w:rPr>
        <w:t>免费</w:t>
      </w:r>
      <w:r>
        <w:rPr>
          <w:rFonts w:hint="eastAsia" w:ascii="宋体" w:hAnsi="宋体" w:cs="宋体"/>
          <w:b/>
          <w:bCs/>
          <w:color w:val="auto"/>
          <w:sz w:val="24"/>
          <w:szCs w:val="24"/>
          <w:highlight w:val="none"/>
          <w:lang w:val="en-US" w:eastAsia="zh-CN"/>
        </w:rPr>
        <w:t>质保和</w:t>
      </w:r>
      <w:r>
        <w:rPr>
          <w:rFonts w:hint="eastAsia" w:ascii="宋体" w:hAnsi="宋体" w:eastAsia="宋体" w:cs="宋体"/>
          <w:b/>
          <w:bCs/>
          <w:color w:val="auto"/>
          <w:kern w:val="0"/>
          <w:sz w:val="24"/>
          <w:szCs w:val="24"/>
          <w:highlight w:val="none"/>
        </w:rPr>
        <w:t>7*24小时技术服务</w:t>
      </w:r>
      <w:r>
        <w:rPr>
          <w:rFonts w:hint="eastAsia" w:ascii="宋体" w:hAnsi="宋体" w:cs="宋体"/>
          <w:b/>
          <w:bCs/>
          <w:color w:val="auto"/>
          <w:kern w:val="0"/>
          <w:sz w:val="24"/>
          <w:szCs w:val="24"/>
          <w:highlight w:val="none"/>
          <w:lang w:val="en-US" w:eastAsia="zh-CN"/>
        </w:rPr>
        <w:t>及上门服务</w:t>
      </w:r>
      <w:r>
        <w:rPr>
          <w:rFonts w:hint="eastAsia" w:ascii="宋体" w:hAnsi="宋体" w:eastAsia="宋体" w:cs="宋体"/>
          <w:color w:val="auto"/>
          <w:sz w:val="24"/>
          <w:szCs w:val="24"/>
          <w:highlight w:val="none"/>
        </w:rPr>
        <w:t>；国家规定或产品生产厂家规定大于</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年的，按国家规定与厂家规定最有利于采购人原则执行；招标文件已明确列明大于</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年保修的，按该条款及其响应执行，并终身维护；</w:t>
      </w:r>
    </w:p>
    <w:p w14:paraId="2BA008BA">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（2）保修期内货物发生故障系货物出现质量问题，必须无偿更换；</w:t>
      </w:r>
    </w:p>
    <w:p w14:paraId="05AEEACF">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（3）货物超过保修期发生故障，采购人可自由选择维修单位，如委托给中标人，中标人不得借故推诿，且维修费优于市场价格；</w:t>
      </w:r>
    </w:p>
    <w:p w14:paraId="50899B22">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（4）如产品发生故障，接到通知后</w:t>
      </w:r>
      <w:r>
        <w:rPr>
          <w:rFonts w:hint="eastAsia" w:ascii="宋体" w:hAnsi="宋体" w:eastAsia="宋体" w:cs="宋体"/>
          <w:color w:val="auto"/>
          <w:sz w:val="24"/>
          <w:szCs w:val="24"/>
          <w:highlight w:val="none"/>
          <w:lang w:val="en-US" w:eastAsia="zh-CN"/>
        </w:rPr>
        <w:t>30分钟内</w:t>
      </w:r>
      <w:r>
        <w:rPr>
          <w:rFonts w:hint="eastAsia" w:ascii="宋体" w:hAnsi="宋体" w:eastAsia="宋体" w:cs="宋体"/>
          <w:color w:val="auto"/>
          <w:sz w:val="24"/>
          <w:szCs w:val="24"/>
          <w:highlight w:val="none"/>
        </w:rPr>
        <w:t>做出响应，</w:t>
      </w:r>
      <w:r>
        <w:rPr>
          <w:rFonts w:hint="eastAsia" w:ascii="宋体" w:hAnsi="宋体" w:eastAsia="宋体" w:cs="宋体"/>
          <w:color w:val="auto"/>
          <w:sz w:val="24"/>
          <w:szCs w:val="24"/>
          <w:highlight w:val="none"/>
          <w:lang w:val="en-US" w:eastAsia="zh-CN"/>
        </w:rPr>
        <w:t>2个小时内提出解决方案，需要到达现场时至少</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小时内及时赶到，负责故障原因的诊断，尽快排除故障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重大故障24小时内解决，如无法解决时须免费提供同品牌同型号备用设备，解决问题</w:t>
      </w:r>
      <w:r>
        <w:rPr>
          <w:rFonts w:hint="eastAsia" w:ascii="宋体" w:hAnsi="宋体" w:eastAsia="宋体" w:cs="宋体"/>
          <w:color w:val="auto"/>
          <w:sz w:val="24"/>
          <w:szCs w:val="24"/>
          <w:highlight w:val="none"/>
        </w:rPr>
        <w:t>。</w:t>
      </w:r>
    </w:p>
    <w:p w14:paraId="604C36EC">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2.8.2在中标人未按照合同规定的地点交验前，货物毁坏或灭失，由中标人承担责任。</w:t>
      </w:r>
    </w:p>
    <w:p w14:paraId="6920126F">
      <w:pPr>
        <w:keepNext w:val="0"/>
        <w:keepLines w:val="0"/>
        <w:pageBreakBefore w:val="0"/>
        <w:widowControl w:val="0"/>
        <w:kinsoku/>
        <w:wordWrap/>
        <w:overflowPunct/>
        <w:topLinePunct w:val="0"/>
        <w:autoSpaceDE/>
        <w:autoSpaceDN/>
        <w:bidi w:val="0"/>
        <w:adjustRightInd w:val="0"/>
        <w:snapToGrid w:val="0"/>
        <w:spacing w:line="440" w:lineRule="exact"/>
        <w:ind w:left="0" w:firstLine="538"/>
        <w:textAlignment w:val="baseline"/>
        <w:rPr>
          <w:rFonts w:hint="eastAsia" w:ascii="宋体" w:hAnsi="宋体" w:eastAsia="宋体" w:cs="宋体"/>
          <w:color w:val="auto"/>
        </w:rPr>
      </w:pPr>
      <w:r>
        <w:rPr>
          <w:rFonts w:hint="eastAsia" w:ascii="宋体" w:hAnsi="宋体" w:eastAsia="宋体" w:cs="宋体"/>
          <w:color w:val="auto"/>
          <w:sz w:val="24"/>
          <w:szCs w:val="24"/>
        </w:rPr>
        <w:t>2.8.3投标人需提供详尽的售后服务承诺；如由产品生产厂家提供相关售后服务的，投标人负有连带售后服务责任。</w:t>
      </w:r>
    </w:p>
    <w:p w14:paraId="605B10C2">
      <w:pPr>
        <w:keepNext w:val="0"/>
        <w:keepLines w:val="0"/>
        <w:pageBreakBefore w:val="0"/>
        <w:kinsoku/>
        <w:wordWrap/>
        <w:overflowPunct/>
        <w:topLinePunct w:val="0"/>
        <w:autoSpaceDE/>
        <w:autoSpaceDN/>
        <w:bidi w:val="0"/>
        <w:adjustRightInd w:val="0"/>
        <w:snapToGrid w:val="0"/>
        <w:spacing w:line="440" w:lineRule="exact"/>
        <w:ind w:left="0" w:firstLine="566" w:firstLineChars="235"/>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2.9保险、货物包装</w:t>
      </w:r>
    </w:p>
    <w:p w14:paraId="54DB3F09">
      <w:pPr>
        <w:keepNext w:val="0"/>
        <w:keepLines w:val="0"/>
        <w:pageBreakBefore w:val="0"/>
        <w:kinsoku/>
        <w:wordWrap/>
        <w:overflowPunct/>
        <w:topLinePunct w:val="0"/>
        <w:autoSpaceDE/>
        <w:autoSpaceDN/>
        <w:bidi w:val="0"/>
        <w:adjustRightInd w:val="0"/>
        <w:snapToGrid w:val="0"/>
        <w:spacing w:line="440" w:lineRule="exact"/>
        <w:ind w:left="0" w:firstLine="564" w:firstLineChars="23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2.9.1保险（如需）：</w:t>
      </w:r>
    </w:p>
    <w:p w14:paraId="3A257A5D">
      <w:pPr>
        <w:keepNext w:val="0"/>
        <w:keepLines w:val="0"/>
        <w:pageBreakBefore w:val="0"/>
        <w:kinsoku/>
        <w:wordWrap/>
        <w:overflowPunct/>
        <w:topLinePunct w:val="0"/>
        <w:autoSpaceDE/>
        <w:autoSpaceDN/>
        <w:bidi w:val="0"/>
        <w:adjustRightInd w:val="0"/>
        <w:snapToGrid w:val="0"/>
        <w:spacing w:line="440" w:lineRule="exact"/>
        <w:ind w:left="0" w:firstLine="564" w:firstLineChars="23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投标人应遵循国家相关保险的规定，依法办理采购需求范围内的相关法定保险，相关保险费用及相应责任由中标人承担。</w:t>
      </w:r>
    </w:p>
    <w:p w14:paraId="697C3BC7">
      <w:pPr>
        <w:keepNext w:val="0"/>
        <w:keepLines w:val="0"/>
        <w:pageBreakBefore w:val="0"/>
        <w:kinsoku/>
        <w:wordWrap/>
        <w:overflowPunct/>
        <w:topLinePunct w:val="0"/>
        <w:autoSpaceDE/>
        <w:autoSpaceDN/>
        <w:bidi w:val="0"/>
        <w:adjustRightInd w:val="0"/>
        <w:snapToGrid w:val="0"/>
        <w:spacing w:line="440" w:lineRule="exact"/>
        <w:ind w:left="0" w:firstLine="564" w:firstLineChars="23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在中标人未按照合同规定的地点交验前，货物毁坏或灭失，人身、安全责任，均由中标人承担责任。投标人可以按照最有利于项目风险控制的原则，为项目办理货物、人身及第三方公众责任险。</w:t>
      </w:r>
    </w:p>
    <w:p w14:paraId="6400A9D3">
      <w:pPr>
        <w:keepNext w:val="0"/>
        <w:keepLines w:val="0"/>
        <w:pageBreakBefore w:val="0"/>
        <w:kinsoku/>
        <w:wordWrap/>
        <w:overflowPunct/>
        <w:topLinePunct w:val="0"/>
        <w:autoSpaceDE/>
        <w:autoSpaceDN/>
        <w:bidi w:val="0"/>
        <w:adjustRightInd w:val="0"/>
        <w:snapToGrid w:val="0"/>
        <w:spacing w:line="440" w:lineRule="exact"/>
        <w:ind w:left="0" w:firstLine="564" w:firstLineChars="23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2.9.2货物包装：</w:t>
      </w:r>
    </w:p>
    <w:p w14:paraId="28680BE0">
      <w:pPr>
        <w:keepNext w:val="0"/>
        <w:keepLines w:val="0"/>
        <w:pageBreakBefore w:val="0"/>
        <w:kinsoku/>
        <w:wordWrap/>
        <w:overflowPunct/>
        <w:topLinePunct w:val="0"/>
        <w:autoSpaceDE/>
        <w:autoSpaceDN/>
        <w:bidi w:val="0"/>
        <w:adjustRightInd w:val="0"/>
        <w:snapToGrid w:val="0"/>
        <w:spacing w:line="440" w:lineRule="exact"/>
        <w:ind w:left="0" w:firstLine="564" w:firstLineChars="235"/>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中标人负责按国家相关标准进行货物包装，设备的包装均应有良好的防湿、防锈、防潮、防雨、防腐及防碰撞的措施，凡由于包装不良造成的损失和由此产生的费用均由中标人承担。</w:t>
      </w:r>
    </w:p>
    <w:p w14:paraId="4F3CFA8B">
      <w:pPr>
        <w:keepNext w:val="0"/>
        <w:keepLines w:val="0"/>
        <w:pageBreakBefore w:val="0"/>
        <w:kinsoku/>
        <w:wordWrap/>
        <w:overflowPunct/>
        <w:topLinePunct w:val="0"/>
        <w:autoSpaceDE/>
        <w:autoSpaceDN/>
        <w:bidi w:val="0"/>
        <w:adjustRightInd w:val="0"/>
        <w:snapToGrid w:val="0"/>
        <w:spacing w:line="440" w:lineRule="exact"/>
        <w:ind w:left="0" w:firstLine="566" w:firstLineChars="235"/>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2.10采购标的的验收标准</w:t>
      </w:r>
    </w:p>
    <w:p w14:paraId="4001099F">
      <w:pPr>
        <w:keepNext w:val="0"/>
        <w:keepLines w:val="0"/>
        <w:pageBreakBefore w:val="0"/>
        <w:kinsoku/>
        <w:wordWrap/>
        <w:overflowPunct/>
        <w:topLinePunct w:val="0"/>
        <w:autoSpaceDE/>
        <w:autoSpaceDN/>
        <w:bidi w:val="0"/>
        <w:adjustRightInd w:val="0"/>
        <w:snapToGrid w:val="0"/>
        <w:spacing w:line="440" w:lineRule="exact"/>
        <w:ind w:left="0" w:firstLine="564" w:firstLineChars="235"/>
        <w:jc w:val="left"/>
        <w:textAlignment w:val="baseline"/>
        <w:rPr>
          <w:rFonts w:hint="eastAsia" w:ascii="宋体" w:hAnsi="宋体" w:eastAsia="宋体" w:cs="宋体"/>
          <w:color w:val="auto"/>
          <w:sz w:val="24"/>
          <w:lang w:val="zh-CN"/>
        </w:rPr>
      </w:pPr>
      <w:r>
        <w:rPr>
          <w:rFonts w:hint="eastAsia" w:ascii="宋体" w:hAnsi="宋体" w:eastAsia="宋体" w:cs="宋体"/>
          <w:color w:val="auto"/>
          <w:sz w:val="24"/>
          <w:lang w:val="zh-CN"/>
        </w:rPr>
        <w:t>见“第三章 投标人须知” 第</w:t>
      </w:r>
      <w:r>
        <w:rPr>
          <w:rFonts w:hint="eastAsia" w:ascii="宋体" w:hAnsi="宋体" w:cs="宋体"/>
          <w:color w:val="auto"/>
          <w:sz w:val="24"/>
          <w:lang w:val="en-US" w:eastAsia="zh-CN"/>
        </w:rPr>
        <w:t>9</w:t>
      </w:r>
      <w:r>
        <w:rPr>
          <w:rFonts w:hint="eastAsia" w:ascii="宋体" w:hAnsi="宋体" w:eastAsia="宋体" w:cs="宋体"/>
          <w:color w:val="auto"/>
          <w:sz w:val="24"/>
          <w:lang w:val="zh-CN"/>
        </w:rPr>
        <w:t>条“验收”条款。</w:t>
      </w:r>
    </w:p>
    <w:p w14:paraId="3A350731">
      <w:pPr>
        <w:keepNext w:val="0"/>
        <w:keepLines w:val="0"/>
        <w:pageBreakBefore w:val="0"/>
        <w:kinsoku/>
        <w:wordWrap/>
        <w:overflowPunct/>
        <w:topLinePunct w:val="0"/>
        <w:autoSpaceDE/>
        <w:autoSpaceDN/>
        <w:bidi w:val="0"/>
        <w:adjustRightInd w:val="0"/>
        <w:snapToGrid w:val="0"/>
        <w:spacing w:line="440" w:lineRule="exact"/>
        <w:ind w:left="0" w:firstLine="566" w:firstLineChars="235"/>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2.11采购标的的其他技术、服务等要求</w:t>
      </w:r>
    </w:p>
    <w:p w14:paraId="2E873BA3">
      <w:pPr>
        <w:keepNext w:val="0"/>
        <w:keepLines w:val="0"/>
        <w:pageBreakBefore w:val="0"/>
        <w:kinsoku/>
        <w:wordWrap/>
        <w:overflowPunct/>
        <w:topLinePunct w:val="0"/>
        <w:autoSpaceDE/>
        <w:autoSpaceDN/>
        <w:bidi w:val="0"/>
        <w:adjustRightInd w:val="0"/>
        <w:snapToGrid w:val="0"/>
        <w:spacing w:line="440" w:lineRule="exact"/>
        <w:ind w:left="0" w:firstLine="564" w:firstLineChars="235"/>
        <w:textAlignment w:val="baseline"/>
        <w:rPr>
          <w:rFonts w:hint="eastAsia" w:ascii="宋体" w:hAnsi="宋体" w:eastAsia="宋体" w:cs="宋体"/>
          <w:color w:val="auto"/>
          <w:sz w:val="24"/>
          <w:lang w:val="zh-CN"/>
        </w:rPr>
      </w:pPr>
      <w:r>
        <w:rPr>
          <w:rFonts w:hint="eastAsia" w:ascii="宋体" w:hAnsi="宋体" w:eastAsia="宋体" w:cs="宋体"/>
          <w:color w:val="auto"/>
          <w:sz w:val="24"/>
          <w:lang w:val="zh-CN"/>
        </w:rPr>
        <w:t>无</w:t>
      </w:r>
    </w:p>
    <w:p w14:paraId="775F4199">
      <w:pPr>
        <w:pStyle w:val="3"/>
        <w:pageBreakBefore w:val="0"/>
        <w:kinsoku/>
        <w:wordWrap/>
        <w:overflowPunct/>
        <w:topLinePunct w:val="0"/>
        <w:autoSpaceDE/>
        <w:autoSpaceDN/>
        <w:bidi w:val="0"/>
        <w:spacing w:line="440" w:lineRule="exact"/>
        <w:ind w:left="0" w:firstLine="602" w:firstLineChars="200"/>
        <w:textAlignment w:val="baseline"/>
        <w:rPr>
          <w:rFonts w:hint="eastAsia"/>
          <w:color w:val="auto"/>
        </w:rPr>
      </w:pPr>
      <w:bookmarkStart w:id="33" w:name="_Toc2361"/>
      <w:bookmarkStart w:id="34" w:name="_Toc121491743"/>
      <w:r>
        <w:rPr>
          <w:rFonts w:hint="eastAsia"/>
          <w:color w:val="auto"/>
        </w:rPr>
        <w:t>3. 项目其他要求</w:t>
      </w:r>
      <w:bookmarkEnd w:id="33"/>
      <w:bookmarkEnd w:id="34"/>
    </w:p>
    <w:p w14:paraId="147FB3C5">
      <w:pPr>
        <w:pageBreakBefore w:val="0"/>
        <w:kinsoku/>
        <w:wordWrap/>
        <w:overflowPunct/>
        <w:topLinePunct w:val="0"/>
        <w:autoSpaceDE/>
        <w:autoSpaceDN/>
        <w:bidi w:val="0"/>
        <w:spacing w:line="440" w:lineRule="exact"/>
        <w:ind w:left="0" w:firstLine="964" w:firstLineChars="400"/>
        <w:textAlignment w:val="baseline"/>
        <w:rPr>
          <w:rFonts w:hint="eastAsia"/>
          <w:color w:val="auto"/>
        </w:rPr>
      </w:pPr>
      <w:r>
        <w:rPr>
          <w:rFonts w:hint="eastAsia"/>
          <w:b/>
          <w:bCs/>
          <w:color w:val="auto"/>
          <w:lang w:val="en-US" w:eastAsia="zh-CN"/>
        </w:rPr>
        <w:t>无</w:t>
      </w:r>
      <w:r>
        <w:rPr>
          <w:rFonts w:hint="eastAsia"/>
          <w:color w:val="auto"/>
        </w:rPr>
        <w:br w:type="page"/>
      </w:r>
    </w:p>
    <w:p w14:paraId="260C6069">
      <w:pPr>
        <w:pStyle w:val="2"/>
        <w:bidi w:val="0"/>
        <w:rPr>
          <w:rFonts w:hint="eastAsia"/>
          <w:color w:val="auto"/>
        </w:rPr>
      </w:pPr>
      <w:bookmarkStart w:id="35" w:name="_Toc121491744"/>
      <w:bookmarkStart w:id="36" w:name="_Toc30622"/>
      <w:r>
        <w:rPr>
          <w:rFonts w:hint="eastAsia"/>
          <w:color w:val="auto"/>
        </w:rPr>
        <w:t>第三章  投标人须知</w:t>
      </w:r>
      <w:bookmarkEnd w:id="35"/>
      <w:bookmarkEnd w:id="36"/>
    </w:p>
    <w:p w14:paraId="69D9E335">
      <w:pPr>
        <w:pStyle w:val="3"/>
        <w:bidi w:val="0"/>
        <w:jc w:val="center"/>
        <w:rPr>
          <w:rFonts w:hint="eastAsia"/>
          <w:color w:val="auto"/>
        </w:rPr>
      </w:pPr>
      <w:bookmarkStart w:id="37" w:name="_Toc121491745"/>
      <w:bookmarkStart w:id="38" w:name="_Toc26404"/>
      <w:r>
        <w:rPr>
          <w:rFonts w:hint="eastAsia"/>
          <w:color w:val="auto"/>
        </w:rPr>
        <w:t>投标人须知前附表</w:t>
      </w:r>
      <w:bookmarkEnd w:id="37"/>
      <w:bookmarkEnd w:id="38"/>
    </w:p>
    <w:tbl>
      <w:tblPr>
        <w:tblStyle w:val="23"/>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10"/>
        <w:gridCol w:w="1980"/>
        <w:gridCol w:w="6420"/>
      </w:tblGrid>
      <w:tr w14:paraId="71D1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3" w:type="dxa"/>
          </w:tcPr>
          <w:p w14:paraId="10052772">
            <w:pPr>
              <w:keepNext w:val="0"/>
              <w:keepLines w:val="0"/>
              <w:pageBreakBefore w:val="0"/>
              <w:kinsoku/>
              <w:wordWrap/>
              <w:overflowPunct/>
              <w:autoSpaceDE w:val="0"/>
              <w:autoSpaceDN w:val="0"/>
              <w:bidi w:val="0"/>
              <w:adjustRightInd w:val="0"/>
              <w:spacing w:line="456" w:lineRule="exact"/>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章节</w:t>
            </w:r>
          </w:p>
        </w:tc>
        <w:tc>
          <w:tcPr>
            <w:tcW w:w="1110" w:type="dxa"/>
            <w:vAlign w:val="center"/>
          </w:tcPr>
          <w:p w14:paraId="5ED187E1">
            <w:pPr>
              <w:keepNext w:val="0"/>
              <w:keepLines w:val="0"/>
              <w:pageBreakBefore w:val="0"/>
              <w:kinsoku/>
              <w:wordWrap/>
              <w:overflowPunct/>
              <w:autoSpaceDE w:val="0"/>
              <w:autoSpaceDN w:val="0"/>
              <w:bidi w:val="0"/>
              <w:adjustRightInd w:val="0"/>
              <w:spacing w:line="456" w:lineRule="exact"/>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条款号</w:t>
            </w:r>
          </w:p>
        </w:tc>
        <w:tc>
          <w:tcPr>
            <w:tcW w:w="1980" w:type="dxa"/>
            <w:vAlign w:val="center"/>
          </w:tcPr>
          <w:p w14:paraId="2FC79D65">
            <w:pPr>
              <w:keepNext w:val="0"/>
              <w:keepLines w:val="0"/>
              <w:pageBreakBefore w:val="0"/>
              <w:kinsoku/>
              <w:wordWrap/>
              <w:overflowPunct/>
              <w:autoSpaceDE w:val="0"/>
              <w:autoSpaceDN w:val="0"/>
              <w:bidi w:val="0"/>
              <w:adjustRightIn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条款名称</w:t>
            </w:r>
          </w:p>
        </w:tc>
        <w:tc>
          <w:tcPr>
            <w:tcW w:w="6420" w:type="dxa"/>
            <w:vAlign w:val="center"/>
          </w:tcPr>
          <w:p w14:paraId="061BC0CD">
            <w:pPr>
              <w:keepNext w:val="0"/>
              <w:keepLines w:val="0"/>
              <w:pageBreakBefore w:val="0"/>
              <w:kinsoku/>
              <w:wordWrap/>
              <w:overflowPunct/>
              <w:autoSpaceDE w:val="0"/>
              <w:autoSpaceDN w:val="0"/>
              <w:bidi w:val="0"/>
              <w:adjustRightIn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编列内容</w:t>
            </w:r>
          </w:p>
        </w:tc>
      </w:tr>
      <w:tr w14:paraId="7DE8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3" w:type="dxa"/>
            <w:vMerge w:val="restart"/>
            <w:vAlign w:val="center"/>
          </w:tcPr>
          <w:p w14:paraId="43044F15">
            <w:pPr>
              <w:keepNext w:val="0"/>
              <w:keepLines w:val="0"/>
              <w:pageBreakBefore w:val="0"/>
              <w:kinsoku/>
              <w:wordWrap/>
              <w:overflowPunct/>
              <w:autoSpaceDE w:val="0"/>
              <w:autoSpaceDN w:val="0"/>
              <w:bidi w:val="0"/>
              <w:adjustRightInd w:val="0"/>
              <w:snapToGrid w:val="0"/>
              <w:spacing w:line="456" w:lineRule="exact"/>
              <w:rPr>
                <w:rFonts w:hint="eastAsia" w:ascii="宋体" w:hAnsi="宋体" w:eastAsia="宋体" w:cs="宋体"/>
                <w:b/>
                <w:bCs/>
                <w:color w:val="auto"/>
                <w:sz w:val="24"/>
              </w:rPr>
            </w:pPr>
            <w:r>
              <w:rPr>
                <w:rFonts w:hint="eastAsia" w:ascii="宋体" w:hAnsi="宋体" w:eastAsia="宋体" w:cs="宋体"/>
                <w:b/>
                <w:bCs/>
                <w:color w:val="auto"/>
                <w:sz w:val="24"/>
              </w:rPr>
              <w:t>第一章</w:t>
            </w:r>
          </w:p>
        </w:tc>
        <w:tc>
          <w:tcPr>
            <w:tcW w:w="1110" w:type="dxa"/>
            <w:vAlign w:val="center"/>
          </w:tcPr>
          <w:p w14:paraId="75920013">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1.2</w:t>
            </w:r>
          </w:p>
        </w:tc>
        <w:tc>
          <w:tcPr>
            <w:tcW w:w="1980" w:type="dxa"/>
            <w:vAlign w:val="center"/>
          </w:tcPr>
          <w:p w14:paraId="242AFC4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color w:val="auto"/>
                <w:sz w:val="24"/>
                <w:lang w:val="zh-CN"/>
              </w:rPr>
            </w:pPr>
            <w:r>
              <w:rPr>
                <w:rFonts w:hint="eastAsia" w:ascii="宋体" w:hAnsi="宋体" w:eastAsia="宋体" w:cs="宋体"/>
                <w:b/>
                <w:bCs/>
                <w:color w:val="auto"/>
                <w:sz w:val="24"/>
              </w:rPr>
              <w:t>招标项目名称</w:t>
            </w:r>
          </w:p>
        </w:tc>
        <w:tc>
          <w:tcPr>
            <w:tcW w:w="6420" w:type="dxa"/>
            <w:vAlign w:val="center"/>
          </w:tcPr>
          <w:p w14:paraId="652BBEC3">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szCs w:val="24"/>
              </w:rPr>
              <w:t>见“第一章招标公告”相应条款</w:t>
            </w:r>
          </w:p>
        </w:tc>
      </w:tr>
      <w:tr w14:paraId="34FF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3" w:type="dxa"/>
            <w:vMerge w:val="continue"/>
            <w:vAlign w:val="center"/>
          </w:tcPr>
          <w:p w14:paraId="05F03338">
            <w:pPr>
              <w:keepNext w:val="0"/>
              <w:keepLines w:val="0"/>
              <w:pageBreakBefore w:val="0"/>
              <w:kinsoku/>
              <w:wordWrap/>
              <w:overflowPunct/>
              <w:autoSpaceDE w:val="0"/>
              <w:autoSpaceDN w:val="0"/>
              <w:bidi w:val="0"/>
              <w:adjustRightInd w:val="0"/>
              <w:snapToGrid w:val="0"/>
              <w:spacing w:line="456" w:lineRule="exact"/>
              <w:rPr>
                <w:rFonts w:hint="eastAsia" w:ascii="宋体" w:hAnsi="宋体" w:eastAsia="宋体" w:cs="宋体"/>
                <w:b/>
                <w:bCs/>
                <w:color w:val="auto"/>
                <w:sz w:val="24"/>
              </w:rPr>
            </w:pPr>
          </w:p>
        </w:tc>
        <w:tc>
          <w:tcPr>
            <w:tcW w:w="1110" w:type="dxa"/>
            <w:vAlign w:val="center"/>
          </w:tcPr>
          <w:p w14:paraId="64416F2C">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1.1</w:t>
            </w:r>
          </w:p>
        </w:tc>
        <w:tc>
          <w:tcPr>
            <w:tcW w:w="1980" w:type="dxa"/>
            <w:vAlign w:val="center"/>
          </w:tcPr>
          <w:p w14:paraId="1E73217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项目编号</w:t>
            </w:r>
          </w:p>
        </w:tc>
        <w:tc>
          <w:tcPr>
            <w:tcW w:w="6420" w:type="dxa"/>
            <w:vAlign w:val="center"/>
          </w:tcPr>
          <w:p w14:paraId="62E8AEF0">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szCs w:val="24"/>
              </w:rPr>
            </w:pPr>
            <w:r>
              <w:rPr>
                <w:rFonts w:hint="eastAsia" w:ascii="宋体" w:hAnsi="宋体" w:eastAsia="宋体" w:cs="宋体"/>
                <w:color w:val="auto"/>
                <w:sz w:val="24"/>
                <w:szCs w:val="24"/>
              </w:rPr>
              <w:t>见“第一章招标公告”相应条款</w:t>
            </w:r>
          </w:p>
        </w:tc>
      </w:tr>
      <w:tr w14:paraId="7B7D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3" w:type="dxa"/>
            <w:vMerge w:val="continue"/>
            <w:vAlign w:val="center"/>
          </w:tcPr>
          <w:p w14:paraId="782E5D64">
            <w:pPr>
              <w:keepNext w:val="0"/>
              <w:keepLines w:val="0"/>
              <w:pageBreakBefore w:val="0"/>
              <w:kinsoku/>
              <w:wordWrap/>
              <w:overflowPunct/>
              <w:autoSpaceDE w:val="0"/>
              <w:autoSpaceDN w:val="0"/>
              <w:bidi w:val="0"/>
              <w:adjustRightInd w:val="0"/>
              <w:snapToGrid w:val="0"/>
              <w:spacing w:line="456" w:lineRule="exact"/>
              <w:rPr>
                <w:rFonts w:hint="eastAsia" w:ascii="宋体" w:hAnsi="宋体" w:eastAsia="宋体" w:cs="宋体"/>
                <w:b/>
                <w:bCs/>
                <w:color w:val="auto"/>
                <w:sz w:val="24"/>
              </w:rPr>
            </w:pPr>
          </w:p>
        </w:tc>
        <w:tc>
          <w:tcPr>
            <w:tcW w:w="1110" w:type="dxa"/>
            <w:vAlign w:val="center"/>
          </w:tcPr>
          <w:p w14:paraId="12F20C4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1.3</w:t>
            </w:r>
          </w:p>
        </w:tc>
        <w:tc>
          <w:tcPr>
            <w:tcW w:w="1980" w:type="dxa"/>
            <w:vAlign w:val="center"/>
          </w:tcPr>
          <w:p w14:paraId="6ED29F22">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采购方式</w:t>
            </w:r>
          </w:p>
        </w:tc>
        <w:tc>
          <w:tcPr>
            <w:tcW w:w="6420" w:type="dxa"/>
            <w:vAlign w:val="center"/>
          </w:tcPr>
          <w:p w14:paraId="0CBBCF30">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szCs w:val="24"/>
              </w:rPr>
              <w:t>公开招标</w:t>
            </w:r>
          </w:p>
        </w:tc>
      </w:tr>
      <w:tr w14:paraId="7BE0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3" w:type="dxa"/>
            <w:vMerge w:val="continue"/>
          </w:tcPr>
          <w:p w14:paraId="4798E091">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414325E3">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1.4</w:t>
            </w:r>
          </w:p>
        </w:tc>
        <w:tc>
          <w:tcPr>
            <w:tcW w:w="1980" w:type="dxa"/>
            <w:vAlign w:val="center"/>
          </w:tcPr>
          <w:p w14:paraId="3046722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预算金额</w:t>
            </w:r>
          </w:p>
        </w:tc>
        <w:tc>
          <w:tcPr>
            <w:tcW w:w="6420" w:type="dxa"/>
            <w:vAlign w:val="center"/>
          </w:tcPr>
          <w:p w14:paraId="49110D57">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szCs w:val="24"/>
              </w:rPr>
              <w:t>见“第一章招标公告”相应条款。</w:t>
            </w:r>
            <w:r>
              <w:rPr>
                <w:rFonts w:hint="eastAsia" w:ascii="宋体" w:hAnsi="宋体" w:eastAsia="宋体" w:cs="宋体"/>
                <w:b/>
                <w:color w:val="auto"/>
                <w:sz w:val="24"/>
                <w:lang w:val="zh-CN"/>
              </w:rPr>
              <w:t>注：投标人的投标报价未超过</w:t>
            </w:r>
            <w:r>
              <w:rPr>
                <w:rFonts w:hint="eastAsia" w:ascii="宋体" w:hAnsi="宋体" w:eastAsia="宋体" w:cs="宋体"/>
                <w:b/>
                <w:bCs/>
                <w:color w:val="auto"/>
                <w:sz w:val="24"/>
                <w:lang w:val="zh-CN"/>
              </w:rPr>
              <w:t>预算金额</w:t>
            </w:r>
            <w:r>
              <w:rPr>
                <w:rFonts w:hint="eastAsia" w:cs="宋体"/>
                <w:b/>
                <w:bCs/>
                <w:color w:val="auto"/>
                <w:sz w:val="24"/>
                <w:lang w:val="en-US" w:eastAsia="zh-CN"/>
              </w:rPr>
              <w:t>且未超过最高限价</w:t>
            </w:r>
            <w:r>
              <w:rPr>
                <w:rFonts w:hint="eastAsia" w:ascii="宋体" w:hAnsi="宋体" w:eastAsia="宋体" w:cs="宋体"/>
                <w:b/>
                <w:color w:val="auto"/>
                <w:sz w:val="24"/>
                <w:lang w:val="zh-CN"/>
              </w:rPr>
              <w:t>的不足三家时，该标段（包）废标。</w:t>
            </w:r>
          </w:p>
        </w:tc>
      </w:tr>
      <w:tr w14:paraId="2B1E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13210045">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2659E3C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2</w:t>
            </w:r>
          </w:p>
        </w:tc>
        <w:tc>
          <w:tcPr>
            <w:tcW w:w="1980" w:type="dxa"/>
            <w:vAlign w:val="center"/>
          </w:tcPr>
          <w:p w14:paraId="4A2B4561">
            <w:pPr>
              <w:keepNext w:val="0"/>
              <w:keepLines w:val="0"/>
              <w:pageBreakBefore w:val="0"/>
              <w:kinsoku/>
              <w:wordWrap/>
              <w:overflowPunct/>
              <w:autoSpaceDE w:val="0"/>
              <w:autoSpaceDN w:val="0"/>
              <w:bidi w:val="0"/>
              <w:adjustRightInd w:val="0"/>
              <w:snapToGrid w:val="0"/>
              <w:spacing w:line="456" w:lineRule="exact"/>
              <w:ind w:right="-84" w:rightChars="-35"/>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投标人</w:t>
            </w:r>
            <w:r>
              <w:rPr>
                <w:rFonts w:hint="eastAsia" w:ascii="宋体" w:hAnsi="宋体" w:eastAsia="宋体" w:cs="宋体"/>
                <w:b/>
                <w:color w:val="auto"/>
                <w:sz w:val="24"/>
                <w:szCs w:val="24"/>
              </w:rPr>
              <w:t>的资格要求及相关证明材料要求</w:t>
            </w:r>
          </w:p>
        </w:tc>
        <w:tc>
          <w:tcPr>
            <w:tcW w:w="6420" w:type="dxa"/>
            <w:vAlign w:val="center"/>
          </w:tcPr>
          <w:p w14:paraId="39000CD4">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szCs w:val="24"/>
              </w:rPr>
            </w:pPr>
            <w:r>
              <w:rPr>
                <w:rFonts w:hint="eastAsia" w:ascii="宋体" w:hAnsi="宋体" w:eastAsia="宋体" w:cs="宋体"/>
                <w:color w:val="auto"/>
                <w:sz w:val="24"/>
                <w:szCs w:val="24"/>
              </w:rPr>
              <w:t>见“第一章招标公告”相应条款</w:t>
            </w:r>
          </w:p>
        </w:tc>
      </w:tr>
      <w:tr w14:paraId="31BB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039005E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3620B4F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8.1</w:t>
            </w:r>
          </w:p>
        </w:tc>
        <w:tc>
          <w:tcPr>
            <w:tcW w:w="1980" w:type="dxa"/>
            <w:vAlign w:val="center"/>
          </w:tcPr>
          <w:p w14:paraId="5D3EA3AB">
            <w:pPr>
              <w:keepNext w:val="0"/>
              <w:keepLines w:val="0"/>
              <w:pageBreakBefore w:val="0"/>
              <w:kinsoku/>
              <w:wordWrap/>
              <w:overflowPunct/>
              <w:autoSpaceDE w:val="0"/>
              <w:autoSpaceDN w:val="0"/>
              <w:bidi w:val="0"/>
              <w:adjustRightInd w:val="0"/>
              <w:snapToGrid w:val="0"/>
              <w:spacing w:line="456" w:lineRule="exact"/>
              <w:ind w:right="-84" w:rightChars="-35"/>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采购人</w:t>
            </w:r>
          </w:p>
        </w:tc>
        <w:tc>
          <w:tcPr>
            <w:tcW w:w="6420" w:type="dxa"/>
            <w:vAlign w:val="center"/>
          </w:tcPr>
          <w:p w14:paraId="233B38D0">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szCs w:val="24"/>
              </w:rPr>
            </w:pPr>
            <w:r>
              <w:rPr>
                <w:rFonts w:hint="eastAsia" w:ascii="宋体" w:hAnsi="宋体" w:eastAsia="宋体" w:cs="宋体"/>
                <w:color w:val="auto"/>
                <w:sz w:val="24"/>
                <w:szCs w:val="24"/>
              </w:rPr>
              <w:t>见“第一章招标公告”相应条款</w:t>
            </w:r>
          </w:p>
        </w:tc>
      </w:tr>
      <w:tr w14:paraId="4BD0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1FD15C0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3C09743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8.2</w:t>
            </w:r>
          </w:p>
        </w:tc>
        <w:tc>
          <w:tcPr>
            <w:tcW w:w="1980" w:type="dxa"/>
            <w:vAlign w:val="center"/>
          </w:tcPr>
          <w:p w14:paraId="3A8874A2">
            <w:pPr>
              <w:keepNext w:val="0"/>
              <w:keepLines w:val="0"/>
              <w:pageBreakBefore w:val="0"/>
              <w:kinsoku/>
              <w:wordWrap/>
              <w:overflowPunct/>
              <w:autoSpaceDE w:val="0"/>
              <w:autoSpaceDN w:val="0"/>
              <w:bidi w:val="0"/>
              <w:adjustRightInd w:val="0"/>
              <w:snapToGrid w:val="0"/>
              <w:spacing w:line="456" w:lineRule="exact"/>
              <w:ind w:right="-84" w:rightChars="-35"/>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采购代理机构</w:t>
            </w:r>
          </w:p>
        </w:tc>
        <w:tc>
          <w:tcPr>
            <w:tcW w:w="6420" w:type="dxa"/>
            <w:vAlign w:val="center"/>
          </w:tcPr>
          <w:p w14:paraId="706C401D">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szCs w:val="24"/>
              </w:rPr>
            </w:pPr>
            <w:r>
              <w:rPr>
                <w:rFonts w:hint="eastAsia" w:ascii="宋体" w:hAnsi="宋体" w:eastAsia="宋体" w:cs="宋体"/>
                <w:color w:val="auto"/>
                <w:sz w:val="24"/>
                <w:szCs w:val="24"/>
              </w:rPr>
              <w:t>见“第一章招标公告”相应条款</w:t>
            </w:r>
          </w:p>
        </w:tc>
      </w:tr>
      <w:tr w14:paraId="05F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restart"/>
            <w:vAlign w:val="center"/>
          </w:tcPr>
          <w:p w14:paraId="64F42A21">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第二章</w:t>
            </w:r>
          </w:p>
        </w:tc>
        <w:tc>
          <w:tcPr>
            <w:tcW w:w="1110" w:type="dxa"/>
            <w:vAlign w:val="center"/>
          </w:tcPr>
          <w:p w14:paraId="3735DEA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1.2</w:t>
            </w:r>
          </w:p>
        </w:tc>
        <w:tc>
          <w:tcPr>
            <w:tcW w:w="1980" w:type="dxa"/>
            <w:vAlign w:val="center"/>
          </w:tcPr>
          <w:p w14:paraId="735FA420">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color w:val="auto"/>
                <w:sz w:val="24"/>
                <w:szCs w:val="24"/>
              </w:rPr>
              <w:t>标段（包）划分</w:t>
            </w:r>
          </w:p>
        </w:tc>
        <w:tc>
          <w:tcPr>
            <w:tcW w:w="6420" w:type="dxa"/>
            <w:vAlign w:val="center"/>
          </w:tcPr>
          <w:p w14:paraId="69BE956D">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szCs w:val="24"/>
              </w:rPr>
              <w:t>见“第二章招标项目要求及采购需求”相应条款</w:t>
            </w:r>
          </w:p>
        </w:tc>
      </w:tr>
      <w:tr w14:paraId="7FC1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470DB0A8">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10F61DD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1.2</w:t>
            </w:r>
          </w:p>
        </w:tc>
        <w:tc>
          <w:tcPr>
            <w:tcW w:w="1980" w:type="dxa"/>
            <w:vAlign w:val="center"/>
          </w:tcPr>
          <w:p w14:paraId="3DB122A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color w:val="auto"/>
                <w:sz w:val="24"/>
                <w:szCs w:val="24"/>
              </w:rPr>
              <w:t>交付&lt;实施&gt;期</w:t>
            </w:r>
          </w:p>
        </w:tc>
        <w:tc>
          <w:tcPr>
            <w:tcW w:w="6420" w:type="dxa"/>
            <w:vAlign w:val="center"/>
          </w:tcPr>
          <w:p w14:paraId="31BB8A91">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bCs/>
                <w:color w:val="auto"/>
                <w:sz w:val="24"/>
                <w:lang w:val="zh-CN"/>
              </w:rPr>
            </w:pPr>
            <w:r>
              <w:rPr>
                <w:rFonts w:hint="eastAsia" w:ascii="宋体" w:hAnsi="宋体" w:eastAsia="宋体" w:cs="宋体"/>
                <w:color w:val="auto"/>
                <w:sz w:val="24"/>
              </w:rPr>
              <w:t>见“第二章招标项目要求及采购需求”</w:t>
            </w:r>
            <w:r>
              <w:rPr>
                <w:rFonts w:hint="eastAsia" w:ascii="宋体" w:hAnsi="宋体" w:eastAsia="宋体" w:cs="宋体"/>
                <w:color w:val="auto"/>
                <w:sz w:val="24"/>
                <w:szCs w:val="24"/>
              </w:rPr>
              <w:t>相应条款</w:t>
            </w:r>
          </w:p>
        </w:tc>
      </w:tr>
      <w:tr w14:paraId="66BE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0C68BD4B">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5AE7436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1.2</w:t>
            </w:r>
          </w:p>
        </w:tc>
        <w:tc>
          <w:tcPr>
            <w:tcW w:w="1980" w:type="dxa"/>
            <w:vAlign w:val="center"/>
          </w:tcPr>
          <w:p w14:paraId="1010978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rPr>
              <w:t>交付（实施）</w:t>
            </w:r>
            <w:r>
              <w:rPr>
                <w:rFonts w:hint="eastAsia" w:ascii="宋体" w:hAnsi="宋体" w:eastAsia="宋体" w:cs="宋体"/>
                <w:b/>
                <w:bCs/>
                <w:color w:val="auto"/>
                <w:sz w:val="24"/>
                <w:lang w:val="zh-CN"/>
              </w:rPr>
              <w:t>地</w:t>
            </w:r>
          </w:p>
        </w:tc>
        <w:tc>
          <w:tcPr>
            <w:tcW w:w="6420" w:type="dxa"/>
            <w:vAlign w:val="center"/>
          </w:tcPr>
          <w:p w14:paraId="4E030B3F">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见“第二章招标项目要求及采购需求”</w:t>
            </w:r>
            <w:r>
              <w:rPr>
                <w:rFonts w:hint="eastAsia" w:ascii="宋体" w:hAnsi="宋体" w:eastAsia="宋体" w:cs="宋体"/>
                <w:color w:val="auto"/>
                <w:sz w:val="24"/>
                <w:szCs w:val="24"/>
              </w:rPr>
              <w:t>相应条款</w:t>
            </w:r>
          </w:p>
        </w:tc>
      </w:tr>
      <w:tr w14:paraId="0FFF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6EA165B2">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41C13F9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1.3</w:t>
            </w:r>
          </w:p>
        </w:tc>
        <w:tc>
          <w:tcPr>
            <w:tcW w:w="1980" w:type="dxa"/>
            <w:vAlign w:val="center"/>
          </w:tcPr>
          <w:p w14:paraId="0AF712D3">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投标报价</w:t>
            </w:r>
          </w:p>
        </w:tc>
        <w:tc>
          <w:tcPr>
            <w:tcW w:w="6420" w:type="dxa"/>
            <w:vAlign w:val="center"/>
          </w:tcPr>
          <w:p w14:paraId="7CF5CCC6">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szCs w:val="24"/>
              </w:rPr>
            </w:pPr>
            <w:r>
              <w:rPr>
                <w:rFonts w:hint="eastAsia" w:ascii="宋体" w:hAnsi="宋体" w:eastAsia="宋体" w:cs="宋体"/>
                <w:color w:val="auto"/>
                <w:sz w:val="24"/>
                <w:szCs w:val="24"/>
              </w:rPr>
              <w:t>见“第二章招标项目要求及采购需求”相应条款</w:t>
            </w:r>
          </w:p>
        </w:tc>
      </w:tr>
      <w:tr w14:paraId="6C53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3" w:type="dxa"/>
            <w:vMerge w:val="continue"/>
          </w:tcPr>
          <w:p w14:paraId="019CABA9">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29999E68">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2</w:t>
            </w:r>
          </w:p>
        </w:tc>
        <w:tc>
          <w:tcPr>
            <w:tcW w:w="1980" w:type="dxa"/>
            <w:vAlign w:val="center"/>
          </w:tcPr>
          <w:p w14:paraId="5EE16EC3">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标段（包）内容（范围）及具体采购需求</w:t>
            </w:r>
          </w:p>
        </w:tc>
        <w:tc>
          <w:tcPr>
            <w:tcW w:w="6420" w:type="dxa"/>
            <w:vAlign w:val="center"/>
          </w:tcPr>
          <w:p w14:paraId="6087F880">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见“第二章招标项目要求及采购需求”</w:t>
            </w:r>
            <w:r>
              <w:rPr>
                <w:rFonts w:hint="eastAsia" w:ascii="宋体" w:hAnsi="宋体" w:eastAsia="宋体" w:cs="宋体"/>
                <w:color w:val="auto"/>
                <w:sz w:val="24"/>
                <w:szCs w:val="24"/>
              </w:rPr>
              <w:t>相应条款</w:t>
            </w:r>
          </w:p>
        </w:tc>
      </w:tr>
      <w:tr w14:paraId="128A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3" w:type="dxa"/>
            <w:vMerge w:val="continue"/>
          </w:tcPr>
          <w:p w14:paraId="53C3707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0723CC0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2.7</w:t>
            </w:r>
          </w:p>
        </w:tc>
        <w:tc>
          <w:tcPr>
            <w:tcW w:w="1980" w:type="dxa"/>
            <w:vAlign w:val="center"/>
          </w:tcPr>
          <w:p w14:paraId="2120DE9E">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技术偏离</w:t>
            </w:r>
          </w:p>
        </w:tc>
        <w:tc>
          <w:tcPr>
            <w:tcW w:w="6420" w:type="dxa"/>
            <w:vAlign w:val="center"/>
          </w:tcPr>
          <w:p w14:paraId="5E1D09A3">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见“第二章招标项目要求及采购需求”</w:t>
            </w:r>
            <w:r>
              <w:rPr>
                <w:rFonts w:hint="eastAsia" w:ascii="宋体" w:hAnsi="宋体" w:eastAsia="宋体" w:cs="宋体"/>
                <w:color w:val="auto"/>
                <w:sz w:val="24"/>
                <w:szCs w:val="24"/>
              </w:rPr>
              <w:t>相应条款</w:t>
            </w:r>
          </w:p>
        </w:tc>
      </w:tr>
      <w:tr w14:paraId="5C4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23" w:type="dxa"/>
            <w:vMerge w:val="continue"/>
          </w:tcPr>
          <w:p w14:paraId="6A997E4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780BE198">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2.8</w:t>
            </w:r>
          </w:p>
        </w:tc>
        <w:tc>
          <w:tcPr>
            <w:tcW w:w="1980" w:type="dxa"/>
            <w:vAlign w:val="center"/>
          </w:tcPr>
          <w:p w14:paraId="6F81AE76">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售后服务</w:t>
            </w:r>
          </w:p>
        </w:tc>
        <w:tc>
          <w:tcPr>
            <w:tcW w:w="6420" w:type="dxa"/>
            <w:vAlign w:val="center"/>
          </w:tcPr>
          <w:p w14:paraId="3EFEC275">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见“第二章招标项目要求及采购需求”</w:t>
            </w:r>
            <w:r>
              <w:rPr>
                <w:rFonts w:hint="eastAsia" w:ascii="宋体" w:hAnsi="宋体" w:eastAsia="宋体" w:cs="宋体"/>
                <w:color w:val="auto"/>
                <w:sz w:val="24"/>
                <w:szCs w:val="24"/>
              </w:rPr>
              <w:t>相应条款</w:t>
            </w:r>
          </w:p>
        </w:tc>
      </w:tr>
      <w:tr w14:paraId="3111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23" w:type="dxa"/>
            <w:vMerge w:val="restart"/>
          </w:tcPr>
          <w:p w14:paraId="3551DE99">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第三章</w:t>
            </w:r>
          </w:p>
        </w:tc>
        <w:tc>
          <w:tcPr>
            <w:tcW w:w="1110" w:type="dxa"/>
            <w:vAlign w:val="center"/>
          </w:tcPr>
          <w:p w14:paraId="2C20A0F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1.4</w:t>
            </w:r>
          </w:p>
        </w:tc>
        <w:tc>
          <w:tcPr>
            <w:tcW w:w="1980" w:type="dxa"/>
            <w:vAlign w:val="center"/>
          </w:tcPr>
          <w:p w14:paraId="02718E0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联合体投标</w:t>
            </w:r>
          </w:p>
        </w:tc>
        <w:tc>
          <w:tcPr>
            <w:tcW w:w="6420" w:type="dxa"/>
            <w:vAlign w:val="center"/>
          </w:tcPr>
          <w:p w14:paraId="08B1CF2F">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szCs w:val="24"/>
              </w:rPr>
              <w:t>见“第一章招标公告”相应条款。</w:t>
            </w:r>
          </w:p>
        </w:tc>
      </w:tr>
      <w:tr w14:paraId="406D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Merge w:val="continue"/>
          </w:tcPr>
          <w:p w14:paraId="57552A1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070567E5">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1.10</w:t>
            </w:r>
          </w:p>
        </w:tc>
        <w:tc>
          <w:tcPr>
            <w:tcW w:w="1980" w:type="dxa"/>
            <w:vAlign w:val="center"/>
          </w:tcPr>
          <w:p w14:paraId="0DA83090">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踏勘现场</w:t>
            </w:r>
          </w:p>
        </w:tc>
        <w:tc>
          <w:tcPr>
            <w:tcW w:w="6420" w:type="dxa"/>
            <w:vAlign w:val="center"/>
          </w:tcPr>
          <w:p w14:paraId="4CDAA38F">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不组织</w:t>
            </w:r>
          </w:p>
        </w:tc>
      </w:tr>
      <w:tr w14:paraId="662F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Merge w:val="continue"/>
          </w:tcPr>
          <w:p w14:paraId="57A2283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25D7198A">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rPr>
            </w:pPr>
            <w:r>
              <w:rPr>
                <w:rFonts w:hint="eastAsia" w:ascii="宋体" w:hAnsi="宋体" w:eastAsia="宋体" w:cs="宋体"/>
                <w:b/>
                <w:bCs/>
                <w:color w:val="auto"/>
                <w:szCs w:val="21"/>
              </w:rPr>
              <w:t>1.11</w:t>
            </w:r>
          </w:p>
        </w:tc>
        <w:tc>
          <w:tcPr>
            <w:tcW w:w="1980" w:type="dxa"/>
            <w:vAlign w:val="center"/>
          </w:tcPr>
          <w:p w14:paraId="136DDFA9">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开标前答疑会</w:t>
            </w:r>
          </w:p>
        </w:tc>
        <w:tc>
          <w:tcPr>
            <w:tcW w:w="6420" w:type="dxa"/>
            <w:vAlign w:val="center"/>
          </w:tcPr>
          <w:p w14:paraId="5316C361">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不召开</w:t>
            </w:r>
          </w:p>
        </w:tc>
      </w:tr>
      <w:tr w14:paraId="1960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Merge w:val="continue"/>
          </w:tcPr>
          <w:p w14:paraId="71B728CE">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4541ED59">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rPr>
            </w:pPr>
            <w:r>
              <w:rPr>
                <w:rFonts w:hint="eastAsia" w:ascii="宋体" w:hAnsi="宋体" w:eastAsia="宋体" w:cs="宋体"/>
                <w:b/>
                <w:bCs/>
                <w:color w:val="auto"/>
                <w:szCs w:val="21"/>
              </w:rPr>
              <w:t>1.12</w:t>
            </w:r>
          </w:p>
        </w:tc>
        <w:tc>
          <w:tcPr>
            <w:tcW w:w="1980" w:type="dxa"/>
            <w:vAlign w:val="center"/>
          </w:tcPr>
          <w:p w14:paraId="7B6F7160">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分包</w:t>
            </w:r>
          </w:p>
        </w:tc>
        <w:tc>
          <w:tcPr>
            <w:tcW w:w="6420" w:type="dxa"/>
            <w:vAlign w:val="center"/>
          </w:tcPr>
          <w:p w14:paraId="095455BE">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不允许</w:t>
            </w:r>
          </w:p>
        </w:tc>
      </w:tr>
      <w:tr w14:paraId="2963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3" w:type="dxa"/>
            <w:vMerge w:val="continue"/>
          </w:tcPr>
          <w:p w14:paraId="34311D7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413BFB7B">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rPr>
            </w:pPr>
            <w:r>
              <w:rPr>
                <w:rFonts w:hint="eastAsia" w:ascii="宋体" w:hAnsi="宋体" w:eastAsia="宋体" w:cs="宋体"/>
                <w:b/>
                <w:bCs/>
                <w:color w:val="auto"/>
                <w:szCs w:val="21"/>
              </w:rPr>
              <w:t>2.1</w:t>
            </w:r>
          </w:p>
        </w:tc>
        <w:tc>
          <w:tcPr>
            <w:tcW w:w="1980" w:type="dxa"/>
            <w:vAlign w:val="center"/>
          </w:tcPr>
          <w:p w14:paraId="3BF490E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构成招标文件的其他材料</w:t>
            </w:r>
          </w:p>
        </w:tc>
        <w:tc>
          <w:tcPr>
            <w:tcW w:w="6420" w:type="dxa"/>
            <w:vAlign w:val="center"/>
          </w:tcPr>
          <w:p w14:paraId="0C40DB9D">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见“第三章 投标人须知”相应条款</w:t>
            </w:r>
          </w:p>
        </w:tc>
      </w:tr>
      <w:tr w14:paraId="37A0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3" w:type="dxa"/>
            <w:vMerge w:val="continue"/>
          </w:tcPr>
          <w:p w14:paraId="2157D24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6E862EA3">
            <w:pPr>
              <w:keepNext w:val="0"/>
              <w:keepLines w:val="0"/>
              <w:pageBreakBefore w:val="0"/>
              <w:kinsoku/>
              <w:wordWrap/>
              <w:overflowPunct/>
              <w:autoSpaceDE w:val="0"/>
              <w:autoSpaceDN w:val="0"/>
              <w:bidi w:val="0"/>
              <w:adjustRightInd w:val="0"/>
              <w:snapToGrid w:val="0"/>
              <w:spacing w:line="456" w:lineRule="exact"/>
              <w:ind w:left="-154" w:leftChars="-64" w:right="-101" w:rightChars="-42"/>
              <w:jc w:val="center"/>
              <w:rPr>
                <w:rFonts w:hint="eastAsia" w:ascii="宋体" w:hAnsi="宋体" w:eastAsia="宋体" w:cs="宋体"/>
                <w:b/>
                <w:bCs/>
                <w:color w:val="auto"/>
                <w:szCs w:val="21"/>
              </w:rPr>
            </w:pPr>
            <w:r>
              <w:rPr>
                <w:rFonts w:hint="eastAsia" w:ascii="宋体" w:hAnsi="宋体" w:eastAsia="宋体" w:cs="宋体"/>
                <w:b/>
                <w:bCs/>
                <w:color w:val="auto"/>
                <w:szCs w:val="21"/>
              </w:rPr>
              <w:t>2.2.1</w:t>
            </w:r>
          </w:p>
        </w:tc>
        <w:tc>
          <w:tcPr>
            <w:tcW w:w="1980" w:type="dxa"/>
            <w:vAlign w:val="center"/>
          </w:tcPr>
          <w:p w14:paraId="03715DDD">
            <w:pPr>
              <w:keepNext w:val="0"/>
              <w:keepLines w:val="0"/>
              <w:pageBreakBefore w:val="0"/>
              <w:kinsoku/>
              <w:wordWrap/>
              <w:overflowPunct/>
              <w:autoSpaceDE w:val="0"/>
              <w:autoSpaceDN w:val="0"/>
              <w:bidi w:val="0"/>
              <w:adjustRightInd w:val="0"/>
              <w:snapToGrid w:val="0"/>
              <w:spacing w:line="456" w:lineRule="exact"/>
              <w:ind w:right="-204" w:rightChars="-85"/>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投标人提出问题的截止时间</w:t>
            </w:r>
          </w:p>
        </w:tc>
        <w:tc>
          <w:tcPr>
            <w:tcW w:w="6420" w:type="dxa"/>
            <w:vAlign w:val="center"/>
          </w:tcPr>
          <w:p w14:paraId="35BF980A">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公告期结束或获取招标文件7个工作日内。</w:t>
            </w:r>
          </w:p>
        </w:tc>
      </w:tr>
      <w:tr w14:paraId="03C6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3" w:type="dxa"/>
            <w:vMerge w:val="continue"/>
          </w:tcPr>
          <w:p w14:paraId="2EFAD3F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7F4F3719">
            <w:pPr>
              <w:keepNext w:val="0"/>
              <w:keepLines w:val="0"/>
              <w:pageBreakBefore w:val="0"/>
              <w:kinsoku/>
              <w:wordWrap/>
              <w:overflowPunct/>
              <w:autoSpaceDE w:val="0"/>
              <w:autoSpaceDN w:val="0"/>
              <w:bidi w:val="0"/>
              <w:adjustRightInd w:val="0"/>
              <w:snapToGrid w:val="0"/>
              <w:spacing w:line="456" w:lineRule="exact"/>
              <w:ind w:left="-154" w:leftChars="-64" w:right="-101" w:rightChars="-42"/>
              <w:jc w:val="center"/>
              <w:rPr>
                <w:rFonts w:hint="eastAsia" w:ascii="宋体" w:hAnsi="宋体" w:eastAsia="宋体" w:cs="宋体"/>
                <w:b/>
                <w:bCs/>
                <w:color w:val="auto"/>
                <w:szCs w:val="21"/>
              </w:rPr>
            </w:pPr>
            <w:r>
              <w:rPr>
                <w:rFonts w:hint="eastAsia" w:ascii="宋体" w:hAnsi="宋体" w:eastAsia="宋体" w:cs="宋体"/>
                <w:b/>
                <w:bCs/>
                <w:color w:val="auto"/>
                <w:szCs w:val="21"/>
              </w:rPr>
              <w:t>2.3</w:t>
            </w:r>
          </w:p>
        </w:tc>
        <w:tc>
          <w:tcPr>
            <w:tcW w:w="1980" w:type="dxa"/>
            <w:vAlign w:val="center"/>
          </w:tcPr>
          <w:p w14:paraId="0C4FB938">
            <w:pPr>
              <w:keepNext w:val="0"/>
              <w:keepLines w:val="0"/>
              <w:pageBreakBefore w:val="0"/>
              <w:kinsoku/>
              <w:wordWrap/>
              <w:overflowPunct/>
              <w:autoSpaceDE w:val="0"/>
              <w:autoSpaceDN w:val="0"/>
              <w:bidi w:val="0"/>
              <w:adjustRightInd w:val="0"/>
              <w:snapToGrid w:val="0"/>
              <w:spacing w:line="456" w:lineRule="exact"/>
              <w:ind w:left="-144" w:leftChars="-60" w:right="-41" w:rightChars="-17"/>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招标文件的澄清修改补充告知方式</w:t>
            </w:r>
          </w:p>
        </w:tc>
        <w:tc>
          <w:tcPr>
            <w:tcW w:w="6420" w:type="dxa"/>
            <w:vAlign w:val="center"/>
          </w:tcPr>
          <w:p w14:paraId="25085DB2">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见“第三章 投标人须知”相应条款</w:t>
            </w:r>
          </w:p>
        </w:tc>
      </w:tr>
      <w:tr w14:paraId="7688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3" w:type="dxa"/>
            <w:vMerge w:val="continue"/>
          </w:tcPr>
          <w:p w14:paraId="5603E728">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492AD3E7">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2.4</w:t>
            </w:r>
          </w:p>
        </w:tc>
        <w:tc>
          <w:tcPr>
            <w:tcW w:w="1980" w:type="dxa"/>
            <w:vAlign w:val="center"/>
          </w:tcPr>
          <w:p w14:paraId="5F9AAAE2">
            <w:pPr>
              <w:keepNext w:val="0"/>
              <w:keepLines w:val="0"/>
              <w:pageBreakBefore w:val="0"/>
              <w:kinsoku/>
              <w:wordWrap/>
              <w:overflowPunct/>
              <w:autoSpaceDE w:val="0"/>
              <w:autoSpaceDN w:val="0"/>
              <w:bidi w:val="0"/>
              <w:adjustRightInd w:val="0"/>
              <w:snapToGrid w:val="0"/>
              <w:spacing w:line="456" w:lineRule="exact"/>
              <w:ind w:right="-204" w:rightChars="-85"/>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招标文件澄清修改补充时间</w:t>
            </w:r>
          </w:p>
        </w:tc>
        <w:tc>
          <w:tcPr>
            <w:tcW w:w="6420" w:type="dxa"/>
            <w:vAlign w:val="center"/>
          </w:tcPr>
          <w:p w14:paraId="26E73725">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投标截止时间</w:t>
            </w:r>
            <w:r>
              <w:rPr>
                <w:rFonts w:hint="eastAsia" w:ascii="宋体" w:hAnsi="宋体" w:eastAsia="宋体" w:cs="宋体"/>
                <w:color w:val="auto"/>
                <w:sz w:val="24"/>
              </w:rPr>
              <w:t>15</w:t>
            </w:r>
            <w:r>
              <w:rPr>
                <w:rFonts w:hint="eastAsia" w:ascii="宋体" w:hAnsi="宋体" w:eastAsia="宋体" w:cs="宋体"/>
                <w:color w:val="auto"/>
                <w:sz w:val="24"/>
                <w:lang w:val="zh-CN"/>
              </w:rPr>
              <w:t>日前。</w:t>
            </w:r>
          </w:p>
        </w:tc>
      </w:tr>
      <w:tr w14:paraId="730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3" w:type="dxa"/>
            <w:vMerge w:val="continue"/>
          </w:tcPr>
          <w:p w14:paraId="42060BF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11FA2786">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3.2</w:t>
            </w:r>
          </w:p>
        </w:tc>
        <w:tc>
          <w:tcPr>
            <w:tcW w:w="1980" w:type="dxa"/>
            <w:vAlign w:val="center"/>
          </w:tcPr>
          <w:p w14:paraId="1527BAB1">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构成投标文件的其他材料</w:t>
            </w:r>
          </w:p>
        </w:tc>
        <w:tc>
          <w:tcPr>
            <w:tcW w:w="6420" w:type="dxa"/>
            <w:vAlign w:val="center"/>
          </w:tcPr>
          <w:p w14:paraId="6D4D26D1">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见“第三章</w:t>
            </w:r>
            <w:r>
              <w:rPr>
                <w:rFonts w:hint="eastAsia" w:cs="宋体"/>
                <w:color w:val="auto"/>
                <w:sz w:val="24"/>
                <w:lang w:val="en-US" w:eastAsia="zh-CN"/>
              </w:rPr>
              <w:t xml:space="preserve"> </w:t>
            </w:r>
            <w:r>
              <w:rPr>
                <w:rFonts w:hint="eastAsia" w:ascii="宋体" w:hAnsi="宋体" w:eastAsia="宋体" w:cs="宋体"/>
                <w:color w:val="auto"/>
                <w:sz w:val="24"/>
                <w:lang w:val="zh-CN"/>
              </w:rPr>
              <w:t>投标人须知”相应条款</w:t>
            </w:r>
          </w:p>
        </w:tc>
      </w:tr>
      <w:tr w14:paraId="6B52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3" w:type="dxa"/>
            <w:vMerge w:val="restart"/>
          </w:tcPr>
          <w:p w14:paraId="61226C1B">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第三章</w:t>
            </w:r>
          </w:p>
          <w:p w14:paraId="23DC9410">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7B374EC5">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3.4.1</w:t>
            </w:r>
          </w:p>
        </w:tc>
        <w:tc>
          <w:tcPr>
            <w:tcW w:w="1980" w:type="dxa"/>
            <w:vAlign w:val="center"/>
          </w:tcPr>
          <w:p w14:paraId="29EA8945">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投标有效期</w:t>
            </w:r>
          </w:p>
        </w:tc>
        <w:tc>
          <w:tcPr>
            <w:tcW w:w="6420" w:type="dxa"/>
            <w:vAlign w:val="center"/>
          </w:tcPr>
          <w:p w14:paraId="065C8160">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从开标之日起，投标有效期为90日历天</w:t>
            </w:r>
          </w:p>
        </w:tc>
      </w:tr>
      <w:tr w14:paraId="72DF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3" w:type="dxa"/>
            <w:vMerge w:val="continue"/>
          </w:tcPr>
          <w:p w14:paraId="3E19A11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392C373F">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3.5</w:t>
            </w:r>
          </w:p>
        </w:tc>
        <w:tc>
          <w:tcPr>
            <w:tcW w:w="1980" w:type="dxa"/>
            <w:vAlign w:val="center"/>
          </w:tcPr>
          <w:p w14:paraId="513DD2B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投标承诺函</w:t>
            </w:r>
          </w:p>
          <w:p w14:paraId="6A8D96C6">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（替代投标保证金）</w:t>
            </w:r>
          </w:p>
        </w:tc>
        <w:tc>
          <w:tcPr>
            <w:tcW w:w="6420" w:type="dxa"/>
            <w:vAlign w:val="center"/>
          </w:tcPr>
          <w:p w14:paraId="033E8000">
            <w:pPr>
              <w:keepNext w:val="0"/>
              <w:keepLines w:val="0"/>
              <w:pageBreakBefore w:val="0"/>
              <w:widowControl w:val="0"/>
              <w:kinsoku/>
              <w:wordWrap/>
              <w:overflowPunct/>
              <w:bidi w:val="0"/>
              <w:snapToGrid w:val="0"/>
              <w:spacing w:before="156" w:beforeLines="50" w:line="456" w:lineRule="exact"/>
              <w:rPr>
                <w:rFonts w:hint="eastAsia" w:ascii="宋体" w:hAnsi="宋体" w:eastAsia="宋体" w:cs="宋体"/>
                <w:color w:val="auto"/>
                <w:sz w:val="24"/>
                <w:szCs w:val="24"/>
              </w:rPr>
            </w:pPr>
            <w:r>
              <w:rPr>
                <w:rFonts w:hint="eastAsia" w:ascii="宋体" w:hAnsi="宋体" w:eastAsia="宋体" w:cs="宋体"/>
                <w:color w:val="auto"/>
                <w:sz w:val="24"/>
                <w:szCs w:val="24"/>
              </w:rPr>
              <w:t>以投标承诺函形式替代投标保证金。</w:t>
            </w:r>
          </w:p>
          <w:p w14:paraId="21146A2E">
            <w:pPr>
              <w:pStyle w:val="61"/>
              <w:keepNext w:val="0"/>
              <w:keepLines w:val="0"/>
              <w:pageBreakBefore w:val="0"/>
              <w:kinsoku/>
              <w:wordWrap/>
              <w:overflowPunct/>
              <w:bidi w:val="0"/>
              <w:snapToGrid w:val="0"/>
              <w:spacing w:before="156" w:beforeLines="50" w:beforeAutospacing="0" w:after="0" w:afterAutospacing="0" w:line="456" w:lineRule="exact"/>
              <w:jc w:val="both"/>
              <w:rPr>
                <w:rFonts w:hint="eastAsia" w:ascii="宋体" w:hAnsi="宋体" w:eastAsia="宋体" w:cs="宋体"/>
                <w:color w:val="auto"/>
                <w:sz w:val="24"/>
                <w:szCs w:val="24"/>
              </w:rPr>
            </w:pPr>
            <w:r>
              <w:rPr>
                <w:rFonts w:hint="eastAsia" w:cs="宋体"/>
                <w:color w:val="auto"/>
                <w:sz w:val="24"/>
                <w:szCs w:val="24"/>
                <w:lang w:eastAsia="zh-CN"/>
              </w:rPr>
              <w:t>投标人</w:t>
            </w:r>
            <w:r>
              <w:rPr>
                <w:rFonts w:hint="eastAsia" w:ascii="宋体" w:hAnsi="宋体" w:eastAsia="宋体" w:cs="宋体"/>
                <w:color w:val="auto"/>
                <w:sz w:val="24"/>
                <w:szCs w:val="24"/>
              </w:rPr>
              <w:t>应按附件格式进行投标承诺、违背承诺的责任追究。</w:t>
            </w:r>
          </w:p>
        </w:tc>
      </w:tr>
      <w:tr w14:paraId="0AF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3" w:type="dxa"/>
            <w:vMerge w:val="continue"/>
          </w:tcPr>
          <w:p w14:paraId="17E4AE2C">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17C65A6A">
            <w:pPr>
              <w:keepNext w:val="0"/>
              <w:keepLines w:val="0"/>
              <w:pageBreakBefore w:val="0"/>
              <w:kinsoku/>
              <w:wordWrap/>
              <w:overflowPunct/>
              <w:autoSpaceDE w:val="0"/>
              <w:autoSpaceDN w:val="0"/>
              <w:bidi w:val="0"/>
              <w:adjustRightInd w:val="0"/>
              <w:snapToGrid w:val="0"/>
              <w:spacing w:line="456" w:lineRule="exact"/>
              <w:ind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3.7.3</w:t>
            </w:r>
          </w:p>
        </w:tc>
        <w:tc>
          <w:tcPr>
            <w:tcW w:w="1980" w:type="dxa"/>
            <w:vAlign w:val="center"/>
          </w:tcPr>
          <w:p w14:paraId="4D5C29C4">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偏差描述</w:t>
            </w:r>
          </w:p>
        </w:tc>
        <w:tc>
          <w:tcPr>
            <w:tcW w:w="6420" w:type="dxa"/>
            <w:vAlign w:val="center"/>
          </w:tcPr>
          <w:p w14:paraId="34B364CF">
            <w:pPr>
              <w:keepNext w:val="0"/>
              <w:keepLines w:val="0"/>
              <w:pageBreakBefore w:val="0"/>
              <w:widowControl w:val="0"/>
              <w:kinsoku/>
              <w:wordWrap/>
              <w:overflowPunct/>
              <w:bidi w:val="0"/>
              <w:snapToGrid w:val="0"/>
              <w:spacing w:before="156" w:beforeLines="50" w:line="456" w:lineRule="exact"/>
              <w:rPr>
                <w:rFonts w:hint="eastAsia" w:ascii="宋体" w:hAnsi="宋体" w:eastAsia="宋体" w:cs="宋体"/>
                <w:b/>
                <w:color w:val="auto"/>
                <w:sz w:val="24"/>
                <w:szCs w:val="24"/>
              </w:rPr>
            </w:pPr>
            <w:r>
              <w:rPr>
                <w:rFonts w:hint="eastAsia" w:ascii="宋体" w:hAnsi="宋体" w:eastAsia="宋体" w:cs="宋体"/>
                <w:color w:val="auto"/>
                <w:sz w:val="24"/>
                <w:lang w:val="zh-CN"/>
              </w:rPr>
              <w:t>见“第三章 投标人须知”相应条款</w:t>
            </w:r>
          </w:p>
        </w:tc>
      </w:tr>
      <w:tr w14:paraId="2746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23" w:type="dxa"/>
            <w:vMerge w:val="continue"/>
          </w:tcPr>
          <w:p w14:paraId="7F17D99C">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67C6AE69">
            <w:pPr>
              <w:keepNext w:val="0"/>
              <w:keepLines w:val="0"/>
              <w:pageBreakBefore w:val="0"/>
              <w:kinsoku/>
              <w:wordWrap/>
              <w:overflowPunct/>
              <w:autoSpaceDE w:val="0"/>
              <w:autoSpaceDN w:val="0"/>
              <w:bidi w:val="0"/>
              <w:adjustRightInd w:val="0"/>
              <w:snapToGrid w:val="0"/>
              <w:spacing w:line="456" w:lineRule="exact"/>
              <w:ind w:left="-154" w:leftChars="-64"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rPr>
              <w:t>3.7.4</w:t>
            </w:r>
          </w:p>
        </w:tc>
        <w:tc>
          <w:tcPr>
            <w:tcW w:w="1980" w:type="dxa"/>
            <w:vAlign w:val="center"/>
          </w:tcPr>
          <w:p w14:paraId="09A90F1B">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签字或盖章要求</w:t>
            </w:r>
          </w:p>
        </w:tc>
        <w:tc>
          <w:tcPr>
            <w:tcW w:w="6420" w:type="dxa"/>
            <w:vAlign w:val="center"/>
          </w:tcPr>
          <w:p w14:paraId="521EF657">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见“第三章 投标人须知”相应条款</w:t>
            </w:r>
          </w:p>
        </w:tc>
      </w:tr>
      <w:tr w14:paraId="037E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3" w:type="dxa"/>
            <w:vMerge w:val="continue"/>
          </w:tcPr>
          <w:p w14:paraId="02AC39AB">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1D12D921">
            <w:pPr>
              <w:keepNext w:val="0"/>
              <w:keepLines w:val="0"/>
              <w:pageBreakBefore w:val="0"/>
              <w:kinsoku/>
              <w:wordWrap/>
              <w:overflowPunct/>
              <w:autoSpaceDE w:val="0"/>
              <w:autoSpaceDN w:val="0"/>
              <w:bidi w:val="0"/>
              <w:adjustRightInd w:val="0"/>
              <w:snapToGrid w:val="0"/>
              <w:spacing w:line="456" w:lineRule="exact"/>
              <w:ind w:left="-154" w:leftChars="-64"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rPr>
              <w:t>4.2.4</w:t>
            </w:r>
          </w:p>
        </w:tc>
        <w:tc>
          <w:tcPr>
            <w:tcW w:w="1980" w:type="dxa"/>
            <w:vAlign w:val="center"/>
          </w:tcPr>
          <w:p w14:paraId="04F0658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是否退还投标文件</w:t>
            </w:r>
          </w:p>
        </w:tc>
        <w:tc>
          <w:tcPr>
            <w:tcW w:w="6420" w:type="dxa"/>
            <w:vAlign w:val="center"/>
          </w:tcPr>
          <w:p w14:paraId="343045FA">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否</w:t>
            </w:r>
          </w:p>
        </w:tc>
      </w:tr>
      <w:tr w14:paraId="6B4C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3" w:type="dxa"/>
            <w:vMerge w:val="continue"/>
          </w:tcPr>
          <w:p w14:paraId="4EB7C299">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439E706A">
            <w:pPr>
              <w:keepNext w:val="0"/>
              <w:keepLines w:val="0"/>
              <w:pageBreakBefore w:val="0"/>
              <w:kinsoku/>
              <w:wordWrap/>
              <w:overflowPunct/>
              <w:autoSpaceDE w:val="0"/>
              <w:autoSpaceDN w:val="0"/>
              <w:bidi w:val="0"/>
              <w:adjustRightInd w:val="0"/>
              <w:snapToGrid w:val="0"/>
              <w:spacing w:line="456" w:lineRule="exact"/>
              <w:ind w:left="-154" w:leftChars="-64" w:right="-101" w:rightChars="-42"/>
              <w:jc w:val="center"/>
              <w:rPr>
                <w:rFonts w:hint="eastAsia" w:ascii="宋体" w:hAnsi="宋体" w:eastAsia="宋体" w:cs="宋体"/>
                <w:b/>
                <w:bCs/>
                <w:color w:val="auto"/>
                <w:szCs w:val="21"/>
                <w:lang w:val="zh-CN"/>
              </w:rPr>
            </w:pPr>
            <w:r>
              <w:rPr>
                <w:rFonts w:hint="eastAsia" w:ascii="宋体" w:hAnsi="宋体" w:eastAsia="宋体" w:cs="宋体"/>
                <w:b/>
                <w:bCs/>
                <w:color w:val="auto"/>
                <w:szCs w:val="21"/>
              </w:rPr>
              <w:t>7.1</w:t>
            </w:r>
          </w:p>
        </w:tc>
        <w:tc>
          <w:tcPr>
            <w:tcW w:w="1980" w:type="dxa"/>
            <w:vAlign w:val="center"/>
          </w:tcPr>
          <w:p w14:paraId="05A83665">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评标委员会的组建</w:t>
            </w:r>
          </w:p>
        </w:tc>
        <w:tc>
          <w:tcPr>
            <w:tcW w:w="6420" w:type="dxa"/>
            <w:vAlign w:val="center"/>
          </w:tcPr>
          <w:p w14:paraId="1BCEFFB2">
            <w:pPr>
              <w:keepNext w:val="0"/>
              <w:keepLines w:val="0"/>
              <w:pageBreakBefore w:val="0"/>
              <w:kinsoku/>
              <w:wordWrap/>
              <w:overflowPunct/>
              <w:autoSpaceDE w:val="0"/>
              <w:autoSpaceDN w:val="0"/>
              <w:bidi w:val="0"/>
              <w:adjustRightInd w:val="0"/>
              <w:snapToGrid w:val="0"/>
              <w:spacing w:before="156" w:beforeLines="50" w:line="456" w:lineRule="exact"/>
              <w:rPr>
                <w:rFonts w:hint="eastAsia" w:ascii="宋体" w:hAnsi="宋体" w:eastAsia="宋体" w:cs="宋体"/>
                <w:color w:val="auto"/>
                <w:sz w:val="24"/>
                <w:lang w:val="zh-CN"/>
              </w:rPr>
            </w:pPr>
            <w:r>
              <w:rPr>
                <w:rFonts w:hint="eastAsia" w:ascii="宋体" w:hAnsi="宋体" w:eastAsia="宋体" w:cs="宋体"/>
                <w:color w:val="auto"/>
                <w:sz w:val="24"/>
                <w:lang w:val="zh-CN"/>
              </w:rPr>
              <w:t>见“第三章 投标人须知”相应条款</w:t>
            </w:r>
          </w:p>
        </w:tc>
      </w:tr>
      <w:tr w14:paraId="0D9B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3" w:type="dxa"/>
            <w:vMerge w:val="restart"/>
          </w:tcPr>
          <w:p w14:paraId="38654701">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第三章</w:t>
            </w:r>
          </w:p>
        </w:tc>
        <w:tc>
          <w:tcPr>
            <w:tcW w:w="1110" w:type="dxa"/>
            <w:vAlign w:val="center"/>
          </w:tcPr>
          <w:p w14:paraId="6E29C7AB">
            <w:pPr>
              <w:keepNext w:val="0"/>
              <w:keepLines w:val="0"/>
              <w:pageBreakBefore w:val="0"/>
              <w:kinsoku/>
              <w:wordWrap/>
              <w:overflowPunct/>
              <w:autoSpaceDE w:val="0"/>
              <w:autoSpaceDN w:val="0"/>
              <w:bidi w:val="0"/>
              <w:adjustRightInd w:val="0"/>
              <w:snapToGrid w:val="0"/>
              <w:spacing w:line="456" w:lineRule="exact"/>
              <w:ind w:left="-154" w:leftChars="-64" w:right="-101" w:rightChars="-42"/>
              <w:jc w:val="center"/>
              <w:rPr>
                <w:rFonts w:hint="eastAsia" w:ascii="宋体" w:hAnsi="宋体" w:eastAsia="宋体" w:cs="宋体"/>
                <w:b/>
                <w:bCs/>
                <w:color w:val="auto"/>
                <w:szCs w:val="21"/>
              </w:rPr>
            </w:pPr>
            <w:r>
              <w:rPr>
                <w:rFonts w:hint="eastAsia" w:ascii="宋体" w:hAnsi="宋体" w:eastAsia="宋体" w:cs="宋体"/>
                <w:b/>
                <w:bCs/>
                <w:color w:val="auto"/>
                <w:szCs w:val="21"/>
              </w:rPr>
              <w:t>8.1</w:t>
            </w:r>
          </w:p>
        </w:tc>
        <w:tc>
          <w:tcPr>
            <w:tcW w:w="1980" w:type="dxa"/>
            <w:vAlign w:val="center"/>
          </w:tcPr>
          <w:p w14:paraId="3B42AFBC">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color w:val="auto"/>
                <w:sz w:val="24"/>
              </w:rPr>
            </w:pPr>
            <w:r>
              <w:rPr>
                <w:rFonts w:hint="eastAsia" w:ascii="宋体" w:hAnsi="宋体" w:eastAsia="宋体" w:cs="宋体"/>
                <w:b/>
                <w:color w:val="auto"/>
                <w:sz w:val="24"/>
              </w:rPr>
              <w:t>是否授权评标委员会确定中标人</w:t>
            </w:r>
          </w:p>
        </w:tc>
        <w:tc>
          <w:tcPr>
            <w:tcW w:w="6420" w:type="dxa"/>
            <w:vAlign w:val="center"/>
          </w:tcPr>
          <w:p w14:paraId="7024BBE5">
            <w:pPr>
              <w:keepNext w:val="0"/>
              <w:keepLines w:val="0"/>
              <w:pageBreakBefore w:val="0"/>
              <w:kinsoku/>
              <w:wordWrap/>
              <w:overflowPunct/>
              <w:bidi w:val="0"/>
              <w:adjustRightInd w:val="0"/>
              <w:snapToGrid w:val="0"/>
              <w:spacing w:before="156" w:beforeLines="50" w:line="456" w:lineRule="exact"/>
              <w:rPr>
                <w:rFonts w:hint="eastAsia" w:ascii="宋体" w:hAnsi="宋体" w:eastAsia="宋体" w:cs="宋体"/>
                <w:color w:val="auto"/>
                <w:sz w:val="24"/>
              </w:rPr>
            </w:pPr>
            <w:r>
              <w:rPr>
                <w:rFonts w:hint="eastAsia" w:ascii="宋体" w:hAnsi="宋体" w:eastAsia="宋体" w:cs="宋体"/>
                <w:color w:val="auto"/>
                <w:sz w:val="24"/>
              </w:rPr>
              <w:t>是。评标委员会按照综合得分由高到低的顺序提出3名中标候选人，并确定排名第一的中标候选人为中标人。</w:t>
            </w:r>
          </w:p>
        </w:tc>
      </w:tr>
      <w:tr w14:paraId="0471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vMerge w:val="continue"/>
          </w:tcPr>
          <w:p w14:paraId="1DC12CE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0A0D28FE">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8.2</w:t>
            </w:r>
          </w:p>
        </w:tc>
        <w:tc>
          <w:tcPr>
            <w:tcW w:w="1980" w:type="dxa"/>
            <w:vAlign w:val="center"/>
          </w:tcPr>
          <w:p w14:paraId="4F052F15">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color w:val="auto"/>
                <w:sz w:val="24"/>
              </w:rPr>
            </w:pPr>
            <w:r>
              <w:rPr>
                <w:rFonts w:hint="eastAsia" w:ascii="宋体" w:hAnsi="宋体" w:eastAsia="宋体" w:cs="宋体"/>
                <w:b/>
                <w:color w:val="auto"/>
                <w:sz w:val="24"/>
              </w:rPr>
              <w:t>中标结果公告</w:t>
            </w:r>
          </w:p>
        </w:tc>
        <w:tc>
          <w:tcPr>
            <w:tcW w:w="6420" w:type="dxa"/>
            <w:vAlign w:val="center"/>
          </w:tcPr>
          <w:p w14:paraId="03332E82">
            <w:pPr>
              <w:keepNext w:val="0"/>
              <w:keepLines w:val="0"/>
              <w:pageBreakBefore w:val="0"/>
              <w:kinsoku/>
              <w:wordWrap/>
              <w:overflowPunct/>
              <w:bidi w:val="0"/>
              <w:adjustRightInd w:val="0"/>
              <w:snapToGrid w:val="0"/>
              <w:spacing w:before="156" w:beforeLines="50" w:line="456" w:lineRule="exact"/>
              <w:rPr>
                <w:rFonts w:hint="eastAsia" w:ascii="宋体" w:hAnsi="宋体" w:eastAsia="宋体" w:cs="宋体"/>
                <w:color w:val="auto"/>
                <w:sz w:val="24"/>
              </w:rPr>
            </w:pPr>
            <w:r>
              <w:rPr>
                <w:rFonts w:hint="eastAsia" w:ascii="宋体" w:hAnsi="宋体" w:eastAsia="宋体" w:cs="宋体"/>
                <w:color w:val="auto"/>
                <w:sz w:val="24"/>
              </w:rPr>
              <w:t>本次公开招标的中标结果将在中标人确定当天，在招标公告所述媒介公告1个工作日。</w:t>
            </w:r>
          </w:p>
        </w:tc>
      </w:tr>
      <w:tr w14:paraId="7FB5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vMerge w:val="continue"/>
          </w:tcPr>
          <w:p w14:paraId="7DFA8C6E">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2B63D9DE">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8.3</w:t>
            </w:r>
          </w:p>
        </w:tc>
        <w:tc>
          <w:tcPr>
            <w:tcW w:w="1980" w:type="dxa"/>
            <w:vAlign w:val="center"/>
          </w:tcPr>
          <w:p w14:paraId="14003088">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质疑、投诉</w:t>
            </w:r>
          </w:p>
        </w:tc>
        <w:tc>
          <w:tcPr>
            <w:tcW w:w="6420" w:type="dxa"/>
            <w:vAlign w:val="center"/>
          </w:tcPr>
          <w:p w14:paraId="110B9A62">
            <w:pPr>
              <w:keepNext w:val="0"/>
              <w:keepLines w:val="0"/>
              <w:pageBreakBefore w:val="0"/>
              <w:kinsoku/>
              <w:wordWrap/>
              <w:overflowPunct/>
              <w:topLinePunct w:val="0"/>
              <w:bidi w:val="0"/>
              <w:spacing w:line="440" w:lineRule="exact"/>
              <w:textAlignment w:val="auto"/>
              <w:rPr>
                <w:rFonts w:hint="eastAsia" w:ascii="宋体" w:hAnsi="宋体"/>
                <w:color w:val="auto"/>
                <w:sz w:val="24"/>
                <w:highlight w:val="none"/>
              </w:rPr>
            </w:pPr>
            <w:r>
              <w:rPr>
                <w:rFonts w:hint="eastAsia" w:ascii="宋体" w:hAnsi="宋体"/>
                <w:color w:val="auto"/>
                <w:sz w:val="24"/>
                <w:highlight w:val="none"/>
              </w:rPr>
              <w:t>参与本次采购活动的</w:t>
            </w:r>
            <w:r>
              <w:rPr>
                <w:rFonts w:hint="eastAsia" w:ascii="宋体" w:hAnsi="宋体"/>
                <w:color w:val="auto"/>
                <w:sz w:val="24"/>
                <w:highlight w:val="none"/>
                <w:lang w:val="en-US" w:eastAsia="zh-CN"/>
              </w:rPr>
              <w:t>投标单位</w:t>
            </w:r>
            <w:r>
              <w:rPr>
                <w:rFonts w:hint="eastAsia" w:ascii="宋体" w:hAnsi="宋体"/>
                <w:color w:val="auto"/>
                <w:sz w:val="24"/>
                <w:highlight w:val="none"/>
              </w:rPr>
              <w:t>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w:t>
            </w:r>
            <w:r>
              <w:rPr>
                <w:rFonts w:hint="eastAsia" w:ascii="宋体" w:hAnsi="宋体"/>
                <w:color w:val="auto"/>
                <w:sz w:val="24"/>
                <w:highlight w:val="none"/>
                <w:lang w:val="en-US" w:eastAsia="zh-CN"/>
              </w:rPr>
              <w:t>法律规定的所有</w:t>
            </w:r>
            <w:r>
              <w:rPr>
                <w:rFonts w:hint="eastAsia" w:ascii="宋体" w:hAnsi="宋体"/>
                <w:color w:val="auto"/>
                <w:sz w:val="24"/>
                <w:highlight w:val="none"/>
              </w:rPr>
              <w:t>内容：</w:t>
            </w:r>
          </w:p>
          <w:p w14:paraId="4BD5B59D">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1、投标单位</w:t>
            </w:r>
            <w:r>
              <w:rPr>
                <w:rFonts w:hint="eastAsia" w:ascii="宋体" w:hAnsi="宋体"/>
                <w:color w:val="auto"/>
                <w:sz w:val="24"/>
                <w:highlight w:val="none"/>
              </w:rPr>
              <w:t>的姓名或者名称、地址、邮编、联系人及联系电话；</w:t>
            </w:r>
          </w:p>
          <w:p w14:paraId="5BDD5BE2">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2、</w:t>
            </w:r>
            <w:r>
              <w:rPr>
                <w:rFonts w:hint="eastAsia" w:ascii="宋体" w:hAnsi="宋体"/>
                <w:color w:val="auto"/>
                <w:sz w:val="24"/>
                <w:highlight w:val="none"/>
              </w:rPr>
              <w:t>质疑项目的名称、编号；</w:t>
            </w:r>
          </w:p>
          <w:p w14:paraId="12A33D54">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3、</w:t>
            </w:r>
            <w:r>
              <w:rPr>
                <w:rFonts w:hint="eastAsia" w:ascii="宋体" w:hAnsi="宋体"/>
                <w:color w:val="auto"/>
                <w:sz w:val="24"/>
                <w:highlight w:val="none"/>
              </w:rPr>
              <w:t>具体、明确的质疑事项和与质疑事项相关的请求；</w:t>
            </w:r>
          </w:p>
          <w:p w14:paraId="73FF6B86">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4、</w:t>
            </w:r>
            <w:r>
              <w:rPr>
                <w:rFonts w:hint="eastAsia" w:ascii="宋体" w:hAnsi="宋体"/>
                <w:color w:val="auto"/>
                <w:sz w:val="24"/>
                <w:highlight w:val="none"/>
              </w:rPr>
              <w:t>事实依据；</w:t>
            </w:r>
          </w:p>
          <w:p w14:paraId="6F48B64F">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5、</w:t>
            </w:r>
            <w:r>
              <w:rPr>
                <w:rFonts w:hint="eastAsia" w:ascii="宋体" w:hAnsi="宋体"/>
                <w:color w:val="auto"/>
                <w:sz w:val="24"/>
                <w:highlight w:val="none"/>
              </w:rPr>
              <w:t>必要的法律依据；</w:t>
            </w:r>
          </w:p>
          <w:p w14:paraId="20AD8658">
            <w:pPr>
              <w:pStyle w:val="21"/>
              <w:keepNext w:val="0"/>
              <w:keepLines w:val="0"/>
              <w:pageBreakBefore w:val="0"/>
              <w:numPr>
                <w:ilvl w:val="0"/>
                <w:numId w:val="0"/>
              </w:numPr>
              <w:kinsoku/>
              <w:wordWrap/>
              <w:overflowPunct/>
              <w:topLinePunct w:val="0"/>
              <w:bidi w:val="0"/>
              <w:spacing w:after="0" w:line="440" w:lineRule="exact"/>
              <w:ind w:firstLine="480" w:firstLineChars="200"/>
              <w:rPr>
                <w:rFonts w:hint="eastAsia" w:ascii="宋体" w:hAnsi="宋体"/>
                <w:bCs/>
                <w:color w:val="auto"/>
                <w:sz w:val="24"/>
                <w:szCs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提出质</w:t>
            </w:r>
            <w:r>
              <w:rPr>
                <w:rFonts w:hint="eastAsia" w:ascii="宋体" w:hAnsi="宋体"/>
                <w:bCs/>
                <w:color w:val="auto"/>
                <w:sz w:val="24"/>
                <w:szCs w:val="24"/>
                <w:highlight w:val="none"/>
              </w:rPr>
              <w:t>疑的日期。</w:t>
            </w:r>
            <w:r>
              <w:rPr>
                <w:rFonts w:hint="eastAsia" w:ascii="宋体" w:hAnsi="宋体"/>
                <w:bCs/>
                <w:color w:val="auto"/>
                <w:sz w:val="24"/>
                <w:szCs w:val="24"/>
                <w:highlight w:val="none"/>
                <w:lang w:val="en-US" w:eastAsia="zh-CN"/>
              </w:rPr>
              <w:t>投标单位</w:t>
            </w:r>
            <w:r>
              <w:rPr>
                <w:rFonts w:hint="eastAsia" w:ascii="宋体" w:hAnsi="宋体"/>
                <w:bCs/>
                <w:color w:val="auto"/>
                <w:sz w:val="24"/>
                <w:szCs w:val="24"/>
                <w:highlight w:val="none"/>
              </w:rPr>
              <w:t>为自然人的，应当由本人签字；</w:t>
            </w:r>
            <w:r>
              <w:rPr>
                <w:rFonts w:hint="eastAsia" w:ascii="宋体" w:hAnsi="宋体"/>
                <w:bCs/>
                <w:color w:val="auto"/>
                <w:sz w:val="24"/>
                <w:szCs w:val="24"/>
                <w:highlight w:val="none"/>
                <w:lang w:val="en-US" w:eastAsia="zh-CN"/>
              </w:rPr>
              <w:t>投标单位</w:t>
            </w:r>
            <w:r>
              <w:rPr>
                <w:rFonts w:hint="eastAsia" w:ascii="宋体" w:hAnsi="宋体"/>
                <w:bCs/>
                <w:color w:val="auto"/>
                <w:sz w:val="24"/>
                <w:szCs w:val="24"/>
                <w:highlight w:val="none"/>
              </w:rPr>
              <w:t>为法人或者其他组织的，应当由法定代表人、主要负责人，或者其授权代表签字或者盖章，并加盖公章。</w:t>
            </w:r>
          </w:p>
          <w:p w14:paraId="0CF8621B">
            <w:pPr>
              <w:pStyle w:val="21"/>
              <w:keepNext w:val="0"/>
              <w:keepLines w:val="0"/>
              <w:pageBreakBefore w:val="0"/>
              <w:numPr>
                <w:ilvl w:val="0"/>
                <w:numId w:val="0"/>
              </w:numPr>
              <w:kinsoku/>
              <w:wordWrap/>
              <w:overflowPunct/>
              <w:topLinePunct w:val="0"/>
              <w:bidi w:val="0"/>
              <w:spacing w:after="0" w:line="440" w:lineRule="exact"/>
              <w:ind w:firstLine="480" w:firstLineChars="200"/>
              <w:rPr>
                <w:rFonts w:hint="eastAsia"/>
                <w:color w:val="auto"/>
              </w:rPr>
            </w:pPr>
            <w:r>
              <w:rPr>
                <w:rFonts w:hint="eastAsia" w:ascii="宋体" w:hAnsi="宋体"/>
                <w:color w:val="auto"/>
                <w:sz w:val="24"/>
                <w:highlight w:val="none"/>
              </w:rPr>
              <w:t>如对采购代理机构的答复仍有异议的，可向</w:t>
            </w:r>
            <w:r>
              <w:rPr>
                <w:rFonts w:hint="eastAsia" w:ascii="宋体" w:hAnsi="宋体"/>
                <w:color w:val="auto"/>
                <w:sz w:val="24"/>
                <w:highlight w:val="none"/>
                <w:lang w:val="en-US" w:eastAsia="zh-CN"/>
              </w:rPr>
              <w:t>监督部门</w:t>
            </w:r>
            <w:r>
              <w:rPr>
                <w:rFonts w:hint="eastAsia" w:ascii="宋体" w:hAnsi="宋体"/>
                <w:color w:val="auto"/>
                <w:sz w:val="24"/>
                <w:highlight w:val="none"/>
              </w:rPr>
              <w:t>提出书面投诉。（具体程序按照《政府采购质疑和投诉办法》执行）。</w:t>
            </w:r>
          </w:p>
        </w:tc>
      </w:tr>
      <w:tr w14:paraId="0151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Pr>
          <w:p w14:paraId="6E6947F8">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p>
        </w:tc>
        <w:tc>
          <w:tcPr>
            <w:tcW w:w="1110" w:type="dxa"/>
            <w:vAlign w:val="center"/>
          </w:tcPr>
          <w:p w14:paraId="54AEA791">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8.4</w:t>
            </w:r>
          </w:p>
        </w:tc>
        <w:tc>
          <w:tcPr>
            <w:tcW w:w="1980" w:type="dxa"/>
            <w:vAlign w:val="center"/>
          </w:tcPr>
          <w:p w14:paraId="17C2CF2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中标通知书</w:t>
            </w:r>
          </w:p>
        </w:tc>
        <w:tc>
          <w:tcPr>
            <w:tcW w:w="6420" w:type="dxa"/>
            <w:vAlign w:val="center"/>
          </w:tcPr>
          <w:p w14:paraId="52A0FB55">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采购代理机构在中标人确定当天，向中标人发出中标通知书。</w:t>
            </w:r>
          </w:p>
        </w:tc>
      </w:tr>
      <w:tr w14:paraId="3D2E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3" w:type="dxa"/>
            <w:vMerge w:val="restart"/>
          </w:tcPr>
          <w:p w14:paraId="4C5E3B0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第三章</w:t>
            </w:r>
          </w:p>
        </w:tc>
        <w:tc>
          <w:tcPr>
            <w:tcW w:w="1110" w:type="dxa"/>
            <w:vAlign w:val="center"/>
          </w:tcPr>
          <w:p w14:paraId="189C4522">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8.5</w:t>
            </w:r>
          </w:p>
        </w:tc>
        <w:tc>
          <w:tcPr>
            <w:tcW w:w="1980" w:type="dxa"/>
            <w:vAlign w:val="center"/>
          </w:tcPr>
          <w:p w14:paraId="4E952E6D">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履约保证金</w:t>
            </w:r>
          </w:p>
        </w:tc>
        <w:tc>
          <w:tcPr>
            <w:tcW w:w="6420" w:type="dxa"/>
            <w:vAlign w:val="center"/>
          </w:tcPr>
          <w:p w14:paraId="7408DA7B">
            <w:pPr>
              <w:keepNext w:val="0"/>
              <w:keepLines w:val="0"/>
              <w:pageBreakBefore w:val="0"/>
              <w:widowControl w:val="0"/>
              <w:kinsoku/>
              <w:wordWrap/>
              <w:overflowPunct/>
              <w:topLinePunct w:val="0"/>
              <w:bidi w:val="0"/>
              <w:snapToGrid w:val="0"/>
              <w:spacing w:line="440" w:lineRule="exact"/>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需缴纳合同金额的5%；</w:t>
            </w:r>
          </w:p>
        </w:tc>
      </w:tr>
      <w:tr w14:paraId="5A9C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3" w:type="dxa"/>
            <w:vMerge w:val="continue"/>
          </w:tcPr>
          <w:p w14:paraId="5E0FC849">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p>
        </w:tc>
        <w:tc>
          <w:tcPr>
            <w:tcW w:w="1110" w:type="dxa"/>
            <w:vAlign w:val="center"/>
          </w:tcPr>
          <w:p w14:paraId="59F10DC7">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9</w:t>
            </w:r>
          </w:p>
        </w:tc>
        <w:tc>
          <w:tcPr>
            <w:tcW w:w="1980" w:type="dxa"/>
            <w:vAlign w:val="center"/>
          </w:tcPr>
          <w:p w14:paraId="662C5252">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lang w:val="zh-CN"/>
              </w:rPr>
              <w:t>验收</w:t>
            </w:r>
          </w:p>
        </w:tc>
        <w:tc>
          <w:tcPr>
            <w:tcW w:w="6420" w:type="dxa"/>
            <w:vAlign w:val="center"/>
          </w:tcPr>
          <w:p w14:paraId="6E1AC8D4">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见“第三章投标人须知”相应条款</w:t>
            </w:r>
          </w:p>
        </w:tc>
      </w:tr>
      <w:tr w14:paraId="5451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vMerge w:val="continue"/>
          </w:tcPr>
          <w:p w14:paraId="0DEA22B8">
            <w:pPr>
              <w:keepNext w:val="0"/>
              <w:keepLines w:val="0"/>
              <w:pageBreakBefore w:val="0"/>
              <w:kinsoku/>
              <w:wordWrap/>
              <w:overflowPunct/>
              <w:autoSpaceDE w:val="0"/>
              <w:autoSpaceDN w:val="0"/>
              <w:bidi w:val="0"/>
              <w:adjustRightInd w:val="0"/>
              <w:spacing w:line="456" w:lineRule="exact"/>
              <w:rPr>
                <w:rFonts w:hint="eastAsia" w:ascii="宋体" w:hAnsi="宋体" w:eastAsia="宋体" w:cs="宋体"/>
                <w:b/>
                <w:bCs/>
                <w:color w:val="auto"/>
                <w:sz w:val="24"/>
              </w:rPr>
            </w:pPr>
          </w:p>
        </w:tc>
        <w:tc>
          <w:tcPr>
            <w:tcW w:w="1110" w:type="dxa"/>
            <w:vAlign w:val="center"/>
          </w:tcPr>
          <w:p w14:paraId="33B73629">
            <w:pPr>
              <w:keepNext w:val="0"/>
              <w:keepLines w:val="0"/>
              <w:pageBreakBefore w:val="0"/>
              <w:kinsoku/>
              <w:wordWrap/>
              <w:overflowPunct/>
              <w:autoSpaceDE w:val="0"/>
              <w:autoSpaceDN w:val="0"/>
              <w:bidi w:val="0"/>
              <w:adjustRightIn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10</w:t>
            </w:r>
          </w:p>
        </w:tc>
        <w:tc>
          <w:tcPr>
            <w:tcW w:w="1980" w:type="dxa"/>
            <w:vAlign w:val="center"/>
          </w:tcPr>
          <w:p w14:paraId="5DB4A51F">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付款</w:t>
            </w:r>
          </w:p>
        </w:tc>
        <w:tc>
          <w:tcPr>
            <w:tcW w:w="6420" w:type="dxa"/>
            <w:vAlign w:val="center"/>
          </w:tcPr>
          <w:p w14:paraId="64E3634E">
            <w:pPr>
              <w:keepNext w:val="0"/>
              <w:keepLines w:val="0"/>
              <w:pageBreakBefore w:val="0"/>
              <w:kinsoku/>
              <w:wordWrap/>
              <w:overflowPunct/>
              <w:topLinePunct w:val="0"/>
              <w:bidi w:val="0"/>
              <w:snapToGrid w:val="0"/>
              <w:spacing w:line="440" w:lineRule="exact"/>
              <w:ind w:firstLine="480" w:firstLineChars="200"/>
              <w:rPr>
                <w:rFonts w:hint="eastAsia" w:ascii="宋体" w:hAnsi="宋体" w:eastAsia="宋体" w:cs="宋体"/>
                <w:color w:val="auto"/>
                <w:sz w:val="24"/>
                <w:szCs w:val="24"/>
                <w:highlight w:val="none"/>
              </w:rPr>
            </w:pPr>
            <w:bookmarkStart w:id="39" w:name="OLE_LINK11"/>
            <w:r>
              <w:rPr>
                <w:rFonts w:hint="eastAsia" w:ascii="宋体" w:hAnsi="宋体" w:eastAsia="宋体" w:cs="宋体"/>
                <w:color w:val="auto"/>
                <w:sz w:val="24"/>
                <w:szCs w:val="24"/>
                <w:highlight w:val="none"/>
              </w:rPr>
              <w:t>为优化政府采购营商环境，根据安财购﹝2022﹞8号文件落实政府采购中小企业预付款的规定，采购人可在政府采购合同签订后，向中标人原则上预付不低于合同金额50%的预付款，中标人应向采购人提交预付款保函，未提供保函的，视同其放弃项目预付款的支付。</w:t>
            </w:r>
            <w:bookmarkEnd w:id="39"/>
          </w:p>
        </w:tc>
      </w:tr>
      <w:tr w14:paraId="42D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tcPr>
          <w:p w14:paraId="27520CF8">
            <w:pPr>
              <w:keepNext w:val="0"/>
              <w:keepLines w:val="0"/>
              <w:pageBreakBefore w:val="0"/>
              <w:kinsoku/>
              <w:wordWrap/>
              <w:overflowPunct/>
              <w:autoSpaceDE w:val="0"/>
              <w:autoSpaceDN w:val="0"/>
              <w:bidi w:val="0"/>
              <w:adjustRightInd w:val="0"/>
              <w:spacing w:line="456" w:lineRule="exact"/>
              <w:rPr>
                <w:rFonts w:hint="eastAsia" w:ascii="宋体" w:hAnsi="宋体" w:eastAsia="宋体" w:cs="宋体"/>
                <w:b/>
                <w:bCs/>
                <w:color w:val="auto"/>
                <w:sz w:val="24"/>
              </w:rPr>
            </w:pPr>
          </w:p>
        </w:tc>
        <w:tc>
          <w:tcPr>
            <w:tcW w:w="1110" w:type="dxa"/>
            <w:vAlign w:val="center"/>
          </w:tcPr>
          <w:p w14:paraId="5C3C2B2F">
            <w:pPr>
              <w:keepNext w:val="0"/>
              <w:keepLines w:val="0"/>
              <w:pageBreakBefore w:val="0"/>
              <w:kinsoku/>
              <w:wordWrap/>
              <w:overflowPunct/>
              <w:autoSpaceDE w:val="0"/>
              <w:autoSpaceDN w:val="0"/>
              <w:bidi w:val="0"/>
              <w:adjustRightInd w:val="0"/>
              <w:spacing w:line="456" w:lineRule="exact"/>
              <w:jc w:val="center"/>
              <w:rPr>
                <w:rFonts w:hint="eastAsia" w:ascii="宋体" w:hAnsi="宋体" w:eastAsia="宋体" w:cs="宋体"/>
                <w:b/>
                <w:bCs/>
                <w:color w:val="auto"/>
                <w:sz w:val="24"/>
              </w:rPr>
            </w:pPr>
            <w:r>
              <w:rPr>
                <w:rFonts w:hint="eastAsia" w:ascii="宋体" w:hAnsi="宋体" w:eastAsia="宋体" w:cs="宋体"/>
                <w:b/>
                <w:bCs/>
                <w:color w:val="auto"/>
                <w:sz w:val="24"/>
              </w:rPr>
              <w:t>11</w:t>
            </w:r>
          </w:p>
        </w:tc>
        <w:tc>
          <w:tcPr>
            <w:tcW w:w="1980" w:type="dxa"/>
            <w:vAlign w:val="center"/>
          </w:tcPr>
          <w:p w14:paraId="1E302B8A">
            <w:pPr>
              <w:keepNext w:val="0"/>
              <w:keepLines w:val="0"/>
              <w:pageBreakBefore w:val="0"/>
              <w:kinsoku/>
              <w:wordWrap/>
              <w:overflowPunct/>
              <w:autoSpaceDE w:val="0"/>
              <w:autoSpaceDN w:val="0"/>
              <w:bidi w:val="0"/>
              <w:adjustRightInd w:val="0"/>
              <w:snapToGrid w:val="0"/>
              <w:spacing w:line="456" w:lineRule="exact"/>
              <w:jc w:val="center"/>
              <w:rPr>
                <w:rFonts w:hint="eastAsia" w:ascii="宋体" w:hAnsi="宋体" w:eastAsia="宋体" w:cs="宋体"/>
                <w:b/>
                <w:color w:val="auto"/>
                <w:sz w:val="24"/>
              </w:rPr>
            </w:pPr>
            <w:r>
              <w:rPr>
                <w:rFonts w:hint="eastAsia" w:ascii="宋体" w:hAnsi="宋体" w:eastAsia="宋体" w:cs="宋体"/>
                <w:b/>
                <w:color w:val="auto"/>
                <w:sz w:val="24"/>
              </w:rPr>
              <w:t>代理服务费</w:t>
            </w:r>
          </w:p>
        </w:tc>
        <w:tc>
          <w:tcPr>
            <w:tcW w:w="6420" w:type="dxa"/>
            <w:vAlign w:val="center"/>
          </w:tcPr>
          <w:p w14:paraId="331374C4">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1、</w:t>
            </w:r>
            <w:r>
              <w:rPr>
                <w:rFonts w:hint="eastAsia" w:cs="宋体"/>
                <w:b w:val="0"/>
                <w:bCs/>
                <w:color w:val="auto"/>
                <w:sz w:val="24"/>
                <w:lang w:val="en-US" w:eastAsia="zh-CN"/>
              </w:rPr>
              <w:t>按</w:t>
            </w:r>
            <w:r>
              <w:rPr>
                <w:rFonts w:hint="eastAsia" w:ascii="宋体" w:hAnsi="宋体" w:eastAsia="宋体" w:cs="宋体"/>
                <w:b w:val="0"/>
                <w:bCs/>
                <w:color w:val="auto"/>
                <w:sz w:val="24"/>
              </w:rPr>
              <w:t>照国家计委《招标代理服务收费管理暂行办法》（计价格【2002】1980号）、《国家发展和改革委员会办公厅关于招标代理服务费有关问题的通知》（发改办价格【2003】857号）及发改价格【2011】534号文件的规定，招标代理服务费由中标（成交）供应商支付。</w:t>
            </w:r>
          </w:p>
          <w:p w14:paraId="336A7CD9">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 w:val="0"/>
                <w:bCs/>
                <w:color w:val="auto"/>
                <w:sz w:val="24"/>
              </w:rPr>
            </w:pPr>
            <w:r>
              <w:rPr>
                <w:rFonts w:hint="eastAsia" w:ascii="宋体" w:hAnsi="宋体" w:eastAsia="宋体" w:cs="宋体"/>
                <w:b w:val="0"/>
                <w:bCs/>
                <w:color w:val="auto"/>
                <w:sz w:val="24"/>
              </w:rPr>
              <w:t>2、交纳时间：</w:t>
            </w:r>
            <w:r>
              <w:rPr>
                <w:rFonts w:hint="eastAsia" w:ascii="宋体" w:hAnsi="宋体" w:cs="宋体"/>
                <w:b w:val="0"/>
                <w:bCs/>
                <w:color w:val="auto"/>
                <w:sz w:val="24"/>
                <w:lang w:val="en-US" w:eastAsia="zh-CN"/>
              </w:rPr>
              <w:t>中标人</w:t>
            </w:r>
            <w:r>
              <w:rPr>
                <w:rFonts w:hint="eastAsia" w:ascii="宋体" w:hAnsi="宋体" w:eastAsia="宋体" w:cs="宋体"/>
                <w:b w:val="0"/>
                <w:bCs/>
                <w:color w:val="auto"/>
                <w:sz w:val="24"/>
              </w:rPr>
              <w:t>领取《中标通知书》时交纳。</w:t>
            </w:r>
          </w:p>
        </w:tc>
      </w:tr>
    </w:tbl>
    <w:p w14:paraId="56DD5E09">
      <w:pPr>
        <w:pStyle w:val="3"/>
        <w:pageBreakBefore w:val="0"/>
        <w:kinsoku/>
        <w:wordWrap/>
        <w:overflowPunct/>
        <w:bidi w:val="0"/>
        <w:spacing w:line="440" w:lineRule="exact"/>
        <w:ind w:left="0" w:leftChars="0" w:right="0"/>
        <w:rPr>
          <w:rFonts w:hint="eastAsia"/>
          <w:color w:val="auto"/>
          <w:lang w:val="zh-CN"/>
        </w:rPr>
      </w:pPr>
      <w:bookmarkStart w:id="40" w:name="_Toc121491746"/>
      <w:bookmarkStart w:id="41" w:name="_Toc28514"/>
      <w:r>
        <w:rPr>
          <w:rFonts w:hint="eastAsia"/>
          <w:color w:val="auto"/>
          <w:lang w:val="zh-CN"/>
        </w:rPr>
        <w:t>1 总则</w:t>
      </w:r>
      <w:bookmarkEnd w:id="40"/>
      <w:bookmarkEnd w:id="41"/>
    </w:p>
    <w:p w14:paraId="70AFABC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szCs w:val="24"/>
        </w:rPr>
      </w:pPr>
      <w:r>
        <w:rPr>
          <w:rFonts w:hint="eastAsia" w:ascii="宋体" w:hAnsi="宋体" w:eastAsia="宋体" w:cs="宋体"/>
          <w:b/>
          <w:color w:val="auto"/>
          <w:sz w:val="24"/>
          <w:lang w:val="zh-CN"/>
        </w:rPr>
        <w:t xml:space="preserve">1.1 </w:t>
      </w:r>
      <w:r>
        <w:rPr>
          <w:rFonts w:hint="eastAsia" w:ascii="宋体" w:hAnsi="宋体" w:eastAsia="宋体" w:cs="宋体"/>
          <w:color w:val="auto"/>
          <w:sz w:val="24"/>
          <w:szCs w:val="24"/>
        </w:rPr>
        <w:t>根据《中华人民共和国政府采购法</w:t>
      </w:r>
      <w:r>
        <w:rPr>
          <w:rFonts w:hint="eastAsia" w:cs="宋体"/>
          <w:color w:val="auto"/>
          <w:sz w:val="24"/>
          <w:szCs w:val="24"/>
          <w:lang w:eastAsia="zh-CN"/>
        </w:rPr>
        <w:t>》《</w:t>
      </w:r>
      <w:r>
        <w:rPr>
          <w:rFonts w:hint="eastAsia" w:ascii="宋体" w:hAnsi="宋体" w:eastAsia="宋体" w:cs="宋体"/>
          <w:color w:val="auto"/>
          <w:sz w:val="24"/>
          <w:szCs w:val="24"/>
        </w:rPr>
        <w:t>中华人民共和国政府采购法实施条例</w:t>
      </w:r>
      <w:r>
        <w:rPr>
          <w:rFonts w:hint="eastAsia" w:cs="宋体"/>
          <w:color w:val="auto"/>
          <w:sz w:val="24"/>
          <w:szCs w:val="24"/>
          <w:lang w:eastAsia="zh-CN"/>
        </w:rPr>
        <w:t>》《</w:t>
      </w:r>
      <w:r>
        <w:rPr>
          <w:rFonts w:hint="eastAsia" w:ascii="宋体" w:hAnsi="宋体" w:eastAsia="宋体" w:cs="宋体"/>
          <w:color w:val="auto"/>
          <w:sz w:val="24"/>
          <w:szCs w:val="24"/>
        </w:rPr>
        <w:t>政府采购货物和服务招标投标管理办法》及相关政府采购法律法规等制定本文件。</w:t>
      </w:r>
    </w:p>
    <w:p w14:paraId="4CD3B9C5">
      <w:pPr>
        <w:keepNext w:val="0"/>
        <w:keepLines w:val="0"/>
        <w:pageBreakBefore w:val="0"/>
        <w:kinsoku/>
        <w:wordWrap/>
        <w:overflowPunct/>
        <w:bidi w:val="0"/>
        <w:adjustRightInd w:val="0"/>
        <w:snapToGrid w:val="0"/>
        <w:spacing w:line="440" w:lineRule="exact"/>
        <w:ind w:left="0" w:leftChars="0" w:right="0" w:firstLine="482" w:firstLineChars="200"/>
        <w:rPr>
          <w:rFonts w:hint="eastAsia" w:ascii="宋体" w:hAnsi="宋体" w:eastAsia="宋体" w:cs="宋体"/>
          <w:b/>
          <w:color w:val="auto"/>
          <w:sz w:val="24"/>
          <w:lang w:val="zh-CN"/>
        </w:rPr>
      </w:pPr>
      <w:r>
        <w:rPr>
          <w:rFonts w:hint="eastAsia" w:ascii="宋体" w:hAnsi="宋体" w:eastAsia="宋体" w:cs="宋体"/>
          <w:b/>
          <w:color w:val="auto"/>
          <w:sz w:val="24"/>
          <w:lang w:val="zh-CN"/>
        </w:rPr>
        <w:t>1.2招标文件的法律适用及法律效力</w:t>
      </w:r>
    </w:p>
    <w:p w14:paraId="3DA3F366">
      <w:pPr>
        <w:keepNext w:val="0"/>
        <w:keepLines w:val="0"/>
        <w:pageBreakBefore w:val="0"/>
        <w:kinsoku/>
        <w:wordWrap/>
        <w:overflowPunct/>
        <w:bidi w:val="0"/>
        <w:adjustRightInd w:val="0"/>
        <w:snapToGrid w:val="0"/>
        <w:spacing w:line="440" w:lineRule="exact"/>
        <w:ind w:left="0" w:leftChars="0" w:right="0" w:firstLine="547" w:firstLineChars="228"/>
        <w:rPr>
          <w:rFonts w:hint="eastAsia" w:ascii="宋体" w:hAnsi="宋体" w:eastAsia="宋体" w:cs="宋体"/>
          <w:color w:val="auto"/>
          <w:sz w:val="24"/>
          <w:szCs w:val="24"/>
        </w:rPr>
      </w:pPr>
      <w:r>
        <w:rPr>
          <w:rFonts w:hint="eastAsia" w:ascii="宋体" w:hAnsi="宋体" w:eastAsia="宋体" w:cs="宋体"/>
          <w:color w:val="auto"/>
          <w:sz w:val="24"/>
          <w:szCs w:val="24"/>
        </w:rPr>
        <w:t>1.2.1本招标文件所述内容，仅适用于本次项目采购。</w:t>
      </w:r>
    </w:p>
    <w:p w14:paraId="60B26A53">
      <w:pPr>
        <w:keepNext w:val="0"/>
        <w:keepLines w:val="0"/>
        <w:pageBreakBefore w:val="0"/>
        <w:kinsoku/>
        <w:wordWrap/>
        <w:overflowPunct/>
        <w:bidi w:val="0"/>
        <w:adjustRightInd w:val="0"/>
        <w:snapToGrid w:val="0"/>
        <w:spacing w:line="440" w:lineRule="exact"/>
        <w:ind w:left="0" w:leftChars="0" w:right="0" w:firstLine="547" w:firstLineChars="228"/>
        <w:rPr>
          <w:rFonts w:hint="eastAsia" w:ascii="宋体" w:hAnsi="宋体" w:eastAsia="宋体" w:cs="宋体"/>
          <w:color w:val="auto"/>
          <w:sz w:val="24"/>
          <w:szCs w:val="24"/>
        </w:rPr>
      </w:pPr>
      <w:r>
        <w:rPr>
          <w:rFonts w:hint="eastAsia" w:ascii="宋体" w:hAnsi="宋体" w:eastAsia="宋体" w:cs="宋体"/>
          <w:color w:val="auto"/>
          <w:sz w:val="24"/>
          <w:szCs w:val="24"/>
        </w:rPr>
        <w:t>1.2.2 招标文件的修改性文件、补充文件、澄清文件或说明具有同等法律效力。</w:t>
      </w:r>
    </w:p>
    <w:p w14:paraId="4B7DC7B2">
      <w:pPr>
        <w:keepNext w:val="0"/>
        <w:keepLines w:val="0"/>
        <w:pageBreakBefore w:val="0"/>
        <w:kinsoku/>
        <w:wordWrap/>
        <w:overflowPunct/>
        <w:bidi w:val="0"/>
        <w:adjustRightInd w:val="0"/>
        <w:snapToGrid w:val="0"/>
        <w:spacing w:line="440" w:lineRule="exact"/>
        <w:ind w:left="0" w:leftChars="0" w:right="0" w:firstLine="547" w:firstLineChars="228"/>
        <w:rPr>
          <w:rFonts w:hint="eastAsia" w:ascii="宋体" w:hAnsi="宋体" w:eastAsia="宋体" w:cs="宋体"/>
          <w:color w:val="auto"/>
          <w:sz w:val="24"/>
          <w:szCs w:val="24"/>
        </w:rPr>
      </w:pPr>
      <w:r>
        <w:rPr>
          <w:rFonts w:hint="eastAsia" w:ascii="宋体" w:hAnsi="宋体" w:eastAsia="宋体" w:cs="宋体"/>
          <w:color w:val="auto"/>
          <w:sz w:val="24"/>
          <w:szCs w:val="24"/>
        </w:rPr>
        <w:t>1.2.3 本招标文件适用于并执行《政府采购法》和</w:t>
      </w:r>
      <w:r>
        <w:rPr>
          <w:rFonts w:hint="eastAsia" w:cs="宋体"/>
          <w:color w:val="auto"/>
          <w:sz w:val="24"/>
          <w:szCs w:val="24"/>
          <w:lang w:eastAsia="zh-CN"/>
        </w:rPr>
        <w:t>其他</w:t>
      </w:r>
      <w:r>
        <w:rPr>
          <w:rFonts w:hint="eastAsia" w:ascii="宋体" w:hAnsi="宋体" w:eastAsia="宋体" w:cs="宋体"/>
          <w:color w:val="auto"/>
          <w:sz w:val="24"/>
          <w:szCs w:val="24"/>
        </w:rPr>
        <w:t>相关的</w:t>
      </w:r>
      <w:r>
        <w:rPr>
          <w:rFonts w:hint="eastAsia" w:cs="宋体"/>
          <w:color w:val="auto"/>
          <w:sz w:val="24"/>
          <w:szCs w:val="24"/>
          <w:lang w:eastAsia="zh-CN"/>
        </w:rPr>
        <w:t>法律法规</w:t>
      </w:r>
      <w:r>
        <w:rPr>
          <w:rFonts w:hint="eastAsia" w:ascii="宋体" w:hAnsi="宋体" w:eastAsia="宋体" w:cs="宋体"/>
          <w:color w:val="auto"/>
          <w:sz w:val="24"/>
          <w:szCs w:val="24"/>
        </w:rPr>
        <w:t>。</w:t>
      </w:r>
    </w:p>
    <w:p w14:paraId="3039D616">
      <w:pPr>
        <w:keepNext w:val="0"/>
        <w:keepLines w:val="0"/>
        <w:pageBreakBefore w:val="0"/>
        <w:kinsoku/>
        <w:wordWrap/>
        <w:overflowPunct/>
        <w:bidi w:val="0"/>
        <w:adjustRightInd w:val="0"/>
        <w:snapToGrid w:val="0"/>
        <w:spacing w:line="440" w:lineRule="exact"/>
        <w:ind w:left="0" w:leftChars="0" w:right="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1.2.4 本招标文件的解释权属采购人及代理机构。</w:t>
      </w:r>
    </w:p>
    <w:p w14:paraId="303413B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1.3 合格的投标人</w:t>
      </w:r>
    </w:p>
    <w:p w14:paraId="61C26DC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1.3.1 凡符合招标文件规定，承认本招标文件所有内容的投标人为合格的投标人。</w:t>
      </w:r>
    </w:p>
    <w:p w14:paraId="037FECD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1.3.2 单位负责人为同一人或者存在直接控股、管理关系的不同</w:t>
      </w:r>
      <w:r>
        <w:rPr>
          <w:rFonts w:hint="eastAsia" w:cs="宋体"/>
          <w:color w:val="auto"/>
          <w:sz w:val="24"/>
          <w:lang w:val="zh-CN"/>
        </w:rPr>
        <w:t>投标人</w:t>
      </w:r>
      <w:r>
        <w:rPr>
          <w:rFonts w:hint="eastAsia" w:ascii="宋体" w:hAnsi="宋体" w:eastAsia="宋体" w:cs="宋体"/>
          <w:color w:val="auto"/>
          <w:sz w:val="24"/>
          <w:lang w:val="zh-CN"/>
        </w:rPr>
        <w:t>，不得参加同一合同项下的政府采购活动。</w:t>
      </w:r>
    </w:p>
    <w:p w14:paraId="74244DBE">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1.3.3 为招标项目提供整体设计、规范编制或者项目管理、监理、检测等服务的</w:t>
      </w:r>
      <w:r>
        <w:rPr>
          <w:rFonts w:hint="eastAsia" w:cs="宋体"/>
          <w:color w:val="auto"/>
          <w:sz w:val="24"/>
          <w:lang w:val="zh-CN"/>
        </w:rPr>
        <w:t>投标人</w:t>
      </w:r>
      <w:r>
        <w:rPr>
          <w:rFonts w:hint="eastAsia" w:ascii="宋体" w:hAnsi="宋体" w:eastAsia="宋体" w:cs="宋体"/>
          <w:color w:val="auto"/>
          <w:sz w:val="24"/>
          <w:lang w:val="zh-CN"/>
        </w:rPr>
        <w:t>，不得再参加该招标项目的其他采购活动。</w:t>
      </w:r>
    </w:p>
    <w:p w14:paraId="0521C969">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1.3.4 投标人应遵守国家</w:t>
      </w:r>
      <w:r>
        <w:rPr>
          <w:rFonts w:hint="eastAsia" w:cs="宋体"/>
          <w:color w:val="auto"/>
          <w:sz w:val="24"/>
          <w:lang w:val="zh-CN"/>
        </w:rPr>
        <w:t>法律法规</w:t>
      </w:r>
      <w:r>
        <w:rPr>
          <w:rFonts w:hint="eastAsia" w:ascii="宋体" w:hAnsi="宋体" w:eastAsia="宋体" w:cs="宋体"/>
          <w:color w:val="auto"/>
          <w:sz w:val="24"/>
          <w:lang w:val="zh-CN"/>
        </w:rPr>
        <w:t>和招标文件的规定。不得违背国家利益、社会公众利益。</w:t>
      </w:r>
    </w:p>
    <w:p w14:paraId="32D103D1">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1.4</w:t>
      </w:r>
      <w:r>
        <w:rPr>
          <w:rFonts w:hint="eastAsia" w:ascii="宋体" w:hAnsi="宋体" w:cs="宋体"/>
          <w:b/>
          <w:color w:val="auto"/>
          <w:sz w:val="24"/>
          <w:lang w:val="en-US" w:eastAsia="zh-CN"/>
        </w:rPr>
        <w:t xml:space="preserve"> </w:t>
      </w:r>
      <w:r>
        <w:rPr>
          <w:rFonts w:hint="eastAsia" w:ascii="宋体" w:hAnsi="宋体" w:eastAsia="宋体" w:cs="宋体"/>
          <w:b/>
          <w:color w:val="auto"/>
          <w:sz w:val="24"/>
          <w:lang w:val="zh-CN"/>
        </w:rPr>
        <w:t>联合体</w:t>
      </w:r>
    </w:p>
    <w:p w14:paraId="191D632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投标人须知前附表规定接受联合体投标的，应遵守以下规定：</w:t>
      </w:r>
    </w:p>
    <w:p w14:paraId="129C5037">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（1）两个以上</w:t>
      </w:r>
      <w:r>
        <w:rPr>
          <w:rFonts w:hint="eastAsia" w:cs="宋体"/>
          <w:color w:val="auto"/>
          <w:sz w:val="24"/>
          <w:lang w:val="zh-CN"/>
        </w:rPr>
        <w:t>投标人</w:t>
      </w:r>
      <w:r>
        <w:rPr>
          <w:rFonts w:hint="eastAsia" w:ascii="宋体" w:hAnsi="宋体" w:eastAsia="宋体" w:cs="宋体"/>
          <w:color w:val="auto"/>
          <w:sz w:val="24"/>
          <w:lang w:val="zh-CN"/>
        </w:rPr>
        <w:t>可以组成一个投标联合体，以一个投标人的身份投标，但必须确定其中一个单位为投标的全权代表参加投标活动，并承担投标及履约中应承担的全部责任和义务。</w:t>
      </w:r>
    </w:p>
    <w:p w14:paraId="372D77C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（2）以联合体形式参加投标的，将对所有的联合体成员进行信用记录查询，联合体成员存在不良信用记录的，视同联合体存在不良信用记录，为无效投标。</w:t>
      </w:r>
    </w:p>
    <w:p w14:paraId="45AA7A5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（3）以联合体形式参加投标的，应</w:t>
      </w:r>
      <w:r>
        <w:rPr>
          <w:rFonts w:hint="eastAsia" w:cs="宋体"/>
          <w:color w:val="auto"/>
          <w:sz w:val="24"/>
          <w:lang w:val="zh-CN"/>
        </w:rPr>
        <w:t>符合</w:t>
      </w:r>
      <w:r>
        <w:rPr>
          <w:rFonts w:hint="eastAsia" w:ascii="宋体" w:hAnsi="宋体" w:eastAsia="宋体" w:cs="宋体"/>
          <w:color w:val="auto"/>
          <w:sz w:val="24"/>
          <w:lang w:val="zh-CN"/>
        </w:rPr>
        <w:t>投标人须知前附表的要求，联合体各方均应当符合政府采购法第二十二条第一款规定的条件，联合体各方均应当具备承担招标项目（标段&lt;包&gt;）的相应能力、具备规定的相应资格条件。</w:t>
      </w:r>
    </w:p>
    <w:p w14:paraId="09C483A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（4）联合体中有同类资质的</w:t>
      </w:r>
      <w:r>
        <w:rPr>
          <w:rFonts w:hint="eastAsia" w:cs="宋体"/>
          <w:color w:val="auto"/>
          <w:sz w:val="24"/>
          <w:lang w:val="zh-CN"/>
        </w:rPr>
        <w:t>投标人</w:t>
      </w:r>
      <w:r>
        <w:rPr>
          <w:rFonts w:hint="eastAsia" w:ascii="宋体" w:hAnsi="宋体" w:eastAsia="宋体" w:cs="宋体"/>
          <w:color w:val="auto"/>
          <w:sz w:val="24"/>
          <w:lang w:val="zh-CN"/>
        </w:rPr>
        <w:t>按照联合体分工承担相同工作的，应当按照资质等级较低的</w:t>
      </w:r>
      <w:r>
        <w:rPr>
          <w:rFonts w:hint="eastAsia" w:cs="宋体"/>
          <w:color w:val="auto"/>
          <w:sz w:val="24"/>
          <w:lang w:val="zh-CN"/>
        </w:rPr>
        <w:t>投标人</w:t>
      </w:r>
      <w:r>
        <w:rPr>
          <w:rFonts w:hint="eastAsia" w:ascii="宋体" w:hAnsi="宋体" w:eastAsia="宋体" w:cs="宋体"/>
          <w:color w:val="auto"/>
          <w:sz w:val="24"/>
          <w:lang w:val="zh-CN"/>
        </w:rPr>
        <w:t>确定资质等级。</w:t>
      </w:r>
    </w:p>
    <w:p w14:paraId="5DAD3D8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（5）联合体各方之间应当签订联合投标协议，明确约定联合体各方承担的工作和相应的责任，并将联合投标协议连同投标文件一并提交采购代理机构。</w:t>
      </w:r>
    </w:p>
    <w:p w14:paraId="10CFB7E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（6）联合体各方签订联合投标协议后，不得再以自己名义单独在同一项目中投标，也不得组成新的联合体参加同一项目投标。</w:t>
      </w:r>
    </w:p>
    <w:p w14:paraId="1DFF99E9">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（7）联合体中标的，联合体各方应当共同与采购人签订合同，就中标项目（标段&lt;包&gt;）向采购人承担连带责任。</w:t>
      </w:r>
    </w:p>
    <w:p w14:paraId="5B1FCBD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（8）预留中小企业份额项目中，</w:t>
      </w:r>
      <w:r>
        <w:rPr>
          <w:rFonts w:hint="eastAsia" w:ascii="宋体" w:hAnsi="宋体" w:eastAsia="宋体" w:cs="宋体"/>
          <w:color w:val="auto"/>
          <w:sz w:val="24"/>
          <w:szCs w:val="24"/>
        </w:rPr>
        <w:t>组成联合体的中小企业与联合体内其他企业不得存在直接控股、管理关系。</w:t>
      </w:r>
    </w:p>
    <w:p w14:paraId="1B273A3E">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1.5 知识产权</w:t>
      </w:r>
    </w:p>
    <w:p w14:paraId="2D5686FD">
      <w:pPr>
        <w:keepNext w:val="0"/>
        <w:keepLines w:val="0"/>
        <w:pageBreakBefore w:val="0"/>
        <w:kinsoku/>
        <w:wordWrap/>
        <w:overflowPunct/>
        <w:bidi w:val="0"/>
        <w:spacing w:line="440" w:lineRule="exact"/>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 xml:space="preserve">1.5.1 </w:t>
      </w:r>
      <w:r>
        <w:rPr>
          <w:rFonts w:hint="eastAsia" w:cs="宋体"/>
          <w:color w:val="auto"/>
          <w:sz w:val="24"/>
          <w:lang w:val="zh-CN"/>
        </w:rPr>
        <w:t>投标人</w:t>
      </w:r>
      <w:r>
        <w:rPr>
          <w:rFonts w:hint="eastAsia" w:ascii="宋体" w:hAnsi="宋体" w:eastAsia="宋体" w:cs="宋体"/>
          <w:color w:val="auto"/>
          <w:sz w:val="24"/>
          <w:lang w:val="zh-CN"/>
        </w:rPr>
        <w:t>须保证采购人使用投标货物、资料、技术、服务或其任何一部分时，享有不受限制的无偿使用权，不会产生因第三方提出侵犯其专利权、商标权或</w:t>
      </w:r>
      <w:r>
        <w:rPr>
          <w:rFonts w:hint="eastAsia" w:cs="宋体"/>
          <w:color w:val="auto"/>
          <w:sz w:val="24"/>
          <w:lang w:val="zh-CN"/>
        </w:rPr>
        <w:t>其他</w:t>
      </w:r>
      <w:r>
        <w:rPr>
          <w:rFonts w:hint="eastAsia" w:ascii="宋体" w:hAnsi="宋体" w:eastAsia="宋体" w:cs="宋体"/>
          <w:color w:val="auto"/>
          <w:sz w:val="24"/>
          <w:lang w:val="zh-CN"/>
        </w:rPr>
        <w:t>知识产权而引起的法律或经济纠纷。</w:t>
      </w:r>
      <w:r>
        <w:rPr>
          <w:rFonts w:hint="eastAsia" w:ascii="宋体" w:hAnsi="宋体" w:eastAsia="宋体" w:cs="宋体"/>
          <w:color w:val="auto"/>
          <w:sz w:val="24"/>
        </w:rPr>
        <w:t>如因专利权、商标权或</w:t>
      </w:r>
      <w:r>
        <w:rPr>
          <w:rFonts w:hint="eastAsia" w:cs="宋体"/>
          <w:color w:val="auto"/>
          <w:sz w:val="24"/>
          <w:lang w:eastAsia="zh-CN"/>
        </w:rPr>
        <w:t>其他</w:t>
      </w:r>
      <w:r>
        <w:rPr>
          <w:rFonts w:hint="eastAsia" w:ascii="宋体" w:hAnsi="宋体" w:eastAsia="宋体" w:cs="宋体"/>
          <w:color w:val="auto"/>
          <w:sz w:val="24"/>
        </w:rPr>
        <w:t>知识产权而引起法律和经济纠纷，由</w:t>
      </w:r>
      <w:r>
        <w:rPr>
          <w:rFonts w:hint="eastAsia" w:cs="宋体"/>
          <w:color w:val="auto"/>
          <w:sz w:val="24"/>
          <w:lang w:eastAsia="zh-CN"/>
        </w:rPr>
        <w:t>投标人</w:t>
      </w:r>
      <w:r>
        <w:rPr>
          <w:rFonts w:hint="eastAsia" w:ascii="宋体" w:hAnsi="宋体" w:eastAsia="宋体" w:cs="宋体"/>
          <w:color w:val="auto"/>
          <w:sz w:val="24"/>
        </w:rPr>
        <w:t>承担所有相关责任。</w:t>
      </w:r>
    </w:p>
    <w:p w14:paraId="0306527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如</w:t>
      </w:r>
      <w:r>
        <w:rPr>
          <w:rFonts w:hint="eastAsia" w:cs="宋体"/>
          <w:color w:val="auto"/>
          <w:sz w:val="24"/>
          <w:lang w:val="zh-CN"/>
        </w:rPr>
        <w:t>投标人</w:t>
      </w:r>
      <w:r>
        <w:rPr>
          <w:rFonts w:hint="eastAsia" w:ascii="宋体" w:hAnsi="宋体" w:eastAsia="宋体" w:cs="宋体"/>
          <w:color w:val="auto"/>
          <w:sz w:val="24"/>
          <w:lang w:val="zh-CN"/>
        </w:rPr>
        <w:t>不拥有相应的知识产权，则在投标报价中必须包括合法获取该知识产权的一切相关费用。如因此导致采购人损失的，</w:t>
      </w:r>
      <w:r>
        <w:rPr>
          <w:rFonts w:hint="eastAsia" w:cs="宋体"/>
          <w:color w:val="auto"/>
          <w:sz w:val="24"/>
          <w:lang w:val="zh-CN"/>
        </w:rPr>
        <w:t>投标人</w:t>
      </w:r>
      <w:r>
        <w:rPr>
          <w:rFonts w:hint="eastAsia" w:ascii="宋体" w:hAnsi="宋体" w:eastAsia="宋体" w:cs="宋体"/>
          <w:color w:val="auto"/>
          <w:sz w:val="24"/>
          <w:lang w:val="zh-CN"/>
        </w:rPr>
        <w:t>须承担全部赔偿责任。</w:t>
      </w:r>
    </w:p>
    <w:p w14:paraId="236BB02F">
      <w:pPr>
        <w:keepNext w:val="0"/>
        <w:keepLines w:val="0"/>
        <w:pageBreakBefore w:val="0"/>
        <w:kinsoku/>
        <w:wordWrap/>
        <w:overflowPunct/>
        <w:bidi w:val="0"/>
        <w:spacing w:line="440" w:lineRule="exact"/>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1.5.2</w:t>
      </w:r>
      <w:r>
        <w:rPr>
          <w:rFonts w:hint="eastAsia" w:cs="宋体"/>
          <w:color w:val="auto"/>
          <w:sz w:val="24"/>
          <w:lang w:eastAsia="zh-CN"/>
        </w:rPr>
        <w:t>投标人</w:t>
      </w:r>
      <w:r>
        <w:rPr>
          <w:rFonts w:hint="eastAsia" w:ascii="宋体" w:hAnsi="宋体" w:eastAsia="宋体" w:cs="宋体"/>
          <w:color w:val="auto"/>
          <w:sz w:val="24"/>
        </w:rPr>
        <w:t>将在采购项目实施过程中采用自有或者第三方知识成果的，应当在投标文件中载明，并提供相关知识产权证明文件。使用该知识成果后，</w:t>
      </w:r>
      <w:r>
        <w:rPr>
          <w:rFonts w:hint="eastAsia" w:cs="宋体"/>
          <w:color w:val="auto"/>
          <w:sz w:val="24"/>
          <w:lang w:eastAsia="zh-CN"/>
        </w:rPr>
        <w:t>投标人</w:t>
      </w:r>
      <w:r>
        <w:rPr>
          <w:rFonts w:hint="eastAsia" w:ascii="宋体" w:hAnsi="宋体" w:eastAsia="宋体" w:cs="宋体"/>
          <w:color w:val="auto"/>
          <w:sz w:val="24"/>
        </w:rPr>
        <w:t>需提供开发接口和开发手册等技术资料，并承诺提供无限期支持，采购人享有使用权（含采购人委托第三方在该项目后续开发的使用权）。</w:t>
      </w:r>
    </w:p>
    <w:p w14:paraId="7D5DCE73">
      <w:pPr>
        <w:keepNext w:val="0"/>
        <w:keepLines w:val="0"/>
        <w:pageBreakBefore w:val="0"/>
        <w:kinsoku/>
        <w:wordWrap/>
        <w:overflowPunct/>
        <w:bidi w:val="0"/>
        <w:spacing w:line="440" w:lineRule="exact"/>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1.5.3 除非招标文件特别规定，采购人享有本项目实施过程中产生的知识成果及知识产权。</w:t>
      </w:r>
    </w:p>
    <w:p w14:paraId="1A7FA77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1.6 投标费用</w:t>
      </w:r>
    </w:p>
    <w:p w14:paraId="50D40D0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14:paraId="0B3A018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1.7 保密</w:t>
      </w:r>
    </w:p>
    <w:p w14:paraId="58DCDE1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1.7.1 参与公开招标活动的各方应对招标文件和投标文件中的商业和技术等秘密保密，投标人应在投标文件中对需保密事项予以书面声明，否则视为非保密事项。</w:t>
      </w:r>
    </w:p>
    <w:p w14:paraId="2EBA0DD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1.7.2 依据政府采购中标结果及合同公告规定，中标（合同）标的名称、规格型号、单价及中标（合同）金额等内容不得作为商业秘密。</w:t>
      </w:r>
    </w:p>
    <w:p w14:paraId="72D33DD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1.8 语言文字</w:t>
      </w:r>
    </w:p>
    <w:p w14:paraId="3FCC575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除专用术语外，与公开招标有关的语言均使用中文。必要时专用术语应附有中文注释。如果投标文件或与投标有关</w:t>
      </w:r>
      <w:r>
        <w:rPr>
          <w:rFonts w:hint="eastAsia" w:cs="宋体"/>
          <w:color w:val="auto"/>
          <w:sz w:val="24"/>
          <w:lang w:val="zh-CN"/>
        </w:rPr>
        <w:t>的其他文件</w:t>
      </w:r>
      <w:r>
        <w:rPr>
          <w:rFonts w:hint="eastAsia" w:ascii="宋体" w:hAnsi="宋体" w:eastAsia="宋体" w:cs="宋体"/>
          <w:color w:val="auto"/>
          <w:sz w:val="24"/>
          <w:lang w:val="zh-CN"/>
        </w:rPr>
        <w:t>、信件及来往函电以</w:t>
      </w:r>
      <w:r>
        <w:rPr>
          <w:rFonts w:hint="eastAsia" w:cs="宋体"/>
          <w:color w:val="auto"/>
          <w:sz w:val="24"/>
          <w:lang w:val="zh-CN"/>
        </w:rPr>
        <w:t>其他语言</w:t>
      </w:r>
      <w:r>
        <w:rPr>
          <w:rFonts w:hint="eastAsia" w:ascii="宋体" w:hAnsi="宋体" w:eastAsia="宋体" w:cs="宋体"/>
          <w:color w:val="auto"/>
          <w:sz w:val="24"/>
          <w:lang w:val="zh-CN"/>
        </w:rPr>
        <w:t>书写，投标人应将其译成中文，并对中文译稿的真实、准确、完整承担责任。</w:t>
      </w:r>
    </w:p>
    <w:p w14:paraId="0A0D53EC">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1.9 计量单位</w:t>
      </w:r>
    </w:p>
    <w:p w14:paraId="2703C39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所有计量均采用中华人民共和国法定计量单位。</w:t>
      </w:r>
    </w:p>
    <w:p w14:paraId="50FFB15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1.10 踏勘现场</w:t>
      </w:r>
    </w:p>
    <w:p w14:paraId="2F46781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1.10.1 投标人踏勘现场发生的费用自理，投标人自行负责在踏勘现场中所发生的人员伤亡和财产损失。</w:t>
      </w:r>
    </w:p>
    <w:p w14:paraId="2D4D46B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1.10.2 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14:paraId="226067E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1.10.3 不组织踏勘现场的，招标文件不单独提供交付（实施）地自然环境、气候条件、交验安装条件等情况说明，投标人被视为熟悉前述与履行合同有关的一切情况，投标人可自行踏勘现场并自行了解相关情况。</w:t>
      </w:r>
    </w:p>
    <w:p w14:paraId="25839E6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1.11 开标前答疑会</w:t>
      </w:r>
    </w:p>
    <w:p w14:paraId="61B4C08F">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1.11.1 采购人或者采购代理机构可以在招标文件提供期限截止后，组织已获取招标文件的潜在投标人召开开标前答疑会。</w:t>
      </w:r>
    </w:p>
    <w:p w14:paraId="527B529F">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召开答疑会的，将在招标文件中载明，或者在招标文件提供期限截止后以书面形式通知所有获取招标文件的潜在投标人。</w:t>
      </w:r>
    </w:p>
    <w:p w14:paraId="2AD69F0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1.11.2 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14:paraId="2B6894C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1.11.3 答疑会后，采购人及代理机构在投标人须知前附表规定的时间内，将对投标人依法提出的重要问题的澄清，以本章2.3.2项方式通告潜在投标人。该澄清内容为招标文件的组成部分。</w:t>
      </w:r>
    </w:p>
    <w:p w14:paraId="7B904F0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1.12 分包</w:t>
      </w:r>
    </w:p>
    <w:p w14:paraId="33A1F2B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rPr>
      </w:pPr>
      <w:r>
        <w:rPr>
          <w:rFonts w:hint="eastAsia" w:ascii="宋体" w:hAnsi="宋体" w:eastAsia="宋体" w:cs="宋体"/>
          <w:color w:val="auto"/>
          <w:sz w:val="24"/>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eastAsia="宋体" w:cs="宋体"/>
          <w:color w:val="auto"/>
          <w:sz w:val="24"/>
        </w:rPr>
        <w:t>应当在投标文件中载明分包承担主体，分包承担主体应当具备相应资质条件且不得再次分包。</w:t>
      </w:r>
    </w:p>
    <w:p w14:paraId="57ACCC4E">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szCs w:val="24"/>
        </w:rPr>
      </w:pPr>
      <w:r>
        <w:rPr>
          <w:rFonts w:hint="eastAsia" w:ascii="宋体" w:hAnsi="宋体" w:eastAsia="宋体" w:cs="宋体"/>
          <w:color w:val="auto"/>
          <w:sz w:val="24"/>
          <w:lang w:val="zh-CN"/>
        </w:rPr>
        <w:t>预留中小企业份额项目中，</w:t>
      </w:r>
      <w:r>
        <w:rPr>
          <w:rFonts w:hint="eastAsia" w:ascii="宋体" w:hAnsi="宋体" w:eastAsia="宋体" w:cs="宋体"/>
          <w:color w:val="auto"/>
          <w:sz w:val="24"/>
          <w:szCs w:val="24"/>
        </w:rPr>
        <w:t>接受分包合同的中小企业与分包企业之间不得存在直接控股、管理关系</w:t>
      </w:r>
    </w:p>
    <w:p w14:paraId="06628201">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rPr>
      </w:pPr>
      <w:r>
        <w:rPr>
          <w:rFonts w:hint="eastAsia" w:ascii="宋体" w:hAnsi="宋体" w:eastAsia="宋体" w:cs="宋体"/>
          <w:color w:val="auto"/>
          <w:sz w:val="24"/>
        </w:rPr>
        <w:t>依法享受扶持政策获得政府采购合同的，小微企业不得将合同分包给大中型企业，中型企业不得将合同分包给大型企业。</w:t>
      </w:r>
    </w:p>
    <w:p w14:paraId="4180543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1.13 偏离</w:t>
      </w:r>
    </w:p>
    <w:p w14:paraId="5673DD3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招标文件允许投标文件偏离招标文件某些要求的，偏离应当符合招标文件规定的偏离范围和幅度。</w:t>
      </w:r>
    </w:p>
    <w:p w14:paraId="1D74C542">
      <w:pPr>
        <w:pStyle w:val="3"/>
        <w:pageBreakBefore w:val="0"/>
        <w:kinsoku/>
        <w:wordWrap/>
        <w:overflowPunct/>
        <w:bidi w:val="0"/>
        <w:spacing w:line="440" w:lineRule="exact"/>
        <w:ind w:left="0" w:leftChars="0" w:right="0"/>
        <w:rPr>
          <w:rFonts w:hint="eastAsia"/>
          <w:color w:val="auto"/>
          <w:lang w:val="zh-CN"/>
        </w:rPr>
      </w:pPr>
      <w:bookmarkStart w:id="42" w:name="_Toc121491747"/>
      <w:bookmarkStart w:id="43" w:name="_Toc32102"/>
      <w:r>
        <w:rPr>
          <w:rFonts w:hint="eastAsia"/>
          <w:color w:val="auto"/>
          <w:lang w:val="zh-CN"/>
        </w:rPr>
        <w:t>2 招标文件</w:t>
      </w:r>
      <w:bookmarkEnd w:id="42"/>
      <w:bookmarkEnd w:id="43"/>
    </w:p>
    <w:p w14:paraId="46D8F41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b/>
          <w:color w:val="auto"/>
          <w:sz w:val="24"/>
          <w:lang w:val="zh-CN"/>
        </w:rPr>
        <w:t>2.1 招标文件的组成</w:t>
      </w:r>
      <w:r>
        <w:rPr>
          <w:rFonts w:hint="eastAsia" w:ascii="宋体" w:hAnsi="宋体" w:eastAsia="宋体" w:cs="宋体"/>
          <w:color w:val="auto"/>
          <w:sz w:val="24"/>
          <w:lang w:val="zh-CN"/>
        </w:rPr>
        <w:t>：</w:t>
      </w:r>
    </w:p>
    <w:p w14:paraId="2ACCB85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2.1.1 招标文件用以阐明招标项目的内容、程序和合同主要条款。招标文件由下述部分组成：</w:t>
      </w:r>
    </w:p>
    <w:p w14:paraId="1A5EA8F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（1）招标公告</w:t>
      </w:r>
    </w:p>
    <w:p w14:paraId="02868B2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（2）招标项目要求及采购需求</w:t>
      </w:r>
    </w:p>
    <w:p w14:paraId="3F9BA92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（3）投标人须知</w:t>
      </w:r>
    </w:p>
    <w:p w14:paraId="10C8D51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（4）评标办法</w:t>
      </w:r>
    </w:p>
    <w:p w14:paraId="26C9150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（5）合同主要条款</w:t>
      </w:r>
    </w:p>
    <w:p w14:paraId="16A7F58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（6）投标文件格式</w:t>
      </w:r>
    </w:p>
    <w:p w14:paraId="5675F879">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2.1.2 根据本章第1.11款、第2.2款和第2.3款、对招标文件的澄清、修改、补充书构成招标文件的组成部分，并取代招标文件中被澄清、修改处，对所有投标人均有约束力。</w:t>
      </w:r>
    </w:p>
    <w:p w14:paraId="3F2FF60C">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2.1.3 当招标文件、招标文件的澄清、修改、补充等在同一内容的表述上不一致时，以最后发出（发布）的文件为准。</w:t>
      </w:r>
    </w:p>
    <w:p w14:paraId="755E19B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2.1.4 投标人与任何人的口头协议不影响《招标文件》的任何条款和内容。</w:t>
      </w:r>
    </w:p>
    <w:p w14:paraId="6968CBB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rPr>
      </w:pPr>
      <w:r>
        <w:rPr>
          <w:rFonts w:hint="eastAsia" w:ascii="宋体" w:hAnsi="宋体" w:eastAsia="宋体" w:cs="宋体"/>
          <w:color w:val="auto"/>
          <w:sz w:val="24"/>
        </w:rPr>
        <w:t>2.1.5</w:t>
      </w:r>
      <w:r>
        <w:rPr>
          <w:rFonts w:hint="eastAsia" w:cs="宋体"/>
          <w:color w:val="auto"/>
          <w:sz w:val="24"/>
          <w:lang w:val="en-US" w:eastAsia="zh-CN"/>
        </w:rPr>
        <w:t xml:space="preserve"> </w:t>
      </w:r>
      <w:r>
        <w:rPr>
          <w:rFonts w:hint="eastAsia" w:ascii="宋体" w:hAnsi="宋体" w:eastAsia="宋体" w:cs="宋体"/>
          <w:color w:val="auto"/>
          <w:sz w:val="24"/>
        </w:rPr>
        <w:t>投标人应仔细阅读和检查招标文件的全部内容是否齐全，如发现缺页或附件不全等遗漏，应及时向采购代理机构提出并索取补齐，否则责任及风险自负。</w:t>
      </w:r>
    </w:p>
    <w:p w14:paraId="7762651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2.2 招标文件的澄清</w:t>
      </w:r>
    </w:p>
    <w:p w14:paraId="0325E28F">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2.2.1 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14:paraId="4C1BE03C">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2.2.2 采购代理机构对潜在投标人在规定的时间内提出的疑问，将按投标人须知前附表规定予以答复。</w:t>
      </w:r>
    </w:p>
    <w:p w14:paraId="00E23EE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2.2.3 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14:paraId="7E2B2C44">
      <w:pPr>
        <w:keepNext w:val="0"/>
        <w:keepLines w:val="0"/>
        <w:pageBreakBefore w:val="0"/>
        <w:kinsoku/>
        <w:wordWrap/>
        <w:overflowPunct/>
        <w:bidi w:val="0"/>
        <w:adjustRightInd w:val="0"/>
        <w:snapToGrid w:val="0"/>
        <w:spacing w:line="440" w:lineRule="exact"/>
        <w:ind w:left="0" w:leftChars="0" w:right="0"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lang w:val="zh-CN"/>
        </w:rPr>
        <w:t>2.2.4</w:t>
      </w:r>
      <w:r>
        <w:rPr>
          <w:rFonts w:hint="eastAsia" w:cs="宋体"/>
          <w:color w:val="auto"/>
          <w:sz w:val="24"/>
          <w:lang w:val="en-US" w:eastAsia="zh-CN"/>
        </w:rPr>
        <w:t xml:space="preserve"> </w:t>
      </w:r>
      <w:r>
        <w:rPr>
          <w:rFonts w:hint="eastAsia" w:ascii="宋体" w:hAnsi="宋体" w:eastAsia="宋体" w:cs="宋体"/>
          <w:color w:val="auto"/>
          <w:sz w:val="24"/>
          <w:lang w:val="zh-CN"/>
        </w:rPr>
        <w:t>采购代理机构可视情况在投标截止前答疑。</w:t>
      </w:r>
    </w:p>
    <w:p w14:paraId="7238D45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2.3 招标文件的澄清、修改、补充</w:t>
      </w:r>
    </w:p>
    <w:p w14:paraId="1FC1F2D4">
      <w:pPr>
        <w:keepNext w:val="0"/>
        <w:keepLines w:val="0"/>
        <w:pageBreakBefore w:val="0"/>
        <w:kinsoku/>
        <w:wordWrap/>
        <w:overflowPunct/>
        <w:autoSpaceDE w:val="0"/>
        <w:autoSpaceDN w:val="0"/>
        <w:bidi w:val="0"/>
        <w:adjustRightInd w:val="0"/>
        <w:snapToGrid w:val="0"/>
        <w:spacing w:line="440" w:lineRule="exact"/>
        <w:ind w:left="0" w:leftChars="0" w:right="0" w:firstLine="537" w:firstLineChars="224"/>
        <w:rPr>
          <w:rFonts w:hint="eastAsia" w:ascii="宋体" w:hAnsi="宋体" w:eastAsia="宋体" w:cs="宋体"/>
          <w:color w:val="auto"/>
          <w:sz w:val="24"/>
          <w:lang w:val="zh-CN"/>
        </w:rPr>
      </w:pPr>
      <w:r>
        <w:rPr>
          <w:rFonts w:hint="eastAsia" w:ascii="宋体" w:hAnsi="宋体" w:eastAsia="宋体" w:cs="宋体"/>
          <w:color w:val="auto"/>
          <w:sz w:val="24"/>
          <w:lang w:val="zh-CN"/>
        </w:rPr>
        <w:t>采购人、代理机构在投标截止时间前有权澄清修改、补充已发售的招标文件。</w:t>
      </w:r>
    </w:p>
    <w:p w14:paraId="1CFBF6F9">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b/>
          <w:color w:val="auto"/>
          <w:sz w:val="24"/>
          <w:lang w:val="zh-CN"/>
        </w:rPr>
        <w:t>2.4 招标文件的澄清、修改、补充的通知，及相应时间变更</w:t>
      </w:r>
    </w:p>
    <w:p w14:paraId="4C3FEAE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color w:val="auto"/>
          <w:sz w:val="24"/>
          <w:lang w:val="zh-CN"/>
        </w:rPr>
        <w:t>2.4.1 招标文件在投标截止时间前的所有澄清、修改（包括时间变更等）、补充事项，均在“招标公告”所述媒体予以公告。</w:t>
      </w:r>
      <w:r>
        <w:rPr>
          <w:rFonts w:hint="eastAsia" w:ascii="宋体" w:hAnsi="宋体" w:eastAsia="宋体" w:cs="宋体"/>
          <w:b/>
          <w:color w:val="auto"/>
          <w:sz w:val="24"/>
          <w:lang w:val="zh-CN"/>
        </w:rPr>
        <w:t>澄清或修改公告一经在法定网站以公告形式发布，依法视为书面通知，不再另行通知。</w:t>
      </w:r>
    </w:p>
    <w:p w14:paraId="6900980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基于网上电子交易的特点—-无权限获知或通知潜在投标人，潜在投标人应随时关注“招标公告”所述媒体相关项目信息（为</w:t>
      </w:r>
      <w:r>
        <w:rPr>
          <w:rFonts w:hint="eastAsia" w:cs="宋体"/>
          <w:b/>
          <w:color w:val="auto"/>
          <w:sz w:val="24"/>
          <w:lang w:val="en-US" w:eastAsia="zh-CN"/>
        </w:rPr>
        <w:t>避</w:t>
      </w:r>
      <w:r>
        <w:rPr>
          <w:rFonts w:hint="eastAsia" w:ascii="宋体" w:hAnsi="宋体" w:eastAsia="宋体" w:cs="宋体"/>
          <w:b/>
          <w:color w:val="auto"/>
          <w:sz w:val="24"/>
          <w:lang w:val="zh-CN"/>
        </w:rPr>
        <w:t>免各部门网站出现维护等情况，潜在投标人应对“招标公告”所述媒体逐一查阅），如有遗漏，后果自负。</w:t>
      </w:r>
    </w:p>
    <w:p w14:paraId="39656B2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2.4.2</w:t>
      </w:r>
      <w:r>
        <w:rPr>
          <w:rFonts w:hint="eastAsia" w:cs="宋体"/>
          <w:color w:val="auto"/>
          <w:sz w:val="24"/>
          <w:lang w:val="en-US" w:eastAsia="zh-CN"/>
        </w:rPr>
        <w:t xml:space="preserve"> </w:t>
      </w:r>
      <w:r>
        <w:rPr>
          <w:rFonts w:hint="eastAsia" w:ascii="宋体" w:hAnsi="宋体" w:eastAsia="宋体" w:cs="宋体"/>
          <w:color w:val="auto"/>
          <w:sz w:val="24"/>
          <w:lang w:val="zh-CN"/>
        </w:rPr>
        <w:t>招标文件的澄清、修改、补充书构成招标文件的组成部分，并取代招标文件中被澄清、修改处，对所有投标人均有约束力。</w:t>
      </w:r>
    </w:p>
    <w:p w14:paraId="7789743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2.4.3 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14:paraId="165FC488">
      <w:pPr>
        <w:pStyle w:val="3"/>
        <w:pageBreakBefore w:val="0"/>
        <w:kinsoku/>
        <w:wordWrap/>
        <w:overflowPunct/>
        <w:bidi w:val="0"/>
        <w:spacing w:line="440" w:lineRule="exact"/>
        <w:ind w:left="0" w:leftChars="0" w:right="0"/>
        <w:rPr>
          <w:rFonts w:hint="eastAsia"/>
          <w:color w:val="auto"/>
          <w:lang w:val="zh-CN"/>
        </w:rPr>
      </w:pPr>
      <w:bookmarkStart w:id="44" w:name="_Toc7570"/>
      <w:bookmarkStart w:id="45" w:name="_Toc121491748"/>
      <w:r>
        <w:rPr>
          <w:rFonts w:hint="eastAsia"/>
          <w:color w:val="auto"/>
          <w:lang w:val="zh-CN"/>
        </w:rPr>
        <w:t>3 投标文件</w:t>
      </w:r>
      <w:bookmarkEnd w:id="44"/>
      <w:bookmarkEnd w:id="45"/>
    </w:p>
    <w:p w14:paraId="2C7A8661">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3.1</w:t>
      </w:r>
      <w:r>
        <w:rPr>
          <w:rFonts w:hint="eastAsia" w:ascii="宋体" w:hAnsi="宋体" w:cs="宋体"/>
          <w:b/>
          <w:color w:val="auto"/>
          <w:sz w:val="24"/>
          <w:lang w:val="en-US" w:eastAsia="zh-CN"/>
        </w:rPr>
        <w:t xml:space="preserve"> </w:t>
      </w:r>
      <w:r>
        <w:rPr>
          <w:rFonts w:hint="eastAsia" w:ascii="宋体" w:hAnsi="宋体" w:eastAsia="宋体" w:cs="宋体"/>
          <w:color w:val="auto"/>
          <w:sz w:val="24"/>
          <w:lang w:val="zh-CN"/>
        </w:rPr>
        <w:t>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eastAsia="宋体" w:cs="宋体"/>
          <w:b/>
          <w:color w:val="auto"/>
          <w:sz w:val="24"/>
          <w:lang w:val="zh-CN"/>
        </w:rPr>
        <w:t>无效投标。</w:t>
      </w:r>
    </w:p>
    <w:p w14:paraId="1F9E6F87">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3.2 投标文件的组成</w:t>
      </w:r>
    </w:p>
    <w:p w14:paraId="24ED15B3">
      <w:pPr>
        <w:keepNext w:val="0"/>
        <w:keepLines w:val="0"/>
        <w:pageBreakBefore w:val="0"/>
        <w:kinsoku/>
        <w:wordWrap/>
        <w:overflowPunct/>
        <w:bidi w:val="0"/>
        <w:adjustRightInd w:val="0"/>
        <w:snapToGrid w:val="0"/>
        <w:spacing w:line="440" w:lineRule="exact"/>
        <w:ind w:left="0" w:leftChars="0" w:right="0" w:firstLine="539"/>
        <w:textAlignment w:val="top"/>
        <w:rPr>
          <w:rFonts w:hint="eastAsia" w:ascii="宋体" w:hAnsi="宋体" w:eastAsia="宋体" w:cs="宋体"/>
          <w:color w:val="auto"/>
          <w:sz w:val="24"/>
          <w:lang w:val="zh-CN"/>
        </w:rPr>
      </w:pPr>
      <w:r>
        <w:rPr>
          <w:rFonts w:hint="eastAsia" w:ascii="宋体" w:hAnsi="宋体" w:eastAsia="宋体" w:cs="宋体"/>
          <w:color w:val="auto"/>
          <w:sz w:val="24"/>
          <w:lang w:val="zh-CN"/>
        </w:rPr>
        <w:t>3.2.1 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14:paraId="052450A1">
      <w:pPr>
        <w:keepNext w:val="0"/>
        <w:keepLines w:val="0"/>
        <w:pageBreakBefore w:val="0"/>
        <w:kinsoku/>
        <w:wordWrap/>
        <w:overflowPunct/>
        <w:bidi w:val="0"/>
        <w:adjustRightInd w:val="0"/>
        <w:snapToGrid w:val="0"/>
        <w:spacing w:line="440" w:lineRule="exact"/>
        <w:ind w:left="0" w:leftChars="0" w:right="0" w:firstLine="539"/>
        <w:textAlignment w:val="top"/>
        <w:rPr>
          <w:rFonts w:hint="eastAsia" w:ascii="宋体" w:hAnsi="宋体" w:eastAsia="宋体" w:cs="宋体"/>
          <w:color w:val="auto"/>
          <w:sz w:val="24"/>
          <w:lang w:val="zh-CN"/>
        </w:rPr>
      </w:pPr>
      <w:r>
        <w:rPr>
          <w:rFonts w:hint="eastAsia" w:ascii="宋体" w:hAnsi="宋体" w:eastAsia="宋体" w:cs="宋体"/>
          <w:color w:val="auto"/>
          <w:sz w:val="24"/>
          <w:lang w:val="zh-CN"/>
        </w:rPr>
        <w:t>3.2.2投标文件应包括下列内容：</w:t>
      </w:r>
    </w:p>
    <w:p w14:paraId="0C8D0AC2">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（1）投标书</w:t>
      </w:r>
    </w:p>
    <w:p w14:paraId="1780A3C1">
      <w:pPr>
        <w:pageBreakBefore w:val="0"/>
        <w:widowControl w:val="0"/>
        <w:kinsoku/>
        <w:wordWrap/>
        <w:overflowPunct/>
        <w:bidi w:val="0"/>
        <w:snapToGrid w:val="0"/>
        <w:spacing w:line="440" w:lineRule="exact"/>
        <w:ind w:left="0" w:leftChars="0" w:right="0" w:firstLine="578"/>
        <w:textAlignment w:val="top"/>
        <w:rPr>
          <w:rFonts w:hint="eastAsia" w:ascii="宋体" w:hAnsi="宋体" w:eastAsia="宋体" w:cs="宋体"/>
          <w:color w:val="auto"/>
          <w:sz w:val="24"/>
          <w:szCs w:val="24"/>
          <w:lang w:eastAsia="zh-CN"/>
        </w:rPr>
      </w:pPr>
      <w:r>
        <w:rPr>
          <w:rFonts w:hint="eastAsia" w:ascii="宋体" w:hAnsi="宋体" w:cs="宋体"/>
          <w:color w:val="auto"/>
          <w:sz w:val="24"/>
          <w:szCs w:val="24"/>
        </w:rPr>
        <w:t>（2）开标一览表</w:t>
      </w:r>
      <w:r>
        <w:rPr>
          <w:rFonts w:hint="eastAsia" w:cs="宋体"/>
          <w:color w:val="auto"/>
          <w:sz w:val="24"/>
          <w:szCs w:val="24"/>
          <w:lang w:eastAsia="zh-CN"/>
        </w:rPr>
        <w:t>（</w:t>
      </w:r>
      <w:r>
        <w:rPr>
          <w:rFonts w:hint="eastAsia" w:cs="宋体"/>
          <w:color w:val="auto"/>
          <w:sz w:val="24"/>
          <w:szCs w:val="24"/>
          <w:lang w:val="en-US" w:eastAsia="zh-CN"/>
        </w:rPr>
        <w:t>即交易系统中报价一览表</w:t>
      </w:r>
      <w:r>
        <w:rPr>
          <w:rFonts w:hint="eastAsia" w:cs="宋体"/>
          <w:color w:val="auto"/>
          <w:sz w:val="24"/>
          <w:szCs w:val="24"/>
          <w:lang w:eastAsia="zh-CN"/>
        </w:rPr>
        <w:t>）</w:t>
      </w:r>
    </w:p>
    <w:p w14:paraId="08B66B90">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（3）分项报价（即</w:t>
      </w:r>
      <w:r>
        <w:rPr>
          <w:rFonts w:hint="eastAsia" w:cs="宋体"/>
          <w:color w:val="auto"/>
          <w:sz w:val="24"/>
          <w:szCs w:val="24"/>
          <w:lang w:val="en-US" w:eastAsia="zh-CN"/>
        </w:rPr>
        <w:t>投标人</w:t>
      </w:r>
      <w:r>
        <w:rPr>
          <w:rFonts w:hint="eastAsia" w:ascii="宋体" w:hAnsi="宋体" w:cs="宋体"/>
          <w:color w:val="auto"/>
          <w:sz w:val="24"/>
          <w:szCs w:val="24"/>
        </w:rPr>
        <w:t>的投标报价明细表）</w:t>
      </w:r>
    </w:p>
    <w:p w14:paraId="503BFEF5">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（4）投标产品清单及其技术参数</w:t>
      </w:r>
    </w:p>
    <w:p w14:paraId="3F582E8D">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（5）技术偏差表</w:t>
      </w:r>
    </w:p>
    <w:p w14:paraId="0387EA4E">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（6）其他偏差表（除技术偏差外）</w:t>
      </w:r>
    </w:p>
    <w:p w14:paraId="6F8DF66E">
      <w:pPr>
        <w:pageBreakBefore w:val="0"/>
        <w:widowControl w:val="0"/>
        <w:kinsoku/>
        <w:wordWrap/>
        <w:overflowPunct/>
        <w:bidi w:val="0"/>
        <w:snapToGrid w:val="0"/>
        <w:spacing w:line="440" w:lineRule="exact"/>
        <w:ind w:left="0" w:leftChars="0" w:right="0" w:firstLine="578"/>
        <w:textAlignment w:val="top"/>
        <w:rPr>
          <w:rFonts w:hint="eastAsia" w:ascii="宋体" w:hAnsi="宋体" w:eastAsia="宋体" w:cs="宋体"/>
          <w:color w:val="auto"/>
          <w:sz w:val="24"/>
          <w:szCs w:val="24"/>
          <w:lang w:eastAsia="zh-CN"/>
        </w:rPr>
      </w:pPr>
      <w:r>
        <w:rPr>
          <w:rFonts w:hint="eastAsia" w:ascii="宋体" w:hAnsi="宋体" w:cs="宋体"/>
          <w:color w:val="auto"/>
          <w:sz w:val="24"/>
          <w:szCs w:val="24"/>
        </w:rPr>
        <w:t>（7）售后服务计划</w:t>
      </w:r>
      <w:r>
        <w:rPr>
          <w:rFonts w:hint="eastAsia" w:cs="宋体"/>
          <w:color w:val="auto"/>
          <w:sz w:val="24"/>
          <w:szCs w:val="24"/>
          <w:lang w:eastAsia="zh-CN"/>
        </w:rPr>
        <w:t>、</w:t>
      </w:r>
      <w:r>
        <w:rPr>
          <w:rFonts w:hint="eastAsia" w:ascii="宋体" w:hAnsi="宋体" w:cs="宋体"/>
          <w:color w:val="auto"/>
          <w:sz w:val="24"/>
          <w:szCs w:val="24"/>
        </w:rPr>
        <w:t>安装调试方案</w:t>
      </w:r>
    </w:p>
    <w:p w14:paraId="673F8C2D">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8</w:t>
      </w:r>
      <w:r>
        <w:rPr>
          <w:rFonts w:hint="eastAsia" w:ascii="宋体" w:hAnsi="宋体" w:cs="宋体"/>
          <w:color w:val="auto"/>
          <w:sz w:val="24"/>
          <w:szCs w:val="24"/>
          <w:lang w:val="zh-CN"/>
        </w:rPr>
        <w:t>）</w:t>
      </w:r>
      <w:r>
        <w:rPr>
          <w:rFonts w:hint="eastAsia" w:ascii="宋体" w:hAnsi="宋体" w:cs="宋体"/>
          <w:color w:val="auto"/>
          <w:sz w:val="24"/>
          <w:szCs w:val="24"/>
        </w:rPr>
        <w:t>关于资格的声明函</w:t>
      </w:r>
    </w:p>
    <w:p w14:paraId="78B8E5BF">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（9）反商业贿赂承诺书</w:t>
      </w:r>
    </w:p>
    <w:p w14:paraId="794C4AB9">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（10）履约承诺书</w:t>
      </w:r>
    </w:p>
    <w:p w14:paraId="38F01E34">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（11）资格要求相关证明材料（文件）</w:t>
      </w:r>
    </w:p>
    <w:p w14:paraId="0A1B6F6F">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（12）投标承诺函</w:t>
      </w:r>
    </w:p>
    <w:p w14:paraId="24DAF551">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（13）采购项目及技术要求所需的其他材料</w:t>
      </w:r>
    </w:p>
    <w:p w14:paraId="2384BA3E">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（14）</w:t>
      </w:r>
      <w:r>
        <w:rPr>
          <w:rFonts w:hint="eastAsia" w:cs="宋体"/>
          <w:color w:val="auto"/>
          <w:sz w:val="24"/>
          <w:szCs w:val="24"/>
          <w:lang w:val="en-US" w:eastAsia="zh-CN"/>
        </w:rPr>
        <w:t>投标人</w:t>
      </w:r>
      <w:r>
        <w:rPr>
          <w:rFonts w:hint="eastAsia" w:ascii="宋体" w:hAnsi="宋体" w:cs="宋体"/>
          <w:color w:val="auto"/>
          <w:sz w:val="24"/>
          <w:szCs w:val="24"/>
        </w:rPr>
        <w:t>须知所需的其他材料</w:t>
      </w:r>
    </w:p>
    <w:p w14:paraId="4E50C6ED">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rPr>
      </w:pPr>
      <w:r>
        <w:rPr>
          <w:rFonts w:hint="eastAsia" w:ascii="宋体" w:hAnsi="宋体" w:cs="宋体"/>
          <w:color w:val="auto"/>
          <w:sz w:val="24"/>
          <w:szCs w:val="24"/>
        </w:rPr>
        <w:t>（15）评审办法所需材料</w:t>
      </w:r>
    </w:p>
    <w:p w14:paraId="00C5AD33">
      <w:pPr>
        <w:pageBreakBefore w:val="0"/>
        <w:widowControl w:val="0"/>
        <w:kinsoku/>
        <w:wordWrap/>
        <w:overflowPunct/>
        <w:bidi w:val="0"/>
        <w:snapToGrid w:val="0"/>
        <w:spacing w:line="440" w:lineRule="exact"/>
        <w:ind w:left="0" w:leftChars="0" w:right="0" w:firstLine="578"/>
        <w:textAlignment w:val="top"/>
        <w:rPr>
          <w:rFonts w:ascii="宋体" w:hAnsi="宋体" w:cs="宋体"/>
          <w:color w:val="auto"/>
          <w:sz w:val="24"/>
          <w:szCs w:val="24"/>
          <w:lang w:val="zh-CN"/>
        </w:rPr>
      </w:pPr>
      <w:r>
        <w:rPr>
          <w:rFonts w:hint="eastAsia" w:ascii="宋体" w:hAnsi="宋体" w:cs="宋体"/>
          <w:color w:val="auto"/>
          <w:sz w:val="24"/>
          <w:szCs w:val="24"/>
        </w:rPr>
        <w:t>.........</w:t>
      </w:r>
    </w:p>
    <w:p w14:paraId="77CA2573">
      <w:pPr>
        <w:keepNext w:val="0"/>
        <w:keepLines w:val="0"/>
        <w:pageBreakBefore w:val="0"/>
        <w:kinsoku/>
        <w:wordWrap/>
        <w:overflowPunct/>
        <w:topLinePunct/>
        <w:bidi w:val="0"/>
        <w:adjustRightInd w:val="0"/>
        <w:snapToGrid w:val="0"/>
        <w:spacing w:line="440" w:lineRule="exact"/>
        <w:ind w:left="0" w:leftChars="0" w:right="0" w:firstLine="564" w:firstLineChars="235"/>
        <w:rPr>
          <w:rFonts w:hint="eastAsia" w:ascii="宋体" w:hAnsi="宋体" w:eastAsia="宋体" w:cs="宋体"/>
          <w:color w:val="auto"/>
          <w:sz w:val="24"/>
          <w:lang w:val="zh-CN"/>
        </w:rPr>
      </w:pPr>
      <w:r>
        <w:rPr>
          <w:rFonts w:hint="eastAsia" w:ascii="宋体" w:hAnsi="宋体" w:eastAsia="宋体" w:cs="宋体"/>
          <w:color w:val="auto"/>
          <w:sz w:val="24"/>
          <w:lang w:val="zh-CN"/>
        </w:rPr>
        <w:t>3.2.3按照本章第4.3款、第四章第3.3款规定，对投标文件的补充、修改、澄清、说明或者更正构成投标文件的组成部分，并取代投标文件中被澄清、修改处。</w:t>
      </w:r>
    </w:p>
    <w:p w14:paraId="42E84E9F">
      <w:pPr>
        <w:keepNext w:val="0"/>
        <w:keepLines w:val="0"/>
        <w:pageBreakBefore w:val="0"/>
        <w:kinsoku/>
        <w:wordWrap/>
        <w:overflowPunct/>
        <w:topLinePunct/>
        <w:bidi w:val="0"/>
        <w:adjustRightInd w:val="0"/>
        <w:snapToGrid w:val="0"/>
        <w:spacing w:line="440" w:lineRule="exact"/>
        <w:ind w:left="0" w:leftChars="0" w:right="0" w:firstLine="566" w:firstLineChars="235"/>
        <w:rPr>
          <w:rFonts w:hint="eastAsia" w:ascii="宋体" w:hAnsi="宋体" w:eastAsia="宋体" w:cs="宋体"/>
          <w:color w:val="auto"/>
          <w:sz w:val="24"/>
          <w:lang w:val="zh-CN"/>
        </w:rPr>
      </w:pPr>
      <w:r>
        <w:rPr>
          <w:rFonts w:hint="eastAsia" w:ascii="宋体" w:hAnsi="宋体" w:eastAsia="宋体" w:cs="宋体"/>
          <w:b/>
          <w:color w:val="auto"/>
          <w:sz w:val="24"/>
          <w:lang w:val="zh-CN"/>
        </w:rPr>
        <w:t>3.3 投标报价</w:t>
      </w:r>
      <w:r>
        <w:rPr>
          <w:rFonts w:hint="eastAsia" w:ascii="宋体" w:hAnsi="宋体" w:eastAsia="宋体" w:cs="宋体"/>
          <w:color w:val="auto"/>
          <w:sz w:val="24"/>
          <w:lang w:val="zh-CN"/>
        </w:rPr>
        <w:t>（价格构成）：见第二章1.3款。</w:t>
      </w:r>
    </w:p>
    <w:p w14:paraId="10C65497">
      <w:pPr>
        <w:keepNext w:val="0"/>
        <w:keepLines w:val="0"/>
        <w:pageBreakBefore w:val="0"/>
        <w:kinsoku/>
        <w:wordWrap/>
        <w:overflowPunct/>
        <w:topLinePunct/>
        <w:bidi w:val="0"/>
        <w:adjustRightInd w:val="0"/>
        <w:snapToGrid w:val="0"/>
        <w:spacing w:line="440" w:lineRule="exact"/>
        <w:ind w:left="0" w:leftChars="0" w:right="0" w:firstLine="566" w:firstLineChars="235"/>
        <w:rPr>
          <w:rFonts w:hint="eastAsia" w:ascii="宋体" w:hAnsi="宋体" w:eastAsia="宋体" w:cs="宋体"/>
          <w:b/>
          <w:color w:val="auto"/>
          <w:sz w:val="24"/>
          <w:lang w:val="zh-CN"/>
        </w:rPr>
      </w:pPr>
      <w:r>
        <w:rPr>
          <w:rFonts w:hint="eastAsia" w:ascii="宋体" w:hAnsi="宋体" w:eastAsia="宋体" w:cs="宋体"/>
          <w:b/>
          <w:color w:val="auto"/>
          <w:sz w:val="24"/>
          <w:lang w:val="zh-CN"/>
        </w:rPr>
        <w:t>3.4 投标有效期</w:t>
      </w:r>
    </w:p>
    <w:p w14:paraId="3823361B">
      <w:pPr>
        <w:keepNext w:val="0"/>
        <w:keepLines w:val="0"/>
        <w:pageBreakBefore w:val="0"/>
        <w:kinsoku/>
        <w:wordWrap/>
        <w:overflowPunct/>
        <w:topLinePunct/>
        <w:bidi w:val="0"/>
        <w:adjustRightInd w:val="0"/>
        <w:snapToGrid w:val="0"/>
        <w:spacing w:line="440" w:lineRule="exact"/>
        <w:ind w:left="0" w:leftChars="0" w:right="0" w:firstLine="564" w:firstLineChars="235"/>
        <w:rPr>
          <w:rFonts w:hint="eastAsia" w:ascii="宋体" w:hAnsi="宋体" w:eastAsia="宋体" w:cs="宋体"/>
          <w:color w:val="auto"/>
          <w:sz w:val="24"/>
          <w:lang w:val="zh-CN"/>
        </w:rPr>
      </w:pPr>
      <w:r>
        <w:rPr>
          <w:rFonts w:hint="eastAsia" w:ascii="宋体" w:hAnsi="宋体" w:eastAsia="宋体" w:cs="宋体"/>
          <w:color w:val="auto"/>
          <w:sz w:val="24"/>
          <w:lang w:val="zh-CN"/>
        </w:rPr>
        <w:t>3.4.1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14:paraId="73253216">
      <w:pPr>
        <w:keepNext w:val="0"/>
        <w:keepLines w:val="0"/>
        <w:pageBreakBefore w:val="0"/>
        <w:kinsoku/>
        <w:wordWrap/>
        <w:overflowPunct/>
        <w:topLinePunct/>
        <w:bidi w:val="0"/>
        <w:adjustRightInd w:val="0"/>
        <w:snapToGrid w:val="0"/>
        <w:spacing w:line="440" w:lineRule="exact"/>
        <w:ind w:left="0" w:leftChars="0" w:right="0" w:firstLine="564" w:firstLineChars="235"/>
        <w:rPr>
          <w:rFonts w:hint="eastAsia" w:ascii="宋体" w:hAnsi="宋体" w:eastAsia="宋体" w:cs="宋体"/>
          <w:color w:val="auto"/>
          <w:sz w:val="24"/>
          <w:lang w:val="zh-CN"/>
        </w:rPr>
      </w:pPr>
      <w:r>
        <w:rPr>
          <w:rFonts w:hint="eastAsia" w:ascii="宋体" w:hAnsi="宋体" w:eastAsia="宋体" w:cs="宋体"/>
          <w:color w:val="auto"/>
          <w:sz w:val="24"/>
          <w:lang w:val="zh-CN"/>
        </w:rPr>
        <w:t>3.4.2在投标有效期内，投标人撤销或修改其投标文件的，依据招标文件“第三章3.5.5 违背承诺的责任追究措施”，投标人承担相应法律责任及违约责任。</w:t>
      </w:r>
    </w:p>
    <w:p w14:paraId="2DF43D49">
      <w:pPr>
        <w:keepNext w:val="0"/>
        <w:keepLines w:val="0"/>
        <w:pageBreakBefore w:val="0"/>
        <w:kinsoku/>
        <w:wordWrap/>
        <w:overflowPunct/>
        <w:topLinePunct/>
        <w:bidi w:val="0"/>
        <w:adjustRightInd w:val="0"/>
        <w:snapToGrid w:val="0"/>
        <w:spacing w:line="440" w:lineRule="exact"/>
        <w:ind w:left="0" w:leftChars="0" w:right="0" w:firstLine="482" w:firstLineChars="200"/>
        <w:rPr>
          <w:rFonts w:hint="eastAsia" w:ascii="宋体" w:hAnsi="宋体" w:eastAsia="宋体" w:cs="宋体"/>
          <w:b/>
          <w:color w:val="auto"/>
          <w:sz w:val="24"/>
          <w:lang w:val="zh-CN"/>
        </w:rPr>
      </w:pPr>
      <w:r>
        <w:rPr>
          <w:rFonts w:hint="eastAsia" w:ascii="宋体" w:hAnsi="宋体" w:eastAsia="宋体" w:cs="宋体"/>
          <w:b/>
          <w:color w:val="auto"/>
          <w:sz w:val="24"/>
          <w:lang w:val="zh-CN"/>
        </w:rPr>
        <w:t xml:space="preserve">3.5 </w:t>
      </w:r>
      <w:r>
        <w:rPr>
          <w:rFonts w:hint="eastAsia" w:ascii="宋体" w:hAnsi="宋体" w:eastAsia="宋体" w:cs="宋体"/>
          <w:b/>
          <w:color w:val="auto"/>
          <w:sz w:val="24"/>
        </w:rPr>
        <w:t>投标承诺函</w:t>
      </w:r>
      <w:r>
        <w:rPr>
          <w:rFonts w:hint="eastAsia" w:ascii="宋体" w:hAnsi="宋体" w:eastAsia="宋体" w:cs="宋体"/>
          <w:b/>
          <w:color w:val="auto"/>
          <w:sz w:val="24"/>
          <w:lang w:val="zh-CN"/>
        </w:rPr>
        <w:t>（</w:t>
      </w:r>
      <w:r>
        <w:rPr>
          <w:rFonts w:hint="eastAsia" w:ascii="宋体" w:hAnsi="宋体" w:eastAsia="宋体" w:cs="宋体"/>
          <w:b/>
          <w:color w:val="auto"/>
          <w:sz w:val="24"/>
        </w:rPr>
        <w:t>替代</w:t>
      </w:r>
      <w:r>
        <w:rPr>
          <w:rFonts w:hint="eastAsia" w:ascii="宋体" w:hAnsi="宋体" w:eastAsia="宋体" w:cs="宋体"/>
          <w:b/>
          <w:color w:val="auto"/>
          <w:sz w:val="24"/>
          <w:lang w:val="zh-CN"/>
        </w:rPr>
        <w:t>投标保证金）：</w:t>
      </w:r>
    </w:p>
    <w:p w14:paraId="32473726">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3.5.1 </w:t>
      </w:r>
      <w:r>
        <w:rPr>
          <w:rFonts w:hint="eastAsia" w:ascii="宋体" w:hAnsi="宋体" w:eastAsia="宋体" w:cs="宋体"/>
          <w:color w:val="auto"/>
          <w:sz w:val="24"/>
          <w:szCs w:val="24"/>
        </w:rPr>
        <w:t>按照豫财购〔2019〕4号文件规定，本项目以投标承诺函的形式替代投标保证金，</w:t>
      </w:r>
      <w:r>
        <w:rPr>
          <w:rFonts w:hint="eastAsia" w:cs="宋体"/>
          <w:color w:val="auto"/>
          <w:sz w:val="24"/>
          <w:szCs w:val="24"/>
          <w:lang w:eastAsia="zh-CN"/>
        </w:rPr>
        <w:t>投标人</w:t>
      </w:r>
      <w:r>
        <w:rPr>
          <w:rFonts w:hint="eastAsia" w:ascii="宋体" w:hAnsi="宋体" w:eastAsia="宋体" w:cs="宋体"/>
          <w:color w:val="auto"/>
          <w:sz w:val="24"/>
          <w:szCs w:val="24"/>
        </w:rPr>
        <w:t>应按附件格式进行投标承诺，违背承诺的将承担相应的法律责任及违约责任。</w:t>
      </w:r>
    </w:p>
    <w:p w14:paraId="0C155DF4">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3.5.2 未提供投标承诺函的为</w:t>
      </w:r>
      <w:r>
        <w:rPr>
          <w:rFonts w:hint="eastAsia" w:ascii="宋体" w:hAnsi="宋体" w:eastAsia="宋体" w:cs="宋体"/>
          <w:b/>
          <w:bCs/>
          <w:color w:val="auto"/>
          <w:sz w:val="24"/>
          <w:szCs w:val="24"/>
        </w:rPr>
        <w:t>无效投标</w:t>
      </w:r>
      <w:r>
        <w:rPr>
          <w:rFonts w:hint="eastAsia" w:ascii="宋体" w:hAnsi="宋体" w:eastAsia="宋体" w:cs="宋体"/>
          <w:color w:val="auto"/>
          <w:sz w:val="24"/>
          <w:szCs w:val="24"/>
        </w:rPr>
        <w:t>。</w:t>
      </w:r>
    </w:p>
    <w:p w14:paraId="32F61B3D">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3.5.3 投标人的投标承诺函包含投标人承诺的事项及违背承诺的责任追究措施。</w:t>
      </w:r>
    </w:p>
    <w:p w14:paraId="0B81B68E">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3.5.4 承诺事项：</w:t>
      </w:r>
    </w:p>
    <w:p w14:paraId="77800283">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3.5.4.1、投标人应遵循公开、公平、公正和</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"http://www.so.com/s?q=%E8%AF%9A%E5%AE%9E%E4%BF%A1%E7%94%A8&amp;ie=utf-8&amp;src=internal_wenda_recommend_textn" \t "https://wenda.so.com/q/_blank"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诚实信用</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的原则自愿参加项目的投标；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3.5.4.2、投标人在政府采购活动中应提供真实、准确、有效、合法的材料，不</w:t>
      </w:r>
      <w:r>
        <w:rPr>
          <w:rFonts w:hint="eastAsia" w:ascii="宋体" w:hAnsi="宋体" w:eastAsia="宋体" w:cs="宋体"/>
          <w:color w:val="auto"/>
          <w:sz w:val="24"/>
          <w:szCs w:val="24"/>
          <w:lang w:val="zh-CN"/>
        </w:rPr>
        <w:t>提供虚假材料；</w:t>
      </w:r>
    </w:p>
    <w:p w14:paraId="44F976FF">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3.5.4.3、投标人</w:t>
      </w:r>
      <w:r>
        <w:rPr>
          <w:rFonts w:hint="eastAsia" w:ascii="宋体" w:hAnsi="宋体" w:eastAsia="宋体" w:cs="宋体"/>
          <w:color w:val="auto"/>
          <w:sz w:val="24"/>
          <w:szCs w:val="24"/>
          <w:lang w:val="zh-CN"/>
        </w:rPr>
        <w:t>按照招标文件规定，在提交投标文件截止时间后，在招标文件规定的投标有效期限内不</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撤回投标文件；</w:t>
      </w:r>
    </w:p>
    <w:p w14:paraId="181F0017">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3.5.4.4、不应</w:t>
      </w:r>
      <w:r>
        <w:rPr>
          <w:rFonts w:hint="eastAsia" w:ascii="宋体" w:hAnsi="宋体" w:eastAsia="宋体" w:cs="宋体"/>
          <w:color w:val="auto"/>
          <w:sz w:val="24"/>
          <w:szCs w:val="24"/>
          <w:lang w:val="zh-CN"/>
        </w:rPr>
        <w:t>与其他投标人、采购人或采购代理机构串通或恶意串通。</w:t>
      </w:r>
    </w:p>
    <w:p w14:paraId="5D909621">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3.5.4.5、中标后</w:t>
      </w:r>
      <w:r>
        <w:rPr>
          <w:rFonts w:hint="eastAsia" w:ascii="宋体" w:hAnsi="宋体" w:eastAsia="宋体" w:cs="宋体"/>
          <w:color w:val="auto"/>
          <w:sz w:val="24"/>
          <w:szCs w:val="24"/>
          <w:lang w:val="zh-CN"/>
        </w:rPr>
        <w:t>除不可抗拒力或</w:t>
      </w:r>
      <w:r>
        <w:rPr>
          <w:rFonts w:hint="eastAsia" w:ascii="宋体" w:hAnsi="宋体" w:eastAsia="宋体" w:cs="宋体"/>
          <w:color w:val="auto"/>
          <w:sz w:val="24"/>
          <w:szCs w:val="24"/>
        </w:rPr>
        <w:t>招标</w:t>
      </w:r>
      <w:r>
        <w:rPr>
          <w:rFonts w:hint="eastAsia" w:ascii="宋体" w:hAnsi="宋体" w:eastAsia="宋体" w:cs="宋体"/>
          <w:color w:val="auto"/>
          <w:sz w:val="24"/>
          <w:szCs w:val="24"/>
          <w:lang w:val="zh-CN"/>
        </w:rPr>
        <w:t>文件认可的情形外</w:t>
      </w:r>
      <w:r>
        <w:rPr>
          <w:rFonts w:hint="eastAsia" w:ascii="宋体" w:hAnsi="宋体" w:eastAsia="宋体" w:cs="宋体"/>
          <w:color w:val="auto"/>
          <w:sz w:val="24"/>
          <w:szCs w:val="24"/>
        </w:rPr>
        <w:t>，投标人应及时领取中标通知书，</w:t>
      </w:r>
      <w:r>
        <w:rPr>
          <w:rFonts w:hint="eastAsia" w:ascii="宋体" w:hAnsi="宋体" w:eastAsia="宋体" w:cs="宋体"/>
          <w:color w:val="auto"/>
          <w:sz w:val="24"/>
          <w:szCs w:val="24"/>
          <w:lang w:val="zh-CN"/>
        </w:rPr>
        <w:t>在成交通知书规定时间、地点与采购人签订合同；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3.5.4.6、投标人应</w:t>
      </w:r>
      <w:r>
        <w:rPr>
          <w:rFonts w:hint="eastAsia" w:ascii="宋体" w:hAnsi="宋体" w:eastAsia="宋体" w:cs="宋体"/>
          <w:color w:val="auto"/>
          <w:sz w:val="24"/>
          <w:szCs w:val="24"/>
          <w:lang w:val="zh-CN"/>
        </w:rPr>
        <w:t>遵守法律法规及招标文件规定的其他情况；</w:t>
      </w:r>
    </w:p>
    <w:p w14:paraId="69B05B81">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3.5.4.7、投标人应按招标文件规定及时缴纳中标服务费。</w:t>
      </w:r>
    </w:p>
    <w:p w14:paraId="156A7AF7">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3.5.5 违背承诺的责任追究措施</w:t>
      </w:r>
    </w:p>
    <w:p w14:paraId="510AD6D8">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投标人如违背上述承诺事项，应无条件接受以下责任追究：</w:t>
      </w:r>
    </w:p>
    <w:p w14:paraId="4AB55D8A">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3.5.5.1</w:t>
      </w:r>
      <w:r>
        <w:rPr>
          <w:rFonts w:hint="eastAsia" w:ascii="宋体" w:hAnsi="宋体" w:eastAsia="宋体" w:cs="宋体"/>
          <w:color w:val="auto"/>
          <w:sz w:val="24"/>
          <w:szCs w:val="24"/>
          <w:lang w:val="zh-CN"/>
        </w:rPr>
        <w:t>法定责任：</w:t>
      </w:r>
      <w:r>
        <w:rPr>
          <w:rFonts w:hint="eastAsia" w:ascii="宋体" w:hAnsi="宋体" w:eastAsia="宋体" w:cs="宋体"/>
          <w:color w:val="auto"/>
          <w:sz w:val="24"/>
          <w:szCs w:val="24"/>
        </w:rPr>
        <w:t>按照政府采购相关法规，</w:t>
      </w:r>
      <w:r>
        <w:rPr>
          <w:rFonts w:hint="eastAsia" w:ascii="宋体" w:hAnsi="宋体" w:eastAsia="宋体" w:cs="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14FA0AC0">
      <w:pPr>
        <w:keepNext w:val="0"/>
        <w:keepLines w:val="0"/>
        <w:pageBreakBefore w:val="0"/>
        <w:widowControl w:val="0"/>
        <w:tabs>
          <w:tab w:val="left" w:pos="65"/>
        </w:tabs>
        <w:kinsoku/>
        <w:wordWrap/>
        <w:overflowPunct/>
        <w:bidi w:val="0"/>
        <w:spacing w:line="440" w:lineRule="exact"/>
        <w:ind w:left="0" w:leftChars="0"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给采购人及他人造成损失的，应承担相应的赔偿责任。</w:t>
      </w:r>
    </w:p>
    <w:p w14:paraId="751BC751">
      <w:pPr>
        <w:keepNext w:val="0"/>
        <w:keepLines w:val="0"/>
        <w:pageBreakBefore w:val="0"/>
        <w:widowControl w:val="0"/>
        <w:tabs>
          <w:tab w:val="left" w:pos="65"/>
        </w:tabs>
        <w:kinsoku/>
        <w:wordWrap/>
        <w:overflowPunct/>
        <w:bidi w:val="0"/>
        <w:spacing w:line="440" w:lineRule="exact"/>
        <w:ind w:left="0" w:leftChars="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3.5.5.2</w:t>
      </w:r>
      <w:r>
        <w:rPr>
          <w:rFonts w:hint="eastAsia" w:ascii="宋体" w:hAnsi="宋体" w:eastAsia="宋体" w:cs="宋体"/>
          <w:b/>
          <w:bCs/>
          <w:color w:val="auto"/>
          <w:sz w:val="24"/>
          <w:szCs w:val="24"/>
          <w:lang w:val="zh-CN"/>
        </w:rPr>
        <w:t>违约责任：</w:t>
      </w:r>
      <w:r>
        <w:rPr>
          <w:rFonts w:hint="eastAsia" w:ascii="宋体" w:hAnsi="宋体" w:eastAsia="宋体" w:cs="宋体"/>
          <w:b/>
          <w:bCs/>
          <w:color w:val="auto"/>
          <w:sz w:val="24"/>
          <w:szCs w:val="24"/>
        </w:rPr>
        <w:t xml:space="preserve"> </w:t>
      </w:r>
    </w:p>
    <w:p w14:paraId="5713AF9D">
      <w:pPr>
        <w:keepNext w:val="0"/>
        <w:keepLines w:val="0"/>
        <w:pageBreakBefore w:val="0"/>
        <w:widowControl w:val="0"/>
        <w:tabs>
          <w:tab w:val="left" w:pos="65"/>
        </w:tabs>
        <w:kinsoku/>
        <w:wordWrap/>
        <w:overflowPunct/>
        <w:bidi w:val="0"/>
        <w:spacing w:line="440" w:lineRule="exact"/>
        <w:ind w:left="0" w:leftChars="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3.5.5.2.1 已中标的，中标（成交）无效；</w:t>
      </w:r>
    </w:p>
    <w:p w14:paraId="00778C95">
      <w:pPr>
        <w:keepNext w:val="0"/>
        <w:keepLines w:val="0"/>
        <w:pageBreakBefore w:val="0"/>
        <w:widowControl w:val="0"/>
        <w:tabs>
          <w:tab w:val="left" w:pos="65"/>
        </w:tabs>
        <w:kinsoku/>
        <w:wordWrap/>
        <w:overflowPunct/>
        <w:bidi w:val="0"/>
        <w:spacing w:line="440" w:lineRule="exact"/>
        <w:ind w:left="0" w:leftChars="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3.5.5.2.2 支付采购人违约标的预算金额2%的</w:t>
      </w:r>
      <w:r>
        <w:rPr>
          <w:rFonts w:hint="eastAsia" w:ascii="宋体" w:hAnsi="宋体" w:eastAsia="宋体" w:cs="宋体"/>
          <w:b/>
          <w:bCs/>
          <w:color w:val="auto"/>
          <w:sz w:val="24"/>
          <w:szCs w:val="24"/>
          <w:lang w:val="zh-CN"/>
        </w:rPr>
        <w:t>违约金</w:t>
      </w:r>
      <w:r>
        <w:rPr>
          <w:rFonts w:hint="eastAsia" w:ascii="宋体" w:hAnsi="宋体" w:eastAsia="宋体" w:cs="宋体"/>
          <w:b/>
          <w:bCs/>
          <w:color w:val="auto"/>
          <w:sz w:val="24"/>
          <w:szCs w:val="24"/>
        </w:rPr>
        <w:t>；</w:t>
      </w:r>
    </w:p>
    <w:p w14:paraId="4E76799D">
      <w:pPr>
        <w:keepNext w:val="0"/>
        <w:keepLines w:val="0"/>
        <w:pageBreakBefore w:val="0"/>
        <w:widowControl w:val="0"/>
        <w:tabs>
          <w:tab w:val="left" w:pos="65"/>
        </w:tabs>
        <w:kinsoku/>
        <w:wordWrap/>
        <w:overflowPunct/>
        <w:bidi w:val="0"/>
        <w:spacing w:line="440" w:lineRule="exact"/>
        <w:ind w:left="0" w:leftChars="0" w:right="0" w:firstLine="482" w:firstLineChars="200"/>
        <w:textAlignment w:val="auto"/>
        <w:rPr>
          <w:rFonts w:hint="eastAsia" w:ascii="宋体" w:hAnsi="宋体" w:eastAsia="宋体" w:cs="宋体"/>
          <w:color w:val="auto"/>
          <w:sz w:val="24"/>
          <w:lang w:val="zh-CN"/>
        </w:rPr>
      </w:pPr>
      <w:r>
        <w:rPr>
          <w:rFonts w:hint="eastAsia" w:ascii="宋体" w:hAnsi="宋体" w:eastAsia="宋体" w:cs="宋体"/>
          <w:b/>
          <w:bCs/>
          <w:color w:val="auto"/>
          <w:sz w:val="24"/>
          <w:szCs w:val="24"/>
        </w:rPr>
        <w:t>3.5.5.2.3中标后未缴中标服务费的，作为违约及违背</w:t>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"http://www.so.com/s?q=%E8%AF%9A%E5%AE%9E%E4%BF%A1%E7%94%A8&amp;ie=utf-8&amp;src=internal_wenda_recommend_textn" \t "https://wenda.so.com/q/_blank" </w:instrText>
      </w:r>
      <w:r>
        <w:rPr>
          <w:rFonts w:hint="eastAsia" w:ascii="宋体" w:hAnsi="宋体" w:eastAsia="宋体" w:cs="宋体"/>
          <w:b/>
          <w:bCs/>
          <w:color w:val="auto"/>
        </w:rPr>
        <w:fldChar w:fldCharType="separate"/>
      </w:r>
      <w:r>
        <w:rPr>
          <w:rFonts w:hint="eastAsia" w:ascii="宋体" w:hAnsi="宋体" w:eastAsia="宋体" w:cs="宋体"/>
          <w:b/>
          <w:bCs/>
          <w:color w:val="auto"/>
          <w:sz w:val="24"/>
          <w:szCs w:val="24"/>
        </w:rPr>
        <w:t>诚实信用</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原则，在履行承诺前，代理机构将视该单位为失信企业、不予办理其后相关业务。</w:t>
      </w:r>
    </w:p>
    <w:p w14:paraId="12D024F7">
      <w:pPr>
        <w:keepNext w:val="0"/>
        <w:keepLines w:val="0"/>
        <w:pageBreakBefore w:val="0"/>
        <w:kinsoku/>
        <w:wordWrap/>
        <w:overflowPunct/>
        <w:autoSpaceDE w:val="0"/>
        <w:autoSpaceDN w:val="0"/>
        <w:bidi w:val="0"/>
        <w:adjustRightInd w:val="0"/>
        <w:spacing w:line="440" w:lineRule="exact"/>
        <w:ind w:left="0" w:leftChars="0" w:right="0" w:firstLine="539"/>
        <w:rPr>
          <w:rFonts w:hint="eastAsia" w:ascii="宋体" w:hAnsi="宋体" w:eastAsia="宋体" w:cs="宋体"/>
          <w:b/>
          <w:bCs/>
          <w:color w:val="auto"/>
          <w:sz w:val="28"/>
          <w:szCs w:val="28"/>
          <w:lang w:val="zh-CN"/>
        </w:rPr>
      </w:pPr>
      <w:r>
        <w:rPr>
          <w:rFonts w:hint="eastAsia" w:ascii="宋体" w:hAnsi="宋体" w:eastAsia="宋体" w:cs="宋体"/>
          <w:b/>
          <w:color w:val="auto"/>
          <w:sz w:val="24"/>
          <w:lang w:val="zh-CN"/>
        </w:rPr>
        <w:t>3.6 投标资格文件：</w:t>
      </w:r>
      <w:r>
        <w:rPr>
          <w:rFonts w:hint="eastAsia" w:ascii="宋体" w:hAnsi="宋体" w:eastAsia="宋体" w:cs="宋体"/>
          <w:color w:val="auto"/>
          <w:sz w:val="24"/>
          <w:lang w:val="zh-CN"/>
        </w:rPr>
        <w:t>要求见招标公告</w:t>
      </w:r>
    </w:p>
    <w:p w14:paraId="28814910">
      <w:pPr>
        <w:keepNext w:val="0"/>
        <w:keepLines w:val="0"/>
        <w:pageBreakBefore w:val="0"/>
        <w:kinsoku/>
        <w:wordWrap/>
        <w:overflowPunct/>
        <w:topLinePunct/>
        <w:bidi w:val="0"/>
        <w:adjustRightInd w:val="0"/>
        <w:snapToGrid w:val="0"/>
        <w:spacing w:line="440" w:lineRule="exact"/>
        <w:ind w:left="0" w:leftChars="0" w:right="0" w:firstLine="5" w:firstLineChars="2"/>
        <w:rPr>
          <w:rFonts w:hint="eastAsia" w:ascii="宋体" w:hAnsi="宋体" w:eastAsia="宋体" w:cs="宋体"/>
          <w:b/>
          <w:color w:val="auto"/>
          <w:sz w:val="24"/>
          <w:lang w:val="zh-CN"/>
        </w:rPr>
      </w:pPr>
      <w:r>
        <w:rPr>
          <w:rFonts w:hint="eastAsia" w:ascii="宋体" w:hAnsi="宋体" w:eastAsia="宋体" w:cs="宋体"/>
          <w:b/>
          <w:color w:val="auto"/>
          <w:sz w:val="24"/>
          <w:lang w:val="zh-CN"/>
        </w:rPr>
        <w:t>3.7投标文件的编制</w:t>
      </w:r>
    </w:p>
    <w:p w14:paraId="0300B0F0">
      <w:pPr>
        <w:keepNext w:val="0"/>
        <w:keepLines w:val="0"/>
        <w:pageBreakBefore w:val="0"/>
        <w:kinsoku/>
        <w:wordWrap/>
        <w:overflowPunct/>
        <w:topLinePunct/>
        <w:bidi w:val="0"/>
        <w:adjustRightInd w:val="0"/>
        <w:snapToGrid w:val="0"/>
        <w:spacing w:line="440" w:lineRule="exact"/>
        <w:ind w:left="0" w:leftChars="0" w:right="0" w:firstLine="564" w:firstLineChars="235"/>
        <w:rPr>
          <w:rFonts w:hint="eastAsia" w:ascii="宋体" w:hAnsi="宋体" w:eastAsia="宋体" w:cs="宋体"/>
          <w:color w:val="auto"/>
          <w:sz w:val="24"/>
          <w:lang w:val="zh-CN"/>
        </w:rPr>
      </w:pPr>
      <w:r>
        <w:rPr>
          <w:rFonts w:hint="eastAsia" w:ascii="宋体" w:hAnsi="宋体" w:eastAsia="宋体" w:cs="宋体"/>
          <w:color w:val="auto"/>
          <w:sz w:val="24"/>
          <w:lang w:val="zh-CN"/>
        </w:rPr>
        <w:t>3.7.1《</w:t>
      </w:r>
      <w:r>
        <w:rPr>
          <w:rFonts w:hint="eastAsia" w:cs="宋体"/>
          <w:color w:val="auto"/>
          <w:sz w:val="24"/>
          <w:lang w:val="zh-CN"/>
        </w:rPr>
        <w:t>投标文件</w:t>
      </w:r>
      <w:r>
        <w:rPr>
          <w:rFonts w:hint="eastAsia" w:ascii="宋体" w:hAnsi="宋体" w:eastAsia="宋体" w:cs="宋体"/>
          <w:color w:val="auto"/>
          <w:sz w:val="24"/>
          <w:lang w:val="zh-CN"/>
        </w:rPr>
        <w:t>》应按第六章“《</w:t>
      </w:r>
      <w:r>
        <w:rPr>
          <w:rFonts w:hint="eastAsia" w:cs="宋体"/>
          <w:color w:val="auto"/>
          <w:sz w:val="24"/>
          <w:lang w:val="zh-CN"/>
        </w:rPr>
        <w:t>投标文件</w:t>
      </w:r>
      <w:r>
        <w:rPr>
          <w:rFonts w:hint="eastAsia" w:ascii="宋体" w:hAnsi="宋体" w:eastAsia="宋体" w:cs="宋体"/>
          <w:color w:val="auto"/>
          <w:sz w:val="24"/>
          <w:lang w:val="zh-CN"/>
        </w:rPr>
        <w:t>》格式”进行编写，如有必要，可以增加附页，作为《</w:t>
      </w:r>
      <w:r>
        <w:rPr>
          <w:rFonts w:hint="eastAsia" w:cs="宋体"/>
          <w:color w:val="auto"/>
          <w:sz w:val="24"/>
          <w:lang w:val="zh-CN"/>
        </w:rPr>
        <w:t>投标文件</w:t>
      </w:r>
      <w:r>
        <w:rPr>
          <w:rFonts w:hint="eastAsia" w:ascii="宋体" w:hAnsi="宋体" w:eastAsia="宋体" w:cs="宋体"/>
          <w:color w:val="auto"/>
          <w:sz w:val="24"/>
          <w:lang w:val="zh-CN"/>
        </w:rPr>
        <w:t>》的组成部分。《</w:t>
      </w:r>
      <w:r>
        <w:rPr>
          <w:rFonts w:hint="eastAsia" w:ascii="宋体" w:hAnsi="宋体" w:cs="宋体"/>
          <w:color w:val="auto"/>
          <w:sz w:val="24"/>
          <w:lang w:val="zh-CN"/>
        </w:rPr>
        <w:t>招标文件</w:t>
      </w:r>
      <w:r>
        <w:rPr>
          <w:rFonts w:hint="eastAsia" w:ascii="宋体" w:hAnsi="宋体" w:eastAsia="宋体" w:cs="宋体"/>
          <w:color w:val="auto"/>
          <w:sz w:val="24"/>
          <w:lang w:val="zh-CN"/>
        </w:rPr>
        <w:t>》中未列明格式的，由</w:t>
      </w:r>
      <w:r>
        <w:rPr>
          <w:rFonts w:hint="eastAsia" w:cs="宋体"/>
          <w:color w:val="auto"/>
          <w:sz w:val="24"/>
          <w:lang w:val="zh-CN"/>
        </w:rPr>
        <w:t>投标人</w:t>
      </w:r>
      <w:r>
        <w:rPr>
          <w:rFonts w:hint="eastAsia" w:ascii="宋体" w:hAnsi="宋体" w:eastAsia="宋体" w:cs="宋体"/>
          <w:color w:val="auto"/>
          <w:sz w:val="24"/>
          <w:lang w:val="zh-CN"/>
        </w:rPr>
        <w:t>按一般通用格式自行设计编写。</w:t>
      </w:r>
    </w:p>
    <w:p w14:paraId="6FFFB4DC">
      <w:pPr>
        <w:keepNext w:val="0"/>
        <w:keepLines w:val="0"/>
        <w:pageBreakBefore w:val="0"/>
        <w:kinsoku/>
        <w:wordWrap/>
        <w:overflowPunct/>
        <w:topLinePunct/>
        <w:bidi w:val="0"/>
        <w:adjustRightInd w:val="0"/>
        <w:snapToGrid w:val="0"/>
        <w:spacing w:line="440" w:lineRule="exact"/>
        <w:ind w:left="0" w:leftChars="0" w:right="0" w:firstLine="564" w:firstLineChars="235"/>
        <w:rPr>
          <w:rFonts w:hint="eastAsia" w:ascii="宋体" w:hAnsi="宋体" w:eastAsia="宋体" w:cs="宋体"/>
          <w:color w:val="auto"/>
          <w:sz w:val="24"/>
          <w:lang w:val="zh-CN"/>
        </w:rPr>
      </w:pPr>
      <w:r>
        <w:rPr>
          <w:rFonts w:hint="eastAsia" w:cs="宋体"/>
          <w:color w:val="auto"/>
          <w:sz w:val="24"/>
          <w:lang w:val="zh-CN"/>
        </w:rPr>
        <w:t>投标文件</w:t>
      </w:r>
      <w:r>
        <w:rPr>
          <w:rFonts w:hint="eastAsia" w:ascii="宋体" w:hAnsi="宋体" w:eastAsia="宋体" w:cs="宋体"/>
          <w:color w:val="auto"/>
          <w:sz w:val="24"/>
          <w:lang w:val="zh-CN"/>
        </w:rPr>
        <w:t>编制后，</w:t>
      </w:r>
      <w:r>
        <w:rPr>
          <w:rFonts w:hint="eastAsia" w:cs="宋体"/>
          <w:color w:val="auto"/>
          <w:sz w:val="24"/>
          <w:lang w:val="zh-CN"/>
        </w:rPr>
        <w:t>投标人</w:t>
      </w:r>
      <w:r>
        <w:rPr>
          <w:rFonts w:hint="eastAsia" w:ascii="宋体" w:hAnsi="宋体" w:eastAsia="宋体" w:cs="宋体"/>
          <w:color w:val="auto"/>
          <w:sz w:val="24"/>
          <w:lang w:val="zh-CN"/>
        </w:rPr>
        <w:t>应在投标截止时间前上传加密的电子投标文件（*.aytf）到安阳市公共资源交易平台。上传时</w:t>
      </w:r>
      <w:r>
        <w:rPr>
          <w:rFonts w:hint="eastAsia" w:cs="宋体"/>
          <w:color w:val="auto"/>
          <w:sz w:val="24"/>
          <w:lang w:val="zh-CN"/>
        </w:rPr>
        <w:t>投标人</w:t>
      </w:r>
      <w:r>
        <w:rPr>
          <w:rFonts w:hint="eastAsia" w:ascii="宋体" w:hAnsi="宋体" w:eastAsia="宋体" w:cs="宋体"/>
          <w:color w:val="auto"/>
          <w:sz w:val="24"/>
          <w:lang w:val="zh-CN"/>
        </w:rPr>
        <w:t>须使用制作该投标文件的同一CA锁进行上传操作。请</w:t>
      </w:r>
      <w:r>
        <w:rPr>
          <w:rFonts w:hint="eastAsia" w:cs="宋体"/>
          <w:color w:val="auto"/>
          <w:sz w:val="24"/>
          <w:lang w:val="zh-CN"/>
        </w:rPr>
        <w:t>投标人</w:t>
      </w:r>
      <w:r>
        <w:rPr>
          <w:rFonts w:hint="eastAsia" w:ascii="宋体" w:hAnsi="宋体" w:eastAsia="宋体" w:cs="宋体"/>
          <w:color w:val="auto"/>
          <w:sz w:val="24"/>
          <w:lang w:val="zh-CN"/>
        </w:rPr>
        <w:t>在上传时认真检查上传投标文件是否完整、正确。</w:t>
      </w:r>
      <w:r>
        <w:rPr>
          <w:rFonts w:hint="eastAsia" w:cs="宋体"/>
          <w:color w:val="auto"/>
          <w:sz w:val="24"/>
          <w:lang w:val="zh-CN"/>
        </w:rPr>
        <w:t>投标人</w:t>
      </w:r>
      <w:r>
        <w:rPr>
          <w:rFonts w:hint="eastAsia" w:ascii="宋体" w:hAnsi="宋体" w:eastAsia="宋体" w:cs="宋体"/>
          <w:color w:val="auto"/>
          <w:sz w:val="24"/>
          <w:lang w:val="zh-CN"/>
        </w:rPr>
        <w:t>应充分考虑上传文件时的不可预见因素，未在投标截止时间前完成上传的，视为逾期送达，安阳市公共资源交易平台将拒绝接收。</w:t>
      </w:r>
    </w:p>
    <w:p w14:paraId="55652704">
      <w:pPr>
        <w:keepNext w:val="0"/>
        <w:keepLines w:val="0"/>
        <w:pageBreakBefore w:val="0"/>
        <w:kinsoku/>
        <w:wordWrap/>
        <w:overflowPunct/>
        <w:topLinePunct/>
        <w:bidi w:val="0"/>
        <w:adjustRightInd w:val="0"/>
        <w:snapToGrid w:val="0"/>
        <w:spacing w:line="440" w:lineRule="exact"/>
        <w:ind w:left="0" w:leftChars="0" w:right="0" w:firstLine="564" w:firstLineChars="235"/>
        <w:rPr>
          <w:rFonts w:hint="eastAsia" w:ascii="宋体" w:hAnsi="宋体" w:eastAsia="宋体" w:cs="宋体"/>
          <w:color w:val="auto"/>
          <w:sz w:val="24"/>
          <w:lang w:val="zh-CN"/>
        </w:rPr>
      </w:pPr>
      <w:r>
        <w:rPr>
          <w:rFonts w:hint="eastAsia" w:ascii="宋体" w:hAnsi="宋体" w:eastAsia="宋体" w:cs="宋体"/>
          <w:color w:val="auto"/>
          <w:sz w:val="24"/>
          <w:lang w:val="zh-CN"/>
        </w:rPr>
        <w:t>3.7.2“投标文件格式”仅为对投标文件部分内容的格式化规范，并非投标文件所应具备的全部内容。投标人应按本章“3.2投标文件的组成”列示内容编制投标文件。</w:t>
      </w:r>
    </w:p>
    <w:p w14:paraId="7A1C1FD3">
      <w:pPr>
        <w:keepNext w:val="0"/>
        <w:keepLines w:val="0"/>
        <w:pageBreakBefore w:val="0"/>
        <w:kinsoku/>
        <w:wordWrap/>
        <w:overflowPunct/>
        <w:bidi w:val="0"/>
        <w:adjustRightInd w:val="0"/>
        <w:snapToGrid w:val="0"/>
        <w:spacing w:line="440" w:lineRule="exact"/>
        <w:ind w:left="0" w:leftChars="0" w:right="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3.7.3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14:paraId="0866D29B">
      <w:pPr>
        <w:keepNext w:val="0"/>
        <w:keepLines w:val="0"/>
        <w:pageBreakBefore w:val="0"/>
        <w:kinsoku/>
        <w:wordWrap/>
        <w:overflowPunct/>
        <w:bidi w:val="0"/>
        <w:adjustRightInd w:val="0"/>
        <w:snapToGrid w:val="0"/>
        <w:spacing w:line="440" w:lineRule="exact"/>
        <w:ind w:left="0" w:leftChars="0" w:right="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投标文件的所有条款与招标文件要求有任何不同之处，应按《技术偏差表</w:t>
      </w:r>
      <w:r>
        <w:rPr>
          <w:rFonts w:hint="eastAsia" w:cs="宋体"/>
          <w:color w:val="auto"/>
          <w:sz w:val="24"/>
          <w:lang w:val="zh-CN"/>
        </w:rPr>
        <w:t>》《</w:t>
      </w:r>
      <w:r>
        <w:rPr>
          <w:rFonts w:hint="eastAsia" w:ascii="宋体" w:hAnsi="宋体" w:eastAsia="宋体" w:cs="宋体"/>
          <w:color w:val="auto"/>
          <w:sz w:val="24"/>
          <w:lang w:val="zh-CN"/>
        </w:rPr>
        <w:t>其他偏差表》格式逐一填列。投标文件与招标文件所有要求存在偏差而未填列的，评标委员会有权按照实质性判断原则（实质性要求和实质性响应两因素）评定其为</w:t>
      </w:r>
      <w:r>
        <w:rPr>
          <w:rFonts w:hint="eastAsia" w:ascii="宋体" w:hAnsi="宋体" w:eastAsia="宋体" w:cs="宋体"/>
          <w:b/>
          <w:color w:val="auto"/>
          <w:sz w:val="24"/>
          <w:lang w:val="zh-CN"/>
        </w:rPr>
        <w:t>无效投标</w:t>
      </w:r>
      <w:r>
        <w:rPr>
          <w:rFonts w:hint="eastAsia" w:ascii="宋体" w:hAnsi="宋体" w:eastAsia="宋体" w:cs="宋体"/>
          <w:color w:val="auto"/>
          <w:sz w:val="24"/>
          <w:lang w:val="zh-CN"/>
        </w:rPr>
        <w:t>。投标人应认真编制投标文件并自负此项风险。</w:t>
      </w:r>
    </w:p>
    <w:p w14:paraId="1126AF1D">
      <w:pPr>
        <w:keepNext w:val="0"/>
        <w:keepLines w:val="0"/>
        <w:pageBreakBefore w:val="0"/>
        <w:kinsoku/>
        <w:wordWrap/>
        <w:overflowPunct/>
        <w:bidi w:val="0"/>
        <w:adjustRightInd w:val="0"/>
        <w:snapToGrid w:val="0"/>
        <w:spacing w:line="440" w:lineRule="exact"/>
        <w:ind w:left="0" w:leftChars="0" w:right="0" w:firstLine="482" w:firstLineChars="200"/>
        <w:rPr>
          <w:rFonts w:hint="eastAsia" w:ascii="宋体" w:hAnsi="宋体" w:eastAsia="宋体" w:cs="宋体"/>
          <w:b/>
          <w:color w:val="auto"/>
          <w:sz w:val="24"/>
          <w:lang w:val="zh-CN"/>
        </w:rPr>
      </w:pPr>
      <w:r>
        <w:rPr>
          <w:rFonts w:hint="eastAsia" w:ascii="宋体" w:hAnsi="宋体" w:eastAsia="宋体" w:cs="宋体"/>
          <w:b/>
          <w:color w:val="auto"/>
          <w:sz w:val="24"/>
          <w:lang w:val="zh-CN"/>
        </w:rPr>
        <w:t>3.7.4 《</w:t>
      </w:r>
      <w:r>
        <w:rPr>
          <w:rFonts w:hint="eastAsia" w:cs="宋体"/>
          <w:b/>
          <w:color w:val="auto"/>
          <w:sz w:val="24"/>
          <w:lang w:val="zh-CN"/>
        </w:rPr>
        <w:t>投标文件</w:t>
      </w:r>
      <w:r>
        <w:rPr>
          <w:rFonts w:hint="eastAsia" w:ascii="宋体" w:hAnsi="宋体" w:eastAsia="宋体" w:cs="宋体"/>
          <w:b/>
          <w:color w:val="auto"/>
          <w:sz w:val="24"/>
          <w:lang w:val="zh-CN"/>
        </w:rPr>
        <w:t>》应按《</w:t>
      </w:r>
      <w:r>
        <w:rPr>
          <w:rFonts w:hint="eastAsia" w:ascii="宋体" w:hAnsi="宋体" w:cs="宋体"/>
          <w:b/>
          <w:color w:val="auto"/>
          <w:sz w:val="24"/>
          <w:lang w:val="zh-CN"/>
        </w:rPr>
        <w:t>招标文件</w:t>
      </w:r>
      <w:r>
        <w:rPr>
          <w:rFonts w:hint="eastAsia" w:ascii="宋体" w:hAnsi="宋体" w:eastAsia="宋体" w:cs="宋体"/>
          <w:b/>
          <w:color w:val="auto"/>
          <w:sz w:val="24"/>
          <w:lang w:val="zh-CN"/>
        </w:rPr>
        <w:t>》相关要求（含格式上标注的要求）、使用</w:t>
      </w:r>
      <w:r>
        <w:rPr>
          <w:rFonts w:hint="eastAsia" w:cs="宋体"/>
          <w:b/>
          <w:color w:val="auto"/>
          <w:sz w:val="24"/>
          <w:lang w:val="zh-CN"/>
        </w:rPr>
        <w:t>投标人</w:t>
      </w:r>
      <w:r>
        <w:rPr>
          <w:rFonts w:hint="eastAsia" w:ascii="宋体" w:hAnsi="宋体" w:eastAsia="宋体" w:cs="宋体"/>
          <w:b/>
          <w:color w:val="auto"/>
          <w:sz w:val="24"/>
          <w:lang w:val="zh-CN"/>
        </w:rPr>
        <w:t>企业数字证书进行电子签章和</w:t>
      </w:r>
      <w:r>
        <w:rPr>
          <w:rFonts w:hint="eastAsia" w:cs="宋体"/>
          <w:b/>
          <w:color w:val="auto"/>
          <w:sz w:val="24"/>
          <w:lang w:val="zh-CN"/>
        </w:rPr>
        <w:t>投标人</w:t>
      </w:r>
      <w:r>
        <w:rPr>
          <w:rFonts w:hint="eastAsia" w:ascii="宋体" w:hAnsi="宋体" w:eastAsia="宋体" w:cs="宋体"/>
          <w:b/>
          <w:color w:val="auto"/>
          <w:sz w:val="24"/>
          <w:lang w:val="zh-CN"/>
        </w:rPr>
        <w:t>法定代表人数字证书进行电子签名（签章）、并加密，没有使用</w:t>
      </w:r>
      <w:r>
        <w:rPr>
          <w:rFonts w:hint="eastAsia" w:cs="宋体"/>
          <w:b/>
          <w:color w:val="auto"/>
          <w:sz w:val="24"/>
          <w:lang w:val="zh-CN"/>
        </w:rPr>
        <w:t>投标人</w:t>
      </w:r>
      <w:r>
        <w:rPr>
          <w:rFonts w:hint="eastAsia" w:ascii="宋体" w:hAnsi="宋体" w:eastAsia="宋体" w:cs="宋体"/>
          <w:b/>
          <w:color w:val="auto"/>
          <w:sz w:val="24"/>
          <w:lang w:val="zh-CN"/>
        </w:rPr>
        <w:t>企业数字证书和</w:t>
      </w:r>
      <w:r>
        <w:rPr>
          <w:rFonts w:hint="eastAsia" w:cs="宋体"/>
          <w:b/>
          <w:color w:val="auto"/>
          <w:sz w:val="24"/>
          <w:lang w:val="zh-CN"/>
        </w:rPr>
        <w:t>投标人</w:t>
      </w:r>
      <w:r>
        <w:rPr>
          <w:rFonts w:hint="eastAsia" w:ascii="宋体" w:hAnsi="宋体" w:eastAsia="宋体" w:cs="宋体"/>
          <w:b/>
          <w:color w:val="auto"/>
          <w:sz w:val="24"/>
          <w:lang w:val="zh-CN"/>
        </w:rPr>
        <w:t>法定代表人数字证书进行电子签名（签章）并加密的《</w:t>
      </w:r>
      <w:r>
        <w:rPr>
          <w:rFonts w:hint="eastAsia" w:cs="宋体"/>
          <w:b/>
          <w:color w:val="auto"/>
          <w:sz w:val="24"/>
          <w:lang w:val="zh-CN"/>
        </w:rPr>
        <w:t>投标文件</w:t>
      </w:r>
      <w:r>
        <w:rPr>
          <w:rFonts w:hint="eastAsia" w:ascii="宋体" w:hAnsi="宋体" w:eastAsia="宋体" w:cs="宋体"/>
          <w:b/>
          <w:color w:val="auto"/>
          <w:sz w:val="24"/>
          <w:lang w:val="zh-CN"/>
        </w:rPr>
        <w:t>》，属于未按照《</w:t>
      </w:r>
      <w:r>
        <w:rPr>
          <w:rFonts w:hint="eastAsia" w:ascii="宋体" w:hAnsi="宋体" w:cs="宋体"/>
          <w:b/>
          <w:color w:val="auto"/>
          <w:sz w:val="24"/>
          <w:lang w:val="zh-CN"/>
        </w:rPr>
        <w:t>招标文件</w:t>
      </w:r>
      <w:r>
        <w:rPr>
          <w:rFonts w:hint="eastAsia" w:ascii="宋体" w:hAnsi="宋体" w:eastAsia="宋体" w:cs="宋体"/>
          <w:b/>
          <w:color w:val="auto"/>
          <w:sz w:val="24"/>
          <w:lang w:val="zh-CN"/>
        </w:rPr>
        <w:t>》要求进行签署。</w:t>
      </w:r>
    </w:p>
    <w:p w14:paraId="6470B5E1">
      <w:pPr>
        <w:keepNext w:val="0"/>
        <w:keepLines w:val="0"/>
        <w:pageBreakBefore w:val="0"/>
        <w:kinsoku/>
        <w:wordWrap/>
        <w:overflowPunct/>
        <w:bidi w:val="0"/>
        <w:adjustRightInd w:val="0"/>
        <w:snapToGrid w:val="0"/>
        <w:spacing w:line="440" w:lineRule="exact"/>
        <w:ind w:left="0" w:leftChars="0" w:right="0" w:firstLine="482" w:firstLineChars="200"/>
        <w:rPr>
          <w:rFonts w:hint="eastAsia" w:ascii="宋体" w:hAnsi="宋体" w:eastAsia="宋体" w:cs="宋体"/>
          <w:b/>
          <w:color w:val="auto"/>
          <w:sz w:val="24"/>
          <w:lang w:val="zh-CN"/>
        </w:rPr>
      </w:pPr>
      <w:r>
        <w:rPr>
          <w:rFonts w:hint="eastAsia" w:ascii="宋体" w:hAnsi="宋体" w:eastAsia="宋体" w:cs="宋体"/>
          <w:b/>
          <w:color w:val="auto"/>
          <w:sz w:val="24"/>
          <w:lang w:val="zh-CN"/>
        </w:rPr>
        <w:t>根据《中华人民共和国电子签名法》规定，可靠的电子签名与手写签名或者盖章具有同等的法律效力。本次采购活动中，</w:t>
      </w:r>
      <w:r>
        <w:rPr>
          <w:rFonts w:hint="eastAsia" w:cs="宋体"/>
          <w:b/>
          <w:color w:val="auto"/>
          <w:sz w:val="24"/>
          <w:lang w:val="zh-CN"/>
        </w:rPr>
        <w:t>投标人</w:t>
      </w:r>
      <w:r>
        <w:rPr>
          <w:rFonts w:hint="eastAsia" w:ascii="宋体" w:hAnsi="宋体" w:eastAsia="宋体" w:cs="宋体"/>
          <w:b/>
          <w:color w:val="auto"/>
          <w:sz w:val="24"/>
          <w:lang w:val="zh-CN"/>
        </w:rPr>
        <w:t>使用有效的企业数字证书对《</w:t>
      </w:r>
      <w:r>
        <w:rPr>
          <w:rFonts w:hint="eastAsia" w:cs="宋体"/>
          <w:b/>
          <w:color w:val="auto"/>
          <w:sz w:val="24"/>
          <w:lang w:val="zh-CN"/>
        </w:rPr>
        <w:t>投标文件</w:t>
      </w:r>
      <w:r>
        <w:rPr>
          <w:rFonts w:hint="eastAsia" w:ascii="宋体" w:hAnsi="宋体" w:eastAsia="宋体" w:cs="宋体"/>
          <w:b/>
          <w:color w:val="auto"/>
          <w:sz w:val="24"/>
          <w:lang w:val="zh-CN"/>
        </w:rPr>
        <w:t>》进行电子签章与加盖</w:t>
      </w:r>
      <w:r>
        <w:rPr>
          <w:rFonts w:hint="eastAsia" w:cs="宋体"/>
          <w:b/>
          <w:color w:val="auto"/>
          <w:sz w:val="24"/>
          <w:lang w:val="zh-CN"/>
        </w:rPr>
        <w:t>投标人</w:t>
      </w:r>
      <w:r>
        <w:rPr>
          <w:rFonts w:hint="eastAsia" w:ascii="宋体" w:hAnsi="宋体" w:eastAsia="宋体" w:cs="宋体"/>
          <w:b/>
          <w:color w:val="auto"/>
          <w:sz w:val="24"/>
          <w:lang w:val="zh-CN"/>
        </w:rPr>
        <w:t>公章具有同等法律效力；</w:t>
      </w:r>
      <w:r>
        <w:rPr>
          <w:rFonts w:hint="eastAsia" w:cs="宋体"/>
          <w:b/>
          <w:color w:val="auto"/>
          <w:sz w:val="24"/>
          <w:lang w:val="zh-CN"/>
        </w:rPr>
        <w:t>投标人</w:t>
      </w:r>
      <w:r>
        <w:rPr>
          <w:rFonts w:hint="eastAsia" w:ascii="宋体" w:hAnsi="宋体" w:eastAsia="宋体" w:cs="宋体"/>
          <w:b/>
          <w:color w:val="auto"/>
          <w:sz w:val="24"/>
          <w:lang w:val="zh-CN"/>
        </w:rPr>
        <w:t>法定代表人使用有效的个人数字证书对《</w:t>
      </w:r>
      <w:r>
        <w:rPr>
          <w:rFonts w:hint="eastAsia" w:cs="宋体"/>
          <w:b/>
          <w:color w:val="auto"/>
          <w:sz w:val="24"/>
          <w:lang w:val="zh-CN"/>
        </w:rPr>
        <w:t>投标文件</w:t>
      </w:r>
      <w:r>
        <w:rPr>
          <w:rFonts w:hint="eastAsia" w:ascii="宋体" w:hAnsi="宋体" w:eastAsia="宋体" w:cs="宋体"/>
          <w:b/>
          <w:color w:val="auto"/>
          <w:sz w:val="24"/>
          <w:lang w:val="zh-CN"/>
        </w:rPr>
        <w:t>》进行签名（签章）与法人签章具有同等法律效力。</w:t>
      </w:r>
    </w:p>
    <w:p w14:paraId="0C189BBD">
      <w:pPr>
        <w:keepNext w:val="0"/>
        <w:keepLines w:val="0"/>
        <w:pageBreakBefore w:val="0"/>
        <w:kinsoku/>
        <w:wordWrap/>
        <w:overflowPunct/>
        <w:bidi w:val="0"/>
        <w:adjustRightInd w:val="0"/>
        <w:snapToGrid w:val="0"/>
        <w:spacing w:line="440" w:lineRule="exact"/>
        <w:ind w:left="0" w:leftChars="0" w:right="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3.7.5投标人可对本招标文件中所列的所有标段（包）进行分别投标，也可选择其中一个标段（包）或几个标段（包）投标，但不得将招标文件规定的同一标段（包）的内容拆开投标，否则将按</w:t>
      </w:r>
      <w:r>
        <w:rPr>
          <w:rFonts w:hint="eastAsia" w:ascii="宋体" w:hAnsi="宋体" w:eastAsia="宋体" w:cs="宋体"/>
          <w:b/>
          <w:color w:val="auto"/>
          <w:sz w:val="24"/>
          <w:lang w:val="zh-CN"/>
        </w:rPr>
        <w:t>无效投标处理</w:t>
      </w:r>
      <w:r>
        <w:rPr>
          <w:rFonts w:hint="eastAsia" w:ascii="宋体" w:hAnsi="宋体" w:eastAsia="宋体" w:cs="宋体"/>
          <w:color w:val="auto"/>
          <w:sz w:val="24"/>
          <w:lang w:val="zh-CN"/>
        </w:rPr>
        <w:t>。</w:t>
      </w:r>
    </w:p>
    <w:p w14:paraId="3EF71E4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3.7.6 投标文件因字迹或表述不清所引起的后果由投标人自行负责。</w:t>
      </w:r>
    </w:p>
    <w:p w14:paraId="222047E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3.7.7 未按上述要求提供的投标文件将视为</w:t>
      </w:r>
      <w:r>
        <w:rPr>
          <w:rFonts w:hint="eastAsia" w:ascii="宋体" w:hAnsi="宋体" w:eastAsia="宋体" w:cs="宋体"/>
          <w:b/>
          <w:color w:val="auto"/>
          <w:sz w:val="24"/>
          <w:lang w:val="zh-CN"/>
        </w:rPr>
        <w:t>无效投标。</w:t>
      </w:r>
    </w:p>
    <w:p w14:paraId="0EE0E56C">
      <w:pPr>
        <w:pStyle w:val="3"/>
        <w:pageBreakBefore w:val="0"/>
        <w:kinsoku/>
        <w:wordWrap/>
        <w:overflowPunct/>
        <w:bidi w:val="0"/>
        <w:spacing w:line="440" w:lineRule="exact"/>
        <w:ind w:left="0" w:leftChars="0" w:right="0"/>
        <w:rPr>
          <w:rFonts w:hint="eastAsia"/>
          <w:color w:val="auto"/>
          <w:lang w:val="zh-CN"/>
        </w:rPr>
      </w:pPr>
      <w:bookmarkStart w:id="46" w:name="_Toc121491749"/>
      <w:bookmarkStart w:id="47" w:name="_Toc25362"/>
      <w:r>
        <w:rPr>
          <w:rFonts w:hint="eastAsia"/>
          <w:color w:val="auto"/>
          <w:lang w:val="zh-CN"/>
        </w:rPr>
        <w:t>4 投标</w:t>
      </w:r>
      <w:bookmarkEnd w:id="46"/>
      <w:bookmarkEnd w:id="47"/>
    </w:p>
    <w:p w14:paraId="37831A5F">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4.1 投标文件的密封和标记：</w:t>
      </w:r>
    </w:p>
    <w:p w14:paraId="58672C4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bookmarkStart w:id="48" w:name="OLE_LINK2"/>
      <w:r>
        <w:rPr>
          <w:rFonts w:hint="eastAsia" w:ascii="宋体" w:hAnsi="宋体" w:eastAsia="宋体" w:cs="宋体"/>
          <w:b/>
          <w:color w:val="auto"/>
          <w:sz w:val="24"/>
          <w:lang w:val="zh-CN"/>
        </w:rPr>
        <w:t>4.1.1 投标文件应当按网上电子交易系统要求进行加密和标记，在投标文件提交截止时间前，将加密的投标文件上传至招标公告所述网上电子交易系统。</w:t>
      </w:r>
    </w:p>
    <w:p w14:paraId="2E96370C">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bookmarkStart w:id="49" w:name="OLE_LINK1"/>
      <w:r>
        <w:rPr>
          <w:rFonts w:hint="eastAsia" w:ascii="宋体" w:hAnsi="宋体" w:eastAsia="宋体" w:cs="宋体"/>
          <w:b/>
          <w:color w:val="auto"/>
          <w:sz w:val="24"/>
          <w:lang w:val="zh-CN"/>
        </w:rPr>
        <w:t>4.1.2 投标文件没有按照上述要求进行加密和标记的、网上电子交易系统将据系统设定拒收其投标文件，投标人应自负该项风险，采购代理机构对可能产生的误投或提前启封概不负责。</w:t>
      </w:r>
      <w:bookmarkEnd w:id="49"/>
    </w:p>
    <w:bookmarkEnd w:id="48"/>
    <w:p w14:paraId="0B33DA9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4.2 投标文件的递交</w:t>
      </w:r>
    </w:p>
    <w:p w14:paraId="33BB2B8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4.2.1 投标人应在投标截止时间前上传加密的电子《</w:t>
      </w:r>
      <w:r>
        <w:rPr>
          <w:rFonts w:hint="eastAsia" w:cs="宋体"/>
          <w:b/>
          <w:color w:val="auto"/>
          <w:sz w:val="24"/>
          <w:lang w:val="en-US" w:eastAsia="zh-CN"/>
        </w:rPr>
        <w:t>投标</w:t>
      </w:r>
      <w:r>
        <w:rPr>
          <w:rFonts w:hint="eastAsia" w:ascii="宋体" w:hAnsi="宋体" w:eastAsia="宋体" w:cs="宋体"/>
          <w:b/>
          <w:color w:val="auto"/>
          <w:sz w:val="24"/>
          <w:lang w:val="zh-CN"/>
        </w:rPr>
        <w:t>文件》（*.aytf）到安阳市公共资源交易平台。上传时投标人须使用制作该《</w:t>
      </w:r>
      <w:r>
        <w:rPr>
          <w:rFonts w:hint="eastAsia" w:cs="宋体"/>
          <w:b/>
          <w:color w:val="auto"/>
          <w:sz w:val="24"/>
          <w:lang w:val="en-US" w:eastAsia="zh-CN"/>
        </w:rPr>
        <w:t>投标</w:t>
      </w:r>
      <w:r>
        <w:rPr>
          <w:rFonts w:hint="eastAsia" w:ascii="宋体" w:hAnsi="宋体" w:eastAsia="宋体" w:cs="宋体"/>
          <w:b/>
          <w:color w:val="auto"/>
          <w:sz w:val="24"/>
          <w:lang w:val="zh-CN"/>
        </w:rPr>
        <w:t>文件》的同一CA锁进行上传操作。请投标人在上传时认真检查上传《</w:t>
      </w:r>
      <w:r>
        <w:rPr>
          <w:rFonts w:hint="eastAsia" w:cs="宋体"/>
          <w:b/>
          <w:color w:val="auto"/>
          <w:sz w:val="24"/>
          <w:lang w:val="en-US" w:eastAsia="zh-CN"/>
        </w:rPr>
        <w:t>投标</w:t>
      </w:r>
      <w:r>
        <w:rPr>
          <w:rFonts w:hint="eastAsia" w:ascii="宋体" w:hAnsi="宋体" w:eastAsia="宋体" w:cs="宋体"/>
          <w:b/>
          <w:color w:val="auto"/>
          <w:sz w:val="24"/>
          <w:lang w:val="zh-CN"/>
        </w:rPr>
        <w:t>文件》是否完整、正确。投标人应充分考虑上传文件时的不可预见因素，未在投标截止时间前完成上传的，视为逾期送达，安阳市公共资源交易平台将拒绝接收。</w:t>
      </w:r>
    </w:p>
    <w:p w14:paraId="60EAC0C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4.2.2 据网上电子交易系统设定，投标文件提交截止时间后，系统将自动锁定已经提交的电子投标文件，拒绝再次提交。投标人将无法通过网上电子交易系统进行上传，采购代理机构将无法接受并拒绝接受投标截止时间以后提交的投标文件</w:t>
      </w:r>
    </w:p>
    <w:p w14:paraId="7EE8D01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4.2.3 由于不可抗拒的原因，代理机构对投标文件的遗失和损坏不负任何责任。</w:t>
      </w:r>
    </w:p>
    <w:p w14:paraId="31F51B77">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4.2.4 除投标人须知前附表另有规定外，投标人所递交的投标文件不予退还。</w:t>
      </w:r>
    </w:p>
    <w:p w14:paraId="0C377C4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4.2.5 基于网上电子交易的系统要求及特点，只接受基于符合网上电子交易系统要求的投标，其他如</w:t>
      </w:r>
      <w:r>
        <w:rPr>
          <w:rFonts w:hint="eastAsia" w:cs="宋体"/>
          <w:b/>
          <w:color w:val="auto"/>
          <w:sz w:val="24"/>
          <w:lang w:val="zh-CN"/>
        </w:rPr>
        <w:t>纸质</w:t>
      </w:r>
      <w:r>
        <w:rPr>
          <w:rFonts w:hint="eastAsia" w:ascii="宋体" w:hAnsi="宋体" w:eastAsia="宋体" w:cs="宋体"/>
          <w:b/>
          <w:color w:val="auto"/>
          <w:sz w:val="24"/>
          <w:lang w:val="zh-CN"/>
        </w:rPr>
        <w:t>、送达、电报、电话、电子邮件等形式的投标概不接受。</w:t>
      </w:r>
    </w:p>
    <w:p w14:paraId="5BB08AE9">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b/>
          <w:color w:val="auto"/>
          <w:sz w:val="24"/>
          <w:lang w:val="zh-CN"/>
        </w:rPr>
        <w:t>4.3 投标文件的修改与撤回</w:t>
      </w:r>
      <w:r>
        <w:rPr>
          <w:rFonts w:hint="eastAsia" w:ascii="宋体" w:hAnsi="宋体" w:eastAsia="宋体" w:cs="宋体"/>
          <w:color w:val="auto"/>
          <w:sz w:val="24"/>
          <w:lang w:val="zh-CN"/>
        </w:rPr>
        <w:t>：</w:t>
      </w:r>
    </w:p>
    <w:p w14:paraId="6D74857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4.3.1 投标人于提交投标文件截止时间前如对投标文件进行补充、修改，可以上传新的投标文件进行覆盖。投标人如撤回投标文件，应及时书面通知采购代理机构进行办理。</w:t>
      </w:r>
    </w:p>
    <w:p w14:paraId="7E5C845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4.3.2 投标人在投标文件提交截止时间后不得自行修改或撤回其投标，否则依据招标文件“第三章3.5.5 违背承诺的责任追究措施”，投标人承担相应法律责任及违约责任。</w:t>
      </w:r>
    </w:p>
    <w:p w14:paraId="352354B3">
      <w:pPr>
        <w:pStyle w:val="3"/>
        <w:pageBreakBefore w:val="0"/>
        <w:kinsoku/>
        <w:wordWrap/>
        <w:overflowPunct/>
        <w:bidi w:val="0"/>
        <w:spacing w:line="440" w:lineRule="exact"/>
        <w:ind w:left="0" w:leftChars="0" w:right="0"/>
        <w:rPr>
          <w:rFonts w:hint="eastAsia"/>
          <w:color w:val="auto"/>
          <w:lang w:val="zh-CN"/>
        </w:rPr>
      </w:pPr>
      <w:bookmarkStart w:id="50" w:name="_Toc21110"/>
      <w:bookmarkStart w:id="51" w:name="_Toc121491750"/>
      <w:r>
        <w:rPr>
          <w:rFonts w:hint="eastAsia"/>
          <w:color w:val="auto"/>
          <w:lang w:val="zh-CN"/>
        </w:rPr>
        <w:t>5 开标</w:t>
      </w:r>
      <w:bookmarkEnd w:id="50"/>
      <w:bookmarkEnd w:id="51"/>
    </w:p>
    <w:p w14:paraId="69AD8F0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5.1 开标时间和地点</w:t>
      </w:r>
    </w:p>
    <w:p w14:paraId="6D678F4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5.1.1 采购人和采购代理机构按招标公告规定的时间和地点于网上（招标公告所述网上电子交易系统）公开开标。</w:t>
      </w:r>
    </w:p>
    <w:p w14:paraId="43E12289">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5.1.2 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w:t>
      </w:r>
      <w:r>
        <w:rPr>
          <w:rFonts w:hint="eastAsia" w:cs="宋体"/>
          <w:b/>
          <w:color w:val="auto"/>
          <w:sz w:val="24"/>
          <w:lang w:val="en-US" w:eastAsia="zh-CN"/>
        </w:rPr>
        <w:t>投标</w:t>
      </w:r>
      <w:r>
        <w:rPr>
          <w:rFonts w:hint="eastAsia" w:ascii="宋体" w:hAnsi="宋体" w:eastAsia="宋体" w:cs="宋体"/>
          <w:b/>
          <w:color w:val="auto"/>
          <w:sz w:val="24"/>
          <w:lang w:val="zh-CN"/>
        </w:rPr>
        <w:t>文件》解密等。因投标人原因未能解密、解密失败或解密超时的将被拒绝。</w:t>
      </w:r>
    </w:p>
    <w:p w14:paraId="29D3755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5.2 开标程序</w:t>
      </w:r>
    </w:p>
    <w:p w14:paraId="3675338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5.2.1 本项目为网上电子交易方式，投标文件的开启方式为远程解密，为保证开标工作顺利进行，投标人需在开标阶段、在管理员下达解密指令后的指定时限内，完成对本单位的加密投标文件的远程解密。如投标人因自身原因、在指定时限内没有解密成功的，其投标将不能被接受，投标人自行承担相应后果。解密完成后，投标人的报价将在系统界面上显示。</w:t>
      </w:r>
    </w:p>
    <w:p w14:paraId="2D78E7BE">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鉴于网上电子交易方式的特点，管理员将根据系统情况下达解密指令。</w:t>
      </w:r>
    </w:p>
    <w:p w14:paraId="0041DE9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5.2.2 投标人对开标过程和开标记录有疑义，以及认为采购人、采购代理机构相关工作人员有需要回避的情形的，应在系统中提出询问或者回避申请，否则，视为对开标无异议。</w:t>
      </w:r>
    </w:p>
    <w:p w14:paraId="278F7A2C">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5.2.3 在开标或评审过程中，有效投标应在三家以上（包括三家）；有效投标不足三家的应予终止（废标）。</w:t>
      </w:r>
    </w:p>
    <w:p w14:paraId="281BD9F8">
      <w:pPr>
        <w:pStyle w:val="3"/>
        <w:pageBreakBefore w:val="0"/>
        <w:kinsoku/>
        <w:wordWrap/>
        <w:overflowPunct/>
        <w:bidi w:val="0"/>
        <w:spacing w:line="440" w:lineRule="exact"/>
        <w:ind w:left="0" w:leftChars="0" w:right="0"/>
        <w:rPr>
          <w:rFonts w:hint="eastAsia"/>
          <w:color w:val="auto"/>
          <w:lang w:val="zh-CN"/>
        </w:rPr>
      </w:pPr>
      <w:bookmarkStart w:id="52" w:name="_Toc121491751"/>
      <w:bookmarkStart w:id="53" w:name="_Toc28364"/>
      <w:r>
        <w:rPr>
          <w:rFonts w:hint="eastAsia"/>
          <w:color w:val="auto"/>
          <w:lang w:val="zh-CN"/>
        </w:rPr>
        <w:t>6 资格性审查</w:t>
      </w:r>
      <w:bookmarkEnd w:id="52"/>
      <w:bookmarkEnd w:id="53"/>
    </w:p>
    <w:p w14:paraId="42745A6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b/>
          <w:color w:val="auto"/>
          <w:sz w:val="24"/>
          <w:lang w:val="zh-CN"/>
        </w:rPr>
        <w:t>6.1 资格性审查环节</w:t>
      </w:r>
    </w:p>
    <w:p w14:paraId="50F0DA5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公开招标采购项目开标结束后，采购人或者采购代理机构将依法对投标人的资格进行审查。</w:t>
      </w:r>
    </w:p>
    <w:p w14:paraId="276C2E3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6.2 资格性审查内容</w:t>
      </w:r>
    </w:p>
    <w:p w14:paraId="5E4C8A5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（1）按照第一章“招标公告”第2条各项资格要求规定，审查投标人是否符合第一章“招标公告”第2条各项资格要求及所需证件材料、证明材料要求，不符合的、投标无效。</w:t>
      </w:r>
    </w:p>
    <w:p w14:paraId="1043D34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（2）投标</w:t>
      </w:r>
      <w:r>
        <w:rPr>
          <w:rFonts w:hint="eastAsia" w:ascii="宋体" w:hAnsi="宋体" w:eastAsia="宋体" w:cs="宋体"/>
          <w:color w:val="auto"/>
          <w:sz w:val="24"/>
        </w:rPr>
        <w:t>承诺函（替代投标</w:t>
      </w:r>
      <w:r>
        <w:rPr>
          <w:rFonts w:hint="eastAsia" w:ascii="宋体" w:hAnsi="宋体" w:eastAsia="宋体" w:cs="宋体"/>
          <w:color w:val="auto"/>
          <w:sz w:val="24"/>
          <w:lang w:val="zh-CN"/>
        </w:rPr>
        <w:t>保证金</w:t>
      </w:r>
      <w:r>
        <w:rPr>
          <w:rFonts w:hint="eastAsia" w:ascii="宋体" w:hAnsi="宋体" w:eastAsia="宋体" w:cs="宋体"/>
          <w:color w:val="auto"/>
          <w:sz w:val="24"/>
        </w:rPr>
        <w:t>）</w:t>
      </w:r>
      <w:r>
        <w:rPr>
          <w:rFonts w:hint="eastAsia" w:ascii="宋体" w:hAnsi="宋体" w:eastAsia="宋体" w:cs="宋体"/>
          <w:color w:val="auto"/>
          <w:sz w:val="24"/>
          <w:lang w:val="zh-CN"/>
        </w:rPr>
        <w:t>。按照招标文件第三章“投标人须知”3.5款规定审查，不符合的、投标无效。</w:t>
      </w:r>
    </w:p>
    <w:p w14:paraId="26A850D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（3）招标公告、资格预审公告或者投标邀请书中载明接受联合体投标的，按照招标文件第三章“投标人须知”1.4款规定进行审查，不符合的、投标无效。</w:t>
      </w:r>
    </w:p>
    <w:p w14:paraId="31688D57">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6.3 资格性审查结果</w:t>
      </w:r>
    </w:p>
    <w:p w14:paraId="05D045F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6.3.1 对未通过资格审查的投标人，将告知其未通过的原因。</w:t>
      </w:r>
    </w:p>
    <w:p w14:paraId="19EEDDF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6.3.2 资格性审查合格投标人不足3家的，将不再评标。</w:t>
      </w:r>
    </w:p>
    <w:p w14:paraId="2CAB3899">
      <w:pPr>
        <w:pStyle w:val="3"/>
        <w:pageBreakBefore w:val="0"/>
        <w:kinsoku/>
        <w:wordWrap/>
        <w:overflowPunct/>
        <w:bidi w:val="0"/>
        <w:spacing w:line="440" w:lineRule="exact"/>
        <w:ind w:left="0" w:leftChars="0" w:right="0"/>
        <w:rPr>
          <w:rFonts w:hint="eastAsia"/>
          <w:color w:val="auto"/>
          <w:lang w:val="zh-CN"/>
        </w:rPr>
      </w:pPr>
      <w:bookmarkStart w:id="54" w:name="_Toc121491752"/>
      <w:bookmarkStart w:id="55" w:name="_Toc7095"/>
      <w:r>
        <w:rPr>
          <w:rFonts w:hint="eastAsia"/>
          <w:color w:val="auto"/>
          <w:lang w:val="zh-CN"/>
        </w:rPr>
        <w:t>7 评审</w:t>
      </w:r>
      <w:bookmarkEnd w:id="54"/>
      <w:bookmarkEnd w:id="55"/>
    </w:p>
    <w:p w14:paraId="3B1E49A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7.1 评标委员会</w:t>
      </w:r>
    </w:p>
    <w:p w14:paraId="77B66F2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工作由依法组建的评标委员会负责。评标委员会由采购人代表和评审专家共5人及以上单数组成，其中评审专家人数不少于评标委员会成员总数的2/3，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14:paraId="02EEBE1B">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7.2 评审原则</w:t>
      </w:r>
    </w:p>
    <w:p w14:paraId="37C3BDC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7.2.1 坚持公开、公平、公正地对待所有投标人。</w:t>
      </w:r>
    </w:p>
    <w:p w14:paraId="7BB1849A">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7.2.2 按照同一评审程序及方法审查所有投标人的投标文件。</w:t>
      </w:r>
    </w:p>
    <w:p w14:paraId="2D1BA5A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7.2.3 反对不正当竞争</w:t>
      </w:r>
    </w:p>
    <w:p w14:paraId="76388C1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7.3 评审</w:t>
      </w:r>
    </w:p>
    <w:p w14:paraId="721C4A2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7.3.1评审工作在评标委员会内独立进行。评标委员会按照第四章“评标办法”规定的方法、评标因素、标准和程序对投标文件进行评审。第四章“评标办法”没有规定的方法、评标因素和标准，不作为评审依据。</w:t>
      </w:r>
    </w:p>
    <w:p w14:paraId="34E8A51D">
      <w:pPr>
        <w:keepNext w:val="0"/>
        <w:keepLines w:val="0"/>
        <w:pageBreakBefore w:val="0"/>
        <w:kinsoku/>
        <w:wordWrap/>
        <w:overflowPunct/>
        <w:bidi w:val="0"/>
        <w:adjustRightInd w:val="0"/>
        <w:snapToGrid w:val="0"/>
        <w:spacing w:line="440" w:lineRule="exact"/>
        <w:ind w:left="0" w:leftChars="0" w:right="0"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7.3.2 评标中因评标委员会成员缺席、回避或者健康等特殊原因导致评标委员会组成不</w:t>
      </w:r>
      <w:r>
        <w:rPr>
          <w:rFonts w:hint="eastAsia" w:cs="宋体"/>
          <w:color w:val="auto"/>
          <w:sz w:val="24"/>
          <w:lang w:eastAsia="zh-CN"/>
        </w:rPr>
        <w:t>符合</w:t>
      </w:r>
      <w:r>
        <w:rPr>
          <w:rFonts w:hint="eastAsia" w:ascii="宋体" w:hAnsi="宋体" w:eastAsia="宋体" w:cs="宋体"/>
          <w:color w:val="auto"/>
          <w:sz w:val="24"/>
        </w:rPr>
        <w:t>政府采购法规规定的，无法及时补足评标委员会成员的，采购代理机构将停止评标活动，封存所有投标文件和开标、评标资料，依法重新组建评标委员会进行评标。原评标委员会所作出的评标意见无效。</w:t>
      </w:r>
    </w:p>
    <w:p w14:paraId="08392D2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7.3.3 在开标、评审期间，投标人不得向评标委员会成员询问情况，不得进行旨在影响评审结果的活动。</w:t>
      </w:r>
    </w:p>
    <w:p w14:paraId="505122C4">
      <w:pPr>
        <w:pStyle w:val="3"/>
        <w:pageBreakBefore w:val="0"/>
        <w:kinsoku/>
        <w:wordWrap/>
        <w:overflowPunct/>
        <w:bidi w:val="0"/>
        <w:spacing w:line="440" w:lineRule="exact"/>
        <w:ind w:left="0" w:leftChars="0" w:right="0"/>
        <w:rPr>
          <w:rFonts w:hint="eastAsia"/>
          <w:color w:val="auto"/>
          <w:lang w:val="zh-CN"/>
        </w:rPr>
      </w:pPr>
      <w:bookmarkStart w:id="56" w:name="_Toc2788"/>
      <w:bookmarkStart w:id="57" w:name="_Toc121491753"/>
      <w:r>
        <w:rPr>
          <w:rFonts w:hint="eastAsia"/>
          <w:color w:val="auto"/>
          <w:lang w:val="zh-CN"/>
        </w:rPr>
        <w:t>8 授予合同</w:t>
      </w:r>
      <w:bookmarkEnd w:id="56"/>
      <w:bookmarkEnd w:id="57"/>
    </w:p>
    <w:p w14:paraId="670A6464">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8.1 确定中标人方式</w:t>
      </w:r>
    </w:p>
    <w:p w14:paraId="6F00AE8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除投标人须知前附表规定授权评标委员会直接确定中标人外，采购人应当自收到评标报告之</w:t>
      </w:r>
      <w:r>
        <w:rPr>
          <w:rFonts w:hint="eastAsia" w:ascii="宋体" w:hAnsi="宋体" w:eastAsia="宋体" w:cs="宋体"/>
          <w:color w:val="auto"/>
          <w:sz w:val="24"/>
          <w:highlight w:val="none"/>
          <w:lang w:val="zh-CN"/>
        </w:rPr>
        <w:t>日起</w:t>
      </w:r>
      <w:r>
        <w:rPr>
          <w:rFonts w:hint="eastAsia" w:cs="宋体"/>
          <w:color w:val="auto"/>
          <w:sz w:val="24"/>
          <w:highlight w:val="none"/>
          <w:lang w:val="en-US" w:eastAsia="zh-CN"/>
        </w:rPr>
        <w:t>2</w:t>
      </w:r>
      <w:r>
        <w:rPr>
          <w:rFonts w:hint="eastAsia" w:ascii="宋体" w:hAnsi="宋体" w:eastAsia="宋体" w:cs="宋体"/>
          <w:color w:val="auto"/>
          <w:sz w:val="24"/>
          <w:highlight w:val="none"/>
          <w:lang w:val="zh-CN"/>
        </w:rPr>
        <w:t>个工作日内在评</w:t>
      </w:r>
      <w:r>
        <w:rPr>
          <w:rFonts w:hint="eastAsia" w:ascii="宋体" w:hAnsi="宋体" w:eastAsia="宋体" w:cs="宋体"/>
          <w:color w:val="auto"/>
          <w:sz w:val="24"/>
          <w:lang w:val="zh-CN"/>
        </w:rPr>
        <w:t>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14:paraId="02B51EB0">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8.2 中标结果公告</w:t>
      </w:r>
    </w:p>
    <w:p w14:paraId="42808946">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采购代理机构在中标人确定当天，在招标公告所述媒体公告中标结果。同时向中标人发出中标通知书。中标结果公告期限为1个工作日。</w:t>
      </w:r>
    </w:p>
    <w:p w14:paraId="336D5A91">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8.3 质疑、投诉：</w:t>
      </w:r>
    </w:p>
    <w:p w14:paraId="20EB46E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rPr>
        <w:t>8.3.1</w:t>
      </w:r>
      <w:r>
        <w:rPr>
          <w:rFonts w:hint="eastAsia" w:ascii="宋体" w:hAnsi="宋体" w:eastAsia="宋体" w:cs="宋体"/>
          <w:b/>
          <w:color w:val="auto"/>
          <w:sz w:val="24"/>
          <w:lang w:val="zh-CN"/>
        </w:rPr>
        <w:t xml:space="preserve"> </w:t>
      </w:r>
      <w:r>
        <w:rPr>
          <w:rFonts w:hint="eastAsia" w:ascii="宋体" w:hAnsi="宋体" w:eastAsia="宋体" w:cs="宋体"/>
          <w:color w:val="auto"/>
          <w:sz w:val="24"/>
          <w:lang w:val="zh-CN"/>
        </w:rPr>
        <w:t>见投标人须知前附表</w:t>
      </w:r>
    </w:p>
    <w:p w14:paraId="32552FBD">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8.3.2 依据政府采购法规规定，招标公告、资格预审公告的公告期限为5个工作日，中标公告期限为1个工作日，投标人应在法定期限内提出质疑，逾期提交或未按照要求提交的质疑函将不予受理。</w:t>
      </w:r>
    </w:p>
    <w:p w14:paraId="599A33FE">
      <w:pPr>
        <w:keepNext w:val="0"/>
        <w:keepLines w:val="0"/>
        <w:pageBreakBefore w:val="0"/>
        <w:kinsoku/>
        <w:wordWrap/>
        <w:overflowPunct/>
        <w:bidi w:val="0"/>
        <w:adjustRightInd w:val="0"/>
        <w:snapToGrid w:val="0"/>
        <w:spacing w:line="440" w:lineRule="exact"/>
        <w:ind w:left="0" w:leftChars="0" w:right="0" w:firstLine="600" w:firstLineChars="250"/>
        <w:rPr>
          <w:rFonts w:hint="eastAsia" w:ascii="宋体" w:hAnsi="宋体" w:eastAsia="宋体" w:cs="宋体"/>
          <w:color w:val="auto"/>
          <w:sz w:val="24"/>
        </w:rPr>
      </w:pPr>
      <w:r>
        <w:rPr>
          <w:rFonts w:hint="eastAsia" w:ascii="宋体" w:hAnsi="宋体" w:eastAsia="宋体" w:cs="宋体"/>
          <w:color w:val="auto"/>
          <w:sz w:val="24"/>
        </w:rPr>
        <w:t>8.3.3 询问或者质疑事项可能影响中标结果的，采购人应当暂停签订合同，已经签订合同的，应当中止履行合同。</w:t>
      </w:r>
    </w:p>
    <w:p w14:paraId="595C05A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8.4 中标通知：</w:t>
      </w:r>
      <w:r>
        <w:rPr>
          <w:rFonts w:hint="eastAsia" w:ascii="宋体" w:hAnsi="宋体" w:eastAsia="宋体" w:cs="宋体"/>
          <w:color w:val="auto"/>
          <w:sz w:val="24"/>
          <w:lang w:val="zh-CN"/>
        </w:rPr>
        <w:t>见投标人须知前附表</w:t>
      </w:r>
    </w:p>
    <w:p w14:paraId="1B554738">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8.5 履约保证金</w:t>
      </w:r>
    </w:p>
    <w:p w14:paraId="47FFA051">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8.5.1在签订合同时，中标人应按投标人须知前附表规定向采购人提交履约保证金。</w:t>
      </w:r>
    </w:p>
    <w:p w14:paraId="46276733">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8.5.2 中标人不能按本章第8.5.1项要求提交履约保证金的，视为放弃中标资格，</w:t>
      </w:r>
      <w:r>
        <w:rPr>
          <w:rFonts w:hint="eastAsia" w:ascii="宋体" w:hAnsi="宋体" w:eastAsia="宋体" w:cs="宋体"/>
          <w:color w:val="auto"/>
          <w:sz w:val="24"/>
          <w:szCs w:val="24"/>
        </w:rPr>
        <w:t>依据招标文件“第三章</w:t>
      </w:r>
      <w:r>
        <w:rPr>
          <w:rFonts w:hint="eastAsia" w:ascii="宋体" w:hAnsi="宋体" w:eastAsia="宋体" w:cs="宋体"/>
          <w:color w:val="auto"/>
          <w:sz w:val="24"/>
          <w:szCs w:val="22"/>
        </w:rPr>
        <w:t>3.5.5 违背承诺的责任追究措施</w:t>
      </w:r>
      <w:r>
        <w:rPr>
          <w:rFonts w:hint="eastAsia" w:ascii="宋体" w:hAnsi="宋体" w:eastAsia="宋体" w:cs="宋体"/>
          <w:color w:val="auto"/>
          <w:sz w:val="24"/>
          <w:szCs w:val="24"/>
        </w:rPr>
        <w:t>”，投标人</w:t>
      </w:r>
      <w:r>
        <w:rPr>
          <w:rFonts w:hint="eastAsia" w:ascii="宋体" w:hAnsi="宋体" w:eastAsia="宋体" w:cs="宋体"/>
          <w:color w:val="auto"/>
          <w:sz w:val="24"/>
          <w:szCs w:val="22"/>
        </w:rPr>
        <w:t>承担相应法律责任及违约责任。</w:t>
      </w:r>
      <w:r>
        <w:rPr>
          <w:rFonts w:hint="eastAsia" w:ascii="宋体" w:hAnsi="宋体" w:eastAsia="宋体" w:cs="宋体"/>
          <w:color w:val="auto"/>
          <w:sz w:val="24"/>
          <w:lang w:val="zh-CN"/>
        </w:rPr>
        <w:t>给采购人及采购代理机构造成的损失，中标人应当予以赔偿。</w:t>
      </w:r>
    </w:p>
    <w:p w14:paraId="00F6C671">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t>8.6 签订合同</w:t>
      </w:r>
    </w:p>
    <w:p w14:paraId="2322EA7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rPr>
      </w:pPr>
      <w:r>
        <w:rPr>
          <w:rFonts w:hint="eastAsia" w:ascii="宋体" w:hAnsi="宋体" w:eastAsia="宋体" w:cs="宋体"/>
          <w:color w:val="auto"/>
          <w:sz w:val="24"/>
        </w:rPr>
        <w:t>8.6.1 据优化营商环境精神，中标人应在《中标通知书》发出当日，按照招标文件确定的合同文本以及中标标的、技术和服务等事项与采购人签订</w:t>
      </w:r>
      <w:r>
        <w:rPr>
          <w:rFonts w:hint="eastAsia" w:ascii="宋体" w:hAnsi="宋体" w:eastAsia="宋体" w:cs="宋体"/>
          <w:color w:val="auto"/>
          <w:sz w:val="24"/>
          <w:lang w:val="zh-CN"/>
        </w:rPr>
        <w:t>书面</w:t>
      </w:r>
      <w:r>
        <w:rPr>
          <w:rFonts w:hint="eastAsia" w:ascii="宋体" w:hAnsi="宋体" w:eastAsia="宋体" w:cs="宋体"/>
          <w:color w:val="auto"/>
          <w:sz w:val="24"/>
        </w:rPr>
        <w:t>政府采购合同。</w:t>
      </w:r>
    </w:p>
    <w:p w14:paraId="3C8583F5">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rPr>
        <w:t>8.6.2 如中标人不按时签订合同、</w:t>
      </w:r>
      <w:r>
        <w:rPr>
          <w:rFonts w:hint="eastAsia" w:ascii="宋体" w:hAnsi="宋体" w:eastAsia="宋体" w:cs="宋体"/>
          <w:color w:val="auto"/>
          <w:sz w:val="24"/>
          <w:lang w:val="zh-CN"/>
        </w:rPr>
        <w:t>拒签合同的，取消其中标资格，依据招标文件“第三章3.5.5 违背承诺的责任追究措施”，投标人承担相应法律责任及违约责任。</w:t>
      </w:r>
    </w:p>
    <w:p w14:paraId="110687B0">
      <w:pPr>
        <w:keepNext w:val="0"/>
        <w:keepLines w:val="0"/>
        <w:pageBreakBefore w:val="0"/>
        <w:widowControl w:val="0"/>
        <w:kinsoku/>
        <w:wordWrap/>
        <w:overflowPunct/>
        <w:bidi w:val="0"/>
        <w:adjustRightInd w:val="0"/>
        <w:snapToGrid w:val="0"/>
        <w:spacing w:line="440" w:lineRule="exact"/>
        <w:ind w:left="0" w:leftChars="0" w:right="0" w:firstLine="566"/>
        <w:rPr>
          <w:rFonts w:hint="eastAsia" w:ascii="宋体" w:hAnsi="宋体" w:eastAsia="宋体" w:cs="宋体"/>
          <w:color w:val="auto"/>
          <w:sz w:val="24"/>
          <w:szCs w:val="24"/>
        </w:rPr>
      </w:pPr>
      <w:r>
        <w:rPr>
          <w:rFonts w:hint="eastAsia" w:ascii="宋体" w:hAnsi="宋体" w:eastAsia="宋体" w:cs="宋体"/>
          <w:color w:val="auto"/>
          <w:sz w:val="24"/>
          <w:szCs w:val="24"/>
        </w:rPr>
        <w:t>8.6.3合同生效：中标人与采购人签订的合同，双方签字后盖章生效。</w:t>
      </w:r>
      <w:r>
        <w:rPr>
          <w:rFonts w:hint="eastAsia" w:ascii="宋体" w:hAnsi="宋体" w:eastAsia="宋体" w:cs="宋体"/>
          <w:color w:val="auto"/>
          <w:sz w:val="24"/>
        </w:rPr>
        <w:t>采购</w:t>
      </w:r>
      <w:r>
        <w:rPr>
          <w:rFonts w:hint="eastAsia" w:ascii="宋体" w:hAnsi="宋体" w:eastAsia="宋体" w:cs="宋体"/>
          <w:color w:val="auto"/>
          <w:sz w:val="24"/>
          <w:szCs w:val="24"/>
        </w:rPr>
        <w:t>人要在合同签订后1个工作日内</w:t>
      </w:r>
      <w:r>
        <w:rPr>
          <w:rFonts w:hint="eastAsia" w:cs="宋体"/>
          <w:color w:val="auto"/>
          <w:sz w:val="24"/>
          <w:szCs w:val="24"/>
          <w:lang w:eastAsia="zh-CN"/>
        </w:rPr>
        <w:t>登录</w:t>
      </w:r>
      <w:r>
        <w:rPr>
          <w:rFonts w:hint="eastAsia" w:ascii="宋体" w:hAnsi="宋体" w:eastAsia="宋体" w:cs="宋体"/>
          <w:color w:val="auto"/>
          <w:sz w:val="24"/>
          <w:szCs w:val="24"/>
        </w:rPr>
        <w:t>安阳市政府采购网进行备案并公告</w:t>
      </w:r>
      <w:r>
        <w:rPr>
          <w:rFonts w:hint="eastAsia" w:ascii="宋体" w:hAnsi="宋体" w:eastAsia="宋体" w:cs="宋体"/>
          <w:color w:val="auto"/>
          <w:sz w:val="24"/>
        </w:rPr>
        <w:t>。</w:t>
      </w:r>
    </w:p>
    <w:p w14:paraId="133E4CF5">
      <w:pPr>
        <w:keepNext w:val="0"/>
        <w:keepLines w:val="0"/>
        <w:pageBreakBefore w:val="0"/>
        <w:widowControl w:val="0"/>
        <w:kinsoku/>
        <w:wordWrap/>
        <w:overflowPunct/>
        <w:bidi w:val="0"/>
        <w:adjustRightInd w:val="0"/>
        <w:snapToGrid w:val="0"/>
        <w:spacing w:line="440" w:lineRule="exact"/>
        <w:ind w:left="0" w:leftChars="0" w:right="0" w:firstLine="566"/>
        <w:rPr>
          <w:rFonts w:hint="eastAsia" w:ascii="宋体" w:hAnsi="宋体" w:eastAsia="宋体" w:cs="宋体"/>
          <w:color w:val="auto"/>
          <w:sz w:val="24"/>
          <w:szCs w:val="24"/>
        </w:rPr>
      </w:pPr>
      <w:r>
        <w:rPr>
          <w:rFonts w:hint="eastAsia" w:ascii="宋体" w:hAnsi="宋体" w:eastAsia="宋体" w:cs="宋体"/>
          <w:color w:val="auto"/>
          <w:sz w:val="24"/>
          <w:szCs w:val="24"/>
        </w:rPr>
        <w:t>8.6.4 《中标通知书》、招标文件</w:t>
      </w:r>
      <w:r>
        <w:rPr>
          <w:rFonts w:hint="eastAsia" w:ascii="宋体" w:hAnsi="宋体" w:eastAsia="宋体" w:cs="宋体"/>
          <w:color w:val="auto"/>
          <w:spacing w:val="20"/>
          <w:sz w:val="24"/>
          <w:szCs w:val="24"/>
        </w:rPr>
        <w:t>及其修改补充澄清</w:t>
      </w:r>
      <w:r>
        <w:rPr>
          <w:rFonts w:hint="eastAsia" w:ascii="宋体" w:hAnsi="宋体" w:eastAsia="宋体" w:cs="宋体"/>
          <w:color w:val="auto"/>
          <w:sz w:val="24"/>
          <w:szCs w:val="24"/>
        </w:rPr>
        <w:t>、中标人的投标文件及</w:t>
      </w:r>
      <w:r>
        <w:rPr>
          <w:rFonts w:hint="eastAsia" w:ascii="宋体" w:hAnsi="宋体" w:eastAsia="宋体" w:cs="宋体"/>
          <w:color w:val="auto"/>
          <w:spacing w:val="20"/>
          <w:sz w:val="24"/>
          <w:szCs w:val="24"/>
        </w:rPr>
        <w:t>及其修改补充澄清</w:t>
      </w:r>
      <w:r>
        <w:rPr>
          <w:rFonts w:hint="eastAsia" w:ascii="宋体" w:hAnsi="宋体" w:eastAsia="宋体" w:cs="宋体"/>
          <w:color w:val="auto"/>
          <w:sz w:val="24"/>
          <w:szCs w:val="24"/>
        </w:rPr>
        <w:t>等，均为签订合同的依据。所定合同不得对招标文件和中标人的投标文件作实质性修改，采购人和中标人不得私下订立背离合同实质性内容的协议。</w:t>
      </w:r>
    </w:p>
    <w:p w14:paraId="1F1FCE41">
      <w:pPr>
        <w:keepNext w:val="0"/>
        <w:keepLines w:val="0"/>
        <w:pageBreakBefore w:val="0"/>
        <w:widowControl w:val="0"/>
        <w:kinsoku/>
        <w:wordWrap/>
        <w:overflowPunct/>
        <w:bidi w:val="0"/>
        <w:adjustRightInd w:val="0"/>
        <w:snapToGrid w:val="0"/>
        <w:spacing w:line="440" w:lineRule="exact"/>
        <w:ind w:left="0" w:leftChars="0" w:right="0" w:firstLine="549"/>
        <w:rPr>
          <w:rFonts w:hint="eastAsia" w:ascii="宋体" w:hAnsi="宋体" w:eastAsia="宋体" w:cs="宋体"/>
          <w:color w:val="auto"/>
          <w:sz w:val="24"/>
          <w:szCs w:val="24"/>
        </w:rPr>
      </w:pPr>
      <w:r>
        <w:rPr>
          <w:rFonts w:hint="eastAsia" w:ascii="宋体" w:hAnsi="宋体" w:eastAsia="宋体" w:cs="宋体"/>
          <w:color w:val="auto"/>
          <w:sz w:val="24"/>
          <w:szCs w:val="24"/>
        </w:rPr>
        <w:t>8.6.5 评审会后，中标人、采购人之间擅自私下谈判、变更中标标的、价格及招投标文件实质性内容的，有关部门将按《中华人民共和国政府采购法》及相关法规的规定处理。</w:t>
      </w:r>
    </w:p>
    <w:p w14:paraId="0DD2E3C5">
      <w:pPr>
        <w:keepNext w:val="0"/>
        <w:keepLines w:val="0"/>
        <w:pageBreakBefore w:val="0"/>
        <w:widowControl w:val="0"/>
        <w:kinsoku/>
        <w:wordWrap/>
        <w:overflowPunct/>
        <w:bidi w:val="0"/>
        <w:adjustRightInd w:val="0"/>
        <w:snapToGrid w:val="0"/>
        <w:spacing w:line="440" w:lineRule="exact"/>
        <w:ind w:left="0" w:leftChars="0" w:right="0" w:firstLine="549"/>
        <w:rPr>
          <w:rFonts w:hint="eastAsia" w:ascii="宋体" w:hAnsi="宋体" w:eastAsia="宋体" w:cs="宋体"/>
          <w:color w:val="auto"/>
          <w:sz w:val="24"/>
          <w:szCs w:val="24"/>
        </w:rPr>
      </w:pPr>
      <w:r>
        <w:rPr>
          <w:rFonts w:hint="eastAsia" w:ascii="宋体" w:hAnsi="宋体" w:eastAsia="宋体" w:cs="宋体"/>
          <w:color w:val="auto"/>
          <w:sz w:val="24"/>
          <w:szCs w:val="24"/>
        </w:rPr>
        <w:t>8.6.6 采购人与中标人签订《政府采购合同》后，合同履行中产生的纠纷、争议，由采购人与中标人按合同条款及《中华人民共和国民法典》处理。</w:t>
      </w:r>
    </w:p>
    <w:p w14:paraId="47CEF37A">
      <w:pPr>
        <w:keepNext w:val="0"/>
        <w:keepLines w:val="0"/>
        <w:pageBreakBefore w:val="0"/>
        <w:widowControl w:val="0"/>
        <w:kinsoku/>
        <w:wordWrap/>
        <w:overflowPunct/>
        <w:bidi w:val="0"/>
        <w:adjustRightInd w:val="0"/>
        <w:snapToGrid w:val="0"/>
        <w:spacing w:line="440" w:lineRule="exact"/>
        <w:ind w:left="0" w:leftChars="0" w:right="0" w:firstLine="556"/>
        <w:rPr>
          <w:rFonts w:hint="eastAsia" w:ascii="宋体" w:hAnsi="宋体" w:eastAsia="宋体" w:cs="宋体"/>
          <w:b/>
          <w:color w:val="auto"/>
          <w:sz w:val="24"/>
          <w:lang w:val="zh-CN"/>
        </w:rPr>
      </w:pPr>
      <w:r>
        <w:rPr>
          <w:rFonts w:hint="eastAsia" w:ascii="宋体" w:hAnsi="宋体" w:eastAsia="宋体" w:cs="宋体"/>
          <w:b/>
          <w:color w:val="auto"/>
          <w:sz w:val="24"/>
          <w:lang w:val="zh-CN"/>
        </w:rPr>
        <w:t>8.7 合同补充变更</w:t>
      </w:r>
    </w:p>
    <w:p w14:paraId="6E092110">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color w:val="auto"/>
          <w:sz w:val="24"/>
          <w:szCs w:val="24"/>
        </w:rPr>
        <w:t>8.7.1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133E248E">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b/>
          <w:color w:val="auto"/>
          <w:sz w:val="24"/>
          <w:szCs w:val="24"/>
        </w:rPr>
        <w:t>8.7.2</w:t>
      </w:r>
      <w:r>
        <w:rPr>
          <w:rFonts w:hint="eastAsia" w:ascii="宋体" w:hAnsi="宋体" w:eastAsia="宋体" w:cs="宋体"/>
          <w:color w:val="auto"/>
          <w:sz w:val="24"/>
          <w:szCs w:val="24"/>
        </w:rPr>
        <w:t>采购人需追加或减少的货物、工程和服务的金额达到50万元以上（含50万元）</w:t>
      </w:r>
      <w:r>
        <w:rPr>
          <w:rFonts w:hint="eastAsia" w:cs="宋体"/>
          <w:color w:val="auto"/>
          <w:sz w:val="24"/>
          <w:szCs w:val="24"/>
          <w:lang w:eastAsia="zh-CN"/>
        </w:rPr>
        <w:t>且</w:t>
      </w:r>
      <w:r>
        <w:rPr>
          <w:rFonts w:hint="eastAsia" w:ascii="宋体" w:hAnsi="宋体" w:eastAsia="宋体" w:cs="宋体"/>
          <w:color w:val="auto"/>
          <w:sz w:val="24"/>
          <w:szCs w:val="24"/>
        </w:rPr>
        <w:t>超过中标价3%的，采购人应当自确定变更之日起5个工作日内将变更情况及事由报送同级监察机关。</w:t>
      </w:r>
    </w:p>
    <w:p w14:paraId="0E14E775">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color w:val="auto"/>
          <w:sz w:val="24"/>
          <w:szCs w:val="24"/>
        </w:rPr>
        <w:t>招标项目在中标后经有关行政机关批准变更的，批准的行政机关应当自批准之日起3个工作日内将批准文件抄送同级监察机关备案。</w:t>
      </w:r>
    </w:p>
    <w:p w14:paraId="1428FAE4">
      <w:pPr>
        <w:pStyle w:val="3"/>
        <w:pageBreakBefore w:val="0"/>
        <w:kinsoku/>
        <w:wordWrap/>
        <w:overflowPunct/>
        <w:bidi w:val="0"/>
        <w:spacing w:line="440" w:lineRule="exact"/>
        <w:ind w:left="0" w:leftChars="0" w:right="0"/>
        <w:rPr>
          <w:rFonts w:hint="eastAsia"/>
          <w:color w:val="auto"/>
          <w:lang w:val="zh-CN"/>
        </w:rPr>
      </w:pPr>
      <w:bookmarkStart w:id="58" w:name="_Toc10371"/>
      <w:bookmarkStart w:id="59" w:name="_Toc121491754"/>
      <w:r>
        <w:rPr>
          <w:rFonts w:hint="eastAsia"/>
          <w:color w:val="auto"/>
          <w:lang w:val="zh-CN"/>
        </w:rPr>
        <w:t>9 验收</w:t>
      </w:r>
      <w:bookmarkEnd w:id="58"/>
      <w:bookmarkEnd w:id="59"/>
    </w:p>
    <w:p w14:paraId="1FCF2D5D">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rPr>
        <w:t>9</w:t>
      </w:r>
      <w:r>
        <w:rPr>
          <w:rFonts w:hint="eastAsia" w:ascii="宋体" w:hAnsi="宋体" w:eastAsia="宋体" w:cs="宋体"/>
          <w:color w:val="auto"/>
          <w:sz w:val="24"/>
          <w:lang w:val="zh-CN"/>
        </w:rPr>
        <w:t>.1验收时间：所供货物安装调试结束、具备正常使用及验收条件时，由采购</w:t>
      </w:r>
      <w:r>
        <w:rPr>
          <w:rFonts w:hint="eastAsia" w:ascii="宋体" w:hAnsi="宋体" w:eastAsia="宋体" w:cs="宋体"/>
          <w:color w:val="auto"/>
          <w:sz w:val="24"/>
        </w:rPr>
        <w:t>人</w:t>
      </w:r>
      <w:r>
        <w:rPr>
          <w:rFonts w:hint="eastAsia" w:ascii="宋体" w:hAnsi="宋体" w:eastAsia="宋体" w:cs="宋体"/>
          <w:color w:val="auto"/>
          <w:sz w:val="24"/>
          <w:lang w:val="zh-CN"/>
        </w:rPr>
        <w:t>成立验收工作组负责验收。</w:t>
      </w:r>
      <w:r>
        <w:rPr>
          <w:rFonts w:hint="eastAsia" w:ascii="宋体" w:hAnsi="宋体" w:eastAsia="宋体" w:cs="宋体"/>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3BE67682">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rPr>
        <w:t>9</w:t>
      </w:r>
      <w:r>
        <w:rPr>
          <w:rFonts w:hint="eastAsia" w:ascii="宋体" w:hAnsi="宋体" w:eastAsia="宋体" w:cs="宋体"/>
          <w:color w:val="auto"/>
          <w:sz w:val="24"/>
          <w:lang w:val="zh-CN"/>
        </w:rPr>
        <w:t>.2验收工作组：合同履约验收工作应成立验收工作组专门负责。</w:t>
      </w:r>
    </w:p>
    <w:p w14:paraId="65FD9B62">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lang w:val="zh-CN"/>
        </w:rPr>
        <w:t>直接参与该项目政府采购活动的主要负责人不得作为验收工作的主要负责人。</w:t>
      </w:r>
      <w:r>
        <w:rPr>
          <w:rFonts w:hint="eastAsia" w:ascii="宋体" w:hAnsi="宋体" w:eastAsia="宋体" w:cs="宋体"/>
          <w:color w:val="auto"/>
          <w:sz w:val="24"/>
        </w:rPr>
        <w:t>对于采购人和使用人分离的采购项目，应当邀请实际使用人参与验收；政府向社会公众提供的公共服务项目，验收时应当邀请服务对象参与并出具意见，验收结果应当向社会公告。</w:t>
      </w:r>
    </w:p>
    <w:p w14:paraId="328717B1">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rPr>
      </w:pPr>
      <w:r>
        <w:rPr>
          <w:rFonts w:hint="eastAsia" w:ascii="宋体" w:hAnsi="宋体" w:eastAsia="宋体" w:cs="宋体"/>
          <w:color w:val="auto"/>
          <w:sz w:val="24"/>
        </w:rPr>
        <w:t>9.2.1</w:t>
      </w:r>
      <w:r>
        <w:rPr>
          <w:rFonts w:hint="eastAsia" w:ascii="宋体" w:hAnsi="宋体" w:eastAsia="宋体" w:cs="宋体"/>
          <w:color w:val="auto"/>
          <w:sz w:val="24"/>
          <w:lang w:val="zh-CN"/>
        </w:rPr>
        <w:t>政府采购合同金额</w:t>
      </w:r>
      <w:r>
        <w:rPr>
          <w:rFonts w:hint="eastAsia" w:ascii="宋体" w:hAnsi="宋体" w:eastAsia="宋体" w:cs="宋体"/>
          <w:color w:val="auto"/>
          <w:sz w:val="24"/>
        </w:rPr>
        <w:t>在</w:t>
      </w:r>
      <w:r>
        <w:rPr>
          <w:rFonts w:hint="eastAsia" w:ascii="宋体" w:hAnsi="宋体" w:eastAsia="宋体" w:cs="宋体"/>
          <w:color w:val="auto"/>
          <w:sz w:val="24"/>
          <w:lang w:val="zh-CN"/>
        </w:rPr>
        <w:t>10万元以下（</w:t>
      </w:r>
      <w:r>
        <w:rPr>
          <w:rFonts w:hint="eastAsia" w:ascii="宋体" w:hAnsi="宋体" w:eastAsia="宋体" w:cs="宋体"/>
          <w:color w:val="auto"/>
          <w:sz w:val="24"/>
        </w:rPr>
        <w:t>含10万元</w:t>
      </w:r>
      <w:r>
        <w:rPr>
          <w:rFonts w:hint="eastAsia" w:ascii="宋体" w:hAnsi="宋体" w:eastAsia="宋体" w:cs="宋体"/>
          <w:color w:val="auto"/>
          <w:sz w:val="24"/>
          <w:lang w:val="zh-CN"/>
        </w:rPr>
        <w:t>）的项目，原则上可以不邀请评审专家参加，组织方成立验收小组自行验收。</w:t>
      </w:r>
      <w:r>
        <w:rPr>
          <w:rFonts w:hint="eastAsia" w:ascii="宋体" w:hAnsi="宋体" w:eastAsia="宋体" w:cs="宋体"/>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4A3E7C17">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rPr>
      </w:pPr>
      <w:r>
        <w:rPr>
          <w:rFonts w:hint="eastAsia" w:ascii="宋体" w:hAnsi="宋体" w:eastAsia="宋体" w:cs="宋体"/>
          <w:color w:val="auto"/>
          <w:sz w:val="24"/>
        </w:rPr>
        <w:t>9.2.2</w:t>
      </w:r>
      <w:r>
        <w:rPr>
          <w:rFonts w:hint="eastAsia" w:ascii="宋体" w:hAnsi="宋体" w:eastAsia="宋体" w:cs="宋体"/>
          <w:color w:val="auto"/>
          <w:sz w:val="24"/>
          <w:lang w:val="zh-CN"/>
        </w:rPr>
        <w:t>政府采购合同金额50万元以下的（含50万元）的项目，验收工作组应不少于三人；政府采购合同金额50万元以上的项目，验收工作组应由</w:t>
      </w:r>
      <w:r>
        <w:rPr>
          <w:rFonts w:hint="eastAsia" w:ascii="宋体" w:hAnsi="宋体" w:eastAsia="宋体" w:cs="宋体"/>
          <w:color w:val="auto"/>
          <w:sz w:val="24"/>
        </w:rPr>
        <w:t>采购人</w:t>
      </w:r>
      <w:r>
        <w:rPr>
          <w:rFonts w:hint="eastAsia" w:ascii="宋体" w:hAnsi="宋体" w:eastAsia="宋体" w:cs="宋体"/>
          <w:color w:val="auto"/>
          <w:sz w:val="24"/>
          <w:lang w:val="zh-CN"/>
        </w:rPr>
        <w:t>领导牵头，财务、审计、监察、资产管理、技术等部门人员参与，成员不少于五人。验收工作</w:t>
      </w:r>
      <w:r>
        <w:rPr>
          <w:rFonts w:hint="eastAsia" w:ascii="宋体" w:hAnsi="宋体" w:eastAsia="宋体" w:cs="宋体"/>
          <w:color w:val="auto"/>
          <w:sz w:val="24"/>
        </w:rPr>
        <w:t>原则上</w:t>
      </w:r>
      <w:r>
        <w:rPr>
          <w:rFonts w:hint="eastAsia" w:ascii="宋体" w:hAnsi="宋体" w:eastAsia="宋体" w:cs="宋体"/>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eastAsia="宋体" w:cs="宋体"/>
          <w:color w:val="auto"/>
          <w:sz w:val="24"/>
        </w:rPr>
        <w:t>采购人</w:t>
      </w:r>
      <w:r>
        <w:rPr>
          <w:rFonts w:hint="eastAsia" w:ascii="宋体" w:hAnsi="宋体" w:eastAsia="宋体" w:cs="宋体"/>
          <w:color w:val="auto"/>
          <w:sz w:val="24"/>
          <w:lang w:val="zh-CN"/>
        </w:rPr>
        <w:t>必须委托国家认</w:t>
      </w:r>
      <w:r>
        <w:rPr>
          <w:rFonts w:hint="eastAsia" w:cs="宋体"/>
          <w:color w:val="auto"/>
          <w:sz w:val="24"/>
          <w:lang w:val="zh-CN"/>
        </w:rPr>
        <w:t>可的</w:t>
      </w:r>
      <w:r>
        <w:rPr>
          <w:rFonts w:hint="eastAsia" w:ascii="宋体" w:hAnsi="宋体" w:eastAsia="宋体" w:cs="宋体"/>
          <w:color w:val="auto"/>
          <w:sz w:val="24"/>
          <w:lang w:val="zh-CN"/>
        </w:rPr>
        <w:t>专业检测机构进行验收。</w:t>
      </w:r>
    </w:p>
    <w:p w14:paraId="1DA7C967">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rPr>
      </w:pPr>
      <w:r>
        <w:rPr>
          <w:rFonts w:hint="eastAsia" w:ascii="宋体" w:hAnsi="宋体" w:eastAsia="宋体" w:cs="宋体"/>
          <w:color w:val="auto"/>
          <w:sz w:val="24"/>
        </w:rPr>
        <w:t>9.3验收时，验收小组按照采购合同的约定对每一项技术、服务、安全标准的履约情况进行确认。</w:t>
      </w:r>
      <w:r>
        <w:rPr>
          <w:rFonts w:hint="eastAsia" w:ascii="宋体" w:hAnsi="宋体" w:eastAsia="宋体" w:cs="宋体"/>
          <w:color w:val="auto"/>
          <w:sz w:val="24"/>
          <w:lang w:val="zh-CN"/>
        </w:rPr>
        <w:t>验收时需要进行破坏性试验的，</w:t>
      </w:r>
      <w:r>
        <w:rPr>
          <w:rFonts w:hint="eastAsia" w:cs="宋体"/>
          <w:color w:val="auto"/>
          <w:sz w:val="24"/>
          <w:lang w:val="zh-CN"/>
        </w:rPr>
        <w:t>投标人</w:t>
      </w:r>
      <w:r>
        <w:rPr>
          <w:rFonts w:hint="eastAsia" w:ascii="宋体" w:hAnsi="宋体" w:eastAsia="宋体" w:cs="宋体"/>
          <w:color w:val="auto"/>
          <w:sz w:val="24"/>
          <w:lang w:val="zh-CN"/>
        </w:rPr>
        <w:t>应进行充分的配合并提供备品备件。</w:t>
      </w:r>
    </w:p>
    <w:p w14:paraId="7F300ACD">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zh-CN"/>
        </w:rPr>
        <w:t>.</w:t>
      </w:r>
      <w:r>
        <w:rPr>
          <w:rFonts w:hint="eastAsia" w:ascii="宋体" w:hAnsi="宋体" w:eastAsia="宋体" w:cs="宋体"/>
          <w:color w:val="auto"/>
          <w:sz w:val="24"/>
        </w:rPr>
        <w:t>4</w:t>
      </w:r>
      <w:r>
        <w:rPr>
          <w:rFonts w:hint="eastAsia" w:ascii="宋体" w:hAnsi="宋体" w:eastAsia="宋体" w:cs="宋体"/>
          <w:color w:val="auto"/>
          <w:sz w:val="24"/>
          <w:lang w:val="zh-CN"/>
        </w:rPr>
        <w:t xml:space="preserve"> 验收报告：验收后，由采购</w:t>
      </w:r>
      <w:r>
        <w:rPr>
          <w:rFonts w:hint="eastAsia" w:ascii="宋体" w:hAnsi="宋体" w:eastAsia="宋体" w:cs="宋体"/>
          <w:color w:val="auto"/>
          <w:sz w:val="24"/>
        </w:rPr>
        <w:t>人</w:t>
      </w:r>
      <w:r>
        <w:rPr>
          <w:rFonts w:hint="eastAsia" w:ascii="宋体" w:hAnsi="宋体" w:eastAsia="宋体" w:cs="宋体"/>
          <w:color w:val="auto"/>
          <w:sz w:val="24"/>
          <w:lang w:val="zh-CN"/>
        </w:rPr>
        <w:t>及专家等出具验收报告（</w:t>
      </w:r>
      <w:r>
        <w:rPr>
          <w:rFonts w:hint="eastAsia" w:ascii="宋体" w:hAnsi="宋体" w:eastAsia="宋体" w:cs="宋体"/>
          <w:color w:val="auto"/>
          <w:sz w:val="24"/>
        </w:rPr>
        <w:t>自行验收的，由采购人出具</w:t>
      </w:r>
      <w:r>
        <w:rPr>
          <w:rFonts w:hint="eastAsia" w:ascii="宋体" w:hAnsi="宋体" w:eastAsia="宋体" w:cs="宋体"/>
          <w:color w:val="auto"/>
          <w:sz w:val="24"/>
          <w:lang w:val="zh-CN"/>
        </w:rPr>
        <w:t>），国家规定强制性检测的采购项目应附国家认可的专业检测机构出具的验收报告。</w:t>
      </w:r>
    </w:p>
    <w:p w14:paraId="1E8D750B">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rPr>
        <w:t>9</w:t>
      </w:r>
      <w:r>
        <w:rPr>
          <w:rFonts w:hint="eastAsia" w:ascii="宋体" w:hAnsi="宋体" w:eastAsia="宋体" w:cs="宋体"/>
          <w:color w:val="auto"/>
          <w:sz w:val="24"/>
          <w:lang w:val="zh-CN"/>
        </w:rPr>
        <w:t>.</w:t>
      </w:r>
      <w:r>
        <w:rPr>
          <w:rFonts w:hint="eastAsia" w:ascii="宋体" w:hAnsi="宋体" w:eastAsia="宋体" w:cs="宋体"/>
          <w:color w:val="auto"/>
          <w:sz w:val="24"/>
        </w:rPr>
        <w:t>5</w:t>
      </w:r>
      <w:r>
        <w:rPr>
          <w:rFonts w:hint="eastAsia" w:ascii="宋体" w:hAnsi="宋体" w:eastAsia="宋体" w:cs="宋体"/>
          <w:color w:val="auto"/>
          <w:sz w:val="24"/>
          <w:lang w:val="zh-CN"/>
        </w:rPr>
        <w:t>验收中发现</w:t>
      </w:r>
      <w:r>
        <w:rPr>
          <w:rFonts w:hint="eastAsia" w:ascii="宋体" w:hAnsi="宋体" w:eastAsia="宋体" w:cs="宋体"/>
          <w:color w:val="auto"/>
          <w:sz w:val="24"/>
        </w:rPr>
        <w:t>中标单位</w:t>
      </w:r>
      <w:r>
        <w:rPr>
          <w:rFonts w:hint="eastAsia" w:ascii="宋体" w:hAnsi="宋体" w:eastAsia="宋体" w:cs="宋体"/>
          <w:color w:val="auto"/>
          <w:sz w:val="24"/>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859B462">
      <w:pPr>
        <w:keepNext w:val="0"/>
        <w:keepLines w:val="0"/>
        <w:pageBreakBefore w:val="0"/>
        <w:kinsoku/>
        <w:wordWrap/>
        <w:overflowPunct/>
        <w:autoSpaceDE w:val="0"/>
        <w:autoSpaceDN w:val="0"/>
        <w:bidi w:val="0"/>
        <w:adjustRightInd w:val="0"/>
        <w:snapToGrid w:val="0"/>
        <w:spacing w:line="440" w:lineRule="exact"/>
        <w:ind w:left="0" w:leftChars="0" w:right="0" w:firstLine="539"/>
        <w:rPr>
          <w:rFonts w:hint="eastAsia" w:ascii="宋体" w:hAnsi="宋体" w:eastAsia="宋体" w:cs="宋体"/>
          <w:color w:val="auto"/>
          <w:sz w:val="24"/>
          <w:lang w:val="zh-CN"/>
        </w:rPr>
      </w:pPr>
      <w:r>
        <w:rPr>
          <w:rFonts w:hint="eastAsia" w:ascii="宋体" w:hAnsi="宋体" w:eastAsia="宋体" w:cs="宋体"/>
          <w:color w:val="auto"/>
          <w:sz w:val="24"/>
          <w:lang w:val="zh-CN"/>
        </w:rPr>
        <w:t>9.6 验收公告的时限：采购人要在政府采购项目验收完成后1个工作日内</w:t>
      </w:r>
      <w:r>
        <w:rPr>
          <w:rFonts w:hint="eastAsia" w:cs="宋体"/>
          <w:color w:val="auto"/>
          <w:sz w:val="24"/>
          <w:lang w:val="zh-CN"/>
        </w:rPr>
        <w:t>登录</w:t>
      </w:r>
      <w:r>
        <w:rPr>
          <w:rFonts w:hint="eastAsia" w:ascii="宋体" w:hAnsi="宋体" w:eastAsia="宋体" w:cs="宋体"/>
          <w:color w:val="auto"/>
          <w:sz w:val="24"/>
          <w:lang w:val="zh-CN"/>
        </w:rPr>
        <w:t>安阳市政府采购网进行验收公告。</w:t>
      </w:r>
    </w:p>
    <w:p w14:paraId="0CF5AAAB">
      <w:pPr>
        <w:pStyle w:val="3"/>
        <w:pageBreakBefore w:val="0"/>
        <w:kinsoku/>
        <w:wordWrap/>
        <w:overflowPunct/>
        <w:bidi w:val="0"/>
        <w:spacing w:line="440" w:lineRule="exact"/>
        <w:ind w:left="0" w:leftChars="0" w:right="0"/>
        <w:rPr>
          <w:rFonts w:hint="eastAsia"/>
          <w:color w:val="auto"/>
          <w:lang w:val="zh-CN"/>
        </w:rPr>
      </w:pPr>
      <w:bookmarkStart w:id="60" w:name="_Toc121491755"/>
      <w:bookmarkStart w:id="61" w:name="_Toc26472"/>
      <w:r>
        <w:rPr>
          <w:rFonts w:hint="eastAsia"/>
          <w:color w:val="auto"/>
          <w:lang w:val="zh-CN"/>
        </w:rPr>
        <w:t>10 付款</w:t>
      </w:r>
      <w:bookmarkEnd w:id="60"/>
      <w:bookmarkEnd w:id="61"/>
    </w:p>
    <w:p w14:paraId="5537B4C2">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lang w:val="zh-CN"/>
        </w:rPr>
        <w:t>见投标人须知前附表</w:t>
      </w:r>
    </w:p>
    <w:p w14:paraId="79F3AC5B">
      <w:pPr>
        <w:pStyle w:val="3"/>
        <w:pageBreakBefore w:val="0"/>
        <w:kinsoku/>
        <w:wordWrap/>
        <w:overflowPunct/>
        <w:bidi w:val="0"/>
        <w:spacing w:line="440" w:lineRule="exact"/>
        <w:ind w:left="0" w:leftChars="0" w:right="0"/>
        <w:rPr>
          <w:rFonts w:hint="eastAsia"/>
          <w:color w:val="auto"/>
          <w:lang w:val="zh-CN"/>
        </w:rPr>
      </w:pPr>
      <w:bookmarkStart w:id="62" w:name="_Toc121491756"/>
      <w:bookmarkStart w:id="63" w:name="_Toc6112"/>
      <w:r>
        <w:rPr>
          <w:rFonts w:hint="eastAsia"/>
          <w:color w:val="auto"/>
          <w:lang w:val="zh-CN"/>
        </w:rPr>
        <w:t>11 其他</w:t>
      </w:r>
      <w:bookmarkEnd w:id="62"/>
      <w:bookmarkEnd w:id="63"/>
    </w:p>
    <w:p w14:paraId="4316043A">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lang w:val="zh-CN"/>
        </w:rPr>
        <w:t>11.1中标服务费等：见投标人须知前附表</w:t>
      </w:r>
    </w:p>
    <w:p w14:paraId="3BE126EE">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11.2 </w:t>
      </w:r>
      <w:r>
        <w:rPr>
          <w:rFonts w:hint="eastAsia" w:ascii="宋体" w:hAnsi="宋体" w:cs="楷体_GB2312"/>
          <w:color w:val="auto"/>
          <w:sz w:val="24"/>
          <w:lang w:val="zh-CN"/>
        </w:rPr>
        <w:t>同义解释。《</w:t>
      </w:r>
      <w:r>
        <w:rPr>
          <w:rFonts w:hint="eastAsia" w:cs="楷体_GB2312"/>
          <w:color w:val="auto"/>
          <w:sz w:val="24"/>
          <w:lang w:val="zh-CN"/>
        </w:rPr>
        <w:t>招标文件</w:t>
      </w:r>
      <w:r>
        <w:rPr>
          <w:rFonts w:hint="eastAsia" w:ascii="宋体" w:hAnsi="宋体" w:cs="楷体_GB2312"/>
          <w:color w:val="auto"/>
          <w:sz w:val="24"/>
          <w:lang w:val="zh-CN"/>
        </w:rPr>
        <w:t>》中：“投标”同义“提交《</w:t>
      </w:r>
      <w:r>
        <w:rPr>
          <w:rFonts w:hint="eastAsia" w:cs="楷体_GB2312"/>
          <w:color w:val="auto"/>
          <w:sz w:val="24"/>
          <w:lang w:val="en-US" w:eastAsia="zh-CN"/>
        </w:rPr>
        <w:t>响应</w:t>
      </w:r>
      <w:r>
        <w:rPr>
          <w:rFonts w:hint="eastAsia" w:ascii="宋体" w:hAnsi="宋体" w:cs="楷体_GB2312"/>
          <w:color w:val="auto"/>
          <w:sz w:val="24"/>
          <w:lang w:val="zh-CN"/>
        </w:rPr>
        <w:t>文件》”，“投标人”同义“提交《响应文件》的供应商”，“《</w:t>
      </w:r>
      <w:r>
        <w:rPr>
          <w:rFonts w:hint="eastAsia" w:ascii="宋体" w:hAnsi="宋体" w:cs="楷体_GB2312"/>
          <w:color w:val="auto"/>
          <w:sz w:val="24"/>
        </w:rPr>
        <w:t>投标</w:t>
      </w:r>
      <w:r>
        <w:rPr>
          <w:rFonts w:hint="eastAsia" w:ascii="宋体" w:hAnsi="宋体" w:cs="楷体_GB2312"/>
          <w:color w:val="auto"/>
          <w:sz w:val="24"/>
          <w:lang w:val="zh-CN"/>
        </w:rPr>
        <w:t>文件》”同义“《响应文件》”，“开标”同义“《响应文件》的开启”，“中标”同义“成交”，“中标供应商”同义“成交供应商”。</w:t>
      </w:r>
    </w:p>
    <w:p w14:paraId="448A1561">
      <w:pPr>
        <w:keepNext w:val="0"/>
        <w:keepLines w:val="0"/>
        <w:pageBreakBefore w:val="0"/>
        <w:widowControl w:val="0"/>
        <w:kinsoku/>
        <w:wordWrap/>
        <w:overflowPunct/>
        <w:bidi w:val="0"/>
        <w:adjustRightInd w:val="0"/>
        <w:snapToGrid w:val="0"/>
        <w:spacing w:line="440" w:lineRule="exact"/>
        <w:ind w:left="0" w:leftChars="0" w:right="0" w:firstLine="561"/>
        <w:rPr>
          <w:rFonts w:hint="eastAsia" w:ascii="宋体" w:hAnsi="宋体" w:eastAsia="宋体" w:cs="宋体"/>
          <w:color w:val="auto"/>
          <w:sz w:val="24"/>
          <w:lang w:val="zh-CN"/>
        </w:rPr>
      </w:pPr>
      <w:r>
        <w:rPr>
          <w:rFonts w:hint="eastAsia" w:cs="宋体"/>
          <w:color w:val="auto"/>
          <w:sz w:val="24"/>
          <w:lang w:val="en-US" w:eastAsia="zh-CN"/>
        </w:rPr>
        <w:t xml:space="preserve">11.3 </w:t>
      </w:r>
      <w:r>
        <w:rPr>
          <w:rFonts w:hint="eastAsia" w:ascii="宋体" w:hAnsi="宋体" w:eastAsia="宋体" w:cs="宋体"/>
          <w:color w:val="auto"/>
          <w:sz w:val="24"/>
          <w:lang w:val="zh-CN"/>
        </w:rPr>
        <w:t>投标人资格条件中包含非法人单位的，招标文件中法定代表人一词相应包含表示证照标示的负责人； 投标人资格条件中包含自然人的，招标文件中法定代表人一词相应包含表示自然人，自然人应由其本人签署投标文件、参加投标，不应再授权他人。</w:t>
      </w:r>
    </w:p>
    <w:p w14:paraId="27DA60A7">
      <w:pPr>
        <w:keepNext w:val="0"/>
        <w:keepLines w:val="0"/>
        <w:pageBreakBefore w:val="0"/>
        <w:widowControl w:val="0"/>
        <w:kinsoku/>
        <w:wordWrap/>
        <w:overflowPunct/>
        <w:autoSpaceDE w:val="0"/>
        <w:autoSpaceDN w:val="0"/>
        <w:bidi w:val="0"/>
        <w:adjustRightInd w:val="0"/>
        <w:spacing w:line="440" w:lineRule="exact"/>
        <w:ind w:left="0" w:leftChars="0" w:right="0" w:firstLine="480" w:firstLineChars="20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11.</w:t>
      </w:r>
      <w:r>
        <w:rPr>
          <w:rFonts w:hint="eastAsia" w:cs="宋体"/>
          <w:color w:val="auto"/>
          <w:sz w:val="24"/>
          <w:lang w:val="en-US" w:eastAsia="zh-CN"/>
        </w:rPr>
        <w:t>4</w:t>
      </w:r>
      <w:r>
        <w:rPr>
          <w:rFonts w:hint="eastAsia" w:ascii="宋体" w:hAnsi="宋体" w:eastAsia="宋体" w:cs="宋体"/>
          <w:color w:val="auto"/>
          <w:sz w:val="24"/>
          <w:lang w:val="zh-CN"/>
        </w:rPr>
        <w:t xml:space="preserve"> 招标文件第一章至第四章各章中，用序号标示条、款、项、目，例如：1为第1 条，1.1为第1条第1款（简称1.1款），1.1.1为第1条第1款第1项（简称1.1.1项）。“条”包含款、项、目；“款”包含项、目；“项”包含目。</w:t>
      </w:r>
      <w:bookmarkStart w:id="64" w:name="_Toc58855443"/>
      <w:bookmarkStart w:id="65" w:name="_Toc427683952"/>
      <w:bookmarkStart w:id="66" w:name="_Toc427683909"/>
      <w:bookmarkStart w:id="67" w:name="_Toc423723402"/>
    </w:p>
    <w:p w14:paraId="790A14AC">
      <w:pPr>
        <w:pStyle w:val="3"/>
        <w:pageBreakBefore w:val="0"/>
        <w:kinsoku/>
        <w:wordWrap/>
        <w:overflowPunct/>
        <w:bidi w:val="0"/>
        <w:spacing w:line="440" w:lineRule="exact"/>
        <w:ind w:left="0" w:leftChars="0" w:right="0"/>
        <w:rPr>
          <w:rFonts w:hint="eastAsia"/>
          <w:color w:val="auto"/>
          <w:lang w:val="zh-CN"/>
        </w:rPr>
      </w:pPr>
      <w:bookmarkStart w:id="68" w:name="_Toc121491757"/>
      <w:bookmarkStart w:id="69" w:name="_Toc25004"/>
      <w:r>
        <w:rPr>
          <w:rFonts w:hint="eastAsia"/>
          <w:color w:val="auto"/>
          <w:lang w:val="zh-CN"/>
        </w:rPr>
        <w:t>12 河南省政府采购合同融资政策告知函</w:t>
      </w:r>
      <w:bookmarkEnd w:id="64"/>
      <w:bookmarkEnd w:id="68"/>
      <w:bookmarkEnd w:id="69"/>
    </w:p>
    <w:p w14:paraId="73FCF67B">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cs="宋体"/>
          <w:color w:val="auto"/>
          <w:sz w:val="24"/>
          <w:szCs w:val="24"/>
          <w:lang w:eastAsia="zh-CN"/>
        </w:rPr>
        <w:t>投标人</w:t>
      </w:r>
      <w:r>
        <w:rPr>
          <w:rFonts w:hint="eastAsia" w:ascii="宋体" w:hAnsi="宋体" w:eastAsia="宋体" w:cs="宋体"/>
          <w:color w:val="auto"/>
          <w:sz w:val="24"/>
          <w:szCs w:val="24"/>
        </w:rPr>
        <w:t>：</w:t>
      </w:r>
    </w:p>
    <w:p w14:paraId="1E686BE4">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0B807871">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w:t>
      </w:r>
      <w:r>
        <w:rPr>
          <w:rFonts w:hint="eastAsia" w:cs="宋体"/>
          <w:color w:val="auto"/>
          <w:sz w:val="24"/>
          <w:szCs w:val="24"/>
          <w:lang w:eastAsia="zh-CN"/>
        </w:rPr>
        <w:t>投标人</w:t>
      </w:r>
      <w:r>
        <w:rPr>
          <w:rFonts w:hint="eastAsia" w:ascii="宋体" w:hAnsi="宋体" w:eastAsia="宋体" w:cs="宋体"/>
          <w:color w:val="auto"/>
          <w:sz w:val="24"/>
          <w:szCs w:val="24"/>
        </w:rPr>
        <w:t>融资难、融资贵问题推出的一项融资政策。贵公司若成为本次政府采购项目的中标成交</w:t>
      </w:r>
      <w:r>
        <w:rPr>
          <w:rFonts w:hint="eastAsia" w:cs="宋体"/>
          <w:color w:val="auto"/>
          <w:sz w:val="24"/>
          <w:szCs w:val="24"/>
          <w:lang w:eastAsia="zh-CN"/>
        </w:rPr>
        <w:t>投标人</w:t>
      </w:r>
      <w:r>
        <w:rPr>
          <w:rFonts w:hint="eastAsia" w:ascii="宋体" w:hAnsi="宋体" w:eastAsia="宋体" w:cs="宋体"/>
          <w:color w:val="auto"/>
          <w:sz w:val="24"/>
          <w:szCs w:val="24"/>
        </w:rPr>
        <w:t>，可持政府采购合同向金融机构申请贷款，无需抵押、担保，融资机构将根据《河南省政府采购合同融资工作实施方案》（豫财购〔2017〕10号），按照双方自愿的原则提供便捷、优惠的贷款服务。</w:t>
      </w:r>
    </w:p>
    <w:p w14:paraId="16E8202A">
      <w:pPr>
        <w:keepNext w:val="0"/>
        <w:keepLines w:val="0"/>
        <w:pageBreakBefore w:val="0"/>
        <w:widowControl w:val="0"/>
        <w:kinsoku/>
        <w:wordWrap/>
        <w:overflowPunct/>
        <w:bidi w:val="0"/>
        <w:adjustRightInd w:val="0"/>
        <w:snapToGrid w:val="0"/>
        <w:spacing w:line="440" w:lineRule="exact"/>
        <w:ind w:left="0" w:leftChars="0" w:right="0" w:firstLine="555"/>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w:t>
      </w:r>
    </w:p>
    <w:p w14:paraId="43009353">
      <w:pPr>
        <w:pageBreakBefore w:val="0"/>
        <w:widowControl w:val="0"/>
        <w:kinsoku/>
        <w:wordWrap/>
        <w:overflowPunct/>
        <w:autoSpaceDE w:val="0"/>
        <w:autoSpaceDN w:val="0"/>
        <w:bidi w:val="0"/>
        <w:adjustRightInd w:val="0"/>
        <w:spacing w:line="300" w:lineRule="auto"/>
        <w:ind w:firstLine="883" w:firstLineChars="200"/>
        <w:jc w:val="left"/>
        <w:textAlignment w:val="auto"/>
        <w:rPr>
          <w:rFonts w:hint="eastAsia" w:ascii="宋体" w:hAnsi="宋体" w:eastAsia="宋体" w:cs="宋体"/>
          <w:b/>
          <w:color w:val="auto"/>
          <w:sz w:val="44"/>
        </w:rPr>
      </w:pPr>
    </w:p>
    <w:p w14:paraId="16D2264E">
      <w:pPr>
        <w:widowControl w:val="0"/>
        <w:autoSpaceDE w:val="0"/>
        <w:autoSpaceDN w:val="0"/>
        <w:adjustRightInd w:val="0"/>
        <w:spacing w:before="156" w:beforeLines="50" w:line="300" w:lineRule="auto"/>
        <w:ind w:firstLine="883" w:firstLineChars="200"/>
        <w:jc w:val="left"/>
        <w:textAlignment w:val="auto"/>
        <w:rPr>
          <w:rFonts w:hint="eastAsia" w:ascii="宋体" w:hAnsi="宋体" w:eastAsia="宋体" w:cs="宋体"/>
          <w:b/>
          <w:color w:val="auto"/>
          <w:sz w:val="44"/>
        </w:rPr>
      </w:pPr>
      <w:r>
        <w:rPr>
          <w:rFonts w:hint="eastAsia" w:ascii="宋体" w:hAnsi="宋体" w:eastAsia="宋体" w:cs="宋体"/>
          <w:b/>
          <w:color w:val="auto"/>
          <w:sz w:val="44"/>
        </w:rPr>
        <w:br w:type="page"/>
      </w:r>
    </w:p>
    <w:bookmarkEnd w:id="65"/>
    <w:bookmarkEnd w:id="66"/>
    <w:bookmarkEnd w:id="67"/>
    <w:p w14:paraId="5FC9BDD7">
      <w:pPr>
        <w:pStyle w:val="2"/>
        <w:bidi w:val="0"/>
        <w:rPr>
          <w:rFonts w:hint="eastAsia"/>
          <w:color w:val="auto"/>
        </w:rPr>
      </w:pPr>
      <w:bookmarkStart w:id="70" w:name="_Toc121491758"/>
      <w:bookmarkStart w:id="71" w:name="_Toc19097"/>
      <w:r>
        <w:rPr>
          <w:rFonts w:hint="eastAsia"/>
          <w:color w:val="auto"/>
          <w:lang w:val="zh-CN"/>
        </w:rPr>
        <w:t>第四章  评标办法（综合评分法）</w:t>
      </w:r>
      <w:bookmarkEnd w:id="70"/>
      <w:bookmarkEnd w:id="71"/>
    </w:p>
    <w:p w14:paraId="516FB6C8">
      <w:pPr>
        <w:pStyle w:val="3"/>
        <w:bidi w:val="0"/>
        <w:jc w:val="center"/>
        <w:rPr>
          <w:rFonts w:hint="eastAsia"/>
          <w:color w:val="auto"/>
        </w:rPr>
      </w:pPr>
      <w:bookmarkStart w:id="72" w:name="_Toc121491759"/>
      <w:bookmarkStart w:id="73" w:name="_Toc29970"/>
      <w:r>
        <w:rPr>
          <w:rFonts w:hint="eastAsia"/>
          <w:color w:val="auto"/>
        </w:rPr>
        <w:t>评标办法前附表</w:t>
      </w:r>
      <w:bookmarkEnd w:id="72"/>
      <w:bookmarkEnd w:id="73"/>
    </w:p>
    <w:tbl>
      <w:tblPr>
        <w:tblStyle w:val="2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1045"/>
        <w:gridCol w:w="1790"/>
        <w:gridCol w:w="5670"/>
      </w:tblGrid>
      <w:tr w14:paraId="5D0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4" w:type="dxa"/>
            <w:gridSpan w:val="2"/>
            <w:vAlign w:val="center"/>
          </w:tcPr>
          <w:p w14:paraId="6827E8E5">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835" w:type="dxa"/>
            <w:gridSpan w:val="2"/>
            <w:vAlign w:val="center"/>
          </w:tcPr>
          <w:p w14:paraId="698D9947">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评标因素</w:t>
            </w:r>
          </w:p>
        </w:tc>
        <w:tc>
          <w:tcPr>
            <w:tcW w:w="5670" w:type="dxa"/>
            <w:vAlign w:val="center"/>
          </w:tcPr>
          <w:p w14:paraId="4935928E">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评标标准</w:t>
            </w:r>
          </w:p>
        </w:tc>
      </w:tr>
      <w:tr w14:paraId="69E0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7" w:type="dxa"/>
            <w:vMerge w:val="restart"/>
            <w:vAlign w:val="center"/>
          </w:tcPr>
          <w:p w14:paraId="04DA028B">
            <w:pPr>
              <w:pageBreakBefore w:val="0"/>
              <w:widowControl w:val="0"/>
              <w:kinsoku/>
              <w:wordWrap/>
              <w:overflowPunct/>
              <w:topLinePunct w:val="0"/>
              <w:autoSpaceDE w:val="0"/>
              <w:autoSpaceDN w:val="0"/>
              <w:bidi w:val="0"/>
              <w:adjustRightInd w:val="0"/>
              <w:spacing w:line="460" w:lineRule="exact"/>
              <w:ind w:right="-168" w:rightChars="-70"/>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2.1</w:t>
            </w:r>
          </w:p>
        </w:tc>
        <w:tc>
          <w:tcPr>
            <w:tcW w:w="567" w:type="dxa"/>
            <w:vMerge w:val="restart"/>
            <w:vAlign w:val="center"/>
          </w:tcPr>
          <w:p w14:paraId="6AE9FB98">
            <w:pPr>
              <w:pageBreakBefore w:val="0"/>
              <w:widowControl w:val="0"/>
              <w:kinsoku/>
              <w:wordWrap/>
              <w:overflowPunct/>
              <w:topLinePunct w:val="0"/>
              <w:autoSpaceDE w:val="0"/>
              <w:autoSpaceDN w:val="0"/>
              <w:bidi w:val="0"/>
              <w:adjustRightIn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w:t>
            </w:r>
          </w:p>
          <w:p w14:paraId="57858CF2">
            <w:pPr>
              <w:pageBreakBefore w:val="0"/>
              <w:widowControl w:val="0"/>
              <w:kinsoku/>
              <w:wordWrap/>
              <w:overflowPunct/>
              <w:topLinePunct w:val="0"/>
              <w:autoSpaceDE w:val="0"/>
              <w:autoSpaceDN w:val="0"/>
              <w:bidi w:val="0"/>
              <w:adjustRightIn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w:t>
            </w:r>
          </w:p>
          <w:p w14:paraId="3507460F">
            <w:pPr>
              <w:pageBreakBefore w:val="0"/>
              <w:widowControl w:val="0"/>
              <w:kinsoku/>
              <w:wordWrap/>
              <w:overflowPunct/>
              <w:topLinePunct w:val="0"/>
              <w:autoSpaceDE w:val="0"/>
              <w:autoSpaceDN w:val="0"/>
              <w:bidi w:val="0"/>
              <w:adjustRightIn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性</w:t>
            </w:r>
          </w:p>
          <w:p w14:paraId="057D8D80">
            <w:pPr>
              <w:pageBreakBefore w:val="0"/>
              <w:widowControl w:val="0"/>
              <w:kinsoku/>
              <w:wordWrap/>
              <w:overflowPunct/>
              <w:topLinePunct w:val="0"/>
              <w:autoSpaceDE w:val="0"/>
              <w:autoSpaceDN w:val="0"/>
              <w:bidi w:val="0"/>
              <w:adjustRightIn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w:t>
            </w:r>
          </w:p>
          <w:p w14:paraId="7D37B5B6">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查</w:t>
            </w:r>
          </w:p>
        </w:tc>
        <w:tc>
          <w:tcPr>
            <w:tcW w:w="1045" w:type="dxa"/>
            <w:vMerge w:val="restart"/>
            <w:vAlign w:val="center"/>
          </w:tcPr>
          <w:p w14:paraId="6CF69DCE">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有效性</w:t>
            </w:r>
          </w:p>
        </w:tc>
        <w:tc>
          <w:tcPr>
            <w:tcW w:w="1790" w:type="dxa"/>
            <w:vAlign w:val="center"/>
          </w:tcPr>
          <w:p w14:paraId="0FEFEA4A">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5670" w:type="dxa"/>
            <w:vAlign w:val="center"/>
          </w:tcPr>
          <w:p w14:paraId="131139DE">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w:t>
            </w:r>
            <w:r>
              <w:rPr>
                <w:rFonts w:hint="eastAsia" w:cs="宋体"/>
                <w:color w:val="auto"/>
                <w:sz w:val="24"/>
                <w:szCs w:val="24"/>
                <w:lang w:eastAsia="zh-CN"/>
              </w:rPr>
              <w:t>营业执照</w:t>
            </w:r>
            <w:r>
              <w:rPr>
                <w:rFonts w:hint="eastAsia" w:ascii="宋体" w:hAnsi="宋体" w:eastAsia="宋体" w:cs="宋体"/>
                <w:color w:val="auto"/>
                <w:sz w:val="24"/>
                <w:szCs w:val="24"/>
              </w:rPr>
              <w:t>等证照及签章一致</w:t>
            </w:r>
          </w:p>
        </w:tc>
      </w:tr>
      <w:tr w14:paraId="6EDE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7" w:type="dxa"/>
            <w:vMerge w:val="continue"/>
            <w:vAlign w:val="center"/>
          </w:tcPr>
          <w:p w14:paraId="3247FEB5">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30396664">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7B6EBFE3">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0FC01EFF">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5670" w:type="dxa"/>
            <w:vAlign w:val="center"/>
          </w:tcPr>
          <w:p w14:paraId="6E304980">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符合第三章“投标人须知”3.7.4项规定</w:t>
            </w:r>
          </w:p>
        </w:tc>
      </w:tr>
      <w:tr w14:paraId="457F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7" w:type="dxa"/>
            <w:vMerge w:val="continue"/>
            <w:vAlign w:val="center"/>
          </w:tcPr>
          <w:p w14:paraId="7BD8632B">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54B98557">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Align w:val="center"/>
          </w:tcPr>
          <w:p w14:paraId="7F5566CC">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完整性</w:t>
            </w:r>
          </w:p>
        </w:tc>
        <w:tc>
          <w:tcPr>
            <w:tcW w:w="1790" w:type="dxa"/>
            <w:vAlign w:val="center"/>
          </w:tcPr>
          <w:p w14:paraId="39C45E1A">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投标文件组成</w:t>
            </w:r>
          </w:p>
        </w:tc>
        <w:tc>
          <w:tcPr>
            <w:tcW w:w="5670" w:type="dxa"/>
            <w:vAlign w:val="center"/>
          </w:tcPr>
          <w:p w14:paraId="77875E46">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符合第三章“投标人须知”3.2款规定</w:t>
            </w:r>
          </w:p>
        </w:tc>
      </w:tr>
      <w:tr w14:paraId="25BB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7" w:type="dxa"/>
            <w:vMerge w:val="continue"/>
            <w:vAlign w:val="center"/>
          </w:tcPr>
          <w:p w14:paraId="61970D1C">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0935CB8D">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restart"/>
            <w:vAlign w:val="center"/>
          </w:tcPr>
          <w:p w14:paraId="48102A01">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w:t>
            </w:r>
          </w:p>
          <w:p w14:paraId="6A259538">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程度</w:t>
            </w:r>
          </w:p>
        </w:tc>
        <w:tc>
          <w:tcPr>
            <w:tcW w:w="1790" w:type="dxa"/>
            <w:vAlign w:val="center"/>
          </w:tcPr>
          <w:p w14:paraId="2AE189F1">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5670" w:type="dxa"/>
            <w:vAlign w:val="center"/>
          </w:tcPr>
          <w:p w14:paraId="1100FCBA">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符合第二章“招标项目要求及采购需求”1.3款规定</w:t>
            </w:r>
          </w:p>
        </w:tc>
      </w:tr>
      <w:tr w14:paraId="678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7" w:type="dxa"/>
            <w:vMerge w:val="continue"/>
            <w:vAlign w:val="center"/>
          </w:tcPr>
          <w:p w14:paraId="50F1FF2B">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7CEAD231">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542D1032">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2CBA9365">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5670" w:type="dxa"/>
            <w:vAlign w:val="center"/>
          </w:tcPr>
          <w:p w14:paraId="283F7984">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符合第二章“招标项目要求及采购需求”第2条规定</w:t>
            </w:r>
          </w:p>
        </w:tc>
      </w:tr>
      <w:tr w14:paraId="5538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Merge w:val="continue"/>
            <w:vAlign w:val="center"/>
          </w:tcPr>
          <w:p w14:paraId="7CEF92DF">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732AE265">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4FB14BC2">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0FA20180">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交付（实施）期</w:t>
            </w:r>
          </w:p>
        </w:tc>
        <w:tc>
          <w:tcPr>
            <w:tcW w:w="5670" w:type="dxa"/>
            <w:vAlign w:val="center"/>
          </w:tcPr>
          <w:p w14:paraId="706425CC">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符合第二章“招标项目要求及采购需求”1.2款规定</w:t>
            </w:r>
          </w:p>
        </w:tc>
      </w:tr>
      <w:tr w14:paraId="6931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Merge w:val="continue"/>
            <w:vAlign w:val="center"/>
          </w:tcPr>
          <w:p w14:paraId="04422D14">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0759136C">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2D2AE5E7">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23DBDC39">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5670" w:type="dxa"/>
            <w:vAlign w:val="center"/>
          </w:tcPr>
          <w:p w14:paraId="1DC8EFC5">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符合第二章“招标项目要求及采购需求”第2条规定</w:t>
            </w:r>
          </w:p>
        </w:tc>
      </w:tr>
      <w:tr w14:paraId="448A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7" w:type="dxa"/>
            <w:vMerge w:val="continue"/>
            <w:vAlign w:val="center"/>
          </w:tcPr>
          <w:p w14:paraId="4453DFB3">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7DEA5CDE">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4BDF84CF">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3A4E19BB">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5670" w:type="dxa"/>
            <w:vAlign w:val="center"/>
          </w:tcPr>
          <w:p w14:paraId="6094083F">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符合第二章“招标项目要求及采购需求”2.8款规定</w:t>
            </w:r>
          </w:p>
        </w:tc>
      </w:tr>
      <w:tr w14:paraId="3642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7" w:type="dxa"/>
            <w:vMerge w:val="continue"/>
            <w:vAlign w:val="center"/>
          </w:tcPr>
          <w:p w14:paraId="459879B8">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7AB415FF">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23C5428E">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47B1EF5F">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670" w:type="dxa"/>
            <w:vAlign w:val="center"/>
          </w:tcPr>
          <w:p w14:paraId="5F2349C5">
            <w:pPr>
              <w:pageBreakBefore w:val="0"/>
              <w:widowControl w:val="0"/>
              <w:kinsoku/>
              <w:wordWrap/>
              <w:overflowPunct/>
              <w:topLinePunct w:val="0"/>
              <w:bidi w:val="0"/>
              <w:snapToGrid w:val="0"/>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rPr>
              <w:t>三</w:t>
            </w:r>
            <w:r>
              <w:rPr>
                <w:rFonts w:hint="eastAsia" w:ascii="宋体" w:hAnsi="宋体" w:eastAsia="宋体" w:cs="宋体"/>
                <w:color w:val="auto"/>
                <w:sz w:val="24"/>
                <w:szCs w:val="24"/>
              </w:rPr>
              <w:t>章“投标人须知”3.4款规定</w:t>
            </w:r>
          </w:p>
        </w:tc>
      </w:tr>
      <w:tr w14:paraId="5C8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continue"/>
            <w:vAlign w:val="center"/>
          </w:tcPr>
          <w:p w14:paraId="6AFCB4BC">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6D19ECA1">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5C99FDD5">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30EAEF2F">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670" w:type="dxa"/>
            <w:vAlign w:val="center"/>
          </w:tcPr>
          <w:p w14:paraId="57A4EFE7">
            <w:pPr>
              <w:pageBreakBefore w:val="0"/>
              <w:widowControl w:val="0"/>
              <w:kinsoku/>
              <w:wordWrap/>
              <w:overflowPunct/>
              <w:topLinePunct w:val="0"/>
              <w:autoSpaceDE w:val="0"/>
              <w:autoSpaceDN w:val="0"/>
              <w:bidi w:val="0"/>
              <w:snapToGrid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符合第六章“投标文件格式”规定</w:t>
            </w:r>
          </w:p>
        </w:tc>
      </w:tr>
      <w:tr w14:paraId="71C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17" w:type="dxa"/>
            <w:vMerge w:val="continue"/>
            <w:vAlign w:val="center"/>
          </w:tcPr>
          <w:p w14:paraId="424A27BB">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258590ED">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2C16D025">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6E8CBB06">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w:t>
            </w:r>
          </w:p>
        </w:tc>
        <w:tc>
          <w:tcPr>
            <w:tcW w:w="5670" w:type="dxa"/>
            <w:vAlign w:val="center"/>
          </w:tcPr>
          <w:p w14:paraId="16D0E0F3">
            <w:pPr>
              <w:pageBreakBefore w:val="0"/>
              <w:widowControl w:val="0"/>
              <w:kinsoku/>
              <w:wordWrap/>
              <w:overflowPunct/>
              <w:topLinePunct w:val="0"/>
              <w:bidi w:val="0"/>
              <w:snapToGrid w:val="0"/>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符合第三章“投标人须知”第10条规定</w:t>
            </w:r>
          </w:p>
        </w:tc>
      </w:tr>
      <w:tr w14:paraId="4B62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7" w:type="dxa"/>
            <w:vMerge w:val="continue"/>
            <w:vAlign w:val="center"/>
          </w:tcPr>
          <w:p w14:paraId="6F9DBA58">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46971891">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73BE0485">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3DC779B9">
            <w:pPr>
              <w:pageBreakBefore w:val="0"/>
              <w:widowControl w:val="0"/>
              <w:kinsoku/>
              <w:wordWrap/>
              <w:overflowPunct/>
              <w:topLinePunct w:val="0"/>
              <w:autoSpaceDE w:val="0"/>
              <w:autoSpaceDN w:val="0"/>
              <w:bidi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偏差描述</w:t>
            </w:r>
          </w:p>
        </w:tc>
        <w:tc>
          <w:tcPr>
            <w:tcW w:w="5670" w:type="dxa"/>
            <w:vAlign w:val="center"/>
          </w:tcPr>
          <w:p w14:paraId="1B448219">
            <w:pPr>
              <w:pageBreakBefore w:val="0"/>
              <w:widowControl w:val="0"/>
              <w:kinsoku/>
              <w:wordWrap/>
              <w:overflowPunct/>
              <w:topLinePunct w:val="0"/>
              <w:bidi w:val="0"/>
              <w:snapToGrid w:val="0"/>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符合第三章“投标人须知”3.7.3项规定</w:t>
            </w:r>
          </w:p>
        </w:tc>
      </w:tr>
      <w:tr w14:paraId="4B6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03F285F">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0D91503A">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335A782C">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199A1B17">
            <w:pPr>
              <w:pageBreakBefore w:val="0"/>
              <w:widowControl w:val="0"/>
              <w:kinsoku/>
              <w:wordWrap/>
              <w:overflowPunct/>
              <w:topLinePunct w:val="0"/>
              <w:bidi w:val="0"/>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招标文件总体响应</w:t>
            </w:r>
          </w:p>
        </w:tc>
        <w:tc>
          <w:tcPr>
            <w:tcW w:w="5670" w:type="dxa"/>
            <w:vAlign w:val="center"/>
          </w:tcPr>
          <w:p w14:paraId="55EDAF28">
            <w:pPr>
              <w:pageBreakBefore w:val="0"/>
              <w:widowControl w:val="0"/>
              <w:kinsoku/>
              <w:wordWrap/>
              <w:overflowPunct/>
              <w:topLinePunct w:val="0"/>
              <w:autoSpaceDE w:val="0"/>
              <w:autoSpaceDN w:val="0"/>
              <w:bidi w:val="0"/>
              <w:snapToGrid w:val="0"/>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符合第三章“投标人须知”1.3项规定</w:t>
            </w:r>
          </w:p>
        </w:tc>
      </w:tr>
      <w:tr w14:paraId="12FA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824DBEC">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567" w:type="dxa"/>
            <w:vMerge w:val="continue"/>
            <w:vAlign w:val="center"/>
          </w:tcPr>
          <w:p w14:paraId="5E9BFAB0">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045" w:type="dxa"/>
            <w:vMerge w:val="continue"/>
            <w:vAlign w:val="center"/>
          </w:tcPr>
          <w:p w14:paraId="7997E7D9">
            <w:pPr>
              <w:pageBreakBefore w:val="0"/>
              <w:widowControl w:val="0"/>
              <w:kinsoku/>
              <w:wordWrap/>
              <w:overflowPunct/>
              <w:topLinePunct w:val="0"/>
              <w:autoSpaceDE w:val="0"/>
              <w:autoSpaceDN w:val="0"/>
              <w:bidi w:val="0"/>
              <w:adjustRightInd w:val="0"/>
              <w:spacing w:line="460" w:lineRule="exact"/>
              <w:rPr>
                <w:rFonts w:hint="eastAsia" w:ascii="宋体" w:hAnsi="宋体" w:eastAsia="宋体" w:cs="宋体"/>
                <w:bCs/>
                <w:color w:val="auto"/>
                <w:sz w:val="24"/>
                <w:szCs w:val="24"/>
                <w:lang w:val="zh-CN"/>
              </w:rPr>
            </w:pPr>
          </w:p>
        </w:tc>
        <w:tc>
          <w:tcPr>
            <w:tcW w:w="1790" w:type="dxa"/>
            <w:vAlign w:val="center"/>
          </w:tcPr>
          <w:p w14:paraId="6710ED24">
            <w:pPr>
              <w:pageBreakBefore w:val="0"/>
              <w:widowControl w:val="0"/>
              <w:kinsoku/>
              <w:wordWrap/>
              <w:overflowPunct/>
              <w:topLinePunct w:val="0"/>
              <w:bidi w:val="0"/>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投标承诺函</w:t>
            </w:r>
          </w:p>
          <w:p w14:paraId="3D0AC750">
            <w:pPr>
              <w:pageBreakBefore w:val="0"/>
              <w:widowControl w:val="0"/>
              <w:kinsoku/>
              <w:wordWrap/>
              <w:overflowPunct/>
              <w:topLinePunct w:val="0"/>
              <w:bidi w:val="0"/>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(替代投标保证金)</w:t>
            </w:r>
          </w:p>
        </w:tc>
        <w:tc>
          <w:tcPr>
            <w:tcW w:w="5670" w:type="dxa"/>
            <w:vAlign w:val="center"/>
          </w:tcPr>
          <w:p w14:paraId="09BF3810">
            <w:pPr>
              <w:pageBreakBefore w:val="0"/>
              <w:widowControl w:val="0"/>
              <w:kinsoku/>
              <w:wordWrap/>
              <w:overflowPunct/>
              <w:topLinePunct w:val="0"/>
              <w:autoSpaceDE w:val="0"/>
              <w:autoSpaceDN w:val="0"/>
              <w:bidi w:val="0"/>
              <w:snapToGrid w:val="0"/>
              <w:spacing w:line="460" w:lineRule="exact"/>
              <w:jc w:val="left"/>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rPr>
              <w:t>符合第三章“投标人须知”3.5款规定</w:t>
            </w:r>
          </w:p>
        </w:tc>
      </w:tr>
    </w:tbl>
    <w:p w14:paraId="1F7FC606">
      <w:pPr>
        <w:pageBreakBefore w:val="0"/>
        <w:kinsoku/>
        <w:wordWrap/>
        <w:overflowPunct/>
        <w:topLinePunct w:val="0"/>
        <w:autoSpaceDE w:val="0"/>
        <w:autoSpaceDN w:val="0"/>
        <w:bidi w:val="0"/>
        <w:adjustRightInd w:val="0"/>
        <w:snapToGrid w:val="0"/>
        <w:spacing w:before="156" w:beforeLines="50" w:line="460" w:lineRule="exact"/>
        <w:ind w:firstLine="539"/>
        <w:rPr>
          <w:rFonts w:hint="eastAsia" w:ascii="宋体" w:hAnsi="宋体" w:eastAsia="宋体" w:cs="宋体"/>
          <w:b/>
          <w:color w:val="auto"/>
          <w:sz w:val="24"/>
          <w:lang w:val="zh-CN"/>
        </w:rPr>
      </w:pPr>
    </w:p>
    <w:p w14:paraId="22DF66FC">
      <w:pPr>
        <w:pageBreakBefore w:val="0"/>
        <w:kinsoku/>
        <w:wordWrap/>
        <w:overflowPunct/>
        <w:topLinePunct w:val="0"/>
        <w:autoSpaceDE w:val="0"/>
        <w:autoSpaceDN w:val="0"/>
        <w:bidi w:val="0"/>
        <w:adjustRightInd w:val="0"/>
        <w:snapToGrid w:val="0"/>
        <w:spacing w:before="156" w:beforeLines="50" w:line="460" w:lineRule="exact"/>
        <w:ind w:firstLine="539"/>
        <w:rPr>
          <w:rFonts w:hint="eastAsia" w:ascii="宋体" w:hAnsi="宋体" w:eastAsia="宋体" w:cs="宋体"/>
          <w:b/>
          <w:color w:val="auto"/>
          <w:sz w:val="24"/>
          <w:lang w:val="zh-CN"/>
        </w:rPr>
      </w:pPr>
      <w:r>
        <w:rPr>
          <w:rFonts w:hint="eastAsia" w:ascii="宋体" w:hAnsi="宋体" w:eastAsia="宋体" w:cs="宋体"/>
          <w:b/>
          <w:color w:val="auto"/>
          <w:sz w:val="24"/>
          <w:lang w:val="zh-CN"/>
        </w:rPr>
        <w:br w:type="page"/>
      </w:r>
    </w:p>
    <w:p w14:paraId="706BFAE2">
      <w:pPr>
        <w:pStyle w:val="3"/>
        <w:bidi w:val="0"/>
        <w:rPr>
          <w:rFonts w:hint="eastAsia"/>
          <w:color w:val="auto"/>
        </w:rPr>
      </w:pPr>
      <w:bookmarkStart w:id="74" w:name="_Toc23898"/>
      <w:r>
        <w:rPr>
          <w:rFonts w:hint="eastAsia"/>
          <w:color w:val="auto"/>
        </w:rPr>
        <w:t>评标办法前附表------分值构成与评分标准</w:t>
      </w:r>
      <w:bookmarkEnd w:id="74"/>
      <w:r>
        <w:rPr>
          <w:rFonts w:hint="eastAsia"/>
          <w:color w:val="auto"/>
        </w:rPr>
        <w:t xml:space="preserve"> </w:t>
      </w:r>
    </w:p>
    <w:tbl>
      <w:tblPr>
        <w:tblStyle w:val="23"/>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38"/>
        <w:gridCol w:w="6510"/>
      </w:tblGrid>
      <w:tr w14:paraId="5D5A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69874A80">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38" w:type="dxa"/>
            <w:noWrap w:val="0"/>
            <w:vAlign w:val="center"/>
          </w:tcPr>
          <w:p w14:paraId="2EEF9D2E">
            <w:pPr>
              <w:pageBreakBefore w:val="0"/>
              <w:kinsoku/>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510" w:type="dxa"/>
            <w:noWrap w:val="0"/>
            <w:vAlign w:val="center"/>
          </w:tcPr>
          <w:p w14:paraId="7586245E">
            <w:pPr>
              <w:pageBreakBefore w:val="0"/>
              <w:kinsoku/>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4DC3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5290B99E">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838" w:type="dxa"/>
            <w:noWrap w:val="0"/>
            <w:vAlign w:val="center"/>
          </w:tcPr>
          <w:p w14:paraId="38784231">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46FE5048">
            <w:pPr>
              <w:pageBreakBefore w:val="0"/>
              <w:widowControl w:val="0"/>
              <w:kinsoku/>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510" w:type="dxa"/>
            <w:noWrap w:val="0"/>
            <w:vAlign w:val="center"/>
          </w:tcPr>
          <w:p w14:paraId="7496DC84">
            <w:pPr>
              <w:pageBreakBefore w:val="0"/>
              <w:widowControl w:val="0"/>
              <w:kinsoku/>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4CBAF367">
            <w:pPr>
              <w:pageBreakBefore w:val="0"/>
              <w:widowControl w:val="0"/>
              <w:kinsoku/>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r>
              <w:rPr>
                <w:rFonts w:hint="eastAsia" w:cs="宋体"/>
                <w:color w:val="auto"/>
                <w:sz w:val="24"/>
                <w:szCs w:val="24"/>
                <w:highlight w:val="none"/>
                <w:lang w:val="en-US" w:eastAsia="zh-CN"/>
              </w:rPr>
              <w:t>50</w:t>
            </w:r>
            <w:r>
              <w:rPr>
                <w:rFonts w:hint="eastAsia" w:ascii="宋体" w:hAnsi="宋体" w:eastAsia="宋体" w:cs="宋体"/>
                <w:color w:val="auto"/>
                <w:sz w:val="24"/>
                <w:szCs w:val="24"/>
                <w:highlight w:val="none"/>
              </w:rPr>
              <w:t>分</w:t>
            </w:r>
          </w:p>
          <w:p w14:paraId="7E1F8BCF">
            <w:pPr>
              <w:pageBreakBefore w:val="0"/>
              <w:widowControl w:val="0"/>
              <w:kinsoku/>
              <w:wordWrap/>
              <w:overflowPunct/>
              <w:topLinePunct w:val="0"/>
              <w:bidi w:val="0"/>
              <w:spacing w:line="46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履约能力：</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2827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6CBB909A">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38" w:type="dxa"/>
            <w:noWrap w:val="0"/>
            <w:vAlign w:val="center"/>
          </w:tcPr>
          <w:p w14:paraId="3789652E">
            <w:pPr>
              <w:pageBreakBefore w:val="0"/>
              <w:widowControl w:val="0"/>
              <w:kinsoku/>
              <w:wordWrap/>
              <w:overflowPunct/>
              <w:topLinePunct w:val="0"/>
              <w:bidi w:val="0"/>
              <w:spacing w:line="460" w:lineRule="exact"/>
              <w:ind w:hanging="13"/>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510" w:type="dxa"/>
            <w:noWrap w:val="0"/>
            <w:vAlign w:val="center"/>
          </w:tcPr>
          <w:p w14:paraId="01EE80FB">
            <w:pPr>
              <w:pageBreakBefore w:val="0"/>
              <w:widowControl w:val="0"/>
              <w:kinsoku/>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ACD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0AE722F5">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w:t>
            </w:r>
          </w:p>
          <w:p w14:paraId="0F2ACC25">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p>
        </w:tc>
        <w:tc>
          <w:tcPr>
            <w:tcW w:w="1838" w:type="dxa"/>
            <w:noWrap w:val="0"/>
            <w:vAlign w:val="center"/>
          </w:tcPr>
          <w:p w14:paraId="33EF6E20">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6D9310A">
            <w:pPr>
              <w:pStyle w:val="21"/>
              <w:pageBreakBefore w:val="0"/>
              <w:kinsoku/>
              <w:wordWrap/>
              <w:overflowPunct/>
              <w:topLinePunct w:val="0"/>
              <w:bidi w:val="0"/>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6510" w:type="dxa"/>
            <w:noWrap w:val="0"/>
            <w:vAlign w:val="center"/>
          </w:tcPr>
          <w:p w14:paraId="5B9823C7">
            <w:pPr>
              <w:keepNext w:val="0"/>
              <w:keepLines w:val="0"/>
              <w:pageBreakBefore w:val="0"/>
              <w:kinsoku/>
              <w:wordWrap/>
              <w:overflowPunct/>
              <w:topLinePunct w:val="0"/>
              <w:bidi w:val="0"/>
              <w:adjustRightIn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（1）按第四章“评标办法”第4条规定，评审小微企业价格扣除</w:t>
            </w:r>
          </w:p>
          <w:p w14:paraId="5C1CCC16">
            <w:pPr>
              <w:keepNext w:val="0"/>
              <w:keepLines w:val="0"/>
              <w:pageBreakBefore w:val="0"/>
              <w:kinsoku/>
              <w:wordWrap/>
              <w:overflowPunct/>
              <w:topLinePunct w:val="0"/>
              <w:bidi w:val="0"/>
              <w:adjustRightIn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（2）价格因素评分</w:t>
            </w:r>
          </w:p>
          <w:p w14:paraId="1DCFA613">
            <w:pPr>
              <w:keepNext w:val="0"/>
              <w:keepLines w:val="0"/>
              <w:pageBreakBefore w:val="0"/>
              <w:kinsoku/>
              <w:wordWrap/>
              <w:overflowPunct/>
              <w:topLinePunct w:val="0"/>
              <w:bidi w:val="0"/>
              <w:adjustRightIn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所有有效投标人的投标报价（扣除经评审合格的“价格扣除”）中，价格最低的投标报价（扣除经评审合格的“价格扣除”）为评标基准值。</w:t>
            </w:r>
          </w:p>
          <w:p w14:paraId="0A4C0608">
            <w:pPr>
              <w:keepNext w:val="0"/>
              <w:keepLines w:val="0"/>
              <w:pageBreakBefore w:val="0"/>
              <w:kinsoku/>
              <w:wordWrap/>
              <w:overflowPunct/>
              <w:topLinePunct w:val="0"/>
              <w:bidi w:val="0"/>
              <w:adjustRightIn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有效投标报价（扣除经评审合格的“价格扣除”）等于评标基准值得30分。</w:t>
            </w:r>
          </w:p>
          <w:p w14:paraId="4637D8F4">
            <w:pPr>
              <w:keepNext w:val="0"/>
              <w:keepLines w:val="0"/>
              <w:pageBreakBefore w:val="0"/>
              <w:kinsoku/>
              <w:wordWrap/>
              <w:overflowPunct/>
              <w:topLinePunct w:val="0"/>
              <w:bidi w:val="0"/>
              <w:adjustRightIn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其他投标人投标报价（扣除经评审合格的“价格扣除”）得分=（评标基准价/投标报价&lt;扣除经评审合格的“价格扣除”&gt;）×0.3×100。</w:t>
            </w:r>
          </w:p>
          <w:p w14:paraId="0552C096">
            <w:pPr>
              <w:keepNext w:val="0"/>
              <w:keepLines w:val="0"/>
              <w:pageBreakBefore w:val="0"/>
              <w:kinsoku/>
              <w:wordWrap/>
              <w:overflowPunct/>
              <w:topLinePunct w:val="0"/>
              <w:bidi w:val="0"/>
              <w:adjustRightIn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通过符合性审查的投标人的投标报价，有可能影响产品质量或者不能诚信履约的，应当要求其在合理的时间内提供书面说明，必要时提交相关证明材料（包括但不限于人工费、设备费、材料费、交通费、技术服务</w:t>
            </w:r>
            <w:r>
              <w:rPr>
                <w:rFonts w:hint="eastAsia" w:cs="宋体"/>
                <w:color w:val="auto"/>
                <w:sz w:val="24"/>
                <w:szCs w:val="24"/>
                <w:highlight w:val="none"/>
                <w:lang w:eastAsia="zh-CN"/>
              </w:rPr>
              <w:t>费及</w:t>
            </w:r>
            <w:r>
              <w:rPr>
                <w:rFonts w:hint="eastAsia" w:ascii="宋体" w:hAnsi="宋体" w:eastAsia="宋体" w:cs="宋体"/>
                <w:color w:val="auto"/>
                <w:sz w:val="24"/>
                <w:szCs w:val="24"/>
                <w:highlight w:val="none"/>
              </w:rPr>
              <w:t>相关税款等）；投标人不能证明其投标报价合理性的，评标委员会应当将其作为无效投标处理。</w:t>
            </w:r>
          </w:p>
        </w:tc>
      </w:tr>
      <w:tr w14:paraId="42BD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1C2F1384">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2.2.2.2</w:t>
            </w:r>
          </w:p>
        </w:tc>
        <w:tc>
          <w:tcPr>
            <w:tcW w:w="1838" w:type="dxa"/>
            <w:noWrap w:val="0"/>
            <w:vAlign w:val="center"/>
          </w:tcPr>
          <w:p w14:paraId="483EABC4">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9027616">
            <w:pPr>
              <w:pStyle w:val="21"/>
              <w:pageBreakBefore w:val="0"/>
              <w:kinsoku/>
              <w:wordWrap/>
              <w:overflowPunct/>
              <w:topLinePunct w:val="0"/>
              <w:bidi w:val="0"/>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6510" w:type="dxa"/>
            <w:noWrap w:val="0"/>
            <w:vAlign w:val="center"/>
          </w:tcPr>
          <w:p w14:paraId="3999C73B">
            <w:pPr>
              <w:keepNext w:val="0"/>
              <w:keepLines w:val="0"/>
              <w:pageBreakBefore w:val="0"/>
              <w:widowControl w:val="0"/>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（1）评标委员会根据《招标文件》第二章“基本技术要求”和</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《投标文件》中相应的响应条款进行打分，所有参数均符合“基本技术要求”的，得基本分</w:t>
            </w:r>
            <w:r>
              <w:rPr>
                <w:rFonts w:hint="eastAsia" w:ascii="宋体" w:hAnsi="宋体" w:cs="宋体"/>
                <w:color w:val="auto"/>
                <w:sz w:val="24"/>
                <w:szCs w:val="24"/>
                <w:highlight w:val="none"/>
                <w:lang w:val="en-US" w:eastAsia="zh-CN"/>
              </w:rPr>
              <w:t>5</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0B3C1680">
            <w:pPr>
              <w:keepNext w:val="0"/>
              <w:keepLines w:val="0"/>
              <w:pageBreakBefore w:val="0"/>
              <w:widowControl w:val="0"/>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基本技术要求”中带“★”的技术参数为核心技术参数，一项不满足按废标处理；基本技术要求中带“▲”的技术参数为重要性技术参数，评审专家根据相应内容的偏差情况在基本分的基础上进行减分，偏差低于技术要求的（负偏离），一项负偏离即在基本分5</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分的基础上扣除2分；基本技术要求中不带“★”和“▲”的技术参数为一般性技术参数，评审专家根据相应内容的偏差情况在基本分的基础上进行减分，偏差低于技术要求的（负偏离），一项负偏离即在基本分5</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分的基础上扣除1分，扣完为止。</w:t>
            </w:r>
            <w:r>
              <w:rPr>
                <w:rFonts w:hint="eastAsia" w:ascii="宋体" w:hAnsi="宋体" w:eastAsia="宋体" w:cs="宋体"/>
                <w:color w:val="auto"/>
                <w:sz w:val="24"/>
                <w:szCs w:val="24"/>
                <w:highlight w:val="none"/>
              </w:rPr>
              <w:t>所有技术参数的“符合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正偏离</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负偏离”均应在相关证明文件中体现</w:t>
            </w:r>
            <w:r>
              <w:rPr>
                <w:rFonts w:hint="eastAsia" w:cs="宋体"/>
                <w:color w:val="auto"/>
                <w:sz w:val="24"/>
                <w:szCs w:val="24"/>
                <w:highlight w:val="none"/>
                <w:lang w:eastAsia="zh-CN"/>
              </w:rPr>
              <w:t>。</w:t>
            </w:r>
          </w:p>
          <w:p w14:paraId="0F67120A">
            <w:pPr>
              <w:keepNext w:val="0"/>
              <w:keepLines w:val="0"/>
              <w:pageBreakBefore w:val="0"/>
              <w:widowControl w:val="0"/>
              <w:kinsoku/>
              <w:wordWrap/>
              <w:overflowPunct/>
              <w:topLinePunct w:val="0"/>
              <w:bidi w:val="0"/>
              <w:adjustRightInd/>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备注：除《招标文件》有明确要求外，所有技术参数应提供相应的证明材料（如：注册检验报告或</w:t>
            </w:r>
            <w:r>
              <w:rPr>
                <w:rFonts w:hint="eastAsia" w:cs="宋体"/>
                <w:b/>
                <w:bCs/>
                <w:color w:val="auto"/>
                <w:sz w:val="24"/>
                <w:szCs w:val="24"/>
                <w:highlight w:val="none"/>
                <w:lang w:eastAsia="zh-CN"/>
              </w:rPr>
              <w:t>操作手册</w:t>
            </w:r>
            <w:r>
              <w:rPr>
                <w:rFonts w:hint="eastAsia" w:ascii="宋体" w:hAnsi="宋体" w:eastAsia="宋体" w:cs="宋体"/>
                <w:b/>
                <w:bCs/>
                <w:color w:val="auto"/>
                <w:sz w:val="24"/>
                <w:szCs w:val="24"/>
                <w:highlight w:val="none"/>
              </w:rPr>
              <w:t>或</w:t>
            </w:r>
            <w:r>
              <w:rPr>
                <w:rFonts w:hint="eastAsia" w:cs="宋体"/>
                <w:b/>
                <w:bCs/>
                <w:color w:val="auto"/>
                <w:sz w:val="24"/>
                <w:szCs w:val="24"/>
                <w:highlight w:val="none"/>
                <w:lang w:val="en-US" w:eastAsia="zh-CN"/>
              </w:rPr>
              <w:t>技术白皮书</w:t>
            </w:r>
            <w:r>
              <w:rPr>
                <w:rFonts w:hint="eastAsia" w:ascii="宋体" w:hAnsi="宋体" w:eastAsia="宋体" w:cs="宋体"/>
                <w:b/>
                <w:bCs/>
                <w:color w:val="auto"/>
                <w:sz w:val="24"/>
                <w:szCs w:val="24"/>
                <w:highlight w:val="none"/>
              </w:rPr>
              <w:t>证明材料）若以上文件同一技术参数出现不一致时，以注册检验报告为主、</w:t>
            </w:r>
            <w:r>
              <w:rPr>
                <w:rFonts w:hint="eastAsia" w:cs="宋体"/>
                <w:b/>
                <w:bCs/>
                <w:color w:val="auto"/>
                <w:sz w:val="24"/>
                <w:szCs w:val="24"/>
                <w:highlight w:val="none"/>
                <w:lang w:eastAsia="zh-CN"/>
              </w:rPr>
              <w:t>操作手册</w:t>
            </w:r>
            <w:r>
              <w:rPr>
                <w:rFonts w:hint="eastAsia" w:ascii="宋体" w:hAnsi="宋体" w:eastAsia="宋体" w:cs="宋体"/>
                <w:b/>
                <w:bCs/>
                <w:color w:val="auto"/>
                <w:sz w:val="24"/>
                <w:szCs w:val="24"/>
                <w:highlight w:val="none"/>
              </w:rPr>
              <w:t>为次、最后</w:t>
            </w:r>
            <w:r>
              <w:rPr>
                <w:rFonts w:hint="eastAsia" w:cs="宋体"/>
                <w:b/>
                <w:bCs/>
                <w:color w:val="auto"/>
                <w:sz w:val="24"/>
                <w:szCs w:val="24"/>
                <w:highlight w:val="none"/>
                <w:lang w:val="en-US" w:eastAsia="zh-CN"/>
              </w:rPr>
              <w:t>技术白皮书</w:t>
            </w:r>
            <w:r>
              <w:rPr>
                <w:rFonts w:hint="eastAsia" w:ascii="宋体" w:hAnsi="宋体" w:eastAsia="宋体" w:cs="宋体"/>
                <w:b/>
                <w:bCs/>
                <w:color w:val="auto"/>
                <w:sz w:val="24"/>
                <w:szCs w:val="24"/>
                <w:highlight w:val="none"/>
              </w:rPr>
              <w:t>作为评审标准。</w:t>
            </w:r>
          </w:p>
        </w:tc>
      </w:tr>
      <w:tr w14:paraId="186E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990" w:type="dxa"/>
            <w:vMerge w:val="restart"/>
            <w:noWrap w:val="0"/>
            <w:vAlign w:val="center"/>
          </w:tcPr>
          <w:p w14:paraId="426D1D10">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838" w:type="dxa"/>
            <w:vMerge w:val="restart"/>
            <w:noWrap w:val="0"/>
            <w:vAlign w:val="center"/>
          </w:tcPr>
          <w:p w14:paraId="0F7219AF">
            <w:pPr>
              <w:pStyle w:val="21"/>
              <w:pageBreakBefore w:val="0"/>
              <w:kinsoku/>
              <w:wordWrap/>
              <w:overflowPunct/>
              <w:topLinePunct w:val="0"/>
              <w:bidi w:val="0"/>
              <w:spacing w:line="460" w:lineRule="exact"/>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履约能力</w:t>
            </w:r>
          </w:p>
          <w:p w14:paraId="7AAD8A7C">
            <w:pPr>
              <w:pStyle w:val="21"/>
              <w:pageBreakBefore w:val="0"/>
              <w:kinsoku/>
              <w:wordWrap/>
              <w:overflowPunct/>
              <w:topLinePunct w:val="0"/>
              <w:bidi w:val="0"/>
              <w:spacing w:line="460" w:lineRule="exact"/>
              <w:ind w:firstLine="0" w:firstLineChars="0"/>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（0-</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510" w:type="dxa"/>
            <w:noWrap w:val="0"/>
            <w:vAlign w:val="center"/>
          </w:tcPr>
          <w:p w14:paraId="586504BF">
            <w:pPr>
              <w:keepNext w:val="0"/>
              <w:keepLines w:val="0"/>
              <w:pageBreakBefore w:val="0"/>
              <w:numPr>
                <w:ilvl w:val="0"/>
                <w:numId w:val="0"/>
              </w:numPr>
              <w:kinsoku/>
              <w:wordWrap/>
              <w:overflowPunct/>
              <w:topLinePunct w:val="0"/>
              <w:bidi w:val="0"/>
              <w:adjustRightInd/>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color="000000"/>
                <w:lang w:val="en-US" w:eastAsia="zh-CN" w:bidi="ar-SA"/>
              </w:rPr>
              <w:t>1、</w:t>
            </w:r>
            <w:r>
              <w:rPr>
                <w:rFonts w:hint="eastAsia" w:ascii="宋体" w:hAnsi="宋体" w:eastAsia="宋体" w:cs="宋体"/>
                <w:b/>
                <w:bCs/>
                <w:color w:val="auto"/>
                <w:sz w:val="24"/>
                <w:szCs w:val="24"/>
                <w:highlight w:val="none"/>
              </w:rPr>
              <w:t>业绩（</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p>
          <w:p w14:paraId="49B10B5B">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提供所投</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（同型号）202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年1月1日以来的销售业绩并提供销售合同（可为不同经销商），每提供一份合同得1分，最多得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00650189">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color w:val="auto"/>
                <w:lang w:val="en-US" w:eastAsia="zh-CN"/>
              </w:rPr>
            </w:pPr>
            <w:r>
              <w:rPr>
                <w:rFonts w:hint="eastAsia" w:ascii="宋体" w:hAnsi="宋体" w:eastAsia="宋体" w:cs="宋体"/>
                <w:color w:val="auto"/>
                <w:sz w:val="24"/>
                <w:szCs w:val="24"/>
                <w:highlight w:val="none"/>
                <w:lang w:val="en-US" w:eastAsia="zh-CN"/>
              </w:rPr>
              <w:t>备注：销售业绩必须包含中标（成交）通知书、销售合同和结果公示</w:t>
            </w:r>
            <w:r>
              <w:rPr>
                <w:rFonts w:hint="eastAsia" w:cs="宋体"/>
                <w:color w:val="auto"/>
                <w:sz w:val="24"/>
                <w:szCs w:val="24"/>
                <w:highlight w:val="none"/>
                <w:lang w:val="en-US" w:eastAsia="zh-CN"/>
              </w:rPr>
              <w:t>网页</w:t>
            </w:r>
            <w:r>
              <w:rPr>
                <w:rFonts w:hint="eastAsia" w:ascii="宋体" w:hAnsi="宋体" w:eastAsia="宋体" w:cs="宋体"/>
                <w:color w:val="auto"/>
                <w:sz w:val="24"/>
                <w:szCs w:val="24"/>
                <w:highlight w:val="none"/>
                <w:lang w:val="en-US" w:eastAsia="zh-CN"/>
              </w:rPr>
              <w:t>截图，提供不全或未提供不得分。</w:t>
            </w:r>
          </w:p>
        </w:tc>
      </w:tr>
      <w:tr w14:paraId="2A28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990" w:type="dxa"/>
            <w:vMerge w:val="continue"/>
            <w:noWrap w:val="0"/>
            <w:vAlign w:val="center"/>
          </w:tcPr>
          <w:p w14:paraId="0B3D13F4">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p>
        </w:tc>
        <w:tc>
          <w:tcPr>
            <w:tcW w:w="1838" w:type="dxa"/>
            <w:vMerge w:val="continue"/>
            <w:noWrap w:val="0"/>
            <w:vAlign w:val="center"/>
          </w:tcPr>
          <w:p w14:paraId="65A4385B">
            <w:pPr>
              <w:pStyle w:val="21"/>
              <w:pageBreakBefore w:val="0"/>
              <w:kinsoku/>
              <w:wordWrap/>
              <w:overflowPunct/>
              <w:topLinePunct w:val="0"/>
              <w:bidi w:val="0"/>
              <w:spacing w:line="460" w:lineRule="exact"/>
              <w:ind w:firstLine="0" w:firstLineChars="0"/>
              <w:jc w:val="center"/>
              <w:rPr>
                <w:rFonts w:hint="eastAsia" w:ascii="宋体" w:hAnsi="宋体" w:eastAsia="宋体" w:cs="宋体"/>
                <w:color w:val="auto"/>
                <w:sz w:val="24"/>
                <w:szCs w:val="24"/>
                <w:highlight w:val="none"/>
              </w:rPr>
            </w:pPr>
          </w:p>
        </w:tc>
        <w:tc>
          <w:tcPr>
            <w:tcW w:w="6510" w:type="dxa"/>
            <w:noWrap w:val="0"/>
            <w:vAlign w:val="center"/>
          </w:tcPr>
          <w:p w14:paraId="698DA419">
            <w:pPr>
              <w:keepNext w:val="0"/>
              <w:keepLines w:val="0"/>
              <w:pageBreakBefore w:val="0"/>
              <w:numPr>
                <w:ilvl w:val="0"/>
                <w:numId w:val="0"/>
              </w:numPr>
              <w:kinsoku/>
              <w:wordWrap/>
              <w:overflowPunct/>
              <w:topLinePunct w:val="0"/>
              <w:bidi w:val="0"/>
              <w:adjustRightInd/>
              <w:snapToGrid w:val="0"/>
              <w:spacing w:line="440" w:lineRule="exact"/>
              <w:textAlignment w:val="baseline"/>
              <w:rPr>
                <w:rFonts w:hint="eastAsia" w:cs="宋体"/>
                <w:b/>
                <w:bCs/>
                <w:color w:val="auto"/>
                <w:sz w:val="24"/>
                <w:szCs w:val="24"/>
                <w:highlight w:val="none"/>
                <w:lang w:val="en-US" w:eastAsia="zh-CN"/>
              </w:rPr>
            </w:pPr>
            <w:r>
              <w:rPr>
                <w:rFonts w:hint="eastAsia" w:cs="宋体"/>
                <w:b/>
                <w:bCs/>
                <w:color w:val="auto"/>
                <w:sz w:val="24"/>
                <w:szCs w:val="24"/>
                <w:highlight w:val="none"/>
                <w:u w:color="000000"/>
                <w:lang w:val="en-US" w:eastAsia="zh-CN" w:bidi="ar-SA"/>
              </w:rPr>
              <w:t>2</w:t>
            </w:r>
            <w:r>
              <w:rPr>
                <w:rFonts w:hint="eastAsia" w:ascii="宋体" w:hAnsi="宋体" w:eastAsia="宋体" w:cs="宋体"/>
                <w:b/>
                <w:bCs/>
                <w:color w:val="auto"/>
                <w:sz w:val="24"/>
                <w:szCs w:val="24"/>
                <w:highlight w:val="none"/>
                <w:u w:color="000000"/>
                <w:lang w:val="en-US" w:eastAsia="zh-CN" w:bidi="ar-SA"/>
              </w:rPr>
              <w:t>、</w:t>
            </w:r>
            <w:r>
              <w:rPr>
                <w:rFonts w:hint="eastAsia" w:cs="宋体"/>
                <w:b/>
                <w:bCs/>
                <w:color w:val="auto"/>
                <w:sz w:val="24"/>
                <w:szCs w:val="24"/>
                <w:highlight w:val="none"/>
                <w:u w:color="000000"/>
                <w:lang w:val="en-US" w:eastAsia="zh-CN" w:bidi="ar-SA"/>
              </w:rPr>
              <w:t>质保</w:t>
            </w:r>
            <w:r>
              <w:rPr>
                <w:rFonts w:hint="eastAsia" w:cs="宋体"/>
                <w:b/>
                <w:bCs/>
                <w:color w:val="auto"/>
                <w:sz w:val="24"/>
                <w:szCs w:val="24"/>
                <w:highlight w:val="none"/>
                <w:lang w:val="en-US" w:eastAsia="zh-CN"/>
              </w:rPr>
              <w:t>年限（2分）</w:t>
            </w:r>
          </w:p>
          <w:p w14:paraId="50515E18">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cs="宋体"/>
                <w:color w:val="auto"/>
                <w:sz w:val="24"/>
                <w:szCs w:val="24"/>
                <w:highlight w:val="green"/>
                <w:lang w:val="en-US" w:eastAsia="zh-CN"/>
              </w:rPr>
            </w:pPr>
            <w:r>
              <w:rPr>
                <w:rFonts w:hint="eastAsia" w:cs="宋体"/>
                <w:color w:val="auto"/>
                <w:sz w:val="24"/>
                <w:szCs w:val="24"/>
                <w:highlight w:val="none"/>
                <w:lang w:val="en-US" w:eastAsia="zh-CN"/>
              </w:rPr>
              <w:t>投标人承诺在满足招标文件的基础上，每增加一年原厂质保期加1分，最多加2分。（投标人自行承诺，未提供不得分。）</w:t>
            </w:r>
          </w:p>
        </w:tc>
      </w:tr>
      <w:tr w14:paraId="7D41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90" w:type="dxa"/>
            <w:vMerge w:val="continue"/>
            <w:noWrap w:val="0"/>
            <w:vAlign w:val="center"/>
          </w:tcPr>
          <w:p w14:paraId="2D69E881">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p>
        </w:tc>
        <w:tc>
          <w:tcPr>
            <w:tcW w:w="1838" w:type="dxa"/>
            <w:vMerge w:val="continue"/>
            <w:noWrap w:val="0"/>
            <w:vAlign w:val="center"/>
          </w:tcPr>
          <w:p w14:paraId="1837D34F">
            <w:pPr>
              <w:pStyle w:val="21"/>
              <w:pageBreakBefore w:val="0"/>
              <w:kinsoku/>
              <w:wordWrap/>
              <w:overflowPunct/>
              <w:topLinePunct w:val="0"/>
              <w:bidi w:val="0"/>
              <w:spacing w:line="460" w:lineRule="exact"/>
              <w:ind w:firstLine="0" w:firstLineChars="0"/>
              <w:jc w:val="center"/>
              <w:rPr>
                <w:rFonts w:hint="eastAsia" w:ascii="宋体" w:hAnsi="宋体" w:eastAsia="宋体" w:cs="宋体"/>
                <w:color w:val="auto"/>
                <w:sz w:val="24"/>
                <w:szCs w:val="24"/>
                <w:highlight w:val="none"/>
              </w:rPr>
            </w:pPr>
          </w:p>
        </w:tc>
        <w:tc>
          <w:tcPr>
            <w:tcW w:w="6510" w:type="dxa"/>
            <w:noWrap w:val="0"/>
            <w:vAlign w:val="center"/>
          </w:tcPr>
          <w:p w14:paraId="70D758F5">
            <w:pPr>
              <w:keepNext w:val="0"/>
              <w:keepLines w:val="0"/>
              <w:pageBreakBefore w:val="0"/>
              <w:widowControl w:val="0"/>
              <w:kinsoku/>
              <w:wordWrap/>
              <w:overflowPunct/>
              <w:topLinePunct w:val="0"/>
              <w:bidi w:val="0"/>
              <w:adjustRightInd/>
              <w:snapToGrid w:val="0"/>
              <w:spacing w:line="440" w:lineRule="exact"/>
              <w:textAlignment w:val="baseline"/>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培训方案（</w:t>
            </w:r>
            <w:r>
              <w:rPr>
                <w:rFonts w:hint="eastAsia"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4A590D19">
            <w:pPr>
              <w:keepNext w:val="0"/>
              <w:keepLines w:val="0"/>
              <w:pageBreakBefore w:val="0"/>
              <w:numPr>
                <w:ilvl w:val="0"/>
                <w:numId w:val="0"/>
              </w:numPr>
              <w:kinsoku/>
              <w:wordWrap/>
              <w:overflowPunct/>
              <w:topLinePunct w:val="0"/>
              <w:bidi w:val="0"/>
              <w:adjustRightInd/>
              <w:snapToGrid w:val="0"/>
              <w:spacing w:line="440" w:lineRule="exact"/>
              <w:ind w:firstLine="482" w:firstLineChars="200"/>
              <w:textAlignment w:val="baseline"/>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针对采购人实际情况</w:t>
            </w:r>
            <w:r>
              <w:rPr>
                <w:rFonts w:hint="eastAsia" w:cs="宋体"/>
                <w:b/>
                <w:bCs/>
                <w:color w:val="auto"/>
                <w:sz w:val="24"/>
                <w:szCs w:val="24"/>
                <w:highlight w:val="none"/>
                <w:lang w:val="en-US" w:eastAsia="zh-CN"/>
              </w:rPr>
              <w:t>（培训要求，至少包含安排相关技术人员在设备使用现场进行培训，培训时长不少于2个月等内容），对本项目培训环节提出专项方案</w:t>
            </w:r>
            <w:r>
              <w:rPr>
                <w:rFonts w:hint="default" w:ascii="宋体" w:hAnsi="宋体" w:eastAsia="宋体" w:cs="宋体"/>
                <w:b/>
                <w:bCs/>
                <w:color w:val="auto"/>
                <w:sz w:val="24"/>
                <w:szCs w:val="24"/>
                <w:highlight w:val="none"/>
                <w:lang w:val="en-US" w:eastAsia="zh-CN"/>
              </w:rPr>
              <w:t>（内容包括培训时间、方式、人员数量、培训资料、培训师能力、</w:t>
            </w:r>
            <w:r>
              <w:rPr>
                <w:rFonts w:hint="eastAsia" w:cs="宋体"/>
                <w:b/>
                <w:bCs/>
                <w:color w:val="auto"/>
                <w:sz w:val="24"/>
                <w:szCs w:val="24"/>
                <w:highlight w:val="none"/>
                <w:lang w:val="en-US" w:eastAsia="zh-CN"/>
              </w:rPr>
              <w:t>培训目标</w:t>
            </w:r>
            <w:r>
              <w:rPr>
                <w:rFonts w:hint="default" w:ascii="宋体" w:hAnsi="宋体" w:eastAsia="宋体" w:cs="宋体"/>
                <w:b/>
                <w:bCs/>
                <w:color w:val="auto"/>
                <w:sz w:val="24"/>
                <w:szCs w:val="24"/>
                <w:highlight w:val="none"/>
                <w:lang w:val="en-US" w:eastAsia="zh-CN"/>
              </w:rPr>
              <w:t>及现场指导等方面）进行综合打分：</w:t>
            </w:r>
          </w:p>
          <w:p w14:paraId="5CF2658E">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a、内容科学详尽细致、操作性强、可提升使用人员的操作熟练程度及常见问题的处理能力，得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w:t>
            </w:r>
          </w:p>
          <w:p w14:paraId="772F7AC4">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b、内容完整、操作性强、基本满足需要，得</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w:t>
            </w:r>
          </w:p>
          <w:p w14:paraId="4CCB8F7C">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c、内容完整、基本满足需要，得</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w:t>
            </w:r>
          </w:p>
          <w:p w14:paraId="10ACE656">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b w:val="0"/>
                <w:bCs w:val="0"/>
                <w:color w:val="auto"/>
                <w:kern w:val="0"/>
                <w:sz w:val="24"/>
                <w:szCs w:val="24"/>
                <w:highlight w:val="none"/>
                <w:u w:color="000000"/>
                <w:lang w:val="en-US" w:eastAsia="zh-CN" w:bidi="ar-SA"/>
              </w:rPr>
            </w:pPr>
            <w:r>
              <w:rPr>
                <w:rFonts w:hint="default" w:ascii="宋体" w:hAnsi="宋体" w:eastAsia="宋体" w:cs="宋体"/>
                <w:color w:val="auto"/>
                <w:sz w:val="24"/>
                <w:szCs w:val="24"/>
                <w:highlight w:val="none"/>
                <w:lang w:val="en-US" w:eastAsia="zh-CN"/>
              </w:rPr>
              <w:t>d、不能满足实际需要或未提供，不得分。</w:t>
            </w:r>
          </w:p>
        </w:tc>
      </w:tr>
      <w:tr w14:paraId="3FC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634BC56E">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p>
        </w:tc>
        <w:tc>
          <w:tcPr>
            <w:tcW w:w="1838" w:type="dxa"/>
            <w:vMerge w:val="continue"/>
            <w:noWrap w:val="0"/>
            <w:vAlign w:val="center"/>
          </w:tcPr>
          <w:p w14:paraId="16F1BCBE">
            <w:pPr>
              <w:pageBreakBefore w:val="0"/>
              <w:widowControl w:val="0"/>
              <w:kinsoku/>
              <w:wordWrap/>
              <w:overflowPunct/>
              <w:topLinePunct w:val="0"/>
              <w:autoSpaceDE w:val="0"/>
              <w:autoSpaceDN w:val="0"/>
              <w:bidi w:val="0"/>
              <w:spacing w:line="460" w:lineRule="exact"/>
              <w:jc w:val="center"/>
              <w:textAlignment w:val="auto"/>
              <w:rPr>
                <w:rFonts w:hint="eastAsia" w:ascii="宋体" w:hAnsi="宋体" w:eastAsia="宋体" w:cs="宋体"/>
                <w:color w:val="auto"/>
                <w:sz w:val="24"/>
                <w:szCs w:val="24"/>
                <w:highlight w:val="none"/>
              </w:rPr>
            </w:pPr>
          </w:p>
        </w:tc>
        <w:tc>
          <w:tcPr>
            <w:tcW w:w="6510" w:type="dxa"/>
            <w:noWrap w:val="0"/>
            <w:vAlign w:val="center"/>
          </w:tcPr>
          <w:p w14:paraId="64D27113">
            <w:pPr>
              <w:keepNext w:val="0"/>
              <w:keepLines w:val="0"/>
              <w:pageBreakBefore w:val="0"/>
              <w:numPr>
                <w:ilvl w:val="0"/>
                <w:numId w:val="0"/>
              </w:numPr>
              <w:kinsoku/>
              <w:wordWrap/>
              <w:overflowPunct/>
              <w:topLinePunct w:val="0"/>
              <w:bidi w:val="0"/>
              <w:adjustRightInd/>
              <w:snapToGrid w:val="0"/>
              <w:spacing w:line="440" w:lineRule="exact"/>
              <w:textAlignment w:val="baseline"/>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4、售后服务方案（5分）</w:t>
            </w:r>
          </w:p>
          <w:p w14:paraId="4DC9A3AF">
            <w:pPr>
              <w:keepNext w:val="0"/>
              <w:keepLines w:val="0"/>
              <w:pageBreakBefore w:val="0"/>
              <w:numPr>
                <w:ilvl w:val="0"/>
                <w:numId w:val="0"/>
              </w:numPr>
              <w:kinsoku/>
              <w:wordWrap/>
              <w:overflowPunct/>
              <w:topLinePunct w:val="0"/>
              <w:bidi w:val="0"/>
              <w:adjustRightInd/>
              <w:snapToGrid w:val="0"/>
              <w:spacing w:line="440" w:lineRule="exact"/>
              <w:ind w:firstLine="482" w:firstLineChars="200"/>
              <w:textAlignment w:val="baseline"/>
              <w:rPr>
                <w:rFonts w:hint="eastAsia"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针对采购人实际情况（售后服务），对本项目售后环节提出专项方案；售后服务方案（包括但不限于详细说明售后服务的内容、形式、解决质量的响应时间、解决问题时间、质量保证措施、保养及巡检等方面）</w:t>
            </w:r>
            <w:r>
              <w:rPr>
                <w:rFonts w:hint="eastAsia" w:ascii="宋体" w:hAnsi="宋体" w:eastAsia="宋体" w:cs="宋体"/>
                <w:color w:val="auto"/>
                <w:sz w:val="24"/>
                <w:szCs w:val="24"/>
                <w:highlight w:val="none"/>
                <w:lang w:val="en-US" w:eastAsia="zh-CN"/>
              </w:rPr>
              <w:t>进行综合打分：</w:t>
            </w:r>
          </w:p>
          <w:p w14:paraId="2FDEE3DD">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科学</w:t>
            </w:r>
            <w:r>
              <w:rPr>
                <w:rFonts w:hint="default" w:ascii="宋体" w:hAnsi="宋体" w:eastAsia="宋体" w:cs="宋体"/>
                <w:color w:val="auto"/>
                <w:sz w:val="24"/>
                <w:szCs w:val="24"/>
                <w:highlight w:val="none"/>
                <w:lang w:val="en-US" w:eastAsia="zh-CN"/>
              </w:rPr>
              <w:t>全面、详尽、符合项目特点，</w:t>
            </w:r>
            <w:r>
              <w:rPr>
                <w:rFonts w:hint="eastAsia" w:ascii="宋体" w:hAnsi="宋体" w:eastAsia="宋体" w:cs="宋体"/>
                <w:color w:val="auto"/>
                <w:sz w:val="24"/>
                <w:szCs w:val="24"/>
                <w:highlight w:val="none"/>
                <w:lang w:val="en-US" w:eastAsia="zh-CN"/>
              </w:rPr>
              <w:t>可操作性强且</w:t>
            </w:r>
            <w:r>
              <w:rPr>
                <w:rFonts w:hint="default" w:ascii="宋体" w:hAnsi="宋体" w:eastAsia="宋体" w:cs="宋体"/>
                <w:color w:val="auto"/>
                <w:sz w:val="24"/>
                <w:szCs w:val="24"/>
                <w:highlight w:val="none"/>
                <w:lang w:val="en-US" w:eastAsia="zh-CN"/>
              </w:rPr>
              <w:t>完全满足项目要求的，得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w:t>
            </w:r>
          </w:p>
          <w:p w14:paraId="612A061F">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b、内容完整、</w:t>
            </w:r>
            <w:r>
              <w:rPr>
                <w:rFonts w:hint="eastAsia" w:ascii="宋体" w:hAnsi="宋体" w:eastAsia="宋体" w:cs="宋体"/>
                <w:color w:val="auto"/>
                <w:sz w:val="24"/>
                <w:szCs w:val="24"/>
                <w:highlight w:val="none"/>
                <w:lang w:val="en-US" w:eastAsia="zh-CN"/>
              </w:rPr>
              <w:t>符合项目特定且</w:t>
            </w:r>
            <w:r>
              <w:rPr>
                <w:rFonts w:hint="default" w:ascii="宋体" w:hAnsi="宋体" w:eastAsia="宋体" w:cs="宋体"/>
                <w:color w:val="auto"/>
                <w:sz w:val="24"/>
                <w:szCs w:val="24"/>
                <w:highlight w:val="none"/>
                <w:lang w:val="en-US" w:eastAsia="zh-CN"/>
              </w:rPr>
              <w:t>满足需要，得</w:t>
            </w:r>
            <w:r>
              <w:rPr>
                <w:rFonts w:hint="eastAsia"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w:t>
            </w:r>
          </w:p>
          <w:p w14:paraId="4EDAA97F">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val="en-US" w:eastAsia="zh-CN"/>
              </w:rPr>
              <w:t>内容较完整，基本满足需要，得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6CE69936">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d、</w:t>
            </w:r>
            <w:r>
              <w:rPr>
                <w:rFonts w:hint="default" w:ascii="宋体" w:hAnsi="宋体" w:eastAsia="宋体" w:cs="宋体"/>
                <w:color w:val="auto"/>
                <w:sz w:val="24"/>
                <w:szCs w:val="24"/>
                <w:highlight w:val="none"/>
                <w:lang w:val="en-US" w:eastAsia="zh-CN"/>
              </w:rPr>
              <w:t>不能满足实际需要或未提供，不得分。</w:t>
            </w:r>
          </w:p>
        </w:tc>
      </w:tr>
      <w:tr w14:paraId="23F9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00FB875C">
            <w:pPr>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color w:val="auto"/>
                <w:sz w:val="24"/>
                <w:szCs w:val="24"/>
                <w:highlight w:val="none"/>
              </w:rPr>
            </w:pPr>
          </w:p>
        </w:tc>
        <w:tc>
          <w:tcPr>
            <w:tcW w:w="1838" w:type="dxa"/>
            <w:vMerge w:val="continue"/>
            <w:noWrap w:val="0"/>
            <w:vAlign w:val="center"/>
          </w:tcPr>
          <w:p w14:paraId="0403426B">
            <w:pPr>
              <w:pageBreakBefore w:val="0"/>
              <w:widowControl w:val="0"/>
              <w:kinsoku/>
              <w:wordWrap/>
              <w:overflowPunct/>
              <w:topLinePunct w:val="0"/>
              <w:autoSpaceDE w:val="0"/>
              <w:autoSpaceDN w:val="0"/>
              <w:bidi w:val="0"/>
              <w:spacing w:line="460" w:lineRule="exact"/>
              <w:jc w:val="center"/>
              <w:textAlignment w:val="auto"/>
              <w:rPr>
                <w:rFonts w:hint="eastAsia" w:ascii="宋体" w:hAnsi="宋体" w:eastAsia="宋体" w:cs="宋体"/>
                <w:color w:val="auto"/>
                <w:sz w:val="24"/>
                <w:szCs w:val="24"/>
                <w:highlight w:val="none"/>
              </w:rPr>
            </w:pPr>
          </w:p>
        </w:tc>
        <w:tc>
          <w:tcPr>
            <w:tcW w:w="6510" w:type="dxa"/>
            <w:noWrap w:val="0"/>
            <w:vAlign w:val="center"/>
          </w:tcPr>
          <w:p w14:paraId="07707E46">
            <w:pPr>
              <w:keepNext w:val="0"/>
              <w:keepLines w:val="0"/>
              <w:pageBreakBefore w:val="0"/>
              <w:widowControl w:val="0"/>
              <w:numPr>
                <w:ilvl w:val="0"/>
                <w:numId w:val="0"/>
              </w:numPr>
              <w:kinsoku/>
              <w:wordWrap/>
              <w:overflowPunct/>
              <w:topLinePunct w:val="0"/>
              <w:bidi w:val="0"/>
              <w:adjustRightInd/>
              <w:snapToGrid w:val="0"/>
              <w:spacing w:line="440" w:lineRule="exact"/>
              <w:textAlignment w:val="baseline"/>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供货、安装、调试及验收方案</w:t>
            </w:r>
            <w:r>
              <w:rPr>
                <w:rFonts w:hint="eastAsia" w:cs="宋体"/>
                <w:b/>
                <w:bCs/>
                <w:color w:val="auto"/>
                <w:sz w:val="24"/>
                <w:szCs w:val="24"/>
                <w:highlight w:val="none"/>
                <w:lang w:val="en-US" w:eastAsia="zh-CN"/>
              </w:rPr>
              <w:t>（5分）</w:t>
            </w:r>
          </w:p>
          <w:p w14:paraId="1B598770">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根据投标人提供的供货、安装、调试及验收方案等方面，进行综合打分：</w:t>
            </w:r>
          </w:p>
          <w:p w14:paraId="10403301">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a、验收方案全面、细致合理，具有针对性；具有充足的供货安装能力，人员配置合理、专业齐全，时间安排合理得</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6019804F">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b、供货、安装、调试及验收方案较全面、较细致合理；供货安装能力较强，人员配置较合理，时间安排较合理得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7D6C0552">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c、供货、安装、调试及验收方案不够全面；供货安装能力</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人员配置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时间安排不够合理</w:t>
            </w:r>
            <w:r>
              <w:rPr>
                <w:rFonts w:hint="eastAsia" w:cs="宋体"/>
                <w:color w:val="auto"/>
                <w:sz w:val="24"/>
                <w:szCs w:val="24"/>
                <w:highlight w:val="none"/>
                <w:lang w:val="en-US" w:eastAsia="zh-CN"/>
              </w:rPr>
              <w:t>的得1分</w:t>
            </w:r>
            <w:r>
              <w:rPr>
                <w:rFonts w:hint="eastAsia" w:ascii="宋体" w:hAnsi="宋体" w:eastAsia="宋体" w:cs="宋体"/>
                <w:color w:val="auto"/>
                <w:sz w:val="24"/>
                <w:szCs w:val="24"/>
                <w:highlight w:val="none"/>
                <w:lang w:val="en-US" w:eastAsia="zh-CN"/>
              </w:rPr>
              <w:t>；</w:t>
            </w:r>
          </w:p>
          <w:p w14:paraId="671E5648">
            <w:pPr>
              <w:keepNext w:val="0"/>
              <w:keepLines w:val="0"/>
              <w:pageBreakBefore w:val="0"/>
              <w:numPr>
                <w:ilvl w:val="0"/>
                <w:numId w:val="0"/>
              </w:numPr>
              <w:kinsoku/>
              <w:wordWrap/>
              <w:overflowPunct/>
              <w:topLinePunct w:val="0"/>
              <w:bidi w:val="0"/>
              <w:adjustRightInd/>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D、未提供</w:t>
            </w:r>
            <w:r>
              <w:rPr>
                <w:rFonts w:hint="default" w:ascii="宋体" w:hAnsi="宋体" w:eastAsia="宋体" w:cs="宋体"/>
                <w:color w:val="auto"/>
                <w:sz w:val="24"/>
                <w:szCs w:val="24"/>
                <w:highlight w:val="none"/>
                <w:lang w:val="en-US" w:eastAsia="zh-CN"/>
              </w:rPr>
              <w:t>不得分</w:t>
            </w:r>
            <w:r>
              <w:rPr>
                <w:rFonts w:hint="eastAsia" w:cs="宋体"/>
                <w:color w:val="auto"/>
                <w:sz w:val="24"/>
                <w:szCs w:val="24"/>
                <w:highlight w:val="none"/>
                <w:lang w:val="en-US" w:eastAsia="zh-CN"/>
              </w:rPr>
              <w:t>。</w:t>
            </w:r>
          </w:p>
        </w:tc>
      </w:tr>
    </w:tbl>
    <w:p w14:paraId="4EDD1905">
      <w:pPr>
        <w:pageBreakBefore w:val="0"/>
        <w:kinsoku/>
        <w:wordWrap/>
        <w:overflowPunct/>
        <w:topLinePunct w:val="0"/>
        <w:autoSpaceDE w:val="0"/>
        <w:autoSpaceDN w:val="0"/>
        <w:bidi w:val="0"/>
        <w:adjustRightInd w:val="0"/>
        <w:snapToGrid w:val="0"/>
        <w:spacing w:line="440" w:lineRule="exact"/>
        <w:ind w:firstLine="354" w:firstLineChars="147"/>
        <w:jc w:val="left"/>
        <w:rPr>
          <w:rFonts w:hint="eastAsia" w:ascii="宋体" w:hAnsi="宋体" w:eastAsia="宋体" w:cs="宋体"/>
          <w:b/>
          <w:bCs/>
          <w:color w:val="auto"/>
          <w:sz w:val="28"/>
          <w:szCs w:val="28"/>
          <w:lang w:val="zh-CN"/>
        </w:rPr>
      </w:pPr>
      <w:r>
        <w:rPr>
          <w:rFonts w:hint="eastAsia" w:ascii="宋体" w:hAnsi="宋体" w:eastAsia="宋体" w:cs="宋体"/>
          <w:b/>
          <w:color w:val="auto"/>
          <w:sz w:val="24"/>
          <w:szCs w:val="24"/>
        </w:rPr>
        <w:t>注：以上打分细则中所需要</w:t>
      </w:r>
      <w:r>
        <w:rPr>
          <w:rFonts w:hint="eastAsia" w:cs="宋体"/>
          <w:b/>
          <w:color w:val="auto"/>
          <w:sz w:val="24"/>
          <w:szCs w:val="24"/>
          <w:lang w:val="en-US" w:eastAsia="zh-CN"/>
        </w:rPr>
        <w:t>的</w:t>
      </w:r>
      <w:r>
        <w:rPr>
          <w:rFonts w:hint="eastAsia" w:ascii="宋体" w:hAnsi="宋体" w:eastAsia="宋体" w:cs="宋体"/>
          <w:b/>
          <w:color w:val="auto"/>
          <w:sz w:val="24"/>
          <w:szCs w:val="24"/>
        </w:rPr>
        <w:t>证明资料，需提供原件的扫描件附于投标文件中。</w:t>
      </w:r>
    </w:p>
    <w:p w14:paraId="533CF906">
      <w:pPr>
        <w:pStyle w:val="3"/>
        <w:pageBreakBefore w:val="0"/>
        <w:kinsoku/>
        <w:wordWrap/>
        <w:overflowPunct/>
        <w:topLinePunct w:val="0"/>
        <w:bidi w:val="0"/>
        <w:spacing w:line="440" w:lineRule="exact"/>
        <w:rPr>
          <w:rFonts w:hint="eastAsia"/>
          <w:color w:val="auto"/>
          <w:lang w:val="zh-CN"/>
        </w:rPr>
      </w:pPr>
      <w:bookmarkStart w:id="75" w:name="_Toc121491760"/>
      <w:bookmarkStart w:id="76" w:name="_Toc26395"/>
      <w:r>
        <w:rPr>
          <w:rFonts w:hint="eastAsia"/>
          <w:color w:val="auto"/>
          <w:lang w:val="zh-CN"/>
        </w:rPr>
        <w:t>1. 评标方法</w:t>
      </w:r>
      <w:bookmarkEnd w:id="75"/>
      <w:bookmarkEnd w:id="76"/>
    </w:p>
    <w:p w14:paraId="3D63C95C">
      <w:pPr>
        <w:pageBreakBefore w:val="0"/>
        <w:widowControl w:val="0"/>
        <w:kinsoku/>
        <w:wordWrap/>
        <w:overflowPunct/>
        <w:topLinePunct w:val="0"/>
        <w:bidi w:val="0"/>
        <w:adjustRightInd w:val="0"/>
        <w:snapToGrid w:val="0"/>
        <w:spacing w:line="440" w:lineRule="exact"/>
        <w:ind w:firstLine="480" w:firstLineChars="200"/>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本次招标项目（标段&lt;包&gt;）的评标方法采用《政府采购货物和服务招标投标管理办法》中的“综合评分法”。</w:t>
      </w:r>
    </w:p>
    <w:p w14:paraId="639C0350">
      <w:pPr>
        <w:pageBreakBefore w:val="0"/>
        <w:widowControl w:val="0"/>
        <w:kinsoku/>
        <w:wordWrap/>
        <w:overflowPunct/>
        <w:topLinePunct w:val="0"/>
        <w:bidi w:val="0"/>
        <w:adjustRightInd w:val="0"/>
        <w:snapToGrid w:val="0"/>
        <w:spacing w:line="440" w:lineRule="exact"/>
        <w:ind w:firstLine="480" w:firstLineChars="200"/>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投标文件满足招标文件全部实质性要求的，评标委员会按照“评标办法前附表”列示的各项评审因素进行评价、打分，投标人的各项评审因素得分的汇总分值即为投标</w:t>
      </w:r>
      <w:r>
        <w:rPr>
          <w:rFonts w:hint="eastAsia" w:cs="宋体"/>
          <w:color w:val="auto"/>
          <w:sz w:val="24"/>
          <w:szCs w:val="24"/>
          <w:lang w:eastAsia="zh-CN"/>
        </w:rPr>
        <w:t>人对</w:t>
      </w:r>
      <w:r>
        <w:rPr>
          <w:rFonts w:hint="eastAsia" w:ascii="宋体" w:hAnsi="宋体" w:eastAsia="宋体" w:cs="宋体"/>
          <w:color w:val="auto"/>
          <w:sz w:val="24"/>
          <w:szCs w:val="24"/>
        </w:rPr>
        <w:t>该项目（标段&lt;包&gt;）的评审得分，评审得分最高的投标人为该项目（标段&lt;包&gt;）的中标候选人。如有两个投标人评审得分相同、并列第一的，以投标报价得分高者为该项目（标段（包））的中标候选人。</w:t>
      </w:r>
    </w:p>
    <w:p w14:paraId="3B79D37A">
      <w:pPr>
        <w:pStyle w:val="3"/>
        <w:pageBreakBefore w:val="0"/>
        <w:kinsoku/>
        <w:wordWrap/>
        <w:overflowPunct/>
        <w:topLinePunct w:val="0"/>
        <w:bidi w:val="0"/>
        <w:spacing w:line="440" w:lineRule="exact"/>
        <w:rPr>
          <w:rFonts w:hint="eastAsia"/>
          <w:color w:val="auto"/>
          <w:lang w:val="zh-CN"/>
        </w:rPr>
      </w:pPr>
      <w:bookmarkStart w:id="77" w:name="_Toc121491761"/>
      <w:bookmarkStart w:id="78" w:name="_Toc21758"/>
      <w:r>
        <w:rPr>
          <w:rFonts w:hint="eastAsia"/>
          <w:color w:val="auto"/>
          <w:lang w:val="zh-CN"/>
        </w:rPr>
        <w:t>2. 评标标准</w:t>
      </w:r>
      <w:bookmarkEnd w:id="77"/>
      <w:bookmarkEnd w:id="78"/>
    </w:p>
    <w:p w14:paraId="43ED5184">
      <w:pPr>
        <w:pageBreakBefore w:val="0"/>
        <w:kinsoku/>
        <w:wordWrap/>
        <w:overflowPunct/>
        <w:topLinePunct w:val="0"/>
        <w:autoSpaceDE w:val="0"/>
        <w:autoSpaceDN w:val="0"/>
        <w:bidi w:val="0"/>
        <w:adjustRightInd w:val="0"/>
        <w:snapToGrid w:val="0"/>
        <w:spacing w:line="440" w:lineRule="exact"/>
        <w:ind w:firstLine="482" w:firstLineChars="200"/>
        <w:jc w:val="left"/>
        <w:rPr>
          <w:rFonts w:hint="eastAsia" w:ascii="宋体" w:hAnsi="宋体" w:eastAsia="宋体" w:cs="宋体"/>
          <w:color w:val="auto"/>
          <w:sz w:val="24"/>
        </w:rPr>
      </w:pPr>
      <w:r>
        <w:rPr>
          <w:rFonts w:hint="eastAsia" w:ascii="宋体" w:hAnsi="宋体" w:eastAsia="宋体" w:cs="宋体"/>
          <w:b/>
          <w:color w:val="auto"/>
          <w:sz w:val="24"/>
        </w:rPr>
        <w:t>2.1 符合性审查标准：</w:t>
      </w:r>
      <w:r>
        <w:rPr>
          <w:rFonts w:hint="eastAsia" w:ascii="宋体" w:hAnsi="宋体" w:eastAsia="宋体" w:cs="宋体"/>
          <w:color w:val="auto"/>
          <w:sz w:val="24"/>
        </w:rPr>
        <w:t>见评标办法前附表</w:t>
      </w:r>
    </w:p>
    <w:p w14:paraId="0768257A">
      <w:pPr>
        <w:pageBreakBefore w:val="0"/>
        <w:kinsoku/>
        <w:wordWrap/>
        <w:overflowPunct/>
        <w:topLinePunct w:val="0"/>
        <w:autoSpaceDE w:val="0"/>
        <w:autoSpaceDN w:val="0"/>
        <w:bidi w:val="0"/>
        <w:adjustRightInd w:val="0"/>
        <w:snapToGrid w:val="0"/>
        <w:spacing w:line="44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2.2 详细评审标准</w:t>
      </w:r>
    </w:p>
    <w:p w14:paraId="4F599E21">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2.2.1 分值构成：见评标办法前附表</w:t>
      </w:r>
    </w:p>
    <w:p w14:paraId="15599147">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2.2.2 评分标准：见评标办法前附表</w:t>
      </w:r>
    </w:p>
    <w:p w14:paraId="290FC1A5">
      <w:pPr>
        <w:pStyle w:val="3"/>
        <w:pageBreakBefore w:val="0"/>
        <w:kinsoku/>
        <w:wordWrap/>
        <w:overflowPunct/>
        <w:topLinePunct w:val="0"/>
        <w:bidi w:val="0"/>
        <w:spacing w:line="440" w:lineRule="exact"/>
        <w:rPr>
          <w:rFonts w:hint="eastAsia"/>
          <w:color w:val="auto"/>
          <w:lang w:val="zh-CN"/>
        </w:rPr>
      </w:pPr>
      <w:bookmarkStart w:id="79" w:name="_Toc121491762"/>
      <w:bookmarkStart w:id="80" w:name="_Toc12557"/>
      <w:r>
        <w:rPr>
          <w:rFonts w:hint="eastAsia"/>
          <w:color w:val="auto"/>
          <w:lang w:val="zh-CN"/>
        </w:rPr>
        <w:t>3. 评标程序</w:t>
      </w:r>
      <w:bookmarkEnd w:id="79"/>
      <w:bookmarkEnd w:id="80"/>
    </w:p>
    <w:p w14:paraId="55085A00">
      <w:pPr>
        <w:pageBreakBefore w:val="0"/>
        <w:kinsoku/>
        <w:wordWrap/>
        <w:overflowPunct/>
        <w:topLinePunct w:val="0"/>
        <w:autoSpaceDE w:val="0"/>
        <w:autoSpaceDN w:val="0"/>
        <w:bidi w:val="0"/>
        <w:adjustRightInd w:val="0"/>
        <w:snapToGrid w:val="0"/>
        <w:spacing w:line="44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3.1 审阅招标文件</w:t>
      </w:r>
    </w:p>
    <w:p w14:paraId="72E0909A">
      <w:pPr>
        <w:pStyle w:val="31"/>
        <w:pageBreakBefore w:val="0"/>
        <w:kinsoku/>
        <w:wordWrap/>
        <w:overflowPunct/>
        <w:topLinePunct w:val="0"/>
        <w:bidi w:val="0"/>
        <w:snapToGrid w:val="0"/>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3.1.1</w:t>
      </w:r>
      <w:r>
        <w:rPr>
          <w:rFonts w:hint="eastAsia" w:hAnsi="宋体" w:cs="宋体"/>
          <w:color w:val="auto"/>
          <w:lang w:val="en-US" w:eastAsia="zh-CN"/>
        </w:rPr>
        <w:t xml:space="preserve"> </w:t>
      </w:r>
      <w:r>
        <w:rPr>
          <w:rFonts w:hint="eastAsia" w:ascii="宋体" w:hAnsi="宋体" w:eastAsia="宋体" w:cs="宋体"/>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14:paraId="00DC8860">
      <w:pPr>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3.1.2</w:t>
      </w:r>
      <w:r>
        <w:rPr>
          <w:rFonts w:hint="eastAsia" w:cs="宋体"/>
          <w:color w:val="auto"/>
          <w:sz w:val="24"/>
          <w:lang w:val="en-US" w:eastAsia="zh-CN"/>
        </w:rPr>
        <w:t xml:space="preserve"> </w:t>
      </w:r>
      <w:r>
        <w:rPr>
          <w:rFonts w:hint="eastAsia" w:ascii="宋体" w:hAnsi="宋体" w:eastAsia="宋体" w:cs="宋体"/>
          <w:color w:val="auto"/>
          <w:sz w:val="24"/>
        </w:rPr>
        <w:t>评标委员会</w:t>
      </w:r>
      <w:r>
        <w:rPr>
          <w:rFonts w:hint="eastAsia" w:ascii="宋体" w:hAnsi="宋体" w:eastAsia="宋体" w:cs="宋体"/>
          <w:color w:val="auto"/>
          <w:sz w:val="24"/>
          <w:szCs w:val="21"/>
        </w:rPr>
        <w:t>要求解释</w:t>
      </w:r>
      <w:r>
        <w:rPr>
          <w:rFonts w:hint="eastAsia" w:ascii="宋体" w:hAnsi="宋体" w:eastAsia="宋体" w:cs="宋体"/>
          <w:color w:val="auto"/>
          <w:sz w:val="24"/>
        </w:rPr>
        <w:t>招标文件的，书面提出需解释的相关招标文件的具体内容后、由采购代理机构或者采购人进行书面解释。</w:t>
      </w:r>
    </w:p>
    <w:p w14:paraId="3065F318">
      <w:pPr>
        <w:pageBreakBefore w:val="0"/>
        <w:kinsoku/>
        <w:wordWrap/>
        <w:overflowPunct/>
        <w:topLinePunct w:val="0"/>
        <w:autoSpaceDE w:val="0"/>
        <w:autoSpaceDN w:val="0"/>
        <w:bidi w:val="0"/>
        <w:adjustRightInd w:val="0"/>
        <w:snapToGrid w:val="0"/>
        <w:spacing w:line="44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3.2 符合性审查</w:t>
      </w:r>
    </w:p>
    <w:p w14:paraId="05D3268C">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3.2.1 评标委员会对符合资格的投标人的投标文件进行符合性审查，以确定其是否满足招标文件的实质性要求。</w:t>
      </w:r>
    </w:p>
    <w:p w14:paraId="1783E89E">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评标委员会依据本章第2.1款规定的标准对投标文件进行符合性评审。有一项不符合评审标准的，作无效投标处理。</w:t>
      </w:r>
    </w:p>
    <w:p w14:paraId="3CB9FE46">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3.2.2 投标人有以下情形之一的，其投标作无效投标处理：</w:t>
      </w:r>
    </w:p>
    <w:p w14:paraId="7909F84F">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（1）投标人不符合国家或者招标文件规定的资格条件；</w:t>
      </w:r>
    </w:p>
    <w:p w14:paraId="614B59F5">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（2）投标人没有按照招标文件要求提供投标承诺函；</w:t>
      </w:r>
    </w:p>
    <w:p w14:paraId="751B0B43">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（3）投标联合体不符合招标文件规定；</w:t>
      </w:r>
    </w:p>
    <w:p w14:paraId="5B69A257">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（4）投标文件的签字盖章不符合招标文件规定；</w:t>
      </w:r>
    </w:p>
    <w:p w14:paraId="18D3C6C0">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（5）投标报价超过招标文件中规定的预算金额或者最高限价的；</w:t>
      </w:r>
    </w:p>
    <w:p w14:paraId="1978CB4F">
      <w:pPr>
        <w:pageBreakBefore w:val="0"/>
        <w:kinsoku/>
        <w:wordWrap/>
        <w:overflowPunct/>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（6）同一投标人提交两个以上不同的投标文件或者投标报价，投标文件的每种报价有两个报价或其他选择性报价的。</w:t>
      </w:r>
    </w:p>
    <w:p w14:paraId="3985E75E">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（7）投标文件没有对招标文件的实质性要求和条件作出实质性响应，或不符合招标文件的实质性要求和条件；</w:t>
      </w:r>
    </w:p>
    <w:p w14:paraId="7193CF09">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（8）投标文件附有招标项目不能接受的条件或不符合国家强制性规定的；</w:t>
      </w:r>
    </w:p>
    <w:p w14:paraId="0902194D">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（9）单位负责人为同一人或者存在控股、管理关系的不同单位，参加同一项目（标段&lt;包&gt;）投标的；</w:t>
      </w:r>
    </w:p>
    <w:p w14:paraId="4BAFDC65">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（10）为招标项目提供整体设计、规范编制或者项目管理、监理、检测等服务的</w:t>
      </w:r>
      <w:r>
        <w:rPr>
          <w:rFonts w:hint="eastAsia" w:cs="宋体"/>
          <w:color w:val="auto"/>
          <w:sz w:val="24"/>
          <w:lang w:eastAsia="zh-CN"/>
        </w:rPr>
        <w:t>投标人</w:t>
      </w:r>
      <w:r>
        <w:rPr>
          <w:rFonts w:hint="eastAsia" w:ascii="宋体" w:hAnsi="宋体" w:eastAsia="宋体" w:cs="宋体"/>
          <w:color w:val="auto"/>
          <w:sz w:val="24"/>
        </w:rPr>
        <w:t>，不得再参加该招标项目的其他采购活动。</w:t>
      </w:r>
    </w:p>
    <w:p w14:paraId="1AD35747">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（11）组成联合体或者接受分包的小微企业与联合体内其他企业、分包企业之间存在直接控股、管理关系的。</w:t>
      </w:r>
    </w:p>
    <w:p w14:paraId="7C2B4A73">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（12）提供虚假材料谋取中标的；</w:t>
      </w:r>
    </w:p>
    <w:p w14:paraId="7E12F859">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（13）不确认本章3.4.1项对投标报价的算术修正的；</w:t>
      </w:r>
    </w:p>
    <w:p w14:paraId="5F6619E4">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3CB146A6">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（15）投标人有串通投标、行贿等违法行为。其中，有下列情形之一的，视为投标人相互串通投标：</w:t>
      </w:r>
    </w:p>
    <w:p w14:paraId="12ABBE6A">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    ◆不同投标人的投标文件由同一单位或者个人编制；</w:t>
      </w:r>
    </w:p>
    <w:p w14:paraId="0701302C">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    ◆不同投标人委托同一单位或者个人办理投标事宜；</w:t>
      </w:r>
    </w:p>
    <w:p w14:paraId="0A48EE70">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    ◆不同投标人的投标文件载明的项目管理成员为同一人；</w:t>
      </w:r>
    </w:p>
    <w:p w14:paraId="1232DD17">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    ◆不同投标人的投标文件异常一致或者投标报价呈规律性差异；</w:t>
      </w:r>
    </w:p>
    <w:p w14:paraId="653908DE">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    ◆不同投标人的投标文件相互混装；</w:t>
      </w:r>
    </w:p>
    <w:p w14:paraId="41A998E1">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（16）根据豫财购〔2021〕6号文件，参与同一个标段(包)的</w:t>
      </w:r>
      <w:r>
        <w:rPr>
          <w:rFonts w:hint="eastAsia" w:cs="宋体"/>
          <w:color w:val="auto"/>
          <w:sz w:val="24"/>
          <w:lang w:eastAsia="zh-CN"/>
        </w:rPr>
        <w:t>投标人</w:t>
      </w:r>
      <w:r>
        <w:rPr>
          <w:rFonts w:hint="eastAsia" w:ascii="宋体" w:hAnsi="宋体" w:eastAsia="宋体" w:cs="宋体"/>
          <w:color w:val="auto"/>
          <w:sz w:val="24"/>
        </w:rPr>
        <w:t>存在下列情形之一的，其投标(响应)文件无效:</w:t>
      </w:r>
    </w:p>
    <w:p w14:paraId="41FF6939">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的电子投标(响应)文件上传计算机的网卡MAC地址、CPU序列号和硬盘序列号等硬件信息相同的；</w:t>
      </w:r>
    </w:p>
    <w:p w14:paraId="22F3A037">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的投标(响应)文件由同一电子设备编制、打印加密或者上传；</w:t>
      </w:r>
    </w:p>
    <w:p w14:paraId="4682D238">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的投标(响应)文件由同一电子设备打印、复印；</w:t>
      </w:r>
    </w:p>
    <w:p w14:paraId="4E2F185A">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的投标(响应)文件由同一人送达或者分发，或者不同</w:t>
      </w:r>
      <w:r>
        <w:rPr>
          <w:rFonts w:hint="eastAsia" w:cs="宋体"/>
          <w:color w:val="auto"/>
          <w:sz w:val="24"/>
          <w:lang w:eastAsia="zh-CN"/>
        </w:rPr>
        <w:t>投标人</w:t>
      </w:r>
      <w:r>
        <w:rPr>
          <w:rFonts w:hint="eastAsia" w:ascii="宋体" w:hAnsi="宋体" w:eastAsia="宋体" w:cs="宋体"/>
          <w:color w:val="auto"/>
          <w:sz w:val="24"/>
        </w:rPr>
        <w:t>联系人为同一人或不同联系人的联系电话一致的；</w:t>
      </w:r>
    </w:p>
    <w:p w14:paraId="4E29D9F8">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的投标(响应)文件的内容存在两处以上细节错误一致；</w:t>
      </w:r>
    </w:p>
    <w:p w14:paraId="73848E5D">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的法定代表人、委托代理人、项目经理、项目负责人等由同一个单位缴纳社会保险或者领取报酬的；</w:t>
      </w:r>
    </w:p>
    <w:p w14:paraId="67DD14C1">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◆不同</w:t>
      </w:r>
      <w:r>
        <w:rPr>
          <w:rFonts w:hint="eastAsia" w:cs="宋体"/>
          <w:color w:val="auto"/>
          <w:sz w:val="24"/>
          <w:lang w:eastAsia="zh-CN"/>
        </w:rPr>
        <w:t>投标人</w:t>
      </w:r>
      <w:r>
        <w:rPr>
          <w:rFonts w:hint="eastAsia" w:ascii="宋体" w:hAnsi="宋体" w:eastAsia="宋体" w:cs="宋体"/>
          <w:color w:val="auto"/>
          <w:sz w:val="24"/>
        </w:rPr>
        <w:t>投标(响应)文件中法定代表人或者负责人签字出自同一人之手；</w:t>
      </w:r>
    </w:p>
    <w:p w14:paraId="582F2A60">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cs="宋体"/>
          <w:color w:val="auto"/>
          <w:sz w:val="24"/>
          <w:lang w:eastAsia="zh-CN"/>
        </w:rPr>
        <w:t>其他</w:t>
      </w:r>
      <w:r>
        <w:rPr>
          <w:rFonts w:hint="eastAsia" w:ascii="宋体" w:hAnsi="宋体" w:eastAsia="宋体" w:cs="宋体"/>
          <w:color w:val="auto"/>
          <w:sz w:val="24"/>
        </w:rPr>
        <w:t>涉嫌串通的情形。</w:t>
      </w:r>
    </w:p>
    <w:p w14:paraId="0A53D096">
      <w:pPr>
        <w:pageBreakBefore w:val="0"/>
        <w:kinsoku/>
        <w:wordWrap/>
        <w:overflowPunct/>
        <w:topLinePunct w:val="0"/>
        <w:autoSpaceDE w:val="0"/>
        <w:autoSpaceDN w:val="0"/>
        <w:bidi w:val="0"/>
        <w:adjustRightInd w:val="0"/>
        <w:snapToGrid w:val="0"/>
        <w:spacing w:line="440" w:lineRule="exact"/>
        <w:ind w:firstLine="539"/>
        <w:rPr>
          <w:rFonts w:hint="eastAsia" w:ascii="宋体" w:hAnsi="宋体" w:eastAsia="宋体" w:cs="宋体"/>
          <w:color w:val="auto"/>
          <w:sz w:val="24"/>
        </w:rPr>
      </w:pPr>
      <w:r>
        <w:rPr>
          <w:rFonts w:hint="eastAsia" w:ascii="宋体" w:hAnsi="宋体" w:eastAsia="宋体" w:cs="宋体"/>
          <w:color w:val="auto"/>
          <w:sz w:val="24"/>
        </w:rPr>
        <w:t>(17</w:t>
      </w:r>
      <w:r>
        <w:rPr>
          <w:rFonts w:hint="eastAsia" w:cs="宋体"/>
          <w:color w:val="auto"/>
          <w:sz w:val="24"/>
          <w:lang w:eastAsia="zh-CN"/>
        </w:rPr>
        <w:t>)根</w:t>
      </w:r>
      <w:r>
        <w:rPr>
          <w:rFonts w:hint="eastAsia" w:ascii="宋体" w:hAnsi="宋体" w:eastAsia="宋体" w:cs="宋体"/>
          <w:color w:val="auto"/>
          <w:sz w:val="24"/>
        </w:rPr>
        <w:t>据豫财购〔2021〕6号文件精神，工程领域招标投标行政主管部门对</w:t>
      </w:r>
      <w:r>
        <w:rPr>
          <w:rFonts w:hint="eastAsia" w:cs="宋体"/>
          <w:color w:val="auto"/>
          <w:sz w:val="24"/>
          <w:lang w:eastAsia="zh-CN"/>
        </w:rPr>
        <w:t>投标人</w:t>
      </w:r>
      <w:r>
        <w:rPr>
          <w:rFonts w:hint="eastAsia" w:ascii="宋体" w:hAnsi="宋体" w:eastAsia="宋体" w:cs="宋体"/>
          <w:color w:val="auto"/>
          <w:sz w:val="24"/>
        </w:rPr>
        <w:t>串通投标等予以市场禁入的，在本次政府采购活动中，该</w:t>
      </w:r>
      <w:r>
        <w:rPr>
          <w:rFonts w:hint="eastAsia" w:cs="宋体"/>
          <w:color w:val="auto"/>
          <w:sz w:val="24"/>
          <w:lang w:eastAsia="zh-CN"/>
        </w:rPr>
        <w:t>投标人</w:t>
      </w:r>
      <w:r>
        <w:rPr>
          <w:rFonts w:hint="eastAsia" w:ascii="宋体" w:hAnsi="宋体" w:eastAsia="宋体" w:cs="宋体"/>
          <w:color w:val="auto"/>
          <w:sz w:val="24"/>
        </w:rPr>
        <w:t>投标(响应)文件无效。</w:t>
      </w:r>
    </w:p>
    <w:p w14:paraId="0ED24BF9">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bCs/>
          <w:color w:val="auto"/>
          <w:sz w:val="24"/>
        </w:rPr>
        <w:t xml:space="preserve">3.2.3 </w:t>
      </w:r>
      <w:r>
        <w:rPr>
          <w:rFonts w:hint="eastAsia" w:ascii="宋体" w:hAnsi="宋体" w:eastAsia="宋体" w:cs="宋体"/>
          <w:b/>
          <w:color w:val="auto"/>
          <w:sz w:val="24"/>
        </w:rPr>
        <w:t>未实质性响应招标文件的投标文件按无效处理，评标委员会应当告知有关</w:t>
      </w:r>
      <w:r>
        <w:rPr>
          <w:rFonts w:hint="eastAsia" w:cs="宋体"/>
          <w:b/>
          <w:color w:val="auto"/>
          <w:sz w:val="24"/>
          <w:lang w:eastAsia="zh-CN"/>
        </w:rPr>
        <w:t>投标人</w:t>
      </w:r>
      <w:r>
        <w:rPr>
          <w:rFonts w:hint="eastAsia" w:ascii="宋体" w:hAnsi="宋体" w:eastAsia="宋体" w:cs="宋体"/>
          <w:b/>
          <w:color w:val="auto"/>
          <w:sz w:val="24"/>
        </w:rPr>
        <w:t>。</w:t>
      </w:r>
    </w:p>
    <w:p w14:paraId="3F6511F0">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cs="宋体"/>
          <w:color w:val="auto"/>
          <w:sz w:val="24"/>
          <w:lang w:val="en-US" w:eastAsia="zh-CN"/>
        </w:rPr>
        <w:t xml:space="preserve">3.2.4 </w:t>
      </w:r>
      <w:r>
        <w:rPr>
          <w:rFonts w:hint="eastAsia" w:ascii="宋体" w:hAnsi="宋体" w:eastAsia="宋体" w:cs="宋体"/>
          <w:color w:val="auto"/>
          <w:sz w:val="24"/>
        </w:rPr>
        <w:t>评标委员会负责审查确定每一投标项目是否对</w:t>
      </w:r>
      <w:r>
        <w:rPr>
          <w:rFonts w:hint="eastAsia" w:ascii="宋体" w:hAnsi="宋体" w:eastAsia="宋体" w:cs="宋体"/>
          <w:color w:val="auto"/>
          <w:sz w:val="24"/>
          <w:szCs w:val="24"/>
        </w:rPr>
        <w:t>招标</w:t>
      </w:r>
      <w:r>
        <w:rPr>
          <w:rFonts w:hint="eastAsia" w:ascii="宋体" w:hAnsi="宋体" w:eastAsia="宋体" w:cs="宋体"/>
          <w:color w:val="auto"/>
          <w:sz w:val="24"/>
        </w:rPr>
        <w:t>文件的实质性要求作出了实质性的响应，而没有重大偏离和保留。实质性响应的投标是指投标符合</w:t>
      </w:r>
      <w:r>
        <w:rPr>
          <w:rFonts w:hint="eastAsia" w:ascii="宋体" w:hAnsi="宋体" w:eastAsia="宋体" w:cs="宋体"/>
          <w:color w:val="auto"/>
          <w:sz w:val="24"/>
          <w:szCs w:val="24"/>
        </w:rPr>
        <w:t>招标</w:t>
      </w:r>
      <w:r>
        <w:rPr>
          <w:rFonts w:hint="eastAsia" w:ascii="宋体" w:hAnsi="宋体" w:eastAsia="宋体" w:cs="宋体"/>
          <w:color w:val="auto"/>
          <w:sz w:val="24"/>
        </w:rPr>
        <w:t>文件的所有条款、条件和规定且没有重大偏离和保留（重大偏离和保留是指影响到</w:t>
      </w:r>
      <w:r>
        <w:rPr>
          <w:rFonts w:hint="eastAsia" w:ascii="宋体" w:hAnsi="宋体" w:eastAsia="宋体" w:cs="宋体"/>
          <w:color w:val="auto"/>
          <w:sz w:val="24"/>
          <w:szCs w:val="24"/>
        </w:rPr>
        <w:t>招标</w:t>
      </w:r>
      <w:r>
        <w:rPr>
          <w:rFonts w:hint="eastAsia" w:ascii="宋体" w:hAnsi="宋体" w:eastAsia="宋体" w:cs="宋体"/>
          <w:color w:val="auto"/>
          <w:sz w:val="24"/>
        </w:rPr>
        <w:t>文件和投标人的义务的规定，而纠正这些偏离将影响到其他提交实质性响应投标人的公平竞争地位）。</w:t>
      </w:r>
    </w:p>
    <w:p w14:paraId="74AD6F58">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cs="宋体"/>
          <w:color w:val="auto"/>
          <w:sz w:val="24"/>
          <w:lang w:val="en-US" w:eastAsia="zh-CN"/>
        </w:rPr>
        <w:t>5</w:t>
      </w:r>
      <w:r>
        <w:rPr>
          <w:rFonts w:hint="eastAsia" w:ascii="宋体" w:hAnsi="宋体" w:eastAsia="宋体" w:cs="宋体"/>
          <w:color w:val="auto"/>
          <w:sz w:val="24"/>
        </w:rPr>
        <w:t xml:space="preserve"> 评标委员会判断投标文件的响应性仅基于投标文件本身而不靠外部证据。</w:t>
      </w:r>
    </w:p>
    <w:p w14:paraId="60E8A940">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cs="宋体"/>
          <w:color w:val="auto"/>
          <w:sz w:val="24"/>
          <w:lang w:val="en-US" w:eastAsia="zh-CN"/>
        </w:rPr>
        <w:t>6</w:t>
      </w:r>
      <w:r>
        <w:rPr>
          <w:rFonts w:hint="eastAsia" w:ascii="宋体" w:hAnsi="宋体" w:eastAsia="宋体" w:cs="宋体"/>
          <w:color w:val="auto"/>
          <w:sz w:val="24"/>
        </w:rPr>
        <w:t xml:space="preserve"> 评标委员会拒绝被确定为非实质性响应的投标人，投标人不得通过修正或撤销不符之处而使其投标成为实质性响应的投标。</w:t>
      </w:r>
    </w:p>
    <w:p w14:paraId="025F189E">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cs="宋体"/>
          <w:color w:val="auto"/>
          <w:sz w:val="24"/>
          <w:lang w:val="en-US" w:eastAsia="zh-CN"/>
        </w:rPr>
        <w:t>7</w:t>
      </w:r>
      <w:r>
        <w:rPr>
          <w:rFonts w:hint="eastAsia" w:ascii="宋体" w:hAnsi="宋体" w:eastAsia="宋体" w:cs="宋体"/>
          <w:color w:val="auto"/>
          <w:sz w:val="24"/>
        </w:rPr>
        <w:t xml:space="preserve"> 允许投标人修改投标中不构成重大偏离的、微小的、非正规、不一致或不规则的地方。</w:t>
      </w:r>
    </w:p>
    <w:p w14:paraId="108CE368">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color w:val="auto"/>
          <w:sz w:val="24"/>
        </w:rPr>
        <w:t>3.3 投标文件的澄清</w:t>
      </w:r>
    </w:p>
    <w:p w14:paraId="2B315FA8">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color w:val="auto"/>
          <w:sz w:val="24"/>
        </w:rPr>
        <w:t>投标文件的澄清在招标公告所述网上电子交易系统进行。</w:t>
      </w:r>
    </w:p>
    <w:p w14:paraId="54D3C5BC">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color w:val="auto"/>
          <w:sz w:val="24"/>
        </w:rPr>
        <w:t>3.3.1 评审期间，投标人法定代表人须时刻关注电子开标室并保持通讯畅通。如因通讯不畅导致投标人无法及时澄清而被认定为无效响应等后果的，由投标人自行承担。</w:t>
      </w:r>
    </w:p>
    <w:p w14:paraId="0C403161">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3.3.2　为有助于对投标文件进行审查、评估和比较，评标委员会有权个别的向投标人提出质疑，请投标人澄清其投标内容。</w:t>
      </w:r>
    </w:p>
    <w:p w14:paraId="70DB658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3.3.3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6F72876B">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b/>
          <w:color w:val="auto"/>
          <w:sz w:val="24"/>
        </w:rPr>
      </w:pPr>
      <w:r>
        <w:rPr>
          <w:rFonts w:hint="eastAsia" w:ascii="宋体" w:hAnsi="宋体" w:eastAsia="宋体" w:cs="宋体"/>
          <w:color w:val="auto"/>
          <w:sz w:val="24"/>
        </w:rPr>
        <w:t>3.3.4　</w:t>
      </w:r>
      <w:r>
        <w:rPr>
          <w:rFonts w:hint="eastAsia" w:ascii="宋体" w:hAnsi="宋体" w:eastAsia="宋体" w:cs="宋体"/>
          <w:b/>
          <w:color w:val="auto"/>
          <w:sz w:val="24"/>
        </w:rPr>
        <w:t>投标人的澄清、说明或者更正应当采用书面形式，应加盖投标人电子签章或其法定代表人电子签名</w:t>
      </w:r>
      <w:r>
        <w:rPr>
          <w:rFonts w:hint="eastAsia" w:cs="宋体"/>
          <w:b/>
          <w:color w:val="auto"/>
          <w:sz w:val="24"/>
          <w:lang w:eastAsia="zh-CN"/>
        </w:rPr>
        <w:t>（</w:t>
      </w:r>
      <w:r>
        <w:rPr>
          <w:rFonts w:hint="eastAsia" w:cs="宋体"/>
          <w:b/>
          <w:color w:val="auto"/>
          <w:sz w:val="24"/>
          <w:lang w:val="en-US" w:eastAsia="zh-CN"/>
        </w:rPr>
        <w:t>签章</w:t>
      </w:r>
      <w:r>
        <w:rPr>
          <w:rFonts w:hint="eastAsia" w:cs="宋体"/>
          <w:b/>
          <w:color w:val="auto"/>
          <w:sz w:val="24"/>
          <w:lang w:eastAsia="zh-CN"/>
        </w:rPr>
        <w:t>）</w:t>
      </w:r>
      <w:r>
        <w:rPr>
          <w:rFonts w:hint="eastAsia" w:ascii="宋体" w:hAnsi="宋体" w:eastAsia="宋体" w:cs="宋体"/>
          <w:b/>
          <w:color w:val="auto"/>
          <w:sz w:val="24"/>
        </w:rPr>
        <w:t>，并将澄清等内容作为附件上传至系统中。</w:t>
      </w:r>
    </w:p>
    <w:p w14:paraId="15D1843A">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3.3.5　投标人的澄清文件是投标文件的组成部分，并取代投标文件中被澄清的部分。</w:t>
      </w:r>
    </w:p>
    <w:p w14:paraId="108E51DD">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3.3.6　澄清文件应按评标委员会规定的时间提交。</w:t>
      </w:r>
    </w:p>
    <w:p w14:paraId="54C2F27C">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color w:val="auto"/>
          <w:sz w:val="24"/>
        </w:rPr>
        <w:t>3.4 详细评审</w:t>
      </w:r>
    </w:p>
    <w:p w14:paraId="187580C8">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color w:val="auto"/>
          <w:sz w:val="24"/>
        </w:rPr>
      </w:pPr>
      <w:r>
        <w:rPr>
          <w:rFonts w:hint="eastAsia" w:ascii="宋体" w:hAnsi="宋体" w:eastAsia="宋体" w:cs="宋体"/>
          <w:b/>
          <w:color w:val="auto"/>
          <w:sz w:val="24"/>
        </w:rPr>
        <w:t xml:space="preserve">3.4.1  </w:t>
      </w:r>
      <w:r>
        <w:rPr>
          <w:rFonts w:hint="eastAsia" w:ascii="宋体" w:hAnsi="宋体" w:eastAsia="宋体" w:cs="宋体"/>
          <w:color w:val="auto"/>
          <w:sz w:val="24"/>
        </w:rPr>
        <w:t>投标文件报价出现前后不一致的，按照下列规定修正：</w:t>
      </w:r>
    </w:p>
    <w:p w14:paraId="6827951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szCs w:val="24"/>
        </w:rPr>
        <w:t>“安阳市公共资源交易中心电子交易平台”系统</w:t>
      </w:r>
      <w:r>
        <w:rPr>
          <w:rFonts w:hint="eastAsia" w:ascii="宋体" w:hAnsi="宋体" w:eastAsia="宋体" w:cs="宋体"/>
          <w:color w:val="auto"/>
          <w:sz w:val="24"/>
        </w:rPr>
        <w:t>中开标一览表（报价表）内容与投标文件中相应内容不一致的，以开标一览表（报价表）为准；</w:t>
      </w:r>
    </w:p>
    <w:p w14:paraId="698C9ECD">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（2）大写金额和小写金额不一致的，以大写金额为准；</w:t>
      </w:r>
    </w:p>
    <w:p w14:paraId="0FEAE50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（3）单价金额小数点或者百分比有明显错位的，以开标一览表的总价为准，并修改单价；</w:t>
      </w:r>
    </w:p>
    <w:p w14:paraId="79C7D2B1">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（4）总价金额与按单价汇总金额不一致的，以单价金额计算结果为准。</w:t>
      </w:r>
    </w:p>
    <w:p w14:paraId="5E361ABA">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同时出现两种以上不一致的，按照前款规定的顺序修正。修正后的报价按照本章3.3.4项规定经投标人确认后产生约束力，投标人不确认的，其投标无效。</w:t>
      </w:r>
    </w:p>
    <w:p w14:paraId="7E739E56">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3.4.2 按本章第4 条规定执行促进中小企业发展扶持政策，用扣除后的价格参与评审。</w:t>
      </w:r>
    </w:p>
    <w:p w14:paraId="6BBEC9D7">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bCs/>
          <w:color w:val="auto"/>
          <w:sz w:val="24"/>
        </w:rPr>
      </w:pPr>
      <w:r>
        <w:rPr>
          <w:rFonts w:hint="eastAsia" w:ascii="宋体" w:hAnsi="宋体" w:eastAsia="宋体" w:cs="宋体"/>
          <w:b/>
          <w:bCs/>
          <w:color w:val="auto"/>
          <w:sz w:val="24"/>
        </w:rPr>
        <w:t>3.4.3 提供相同品牌</w:t>
      </w:r>
      <w:r>
        <w:rPr>
          <w:rFonts w:hint="eastAsia" w:cs="宋体"/>
          <w:b/>
          <w:bCs/>
          <w:color w:val="auto"/>
          <w:sz w:val="24"/>
          <w:lang w:val="en-US" w:eastAsia="zh-CN"/>
        </w:rPr>
        <w:t>核心</w:t>
      </w:r>
      <w:r>
        <w:rPr>
          <w:rFonts w:hint="eastAsia" w:ascii="宋体" w:hAnsi="宋体" w:eastAsia="宋体" w:cs="宋体"/>
          <w:b/>
          <w:bCs/>
          <w:color w:val="auto"/>
          <w:sz w:val="24"/>
        </w:rPr>
        <w:t>产品且通过资格审查、符合性审查的不同投标人参加同一合同项下投标的，按一家投标人计算，评审后得分最高的</w:t>
      </w:r>
      <w:r>
        <w:rPr>
          <w:rFonts w:hint="eastAsia" w:cs="宋体"/>
          <w:b/>
          <w:bCs/>
          <w:color w:val="auto"/>
          <w:sz w:val="24"/>
          <w:lang w:val="en-US" w:eastAsia="zh-CN"/>
        </w:rPr>
        <w:t>核心产品</w:t>
      </w:r>
      <w:r>
        <w:rPr>
          <w:rFonts w:hint="eastAsia" w:ascii="宋体" w:hAnsi="宋体" w:eastAsia="宋体" w:cs="宋体"/>
          <w:b/>
          <w:bCs/>
          <w:color w:val="auto"/>
          <w:sz w:val="24"/>
        </w:rPr>
        <w:t>同品牌投标人获得中标人推荐资格；评审得分相同的，由采购人或者采购人委托评标委员会按照招标文件规定的方式确定一个投标人获得中标人推荐资格</w:t>
      </w:r>
      <w:r>
        <w:rPr>
          <w:rFonts w:hint="eastAsia" w:cs="宋体"/>
          <w:b/>
          <w:bCs/>
          <w:color w:val="auto"/>
          <w:sz w:val="24"/>
          <w:lang w:eastAsia="zh-CN"/>
        </w:rPr>
        <w:t>（</w:t>
      </w:r>
      <w:r>
        <w:rPr>
          <w:rFonts w:hint="eastAsia" w:ascii="宋体" w:hAnsi="宋体"/>
          <w:b/>
          <w:color w:val="auto"/>
          <w:sz w:val="24"/>
          <w:szCs w:val="24"/>
          <w:highlight w:val="none"/>
          <w:lang w:val="en-US" w:eastAsia="zh-CN"/>
        </w:rPr>
        <w:t>核心产品同品牌供应商得分相同时，报价最低的投标人获得推荐中标人资格</w:t>
      </w:r>
      <w:r>
        <w:rPr>
          <w:rFonts w:hint="eastAsia" w:cs="宋体"/>
          <w:b/>
          <w:bCs/>
          <w:color w:val="auto"/>
          <w:sz w:val="24"/>
          <w:lang w:eastAsia="zh-CN"/>
        </w:rPr>
        <w:t>）</w:t>
      </w:r>
      <w:r>
        <w:rPr>
          <w:rFonts w:hint="eastAsia" w:ascii="宋体" w:hAnsi="宋体" w:eastAsia="宋体" w:cs="宋体"/>
          <w:b/>
          <w:bCs/>
          <w:color w:val="auto"/>
          <w:sz w:val="24"/>
        </w:rPr>
        <w:t>，招标文件未规定的采取随机抽取方式确定，其他</w:t>
      </w:r>
      <w:r>
        <w:rPr>
          <w:rFonts w:hint="eastAsia" w:cs="宋体"/>
          <w:b/>
          <w:bCs/>
          <w:color w:val="auto"/>
          <w:sz w:val="24"/>
          <w:lang w:val="en-US" w:eastAsia="zh-CN"/>
        </w:rPr>
        <w:t>核心产品</w:t>
      </w:r>
      <w:r>
        <w:rPr>
          <w:rFonts w:hint="eastAsia" w:ascii="宋体" w:hAnsi="宋体" w:eastAsia="宋体" w:cs="宋体"/>
          <w:b/>
          <w:bCs/>
          <w:color w:val="auto"/>
          <w:sz w:val="24"/>
        </w:rPr>
        <w:t>同品牌投标人不作为中标候选人。</w:t>
      </w:r>
    </w:p>
    <w:p w14:paraId="4AE940D4">
      <w:pPr>
        <w:pageBreakBefore w:val="0"/>
        <w:kinsoku/>
        <w:wordWrap/>
        <w:overflowPunct/>
        <w:topLinePunct w:val="0"/>
        <w:bidi w:val="0"/>
        <w:adjustRightInd w:val="0"/>
        <w:snapToGrid w:val="0"/>
        <w:spacing w:line="440" w:lineRule="exact"/>
        <w:ind w:firstLine="480"/>
        <w:jc w:val="left"/>
        <w:rPr>
          <w:rFonts w:hint="eastAsia" w:ascii="宋体" w:hAnsi="宋体" w:eastAsia="宋体" w:cs="宋体"/>
          <w:b/>
          <w:bCs/>
          <w:color w:val="auto"/>
          <w:sz w:val="24"/>
        </w:rPr>
      </w:pPr>
      <w:r>
        <w:rPr>
          <w:rFonts w:hint="eastAsia" w:ascii="宋体" w:hAnsi="宋体" w:eastAsia="宋体" w:cs="宋体"/>
          <w:b/>
          <w:bCs/>
          <w:color w:val="auto"/>
          <w:sz w:val="24"/>
        </w:rPr>
        <w:t>多家投标人提供的核心产品品牌相同的，按前项规定处理。</w:t>
      </w:r>
    </w:p>
    <w:p w14:paraId="38D81656">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3.4.4 评标委员会按本章第2.2 款规定的量化因素和分值进行打分，并计算出综合评标得分。</w:t>
      </w:r>
    </w:p>
    <w:p w14:paraId="35241921">
      <w:pPr>
        <w:pageBreakBefore w:val="0"/>
        <w:widowControl w:val="0"/>
        <w:kinsoku/>
        <w:wordWrap/>
        <w:overflowPunct/>
        <w:topLinePunct w:val="0"/>
        <w:bidi w:val="0"/>
        <w:adjustRightInd w:val="0"/>
        <w:snapToGrid w:val="0"/>
        <w:spacing w:line="440" w:lineRule="exact"/>
        <w:ind w:firstLine="623"/>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3.4.5</w:t>
      </w:r>
      <w:r>
        <w:rPr>
          <w:rFonts w:hint="eastAsia" w:cs="宋体"/>
          <w:color w:val="auto"/>
          <w:sz w:val="24"/>
          <w:szCs w:val="24"/>
          <w:lang w:val="en-US" w:eastAsia="zh-CN"/>
        </w:rPr>
        <w:t xml:space="preserve"> </w:t>
      </w:r>
      <w:r>
        <w:rPr>
          <w:rFonts w:hint="eastAsia" w:ascii="宋体" w:hAnsi="宋体" w:eastAsia="宋体" w:cs="宋体"/>
          <w:color w:val="auto"/>
          <w:sz w:val="24"/>
          <w:szCs w:val="24"/>
        </w:rPr>
        <w:t>评分计算保留2位小数，第三位小数四舍五入。评分计算中出现中间值时按插入法计算得分。</w:t>
      </w:r>
    </w:p>
    <w:p w14:paraId="551CDF6E">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bCs/>
          <w:color w:val="auto"/>
          <w:sz w:val="24"/>
        </w:rPr>
      </w:pPr>
      <w:r>
        <w:rPr>
          <w:rFonts w:hint="eastAsia" w:ascii="宋体" w:hAnsi="宋体" w:eastAsia="宋体" w:cs="宋体"/>
          <w:b/>
          <w:bCs/>
          <w:color w:val="auto"/>
          <w:sz w:val="24"/>
        </w:rPr>
        <w:t>3.4.6</w:t>
      </w:r>
      <w:r>
        <w:rPr>
          <w:rFonts w:hint="eastAsia" w:cs="宋体"/>
          <w:b/>
          <w:bCs/>
          <w:color w:val="auto"/>
          <w:sz w:val="24"/>
          <w:lang w:val="en-US" w:eastAsia="zh-CN"/>
        </w:rPr>
        <w:t xml:space="preserve"> </w:t>
      </w:r>
      <w:r>
        <w:rPr>
          <w:rFonts w:hint="eastAsia" w:ascii="宋体" w:hAnsi="宋体" w:eastAsia="宋体" w:cs="宋体"/>
          <w:b/>
          <w:bCs/>
          <w:color w:val="auto"/>
          <w:sz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D07E28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szCs w:val="24"/>
        </w:rPr>
      </w:pPr>
      <w:r>
        <w:rPr>
          <w:rFonts w:hint="eastAsia" w:ascii="宋体" w:hAnsi="宋体" w:eastAsia="宋体" w:cs="宋体"/>
          <w:color w:val="auto"/>
          <w:sz w:val="24"/>
          <w:szCs w:val="24"/>
        </w:rPr>
        <w:t>3.4.7</w:t>
      </w:r>
      <w:r>
        <w:rPr>
          <w:rFonts w:hint="eastAsia" w:cs="宋体"/>
          <w:color w:val="auto"/>
          <w:sz w:val="24"/>
          <w:szCs w:val="24"/>
          <w:lang w:val="en-US" w:eastAsia="zh-CN"/>
        </w:rPr>
        <w:t xml:space="preserve"> </w:t>
      </w:r>
      <w:r>
        <w:rPr>
          <w:rFonts w:hint="eastAsia" w:ascii="宋体" w:hAnsi="宋体" w:eastAsia="宋体" w:cs="宋体"/>
          <w:color w:val="auto"/>
          <w:sz w:val="24"/>
          <w:szCs w:val="24"/>
        </w:rPr>
        <w:t>在评标过程中，凡遇到《招标文件》中无界定或界定不清，前后不一致，使评委成员意见有分歧且又难于协商一致的问题，均由评委予以表决。</w:t>
      </w:r>
    </w:p>
    <w:p w14:paraId="7E9C0265">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3.4.8 除了算术修正和落实政府采购政策需进行的价格扣除外，评标委员会不对投标人的投标价格进行任何调整。</w:t>
      </w:r>
    </w:p>
    <w:p w14:paraId="376E84B9">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color w:val="auto"/>
          <w:sz w:val="24"/>
        </w:rPr>
      </w:pPr>
      <w:r>
        <w:rPr>
          <w:rFonts w:hint="eastAsia" w:ascii="宋体" w:hAnsi="宋体" w:eastAsia="宋体" w:cs="宋体"/>
          <w:b/>
          <w:color w:val="auto"/>
          <w:sz w:val="24"/>
        </w:rPr>
        <w:t>3.5 复核</w:t>
      </w:r>
      <w:r>
        <w:rPr>
          <w:rFonts w:hint="eastAsia" w:ascii="宋体" w:hAnsi="宋体" w:eastAsia="宋体" w:cs="宋体"/>
          <w:color w:val="auto"/>
          <w:sz w:val="24"/>
        </w:rPr>
        <w:t>：</w:t>
      </w:r>
    </w:p>
    <w:p w14:paraId="69352D0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3.5.1 评标委员会对</w:t>
      </w:r>
      <w:r>
        <w:rPr>
          <w:rFonts w:hint="eastAsia" w:cs="宋体"/>
          <w:color w:val="auto"/>
          <w:sz w:val="24"/>
          <w:lang w:eastAsia="zh-CN"/>
        </w:rPr>
        <w:t>投标人</w:t>
      </w:r>
      <w:r>
        <w:rPr>
          <w:rFonts w:hint="eastAsia" w:ascii="宋体" w:hAnsi="宋体" w:eastAsia="宋体" w:cs="宋体"/>
          <w:color w:val="auto"/>
          <w:sz w:val="24"/>
        </w:rPr>
        <w:t>的价格分等客观评分项的评分应当一致，对其他需要借助专业知识评判的主观评分项，应当严格按照评分细则公正评分，不得超出评分标准范围，对畸高、畸低的重大差异评分书面说明理由。</w:t>
      </w:r>
    </w:p>
    <w:p w14:paraId="27449D8C">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3.5.2 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14:paraId="6773B194">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color w:val="auto"/>
          <w:sz w:val="24"/>
        </w:rPr>
        <w:t>3.6 评标结果</w:t>
      </w:r>
    </w:p>
    <w:p w14:paraId="1C5A8977">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3.6.1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581F54D">
      <w:pPr>
        <w:pageBreakBefore w:val="0"/>
        <w:kinsoku/>
        <w:wordWrap/>
        <w:overflowPunct/>
        <w:topLinePunct w:val="0"/>
        <w:autoSpaceDE w:val="0"/>
        <w:autoSpaceDN w:val="0"/>
        <w:bidi w:val="0"/>
        <w:adjustRightInd w:val="0"/>
        <w:snapToGrid w:val="0"/>
        <w:spacing w:line="440" w:lineRule="exact"/>
        <w:ind w:firstLine="616" w:firstLineChars="257"/>
        <w:jc w:val="left"/>
        <w:rPr>
          <w:rFonts w:hint="eastAsia" w:ascii="宋体" w:hAnsi="宋体" w:eastAsia="宋体" w:cs="宋体"/>
          <w:color w:val="auto"/>
          <w:sz w:val="24"/>
        </w:rPr>
      </w:pPr>
      <w:r>
        <w:rPr>
          <w:rFonts w:hint="eastAsia" w:ascii="宋体" w:hAnsi="宋体" w:eastAsia="宋体" w:cs="宋体"/>
          <w:color w:val="auto"/>
          <w:sz w:val="24"/>
        </w:rPr>
        <w:t>3.6.2 评标委员会按照评审得分由高到低的顺序提出3名中标候选人，并编写书面评标报告。</w:t>
      </w:r>
    </w:p>
    <w:p w14:paraId="70A5ED35">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3.6.3 确定中标人：按第三章“投标人须知前附表”8.1款规定及本章第1条规定。</w:t>
      </w:r>
    </w:p>
    <w:p w14:paraId="7452EBD7">
      <w:pPr>
        <w:pageBreakBefore w:val="0"/>
        <w:kinsoku/>
        <w:wordWrap/>
        <w:overflowPunct/>
        <w:topLinePunct w:val="0"/>
        <w:autoSpaceDE w:val="0"/>
        <w:autoSpaceDN w:val="0"/>
        <w:bidi w:val="0"/>
        <w:adjustRightInd w:val="0"/>
        <w:snapToGrid w:val="0"/>
        <w:spacing w:line="440" w:lineRule="exact"/>
        <w:ind w:firstLine="569" w:firstLineChars="236"/>
        <w:jc w:val="left"/>
        <w:rPr>
          <w:rFonts w:hint="eastAsia" w:ascii="宋体" w:hAnsi="宋体" w:eastAsia="宋体" w:cs="宋体"/>
          <w:b/>
          <w:color w:val="auto"/>
          <w:sz w:val="24"/>
        </w:rPr>
      </w:pPr>
      <w:r>
        <w:rPr>
          <w:rFonts w:hint="eastAsia" w:ascii="宋体" w:hAnsi="宋体" w:eastAsia="宋体" w:cs="宋体"/>
          <w:b/>
          <w:color w:val="auto"/>
          <w:sz w:val="24"/>
        </w:rPr>
        <w:t>3.7 废标</w:t>
      </w:r>
    </w:p>
    <w:p w14:paraId="0D80FE25">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3.7.1 出现下列情形之一的，应予废标：</w:t>
      </w:r>
    </w:p>
    <w:p w14:paraId="4F0F65A3">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（1）符合专业条件的</w:t>
      </w:r>
      <w:r>
        <w:rPr>
          <w:rFonts w:hint="eastAsia" w:cs="宋体"/>
          <w:color w:val="auto"/>
          <w:sz w:val="24"/>
          <w:lang w:eastAsia="zh-CN"/>
        </w:rPr>
        <w:t>投标人</w:t>
      </w:r>
      <w:r>
        <w:rPr>
          <w:rFonts w:hint="eastAsia" w:ascii="宋体" w:hAnsi="宋体" w:eastAsia="宋体" w:cs="宋体"/>
          <w:color w:val="auto"/>
          <w:sz w:val="24"/>
        </w:rPr>
        <w:t>或者对招标文件作实质响应的</w:t>
      </w:r>
      <w:r>
        <w:rPr>
          <w:rFonts w:hint="eastAsia" w:cs="宋体"/>
          <w:color w:val="auto"/>
          <w:sz w:val="24"/>
          <w:lang w:eastAsia="zh-CN"/>
        </w:rPr>
        <w:t>投标人</w:t>
      </w:r>
      <w:r>
        <w:rPr>
          <w:rFonts w:hint="eastAsia" w:ascii="宋体" w:hAnsi="宋体" w:eastAsia="宋体" w:cs="宋体"/>
          <w:color w:val="auto"/>
          <w:sz w:val="24"/>
        </w:rPr>
        <w:t xml:space="preserve">不足三家的； </w:t>
      </w:r>
    </w:p>
    <w:p w14:paraId="65CB1C9C">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 xml:space="preserve">（2）出现影响采购公正的违法、违规行为的； </w:t>
      </w:r>
    </w:p>
    <w:p w14:paraId="1E33EAAB">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（3）未超过预算金额的</w:t>
      </w:r>
      <w:r>
        <w:rPr>
          <w:rFonts w:hint="eastAsia" w:cs="宋体"/>
          <w:color w:val="auto"/>
          <w:sz w:val="24"/>
          <w:lang w:eastAsia="zh-CN"/>
        </w:rPr>
        <w:t>投标人</w:t>
      </w:r>
      <w:r>
        <w:rPr>
          <w:rFonts w:hint="eastAsia" w:ascii="宋体" w:hAnsi="宋体" w:eastAsia="宋体" w:cs="宋体"/>
          <w:color w:val="auto"/>
          <w:sz w:val="24"/>
        </w:rPr>
        <w:t xml:space="preserve">不足3家的； </w:t>
      </w:r>
    </w:p>
    <w:p w14:paraId="406DEC89">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 xml:space="preserve">（4）因重大变故，采购任务取消的。 </w:t>
      </w:r>
    </w:p>
    <w:p w14:paraId="07B55AED">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3.7.2 评标委员会要在废标时，出具招标文件是否存在不合理条款的论证意见，要协助采购人、采购代理机构、财政部门答复质疑或处理投诉事项。　</w:t>
      </w:r>
    </w:p>
    <w:p w14:paraId="33136D0C">
      <w:pPr>
        <w:pStyle w:val="3"/>
        <w:pageBreakBefore w:val="0"/>
        <w:kinsoku/>
        <w:wordWrap/>
        <w:overflowPunct/>
        <w:topLinePunct w:val="0"/>
        <w:bidi w:val="0"/>
        <w:spacing w:line="440" w:lineRule="exact"/>
        <w:rPr>
          <w:rFonts w:hint="eastAsia"/>
          <w:color w:val="auto"/>
          <w:lang w:val="zh-CN"/>
        </w:rPr>
      </w:pPr>
      <w:bookmarkStart w:id="81" w:name="_Toc121491763"/>
      <w:bookmarkStart w:id="82" w:name="_Toc5673"/>
      <w:r>
        <w:rPr>
          <w:rFonts w:hint="eastAsia"/>
          <w:color w:val="auto"/>
          <w:lang w:val="zh-CN"/>
        </w:rPr>
        <w:t>4. 政府采购促进中小企业发展扶持政策</w:t>
      </w:r>
      <w:bookmarkEnd w:id="81"/>
      <w:bookmarkEnd w:id="82"/>
    </w:p>
    <w:p w14:paraId="59A5C008">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4.1在政府采购活动中，</w:t>
      </w:r>
      <w:r>
        <w:rPr>
          <w:rFonts w:hint="eastAsia" w:cs="宋体"/>
          <w:color w:val="auto"/>
          <w:sz w:val="24"/>
          <w:lang w:eastAsia="zh-CN"/>
        </w:rPr>
        <w:t>投标人</w:t>
      </w:r>
      <w:r>
        <w:rPr>
          <w:rFonts w:hint="eastAsia" w:ascii="宋体" w:hAnsi="宋体" w:eastAsia="宋体" w:cs="宋体"/>
          <w:color w:val="auto"/>
          <w:sz w:val="24"/>
        </w:rPr>
        <w:t>提供的货物、工程或者服务符合下列情形的， 享受《政府采购促进中小企业发展管理办法》规定的中小企业扶持政策：</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（一） 在货物采购项目中，货物由中小企业制造，即货物由中小企业生产且使用该中小企业商号或者注册商标；</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（二） 在工程采购项目中，工程由中小企业承建，即工程施工单位为中小企业；</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（三）在服务采购项目中，服务由中小企业承接，即提供服务的人员为中小企业依照《中华人民共和国劳动合同法》订立劳动合同的从业人员。</w:t>
      </w:r>
    </w:p>
    <w:p w14:paraId="70647C08">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在货物采购项目中，</w:t>
      </w:r>
      <w:r>
        <w:rPr>
          <w:rFonts w:hint="eastAsia" w:cs="宋体"/>
          <w:color w:val="auto"/>
          <w:sz w:val="24"/>
          <w:lang w:eastAsia="zh-CN"/>
        </w:rPr>
        <w:t>投标人</w:t>
      </w:r>
      <w:r>
        <w:rPr>
          <w:rFonts w:hint="eastAsia" w:ascii="宋体" w:hAnsi="宋体" w:eastAsia="宋体" w:cs="宋体"/>
          <w:color w:val="auto"/>
          <w:sz w:val="24"/>
        </w:rPr>
        <w:t>提供的货物既有中小企业制造货物，也有大型企业制造货物的，不享受中小企业扶持政策。</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以联合体形式参加政府采购活动，联合体各方均为中小企业的，联合体视同中小企业。其中，联合体各方均为小微企业的，联合体视同小微企业。</w:t>
      </w:r>
    </w:p>
    <w:p w14:paraId="103A195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4.2 符合中小企业划分标准的个体工商户，在政府采购活动中视同中小企业。</w:t>
      </w:r>
    </w:p>
    <w:p w14:paraId="1EF94A39">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rPr>
      </w:pPr>
      <w:r>
        <w:rPr>
          <w:rFonts w:hint="eastAsia" w:ascii="宋体" w:hAnsi="宋体" w:eastAsia="宋体" w:cs="宋体"/>
          <w:color w:val="auto"/>
          <w:sz w:val="24"/>
        </w:rPr>
        <w:t>4.3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4BF0903A">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rPr>
      </w:pPr>
      <w:r>
        <w:rPr>
          <w:rFonts w:hint="eastAsia" w:ascii="宋体" w:hAnsi="宋体" w:eastAsia="宋体" w:cs="宋体"/>
          <w:color w:val="auto"/>
          <w:sz w:val="24"/>
        </w:rPr>
        <w:t>4.3.1 享受政府采购支持政策的残疾人福利性单位应当同时满足以下条件：</w:t>
      </w:r>
    </w:p>
    <w:p w14:paraId="4B1CF5F7">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rPr>
      </w:pPr>
      <w:r>
        <w:rPr>
          <w:rFonts w:hint="eastAsia" w:ascii="宋体" w:hAnsi="宋体" w:eastAsia="宋体" w:cs="宋体"/>
          <w:color w:val="auto"/>
          <w:sz w:val="24"/>
        </w:rPr>
        <w:t>（1）安置的残疾人占本单位在职职工人数的比例不低于25%（含25%），并且安置的残疾人人数不少于10人（含10人）；</w:t>
      </w:r>
    </w:p>
    <w:p w14:paraId="0E0D2853">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（2）依法与安置的每位残疾人签订了一年以上（含一年）的劳动合同或服务协议；</w:t>
      </w:r>
    </w:p>
    <w:p w14:paraId="089CE737">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（3）为安置的每位残疾人按月足额缴纳了基本养老保险、基本医疗保险、失业保险、工伤保险和生育保险等社会保险费；</w:t>
      </w:r>
    </w:p>
    <w:p w14:paraId="0D589732">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（4）通过银行等金融机构向安置的每位残疾人，按月支付了不低于单位所在区县适用的经省级人民政府批准的月最低工资标准的工资；</w:t>
      </w:r>
    </w:p>
    <w:p w14:paraId="2637B453">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（5）提供本单位制造的货物、承担的工程或者服务（以下简称产品），或者提供其他残疾人福利性单位制造的货物（不包括使用非残疾人福利性单位注册商标的货物）。</w:t>
      </w:r>
    </w:p>
    <w:p w14:paraId="49C47FF1">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8952CF">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szCs w:val="22"/>
        </w:rPr>
      </w:pPr>
      <w:r>
        <w:rPr>
          <w:rFonts w:hint="eastAsia" w:ascii="宋体" w:hAnsi="宋体" w:eastAsia="宋体" w:cs="宋体"/>
          <w:color w:val="auto"/>
          <w:sz w:val="24"/>
        </w:rPr>
        <w:t xml:space="preserve">4.4 </w:t>
      </w:r>
      <w:r>
        <w:rPr>
          <w:rFonts w:hint="eastAsia" w:ascii="宋体" w:hAnsi="宋体" w:eastAsia="宋体" w:cs="宋体"/>
          <w:color w:val="auto"/>
          <w:sz w:val="24"/>
          <w:szCs w:val="24"/>
        </w:rPr>
        <w:t>参加</w:t>
      </w:r>
      <w:r>
        <w:rPr>
          <w:rFonts w:hint="eastAsia" w:ascii="宋体" w:hAnsi="宋体" w:eastAsia="宋体" w:cs="宋体"/>
          <w:color w:val="auto"/>
          <w:sz w:val="24"/>
        </w:rPr>
        <w:t>本次政府招标项目的中小企业应按附件格式提供《中小企业声明函》。</w:t>
      </w:r>
      <w:r>
        <w:rPr>
          <w:rFonts w:hint="eastAsia" w:ascii="宋体" w:hAnsi="宋体" w:eastAsia="宋体" w:cs="宋体"/>
          <w:color w:val="auto"/>
          <w:sz w:val="24"/>
          <w:szCs w:val="24"/>
        </w:rPr>
        <w:t>如招标文件接受以联合体形式参加投标的，联合体各方均应按附件格式提供《中小企业声明函》。</w:t>
      </w:r>
    </w:p>
    <w:p w14:paraId="42AFE34B">
      <w:pPr>
        <w:pageBreakBefore w:val="0"/>
        <w:kinsoku/>
        <w:wordWrap/>
        <w:overflowPunct/>
        <w:topLinePunct w:val="0"/>
        <w:autoSpaceDE w:val="0"/>
        <w:autoSpaceDN w:val="0"/>
        <w:bidi w:val="0"/>
        <w:adjustRightInd w:val="0"/>
        <w:snapToGrid w:val="0"/>
        <w:spacing w:line="440" w:lineRule="exact"/>
        <w:ind w:firstLine="684" w:firstLineChars="285"/>
        <w:jc w:val="left"/>
        <w:rPr>
          <w:rFonts w:hint="eastAsia" w:ascii="宋体" w:hAnsi="宋体" w:eastAsia="宋体" w:cs="宋体"/>
          <w:color w:val="auto"/>
          <w:sz w:val="24"/>
        </w:rPr>
      </w:pPr>
      <w:r>
        <w:rPr>
          <w:rFonts w:hint="eastAsia" w:cs="宋体"/>
          <w:color w:val="auto"/>
          <w:sz w:val="24"/>
          <w:lang w:eastAsia="zh-CN"/>
        </w:rPr>
        <w:t>投标人</w:t>
      </w:r>
      <w:r>
        <w:rPr>
          <w:rFonts w:hint="eastAsia" w:ascii="宋体" w:hAnsi="宋体" w:eastAsia="宋体" w:cs="宋体"/>
          <w:color w:val="auto"/>
          <w:sz w:val="24"/>
        </w:rPr>
        <w:t>按照财库〔2020〕46号规定及招标文件要求提供声明函内容不实的，属于提供虚假材料谋取中标、成交，依照《中华人民共和国政府采购法》等国家有关规定追究相应责任。</w:t>
      </w:r>
    </w:p>
    <w:p w14:paraId="71D0ED4B">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4.5 《政府采购促进中小企业发展管理办法》各项中小企业扶持政策中，价格扣除扶持政策仅小型、微型企业适用。</w:t>
      </w:r>
    </w:p>
    <w:p w14:paraId="7E44A216">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4.6 小微企业价格扣除扶持政策：</w:t>
      </w:r>
    </w:p>
    <w:p w14:paraId="2DBD950F">
      <w:pPr>
        <w:pageBreakBefore w:val="0"/>
        <w:kinsoku/>
        <w:wordWrap/>
        <w:overflowPunct/>
        <w:topLinePunct w:val="0"/>
        <w:autoSpaceDE w:val="0"/>
        <w:autoSpaceDN w:val="0"/>
        <w:bidi w:val="0"/>
        <w:adjustRightInd w:val="0"/>
        <w:snapToGrid w:val="0"/>
        <w:spacing w:line="440" w:lineRule="exact"/>
        <w:ind w:firstLine="684" w:firstLineChars="285"/>
        <w:jc w:val="left"/>
        <w:rPr>
          <w:rFonts w:hint="eastAsia" w:ascii="宋体" w:hAnsi="宋体" w:eastAsia="宋体" w:cs="宋体"/>
          <w:color w:val="auto"/>
          <w:sz w:val="24"/>
        </w:rPr>
      </w:pPr>
      <w:r>
        <w:rPr>
          <w:rFonts w:hint="eastAsia" w:ascii="宋体" w:hAnsi="宋体" w:eastAsia="宋体" w:cs="宋体"/>
          <w:color w:val="auto"/>
          <w:sz w:val="24"/>
        </w:rPr>
        <w:t>4.6.1 本次政府招标项目对符合《政府采购促进中小企业发展管理办法》小型和微型企业的报价给予</w:t>
      </w:r>
      <w:r>
        <w:rPr>
          <w:rFonts w:hint="eastAsia" w:cs="宋体"/>
          <w:color w:val="auto"/>
          <w:sz w:val="24"/>
          <w:lang w:val="en-US" w:eastAsia="zh-CN"/>
        </w:rPr>
        <w:t>2</w:t>
      </w:r>
      <w:r>
        <w:rPr>
          <w:rFonts w:hint="eastAsia" w:ascii="宋体" w:hAnsi="宋体" w:eastAsia="宋体" w:cs="宋体"/>
          <w:color w:val="auto"/>
          <w:sz w:val="24"/>
        </w:rPr>
        <w:t>0%的扣除，用扣除后的价格参与评审。</w:t>
      </w:r>
    </w:p>
    <w:p w14:paraId="533F6516">
      <w:pPr>
        <w:pageBreakBefore w:val="0"/>
        <w:kinsoku/>
        <w:wordWrap/>
        <w:overflowPunct/>
        <w:topLinePunct w:val="0"/>
        <w:autoSpaceDE w:val="0"/>
        <w:autoSpaceDN w:val="0"/>
        <w:bidi w:val="0"/>
        <w:adjustRightInd w:val="0"/>
        <w:snapToGrid w:val="0"/>
        <w:spacing w:line="440" w:lineRule="exact"/>
        <w:ind w:firstLine="684" w:firstLineChars="285"/>
        <w:jc w:val="left"/>
        <w:rPr>
          <w:rFonts w:hint="eastAsia" w:ascii="宋体" w:hAnsi="宋体" w:eastAsia="宋体" w:cs="宋体"/>
          <w:color w:val="auto"/>
          <w:sz w:val="24"/>
        </w:rPr>
      </w:pPr>
      <w:r>
        <w:rPr>
          <w:rFonts w:hint="eastAsia" w:ascii="宋体" w:hAnsi="宋体" w:eastAsia="宋体" w:cs="宋体"/>
          <w:color w:val="auto"/>
          <w:sz w:val="24"/>
        </w:rPr>
        <w:t>（1）投标人所投货物均由小型和微型企业制造，享受小微企业价格扣除扶持政策。</w:t>
      </w:r>
    </w:p>
    <w:p w14:paraId="2C867535">
      <w:pPr>
        <w:pageBreakBefore w:val="0"/>
        <w:kinsoku/>
        <w:wordWrap/>
        <w:overflowPunct/>
        <w:topLinePunct w:val="0"/>
        <w:autoSpaceDE w:val="0"/>
        <w:autoSpaceDN w:val="0"/>
        <w:bidi w:val="0"/>
        <w:adjustRightInd w:val="0"/>
        <w:snapToGrid w:val="0"/>
        <w:spacing w:line="440" w:lineRule="exact"/>
        <w:ind w:firstLine="684" w:firstLineChars="285"/>
        <w:jc w:val="left"/>
        <w:rPr>
          <w:rFonts w:hint="eastAsia" w:ascii="宋体" w:hAnsi="宋体" w:eastAsia="宋体" w:cs="宋体"/>
          <w:color w:val="auto"/>
          <w:sz w:val="24"/>
        </w:rPr>
      </w:pPr>
      <w:r>
        <w:rPr>
          <w:rFonts w:hint="eastAsia" w:ascii="宋体" w:hAnsi="宋体" w:eastAsia="宋体" w:cs="宋体"/>
          <w:color w:val="auto"/>
          <w:sz w:val="24"/>
        </w:rPr>
        <w:t>（2）投标人所投货物既有小型和微型企业制造，也有中型企业制造或大型企业制造的，不享受小微企业价格扣除扶持政策。</w:t>
      </w:r>
    </w:p>
    <w:p w14:paraId="6ABBE9BB">
      <w:pPr>
        <w:pageBreakBefore w:val="0"/>
        <w:kinsoku/>
        <w:wordWrap/>
        <w:overflowPunct/>
        <w:topLinePunct w:val="0"/>
        <w:autoSpaceDE w:val="0"/>
        <w:autoSpaceDN w:val="0"/>
        <w:bidi w:val="0"/>
        <w:adjustRightInd w:val="0"/>
        <w:snapToGrid w:val="0"/>
        <w:spacing w:line="440" w:lineRule="exact"/>
        <w:ind w:firstLine="684" w:firstLineChars="285"/>
        <w:jc w:val="left"/>
        <w:rPr>
          <w:rFonts w:hint="eastAsia" w:ascii="宋体" w:hAnsi="宋体" w:eastAsia="宋体" w:cs="宋体"/>
          <w:color w:val="auto"/>
          <w:sz w:val="24"/>
        </w:rPr>
      </w:pPr>
      <w:r>
        <w:rPr>
          <w:rFonts w:hint="eastAsia" w:ascii="宋体" w:hAnsi="宋体" w:eastAsia="宋体" w:cs="宋体"/>
          <w:color w:val="auto"/>
          <w:sz w:val="24"/>
        </w:rPr>
        <w:t>4.6.2 如招标文件接受大中型企业与小微企业组成联合体或者允许大中型企业向一家或者多家小微企业分包时，联合协议或分包意向协议约定小微型企业的合同份额占到合同总金额30%以上的，给予联合体或大中型企业4%的价格扣除，用扣除后的价格参加评审。</w:t>
      </w:r>
    </w:p>
    <w:p w14:paraId="014BE24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组成联合体或者接受分包合同的中小企业与联合体内其他企业、分包企业之间不得存在直接控股、管理关系。</w:t>
      </w:r>
    </w:p>
    <w:p w14:paraId="41980C6D">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4.6.3 价格扣除比例或者价格分加分比例对小型企业和微型企业同等对待，不作区分。</w:t>
      </w:r>
    </w:p>
    <w:p w14:paraId="16C1EA05">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rPr>
        <w:t>4.7</w:t>
      </w:r>
      <w:r>
        <w:rPr>
          <w:rFonts w:hint="eastAsia" w:ascii="宋体" w:hAnsi="宋体" w:eastAsia="宋体" w:cs="宋体"/>
          <w:color w:val="auto"/>
          <w:sz w:val="24"/>
          <w:szCs w:val="24"/>
        </w:rPr>
        <w:t>评标委员会对投标人申报的小型和微型企业价格扣除事项进行评审。鉴于小微企业价格扣除政策与合同执行价格无关，为避免投标人申报价格扣除事项的随意性，故特别规定：</w:t>
      </w:r>
    </w:p>
    <w:p w14:paraId="31A4E176">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（1）评标委员会对投标人申报的小型和微型企业价格扣除事项的评审结论，分为合格与不合格。</w:t>
      </w:r>
    </w:p>
    <w:p w14:paraId="2667D683">
      <w:pPr>
        <w:pageBreakBefore w:val="0"/>
        <w:kinsoku/>
        <w:wordWrap/>
        <w:overflowPunct/>
        <w:topLinePunct w:val="0"/>
        <w:autoSpaceDE w:val="0"/>
        <w:autoSpaceDN w:val="0"/>
        <w:bidi w:val="0"/>
        <w:adjustRightInd w:val="0"/>
        <w:snapToGrid w:val="0"/>
        <w:spacing w:line="440" w:lineRule="exact"/>
        <w:ind w:firstLine="600" w:firstLineChars="250"/>
        <w:jc w:val="left"/>
        <w:rPr>
          <w:rFonts w:hint="eastAsia" w:ascii="宋体" w:hAnsi="宋体" w:eastAsia="宋体" w:cs="宋体"/>
          <w:color w:val="auto"/>
          <w:sz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rPr>
        <w:t>A.投标人所投货物均由小型和微型企业制造，享受小微企业价格扣除扶持政策。</w:t>
      </w:r>
    </w:p>
    <w:p w14:paraId="38EBA1EC">
      <w:pPr>
        <w:pageBreakBefore w:val="0"/>
        <w:kinsoku/>
        <w:wordWrap/>
        <w:overflowPunct/>
        <w:topLinePunct w:val="0"/>
        <w:autoSpaceDE w:val="0"/>
        <w:autoSpaceDN w:val="0"/>
        <w:bidi w:val="0"/>
        <w:adjustRightInd w:val="0"/>
        <w:snapToGrid w:val="0"/>
        <w:spacing w:line="440" w:lineRule="exact"/>
        <w:ind w:firstLine="684" w:firstLineChars="285"/>
        <w:jc w:val="left"/>
        <w:rPr>
          <w:rFonts w:hint="eastAsia" w:ascii="宋体" w:hAnsi="宋体" w:eastAsia="宋体" w:cs="宋体"/>
          <w:color w:val="auto"/>
          <w:sz w:val="24"/>
        </w:rPr>
      </w:pPr>
      <w:r>
        <w:rPr>
          <w:rFonts w:hint="eastAsia" w:ascii="宋体" w:hAnsi="宋体" w:eastAsia="宋体" w:cs="宋体"/>
          <w:color w:val="auto"/>
          <w:sz w:val="24"/>
        </w:rPr>
        <w:t>B.投标人所投货物既有小型和微型企业制造，也有中型企业制造或大型企业制造的，不享受小微企业价格扣除扶持政策。</w:t>
      </w:r>
    </w:p>
    <w:p w14:paraId="1AC8237C">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3）经评审，申报的小微价格扣除事项缺失中小企业声明函、中小企业声明函含有大型中型企业制造产品、中小企业声明函少列产品、《中小企业声明函》中产品承诺与投标产品不一致、联合协议或分包意向协议不符合中小企业价格扣除规定、未按招标文件确定的价格扣除比例填列</w:t>
      </w:r>
      <w:r>
        <w:rPr>
          <w:rFonts w:hint="eastAsia" w:cs="宋体"/>
          <w:color w:val="auto"/>
          <w:sz w:val="24"/>
          <w:lang w:eastAsia="zh-CN"/>
        </w:rPr>
        <w:t>等</w:t>
      </w:r>
      <w:r>
        <w:rPr>
          <w:rFonts w:hint="eastAsia" w:ascii="宋体" w:hAnsi="宋体" w:eastAsia="宋体" w:cs="宋体"/>
          <w:color w:val="auto"/>
          <w:sz w:val="24"/>
        </w:rPr>
        <w:t>任一不符合政策要求及不准确的事项，评标委员会均将评审为不合格，该投标人申报的价格扣除事项不予接受、为0；评标委员会应当告知相关投标人。</w:t>
      </w:r>
    </w:p>
    <w:p w14:paraId="5B3D6316">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提供虚假材料的为无效投标、并承担相应的法律责任。</w:t>
      </w:r>
    </w:p>
    <w:p w14:paraId="6CA2BBD6">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（4）评审合格的，接受其申报的小型和微型企业价格扣除，用扣除后的价格参与评审。</w:t>
      </w:r>
    </w:p>
    <w:p w14:paraId="7F784BE1">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（5）评审不合格的，不接受其小微企业价格扣除，其开标一览表价格扣除视为0，但将不作为无效投标。</w:t>
      </w:r>
    </w:p>
    <w:p w14:paraId="4E18237D">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（6）在电子交易系统，投标人填选后，扣除后的价格将由电子交易系统自动生成。</w:t>
      </w:r>
    </w:p>
    <w:p w14:paraId="46AA0C6F">
      <w:pPr>
        <w:pageBreakBefore w:val="0"/>
        <w:kinsoku/>
        <w:wordWrap/>
        <w:overflowPunct/>
        <w:topLinePunct w:val="0"/>
        <w:bidi w:val="0"/>
        <w:adjustRightInd w:val="0"/>
        <w:snapToGrid w:val="0"/>
        <w:spacing w:line="44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注：小微企业价格扣除，仅作为价格评审的依据，并不影响合同执行价格，合同执行价格为中标人的投标报价。</w:t>
      </w:r>
    </w:p>
    <w:p w14:paraId="00F9A4B0">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0DCA5B19">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4.9 中标、成交</w:t>
      </w:r>
      <w:r>
        <w:rPr>
          <w:rFonts w:hint="eastAsia" w:cs="宋体"/>
          <w:color w:val="auto"/>
          <w:sz w:val="24"/>
          <w:lang w:val="en-US" w:eastAsia="zh-CN"/>
        </w:rPr>
        <w:t>供应商</w:t>
      </w:r>
      <w:r>
        <w:rPr>
          <w:rFonts w:hint="eastAsia" w:ascii="宋体" w:hAnsi="宋体" w:eastAsia="宋体" w:cs="宋体"/>
          <w:color w:val="auto"/>
          <w:sz w:val="24"/>
        </w:rPr>
        <w:t>享受本办法规定的中小企业扶持政策的，中标、成交</w:t>
      </w:r>
      <w:r>
        <w:rPr>
          <w:rFonts w:hint="eastAsia" w:cs="宋体"/>
          <w:color w:val="auto"/>
          <w:sz w:val="24"/>
          <w:lang w:eastAsia="zh-CN"/>
        </w:rPr>
        <w:t>投标人</w:t>
      </w:r>
      <w:r>
        <w:rPr>
          <w:rFonts w:hint="eastAsia" w:ascii="宋体" w:hAnsi="宋体" w:eastAsia="宋体" w:cs="宋体"/>
          <w:color w:val="auto"/>
          <w:sz w:val="24"/>
        </w:rPr>
        <w:t>的《中小企业声明函》将随中标、成交结果公开。</w:t>
      </w:r>
    </w:p>
    <w:p w14:paraId="2AC7382B">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4.10 依法享受扶持政策获得政府采购合同的，小微企业不得将合同分包给大中型企业，中型企业不得将合同分包给大型企业。</w:t>
      </w:r>
    </w:p>
    <w:p w14:paraId="2E9F6E77">
      <w:pPr>
        <w:pageBreakBefore w:val="0"/>
        <w:kinsoku/>
        <w:wordWrap/>
        <w:overflowPunct/>
        <w:topLinePunct w:val="0"/>
        <w:autoSpaceDE w:val="0"/>
        <w:autoSpaceDN w:val="0"/>
        <w:bidi w:val="0"/>
        <w:adjustRightInd w:val="0"/>
        <w:snapToGrid w:val="0"/>
        <w:spacing w:line="440" w:lineRule="exact"/>
        <w:ind w:firstLine="566" w:firstLineChars="236"/>
        <w:jc w:val="left"/>
        <w:rPr>
          <w:rFonts w:hint="eastAsia" w:ascii="宋体" w:hAnsi="宋体" w:eastAsia="宋体" w:cs="宋体"/>
          <w:color w:val="auto"/>
          <w:sz w:val="24"/>
        </w:rPr>
      </w:pPr>
      <w:r>
        <w:rPr>
          <w:rFonts w:hint="eastAsia" w:ascii="宋体" w:hAnsi="宋体" w:eastAsia="宋体" w:cs="宋体"/>
          <w:color w:val="auto"/>
          <w:sz w:val="24"/>
        </w:rPr>
        <w:t>4.11 政府采购监督检查、投诉处理及政府采购行政处罚中对中小企业的认定，由货物制造商或者工程、服务</w:t>
      </w:r>
      <w:r>
        <w:rPr>
          <w:rFonts w:hint="eastAsia" w:cs="宋体"/>
          <w:color w:val="auto"/>
          <w:sz w:val="24"/>
          <w:lang w:eastAsia="zh-CN"/>
        </w:rPr>
        <w:t>投标人</w:t>
      </w:r>
      <w:r>
        <w:rPr>
          <w:rFonts w:hint="eastAsia" w:ascii="宋体" w:hAnsi="宋体" w:eastAsia="宋体" w:cs="宋体"/>
          <w:color w:val="auto"/>
          <w:sz w:val="24"/>
        </w:rPr>
        <w:t>注册登记所在地的县级以上人民政府中小企业主管部门负责。</w:t>
      </w:r>
    </w:p>
    <w:p w14:paraId="05C84524">
      <w:pPr>
        <w:jc w:val="left"/>
        <w:rPr>
          <w:rFonts w:hint="eastAsia" w:ascii="宋体" w:hAnsi="宋体" w:eastAsia="宋体" w:cs="宋体"/>
          <w:color w:val="auto"/>
          <w:sz w:val="24"/>
          <w:szCs w:val="24"/>
        </w:rPr>
      </w:pPr>
      <w:r>
        <w:rPr>
          <w:rFonts w:hint="eastAsia" w:ascii="宋体" w:hAnsi="宋体" w:eastAsia="宋体" w:cs="宋体"/>
          <w:b/>
          <w:color w:val="auto"/>
          <w:spacing w:val="20"/>
          <w:sz w:val="36"/>
          <w:szCs w:val="36"/>
        </w:rPr>
        <w:br w:type="page"/>
      </w:r>
    </w:p>
    <w:p w14:paraId="1C42F874">
      <w:pPr>
        <w:pStyle w:val="2"/>
        <w:bidi w:val="0"/>
        <w:rPr>
          <w:rFonts w:hint="eastAsia"/>
          <w:color w:val="auto"/>
        </w:rPr>
      </w:pPr>
      <w:r>
        <w:rPr>
          <w:rFonts w:hint="eastAsia"/>
          <w:color w:val="auto"/>
        </w:rPr>
        <w:t xml:space="preserve"> </w:t>
      </w:r>
      <w:bookmarkStart w:id="83" w:name="_Toc31661"/>
      <w:bookmarkStart w:id="84" w:name="_Toc121491764"/>
      <w:r>
        <w:rPr>
          <w:rFonts w:hint="eastAsia"/>
          <w:color w:val="auto"/>
        </w:rPr>
        <w:t>第五章  合同主要条款</w:t>
      </w:r>
      <w:bookmarkEnd w:id="83"/>
      <w:bookmarkEnd w:id="84"/>
    </w:p>
    <w:p w14:paraId="27FFD23D">
      <w:pPr>
        <w:widowControl w:val="0"/>
        <w:snapToGrid w:val="0"/>
        <w:spacing w:line="657" w:lineRule="atLeast"/>
        <w:jc w:val="center"/>
        <w:rPr>
          <w:rFonts w:hint="eastAsia" w:ascii="宋体" w:hAnsi="宋体" w:eastAsia="宋体" w:cs="宋体"/>
          <w:b/>
          <w:color w:val="auto"/>
          <w:spacing w:val="20"/>
          <w:sz w:val="36"/>
          <w:szCs w:val="36"/>
        </w:rPr>
      </w:pPr>
    </w:p>
    <w:p w14:paraId="38A1CD01">
      <w:pPr>
        <w:pStyle w:val="8"/>
        <w:spacing w:after="0"/>
        <w:jc w:val="center"/>
        <w:rPr>
          <w:rFonts w:ascii="宋体" w:hAnsi="宋体" w:cs="宋体"/>
          <w:b/>
          <w:bCs/>
          <w:color w:val="auto"/>
          <w:spacing w:val="-20"/>
          <w:kern w:val="44"/>
          <w:sz w:val="48"/>
          <w:szCs w:val="48"/>
        </w:rPr>
      </w:pPr>
      <w:bookmarkStart w:id="85" w:name="_Toc3995"/>
    </w:p>
    <w:p w14:paraId="1F6A1CA4">
      <w:pPr>
        <w:pStyle w:val="8"/>
        <w:spacing w:after="0"/>
        <w:jc w:val="center"/>
        <w:rPr>
          <w:rFonts w:ascii="宋体" w:hAnsi="宋体" w:cs="宋体"/>
          <w:b/>
          <w:bCs/>
          <w:color w:val="auto"/>
          <w:spacing w:val="-20"/>
          <w:kern w:val="44"/>
          <w:sz w:val="48"/>
          <w:szCs w:val="48"/>
        </w:rPr>
      </w:pPr>
    </w:p>
    <w:p w14:paraId="7EB098A2">
      <w:pPr>
        <w:pStyle w:val="8"/>
        <w:spacing w:after="0"/>
        <w:jc w:val="center"/>
        <w:rPr>
          <w:rFonts w:ascii="宋体" w:hAnsi="宋体" w:cs="宋体"/>
          <w:b/>
          <w:bCs/>
          <w:color w:val="auto"/>
          <w:spacing w:val="-20"/>
          <w:kern w:val="44"/>
          <w:sz w:val="48"/>
          <w:szCs w:val="48"/>
        </w:rPr>
      </w:pPr>
    </w:p>
    <w:p w14:paraId="2937E88A">
      <w:pPr>
        <w:pStyle w:val="8"/>
        <w:spacing w:after="0"/>
        <w:jc w:val="center"/>
        <w:rPr>
          <w:rFonts w:ascii="宋体" w:hAnsi="宋体" w:cs="宋体"/>
          <w:b/>
          <w:bCs/>
          <w:color w:val="auto"/>
          <w:spacing w:val="-20"/>
          <w:kern w:val="44"/>
          <w:sz w:val="48"/>
          <w:szCs w:val="48"/>
        </w:rPr>
      </w:pPr>
    </w:p>
    <w:p w14:paraId="6CC2F77A">
      <w:pPr>
        <w:pStyle w:val="8"/>
        <w:spacing w:after="0"/>
        <w:jc w:val="center"/>
        <w:rPr>
          <w:rFonts w:ascii="宋体" w:hAnsi="宋体" w:cs="宋体"/>
          <w:b/>
          <w:bCs/>
          <w:color w:val="auto"/>
          <w:spacing w:val="-20"/>
          <w:kern w:val="44"/>
          <w:sz w:val="48"/>
          <w:szCs w:val="48"/>
        </w:rPr>
      </w:pPr>
    </w:p>
    <w:p w14:paraId="70D8F694">
      <w:pPr>
        <w:pStyle w:val="8"/>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4BDF5A86">
      <w:pPr>
        <w:pStyle w:val="8"/>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521F77A6">
      <w:pPr>
        <w:rPr>
          <w:rFonts w:ascii="宋体" w:hAnsi="宋体" w:cs="宋体"/>
          <w:b/>
          <w:bCs/>
          <w:color w:val="auto"/>
          <w:spacing w:val="-20"/>
          <w:kern w:val="44"/>
          <w:sz w:val="40"/>
          <w:szCs w:val="40"/>
        </w:rPr>
      </w:pPr>
    </w:p>
    <w:p w14:paraId="7B6DBDE9">
      <w:pPr>
        <w:rPr>
          <w:rFonts w:ascii="宋体" w:hAnsi="宋体" w:cs="宋体"/>
          <w:b/>
          <w:bCs/>
          <w:color w:val="auto"/>
          <w:spacing w:val="-20"/>
          <w:kern w:val="44"/>
          <w:sz w:val="40"/>
          <w:szCs w:val="40"/>
        </w:rPr>
      </w:pPr>
    </w:p>
    <w:p w14:paraId="68621A05">
      <w:pPr>
        <w:rPr>
          <w:rFonts w:ascii="宋体" w:hAnsi="宋体" w:cs="宋体"/>
          <w:b/>
          <w:bCs/>
          <w:color w:val="auto"/>
          <w:spacing w:val="-20"/>
          <w:kern w:val="44"/>
          <w:sz w:val="40"/>
          <w:szCs w:val="40"/>
        </w:rPr>
      </w:pPr>
    </w:p>
    <w:p w14:paraId="304FBCEB">
      <w:pPr>
        <w:spacing w:line="360" w:lineRule="auto"/>
        <w:ind w:left="48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2B2C9A62">
      <w:pPr>
        <w:spacing w:line="360" w:lineRule="auto"/>
        <w:ind w:left="48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2717DFCB">
      <w:pPr>
        <w:spacing w:line="360" w:lineRule="auto"/>
        <w:ind w:left="48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29D36501">
      <w:pPr>
        <w:spacing w:line="360" w:lineRule="auto"/>
        <w:ind w:left="48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21FAE44E">
      <w:pPr>
        <w:spacing w:line="360" w:lineRule="auto"/>
        <w:ind w:left="48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25D4AB3">
      <w:pPr>
        <w:rPr>
          <w:color w:val="auto"/>
        </w:rPr>
      </w:pPr>
    </w:p>
    <w:p w14:paraId="72305AD2">
      <w:pPr>
        <w:rPr>
          <w:rFonts w:eastAsia="黑体"/>
          <w:color w:val="auto"/>
          <w:sz w:val="44"/>
          <w:szCs w:val="44"/>
        </w:rPr>
      </w:pPr>
      <w:r>
        <w:rPr>
          <w:rFonts w:eastAsia="黑体"/>
          <w:color w:val="auto"/>
          <w:sz w:val="44"/>
          <w:szCs w:val="44"/>
        </w:rPr>
        <w:br w:type="page"/>
      </w:r>
    </w:p>
    <w:p w14:paraId="70D47DDE">
      <w:pPr>
        <w:spacing w:line="60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使</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明</w:t>
      </w:r>
    </w:p>
    <w:p w14:paraId="1D4D2F1F">
      <w:pPr>
        <w:spacing w:line="600" w:lineRule="auto"/>
        <w:ind w:firstLine="480" w:firstLineChars="200"/>
        <w:rPr>
          <w:rFonts w:hint="eastAsia" w:ascii="宋体" w:hAnsi="宋体" w:eastAsia="宋体" w:cs="宋体"/>
          <w:color w:val="auto"/>
          <w:sz w:val="24"/>
          <w:szCs w:val="24"/>
          <w:lang w:val="en-US" w:eastAsia="zh-CN"/>
        </w:rPr>
      </w:pPr>
    </w:p>
    <w:p w14:paraId="47813B99">
      <w:pPr>
        <w:spacing w:line="60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1.本合同标准文本适用于购买现成货物的采购项目，不包括需要</w:t>
      </w:r>
      <w:r>
        <w:rPr>
          <w:rFonts w:hint="eastAsia" w:cs="宋体"/>
          <w:color w:val="auto"/>
          <w:sz w:val="24"/>
          <w:szCs w:val="24"/>
          <w:lang w:val="en-US" w:eastAsia="zh-CN"/>
        </w:rPr>
        <w:t>投标人</w:t>
      </w:r>
      <w:r>
        <w:rPr>
          <w:rFonts w:hint="eastAsia" w:ascii="宋体" w:hAnsi="宋体" w:eastAsia="宋体" w:cs="宋体"/>
          <w:color w:val="auto"/>
          <w:sz w:val="24"/>
          <w:szCs w:val="24"/>
          <w:lang w:val="en-US" w:eastAsia="zh-CN"/>
        </w:rPr>
        <w:t>定制开发、创新研发的货物采购项目。</w:t>
      </w:r>
    </w:p>
    <w:p w14:paraId="20A00529">
      <w:pPr>
        <w:spacing w:line="60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2.本合同标准文本为政府采购货物买卖合同编制提供参考，可以结合采购项目具体情况，对文本作必要的调整修订后使用。</w:t>
      </w:r>
    </w:p>
    <w:p w14:paraId="6BE5F64C">
      <w:pPr>
        <w:spacing w:line="60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3.本合同标准文本各条款中，如涉及填写多家</w:t>
      </w:r>
      <w:r>
        <w:rPr>
          <w:rFonts w:hint="eastAsia" w:cs="宋体"/>
          <w:color w:val="auto"/>
          <w:sz w:val="24"/>
          <w:szCs w:val="24"/>
          <w:lang w:val="en-US" w:eastAsia="zh-CN"/>
        </w:rPr>
        <w:t>投标人</w:t>
      </w:r>
      <w:r>
        <w:rPr>
          <w:rFonts w:hint="eastAsia" w:ascii="宋体" w:hAnsi="宋体" w:eastAsia="宋体" w:cs="宋体"/>
          <w:color w:val="auto"/>
          <w:sz w:val="24"/>
          <w:szCs w:val="24"/>
          <w:lang w:val="en-US" w:eastAsia="zh-CN"/>
        </w:rPr>
        <w:t>、制造商，多种采购标的、分包主要内容等信息的，可根据采购项目具体情况添加信息项。</w:t>
      </w:r>
    </w:p>
    <w:p w14:paraId="4DC149DF">
      <w:pPr>
        <w:spacing w:line="600" w:lineRule="auto"/>
        <w:ind w:firstLine="480" w:firstLineChars="200"/>
        <w:jc w:val="both"/>
        <w:rPr>
          <w:rFonts w:hint="eastAsia" w:ascii="宋体" w:hAnsi="宋体" w:eastAsia="宋体" w:cs="宋体"/>
          <w:color w:val="auto"/>
          <w:sz w:val="24"/>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bookmarkEnd w:id="85"/>
    <w:p w14:paraId="4F079891">
      <w:pPr>
        <w:pStyle w:val="3"/>
        <w:bidi w:val="0"/>
        <w:rPr>
          <w:rFonts w:hint="eastAsia"/>
          <w:color w:val="auto"/>
        </w:rPr>
      </w:pPr>
      <w:bookmarkStart w:id="86" w:name="_Toc19084"/>
      <w:bookmarkStart w:id="87" w:name="_Toc22209"/>
      <w:r>
        <w:rPr>
          <w:rFonts w:hint="eastAsia"/>
          <w:color w:val="auto"/>
        </w:rPr>
        <w:t>第一节 政府采购合同协议书</w:t>
      </w:r>
      <w:bookmarkEnd w:id="86"/>
      <w:bookmarkEnd w:id="87"/>
    </w:p>
    <w:p w14:paraId="2371FDED">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文件约定的合同甲方）</w:t>
      </w:r>
    </w:p>
    <w:p w14:paraId="5DAF5052">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cs="宋体"/>
          <w:color w:val="auto"/>
          <w:sz w:val="24"/>
          <w:szCs w:val="24"/>
          <w:lang w:eastAsia="zh-CN"/>
        </w:rPr>
        <w:t>投标人</w:t>
      </w:r>
      <w:r>
        <w:rPr>
          <w:rFonts w:hint="eastAsia" w:ascii="宋体" w:hAnsi="宋体" w:eastAsia="宋体" w:cs="宋体"/>
          <w:color w:val="auto"/>
          <w:sz w:val="24"/>
          <w:szCs w:val="24"/>
        </w:rPr>
        <w:t>）</w:t>
      </w:r>
    </w:p>
    <w:p w14:paraId="51117470">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乙方2（全称）：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w:t>
      </w:r>
      <w:r>
        <w:rPr>
          <w:rFonts w:hint="eastAsia" w:cs="宋体"/>
          <w:color w:val="auto"/>
          <w:sz w:val="24"/>
          <w:szCs w:val="24"/>
          <w:lang w:eastAsia="zh-CN"/>
        </w:rPr>
        <w:t>投标人</w:t>
      </w:r>
      <w:r>
        <w:rPr>
          <w:rFonts w:hint="eastAsia" w:ascii="宋体" w:hAnsi="宋体" w:eastAsia="宋体" w:cs="宋体"/>
          <w:color w:val="auto"/>
          <w:sz w:val="24"/>
          <w:szCs w:val="24"/>
        </w:rPr>
        <w:t>或其他合同主体）（如有）</w:t>
      </w:r>
    </w:p>
    <w:p w14:paraId="481DE5C6">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3（全称）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w:t>
      </w:r>
      <w:r>
        <w:rPr>
          <w:rFonts w:hint="eastAsia" w:cs="宋体"/>
          <w:color w:val="auto"/>
          <w:sz w:val="24"/>
          <w:szCs w:val="24"/>
          <w:lang w:eastAsia="zh-CN"/>
        </w:rPr>
        <w:t>投标人</w:t>
      </w:r>
      <w:r>
        <w:rPr>
          <w:rFonts w:hint="eastAsia" w:ascii="宋体" w:hAnsi="宋体" w:eastAsia="宋体" w:cs="宋体"/>
          <w:color w:val="auto"/>
          <w:sz w:val="24"/>
          <w:szCs w:val="24"/>
        </w:rPr>
        <w:t>或其他合同主体）（如有）</w:t>
      </w:r>
    </w:p>
    <w:p w14:paraId="63C216E7">
      <w:pPr>
        <w:pStyle w:val="9"/>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招标文件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乙方的《投标（响应）文件》及《中标（成交）通知书》，甲乙双方同意签订本合同。具体情况及要求如下：     </w:t>
      </w:r>
    </w:p>
    <w:p w14:paraId="7FA6B87D">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129A52EC">
      <w:pPr>
        <w:pStyle w:val="9"/>
        <w:numPr>
          <w:ilvl w:val="0"/>
          <w:numId w:val="5"/>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14:paraId="027575AB">
      <w:pPr>
        <w:pStyle w:val="9"/>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p>
    <w:p w14:paraId="48FC2DA2">
      <w:pPr>
        <w:pStyle w:val="9"/>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BB51605">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4837A3D4">
      <w:p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5ED4110F">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111C1A0D">
      <w:pPr>
        <w:adjustRightInd w:val="0"/>
        <w:snapToGrid w:val="0"/>
        <w:spacing w:before="0" w:beforeLines="0"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8989B4E">
      <w:pPr>
        <w:numPr>
          <w:ilvl w:val="-1"/>
          <w:numId w:val="0"/>
        </w:numPr>
        <w:adjustRightInd w:val="0"/>
        <w:snapToGrid w:val="0"/>
        <w:spacing w:before="0" w:beforeLines="0" w:line="400" w:lineRule="exact"/>
        <w:ind w:firstLine="1080" w:firstLineChars="4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1F099FB1">
      <w:pPr>
        <w:numPr>
          <w:ilvl w:val="-1"/>
          <w:numId w:val="0"/>
        </w:numPr>
        <w:adjustRightInd w:val="0"/>
        <w:snapToGrid w:val="0"/>
        <w:spacing w:before="0" w:beforeLines="0" w:line="400" w:lineRule="exact"/>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 xml:space="preserve">     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0D22D0AA">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ABEB56F">
      <w:pPr>
        <w:pStyle w:val="33"/>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A65F1D3">
      <w:pPr>
        <w:pStyle w:val="33"/>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284B9A55">
      <w:pPr>
        <w:pStyle w:val="33"/>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79525D1">
      <w:pPr>
        <w:pStyle w:val="33"/>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02151ABB">
      <w:pPr>
        <w:pStyle w:val="33"/>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672F2209">
      <w:pPr>
        <w:pStyle w:val="33"/>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1E0C1955">
      <w:pPr>
        <w:pStyle w:val="33"/>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分散采购</w:t>
      </w:r>
    </w:p>
    <w:p w14:paraId="5F0CCD73">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竞争性磋商</w:t>
      </w:r>
    </w:p>
    <w:p w14:paraId="04BBFD4C">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34064289">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6AE1B82D">
      <w:pPr>
        <w:pStyle w:val="33"/>
        <w:numPr>
          <w:ilvl w:val="-1"/>
          <w:numId w:val="0"/>
        </w:numPr>
        <w:adjustRightInd w:val="0"/>
        <w:snapToGrid w:val="0"/>
        <w:spacing w:before="0" w:beforeLines="0" w:line="400" w:lineRule="exact"/>
        <w:ind w:firstLine="240" w:firstLineChars="100"/>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否</w:t>
      </w:r>
    </w:p>
    <w:p w14:paraId="51ACEC93">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4"/>
          <w:szCs w:val="24"/>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0257321C">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749527E0">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53583E3E">
      <w:pPr>
        <w:numPr>
          <w:ilvl w:val="0"/>
          <w:numId w:val="0"/>
        </w:numPr>
        <w:snapToGrid w:val="0"/>
        <w:spacing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53E992E4">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0A6A6266">
      <w:pPr>
        <w:adjustRightInd w:val="0"/>
        <w:snapToGrid w:val="0"/>
        <w:spacing w:before="0" w:beforeLines="0" w:line="4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0658A0A">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和制造商不同，请分别填写）</w:t>
      </w:r>
      <w:r>
        <w:rPr>
          <w:rFonts w:hint="eastAsia" w:ascii="宋体" w:hAnsi="宋体" w:eastAsia="宋体" w:cs="宋体"/>
          <w:color w:val="auto"/>
          <w:sz w:val="24"/>
          <w:szCs w:val="24"/>
          <w:highlight w:val="none"/>
        </w:rPr>
        <w:t>：</w:t>
      </w:r>
    </w:p>
    <w:p w14:paraId="0C542FBA">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CEF5B3C">
      <w:pPr>
        <w:adjustRightInd w:val="0"/>
        <w:snapToGrid w:val="0"/>
        <w:spacing w:before="0" w:beforeLines="0"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highlight w:val="none"/>
          <w:lang w:eastAsia="zh-CN"/>
        </w:rPr>
        <w:t>（如果</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和制造商不同，只填写制造商类型）</w:t>
      </w:r>
      <w:r>
        <w:rPr>
          <w:rFonts w:hint="eastAsia" w:ascii="宋体" w:hAnsi="宋体" w:eastAsia="宋体" w:cs="宋体"/>
          <w:color w:val="auto"/>
          <w:sz w:val="24"/>
          <w:szCs w:val="24"/>
        </w:rPr>
        <w:t>：</w:t>
      </w:r>
    </w:p>
    <w:p w14:paraId="77C5F9A1">
      <w:pPr>
        <w:adjustRightInd w:val="0"/>
        <w:snapToGrid w:val="0"/>
        <w:spacing w:beforeLines="0" w:line="400" w:lineRule="exact"/>
        <w:ind w:firstLine="960" w:firstLineChars="40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0560EA74">
      <w:pPr>
        <w:adjustRightInd w:val="0"/>
        <w:snapToGrid w:val="0"/>
        <w:spacing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p>
    <w:p w14:paraId="60E4D07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w:t>
      </w:r>
      <w:r>
        <w:rPr>
          <w:rFonts w:hint="eastAsia" w:cs="宋体"/>
          <w:color w:val="auto"/>
          <w:sz w:val="24"/>
          <w:szCs w:val="24"/>
          <w:highlight w:val="none"/>
          <w:u w:val="none"/>
          <w:lang w:val="en-US" w:eastAsia="zh-CN"/>
        </w:rPr>
        <w:t>投标人</w:t>
      </w:r>
      <w:r>
        <w:rPr>
          <w:rFonts w:hint="eastAsia" w:ascii="宋体" w:hAnsi="宋体" w:eastAsia="宋体" w:cs="宋体"/>
          <w:color w:val="auto"/>
          <w:sz w:val="24"/>
          <w:szCs w:val="24"/>
          <w:highlight w:val="none"/>
          <w:u w:val="none"/>
          <w:lang w:val="en-US" w:eastAsia="zh-CN"/>
        </w:rPr>
        <w:t>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3E31544">
      <w:pPr>
        <w:pStyle w:val="33"/>
        <w:tabs>
          <w:tab w:val="left" w:pos="1340"/>
        </w:tabs>
        <w:spacing w:beforeLine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03AC2AAC">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6B4F8DF9">
      <w:pPr>
        <w:numPr>
          <w:ilvl w:val="-1"/>
          <w:numId w:val="0"/>
        </w:numPr>
        <w:adjustRightInd w:val="0"/>
        <w:snapToGrid w:val="0"/>
        <w:spacing w:before="0" w:beforeLines="0" w:line="400" w:lineRule="exact"/>
        <w:ind w:firstLine="960" w:firstLineChars="40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24172266">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 xml:space="preserve">        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2421EC92">
      <w:pPr>
        <w:adjustRightInd w:val="0"/>
        <w:snapToGrid w:val="0"/>
        <w:spacing w:before="0"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7F0E468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34559F1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3D1C380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1C757DE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2E4D483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7E8A83E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14C9059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087638E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0D5C721B">
      <w:pPr>
        <w:pStyle w:val="33"/>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35AFC786">
      <w:pPr>
        <w:pStyle w:val="33"/>
        <w:spacing w:beforeLines="0"/>
        <w:ind w:firstLine="420" w:firstLineChars="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35B7343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35DADEF8">
      <w:pPr>
        <w:pStyle w:val="33"/>
        <w:spacing w:beforeLines="0"/>
        <w:ind w:firstLine="42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否</w:t>
      </w:r>
    </w:p>
    <w:p w14:paraId="251FA94B">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6B19B486">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不涉及</w:t>
      </w:r>
    </w:p>
    <w:p w14:paraId="330DBCF5">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7AFFB71">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F151C5E">
      <w:pPr>
        <w:adjustRightInd w:val="0"/>
        <w:snapToGrid w:val="0"/>
        <w:spacing w:before="0" w:beforeLines="0" w:line="400" w:lineRule="exact"/>
        <w:ind w:left="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987B17C">
      <w:p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327A70E5">
      <w:pPr>
        <w:adjustRightInd w:val="0"/>
        <w:snapToGrid w:val="0"/>
        <w:spacing w:before="0" w:beforeLines="0" w:line="400" w:lineRule="exact"/>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6F05590">
      <w:p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0227C64A">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792D3533">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66BFF42A">
      <w:pPr>
        <w:pStyle w:val="81"/>
        <w:spacing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6C519EF3">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2555D703">
      <w:pPr>
        <w:snapToGrid w:val="0"/>
        <w:spacing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07B4DD78">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566FFAE2">
      <w:pPr>
        <w:adjustRightInd w:val="0"/>
        <w:snapToGrid w:val="0"/>
        <w:spacing w:before="0"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63D23F8B">
      <w:pPr>
        <w:numPr>
          <w:ilvl w:val="0"/>
          <w:numId w:val="4"/>
        </w:numPr>
        <w:adjustRightInd w:val="0"/>
        <w:snapToGrid w:val="0"/>
        <w:spacing w:before="0" w:beforeLines="0" w:line="400" w:lineRule="exact"/>
        <w:ind w:firstLine="482" w:firstLineChars="20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2D99E5C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9E5846B">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5DBEE0C1">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否</w:t>
      </w:r>
    </w:p>
    <w:p w14:paraId="44B1BBEA">
      <w:pPr>
        <w:pStyle w:val="33"/>
        <w:spacing w:beforeLines="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597A4EC2">
      <w:pPr>
        <w:pStyle w:val="33"/>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7AA362AE">
      <w:pPr>
        <w:snapToGrid w:val="0"/>
        <w:spacing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13D0D0FB">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6479103B">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p>
    <w:p w14:paraId="78CA1729">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3C932786">
      <w:pPr>
        <w:numPr>
          <w:ilvl w:val="0"/>
          <w:numId w:val="6"/>
        </w:num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委托第三方组织</w:t>
      </w:r>
    </w:p>
    <w:p w14:paraId="05E9DAA5">
      <w:pPr>
        <w:numPr>
          <w:ilvl w:val="0"/>
          <w:numId w:val="0"/>
        </w:numPr>
        <w:adjustRightInd w:val="0"/>
        <w:snapToGrid w:val="0"/>
        <w:spacing w:before="0" w:beforeLines="0"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3543BC86">
      <w:pPr>
        <w:adjustRightInd w:val="0"/>
        <w:snapToGrid w:val="0"/>
        <w:spacing w:before="0" w:beforeLines="0" w:line="400" w:lineRule="exact"/>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w:t>
      </w:r>
      <w:r>
        <w:rPr>
          <w:rFonts w:hint="eastAsia" w:cs="宋体"/>
          <w:bCs/>
          <w:color w:val="auto"/>
          <w:sz w:val="24"/>
          <w:szCs w:val="24"/>
          <w:lang w:eastAsia="zh-CN"/>
        </w:rPr>
        <w:t>投标人</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45521580">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1226E78B">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3A0691C9">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348F3A04">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5646A6C0">
      <w:pPr>
        <w:adjustRightInd w:val="0"/>
        <w:snapToGrid w:val="0"/>
        <w:spacing w:before="0" w:beforeLines="0" w:line="400" w:lineRule="exact"/>
        <w:ind w:firstLine="960" w:firstLineChars="40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20E83748">
      <w:pPr>
        <w:adjustRightInd w:val="0"/>
        <w:snapToGrid w:val="0"/>
        <w:spacing w:before="0" w:beforeLines="0" w:line="400" w:lineRule="exact"/>
        <w:ind w:firstLine="960" w:firstLineChars="4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1F861669">
      <w:pPr>
        <w:adjustRightInd w:val="0"/>
        <w:snapToGrid w:val="0"/>
        <w:spacing w:before="0" w:beforeLines="0" w:line="400" w:lineRule="exact"/>
        <w:ind w:firstLine="960" w:firstLineChars="4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747B54A4">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w:t>
      </w:r>
      <w:r>
        <w:rPr>
          <w:rFonts w:hint="eastAsia" w:cs="宋体"/>
          <w:bCs/>
          <w:color w:val="auto"/>
          <w:sz w:val="24"/>
          <w:szCs w:val="24"/>
          <w:u w:val="single"/>
          <w:lang w:eastAsia="zh-CN"/>
        </w:rPr>
        <w:t>投标人</w:t>
      </w:r>
      <w:r>
        <w:rPr>
          <w:rFonts w:hint="eastAsia" w:ascii="宋体" w:hAnsi="宋体" w:eastAsia="宋体" w:cs="宋体"/>
          <w:bCs/>
          <w:color w:val="auto"/>
          <w:sz w:val="24"/>
          <w:szCs w:val="24"/>
          <w:u w:val="single"/>
        </w:rPr>
        <w:t>提出验收申请之日起   日内组织验收）</w:t>
      </w:r>
      <w:r>
        <w:rPr>
          <w:rFonts w:hint="eastAsia" w:ascii="宋体" w:hAnsi="宋体" w:eastAsia="宋体" w:cs="宋体"/>
          <w:bCs/>
          <w:color w:val="auto"/>
          <w:sz w:val="24"/>
          <w:szCs w:val="24"/>
          <w:u w:val="single"/>
          <w:lang w:val="en-US" w:eastAsia="zh-CN"/>
        </w:rPr>
        <w:t xml:space="preserve"> </w:t>
      </w:r>
    </w:p>
    <w:p w14:paraId="31236B5C">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一次性验收         </w:t>
      </w:r>
    </w:p>
    <w:p w14:paraId="44C09E0F">
      <w:pPr>
        <w:adjustRightInd w:val="0"/>
        <w:snapToGrid w:val="0"/>
        <w:spacing w:before="0" w:beforeLines="0" w:line="400" w:lineRule="exact"/>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5C8EB2B3">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16371111">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0FC1E915">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58F396AA">
      <w:pPr>
        <w:pStyle w:val="33"/>
        <w:spacing w:beforeLines="0"/>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）是否以采购活动中投标人提供的样品作为参考：</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4CDCE99C">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1A850BF1">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37B81325">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00343A2B">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6D086AB8">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1D233AF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4F3CF0C7">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60AF3E93">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20446B3C">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04FC9678">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2DD39C36">
      <w:pPr>
        <w:pStyle w:val="33"/>
        <w:spacing w:beforeLine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47E6DA7">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74B346F1">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6BD48C37">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370E4DB5">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3E705E95">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7E98B37">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78FE3CE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3B9AEBD8">
      <w:pPr>
        <w:pStyle w:val="81"/>
        <w:rPr>
          <w:rFonts w:hint="eastAsia" w:ascii="宋体" w:hAnsi="宋体" w:eastAsia="宋体" w:cs="宋体"/>
          <w:color w:val="auto"/>
          <w:sz w:val="24"/>
          <w:szCs w:val="24"/>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0"/>
        <w:gridCol w:w="2716"/>
        <w:gridCol w:w="2228"/>
        <w:gridCol w:w="2383"/>
      </w:tblGrid>
      <w:tr w14:paraId="279DB2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6328CA0">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20160C63">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cs="宋体"/>
                <w:color w:val="auto"/>
                <w:sz w:val="24"/>
                <w:szCs w:val="24"/>
                <w:lang w:eastAsia="zh-CN"/>
              </w:rPr>
              <w:t>投标人</w:t>
            </w:r>
            <w:r>
              <w:rPr>
                <w:rFonts w:hint="eastAsia" w:ascii="宋体" w:hAnsi="宋体" w:eastAsia="宋体" w:cs="宋体"/>
                <w:color w:val="auto"/>
                <w:sz w:val="24"/>
                <w:szCs w:val="24"/>
              </w:rPr>
              <w:t>）</w:t>
            </w:r>
          </w:p>
        </w:tc>
      </w:tr>
      <w:tr w14:paraId="592295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5564668">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6543702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BEAC8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0A9EF109">
            <w:pPr>
              <w:adjustRightInd w:val="0"/>
              <w:snapToGrid w:val="0"/>
              <w:spacing w:line="300" w:lineRule="exact"/>
              <w:jc w:val="center"/>
              <w:rPr>
                <w:rFonts w:hint="eastAsia" w:ascii="宋体" w:hAnsi="宋体" w:eastAsia="宋体" w:cs="宋体"/>
                <w:color w:val="auto"/>
                <w:spacing w:val="20"/>
                <w:sz w:val="24"/>
                <w:szCs w:val="24"/>
              </w:rPr>
            </w:pPr>
          </w:p>
        </w:tc>
      </w:tr>
      <w:tr w14:paraId="1C4F11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688B40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1B4A8731">
            <w:pPr>
              <w:adjustRightInd w:val="0"/>
              <w:snapToGrid w:val="0"/>
              <w:spacing w:line="300" w:lineRule="exact"/>
              <w:ind w:firstLine="115" w:firstLineChars="48"/>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6E0B291">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2C642539">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59A5B69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041C3BB6">
            <w:pPr>
              <w:adjustRightInd w:val="0"/>
              <w:snapToGrid w:val="0"/>
              <w:spacing w:line="300" w:lineRule="exact"/>
              <w:jc w:val="center"/>
              <w:rPr>
                <w:rFonts w:hint="eastAsia" w:ascii="宋体" w:hAnsi="宋体" w:eastAsia="宋体" w:cs="宋体"/>
                <w:color w:val="auto"/>
                <w:sz w:val="24"/>
                <w:szCs w:val="24"/>
              </w:rPr>
            </w:pPr>
          </w:p>
        </w:tc>
      </w:tr>
      <w:tr w14:paraId="4B4977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CE76629">
            <w:pPr>
              <w:adjustRightInd w:val="0"/>
              <w:snapToGrid w:val="0"/>
              <w:spacing w:line="300" w:lineRule="exact"/>
              <w:jc w:val="center"/>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30710C6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CC7C2B">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5D80A3C1">
            <w:pPr>
              <w:adjustRightInd w:val="0"/>
              <w:snapToGrid w:val="0"/>
              <w:spacing w:line="300" w:lineRule="exact"/>
              <w:jc w:val="center"/>
              <w:rPr>
                <w:rFonts w:hint="eastAsia" w:ascii="宋体" w:hAnsi="宋体" w:eastAsia="宋体" w:cs="宋体"/>
                <w:color w:val="auto"/>
                <w:spacing w:val="20"/>
                <w:sz w:val="24"/>
                <w:szCs w:val="24"/>
              </w:rPr>
            </w:pPr>
          </w:p>
        </w:tc>
      </w:tr>
      <w:tr w14:paraId="595674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0140EB">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888B205">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B026E31">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25242455">
            <w:pPr>
              <w:adjustRightInd w:val="0"/>
              <w:snapToGrid w:val="0"/>
              <w:spacing w:line="300" w:lineRule="exact"/>
              <w:jc w:val="center"/>
              <w:rPr>
                <w:rFonts w:hint="eastAsia" w:ascii="宋体" w:hAnsi="宋体" w:eastAsia="宋体" w:cs="宋体"/>
                <w:color w:val="auto"/>
                <w:spacing w:val="20"/>
                <w:sz w:val="24"/>
                <w:szCs w:val="24"/>
              </w:rPr>
            </w:pPr>
          </w:p>
        </w:tc>
      </w:tr>
      <w:tr w14:paraId="480B1D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A35E5C">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24F58E9">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149768">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4B8D7FD8">
            <w:pPr>
              <w:adjustRightInd w:val="0"/>
              <w:snapToGrid w:val="0"/>
              <w:spacing w:line="300" w:lineRule="exact"/>
              <w:jc w:val="center"/>
              <w:rPr>
                <w:rFonts w:hint="eastAsia" w:ascii="宋体" w:hAnsi="宋体" w:eastAsia="宋体" w:cs="宋体"/>
                <w:color w:val="auto"/>
                <w:spacing w:val="20"/>
                <w:sz w:val="24"/>
                <w:szCs w:val="24"/>
              </w:rPr>
            </w:pPr>
          </w:p>
        </w:tc>
      </w:tr>
      <w:tr w14:paraId="34408D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B3D644">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698A58">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74D7E4">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71B3BF47">
            <w:pPr>
              <w:adjustRightInd w:val="0"/>
              <w:snapToGrid w:val="0"/>
              <w:spacing w:line="300" w:lineRule="exact"/>
              <w:jc w:val="center"/>
              <w:rPr>
                <w:rFonts w:hint="eastAsia" w:ascii="宋体" w:hAnsi="宋体" w:eastAsia="宋体" w:cs="宋体"/>
                <w:color w:val="auto"/>
                <w:spacing w:val="20"/>
                <w:sz w:val="24"/>
                <w:szCs w:val="24"/>
              </w:rPr>
            </w:pPr>
          </w:p>
        </w:tc>
      </w:tr>
      <w:tr w14:paraId="34477D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47C293">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D33ED8D">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F13219">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2329B477">
            <w:pPr>
              <w:adjustRightInd w:val="0"/>
              <w:snapToGrid w:val="0"/>
              <w:spacing w:line="300" w:lineRule="exact"/>
              <w:jc w:val="center"/>
              <w:rPr>
                <w:rFonts w:hint="eastAsia" w:ascii="宋体" w:hAnsi="宋体" w:eastAsia="宋体" w:cs="宋体"/>
                <w:color w:val="auto"/>
                <w:spacing w:val="20"/>
                <w:sz w:val="24"/>
                <w:szCs w:val="24"/>
              </w:rPr>
            </w:pPr>
          </w:p>
        </w:tc>
      </w:tr>
      <w:tr w14:paraId="7FA597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3C68B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74C7770">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09E1880">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7E68D141">
            <w:pPr>
              <w:adjustRightInd w:val="0"/>
              <w:snapToGrid w:val="0"/>
              <w:spacing w:line="300" w:lineRule="exact"/>
              <w:jc w:val="center"/>
              <w:rPr>
                <w:rFonts w:hint="eastAsia" w:ascii="宋体" w:hAnsi="宋体" w:eastAsia="宋体" w:cs="宋体"/>
                <w:color w:val="auto"/>
                <w:spacing w:val="20"/>
                <w:sz w:val="24"/>
                <w:szCs w:val="24"/>
              </w:rPr>
            </w:pPr>
          </w:p>
        </w:tc>
      </w:tr>
      <w:tr w14:paraId="41CE11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28C97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E8F9708">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378F37">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656902B3">
            <w:pPr>
              <w:adjustRightInd w:val="0"/>
              <w:snapToGrid w:val="0"/>
              <w:spacing w:line="300" w:lineRule="exact"/>
              <w:jc w:val="center"/>
              <w:rPr>
                <w:rFonts w:hint="eastAsia" w:ascii="宋体" w:hAnsi="宋体" w:eastAsia="宋体" w:cs="宋体"/>
                <w:color w:val="auto"/>
                <w:spacing w:val="20"/>
                <w:sz w:val="24"/>
                <w:szCs w:val="24"/>
              </w:rPr>
            </w:pPr>
          </w:p>
        </w:tc>
      </w:tr>
      <w:tr w14:paraId="64B93D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181535">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92074E4">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193F1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35BBA31B">
            <w:pPr>
              <w:adjustRightInd w:val="0"/>
              <w:snapToGrid w:val="0"/>
              <w:spacing w:line="300" w:lineRule="exact"/>
              <w:jc w:val="center"/>
              <w:rPr>
                <w:rFonts w:hint="eastAsia" w:ascii="宋体" w:hAnsi="宋体" w:eastAsia="宋体" w:cs="宋体"/>
                <w:color w:val="auto"/>
                <w:spacing w:val="20"/>
                <w:sz w:val="24"/>
                <w:szCs w:val="24"/>
              </w:rPr>
            </w:pPr>
          </w:p>
        </w:tc>
      </w:tr>
      <w:tr w14:paraId="5D0C32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C7E31B">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4CDB6D3">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E436CAB">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7D4A2D77">
            <w:pPr>
              <w:adjustRightInd w:val="0"/>
              <w:snapToGrid w:val="0"/>
              <w:spacing w:line="300" w:lineRule="exact"/>
              <w:jc w:val="center"/>
              <w:rPr>
                <w:rFonts w:hint="eastAsia" w:ascii="宋体" w:hAnsi="宋体" w:eastAsia="宋体" w:cs="宋体"/>
                <w:color w:val="auto"/>
                <w:spacing w:val="20"/>
                <w:sz w:val="24"/>
                <w:szCs w:val="24"/>
              </w:rPr>
            </w:pPr>
          </w:p>
        </w:tc>
      </w:tr>
      <w:tr w14:paraId="03742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006524">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872F7F0">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AA1481C">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125F19BF">
            <w:pPr>
              <w:adjustRightInd w:val="0"/>
              <w:snapToGrid w:val="0"/>
              <w:spacing w:line="300" w:lineRule="exact"/>
              <w:jc w:val="center"/>
              <w:rPr>
                <w:rFonts w:hint="eastAsia" w:ascii="宋体" w:hAnsi="宋体" w:eastAsia="宋体" w:cs="宋体"/>
                <w:color w:val="auto"/>
                <w:spacing w:val="20"/>
                <w:sz w:val="24"/>
                <w:szCs w:val="24"/>
              </w:rPr>
            </w:pPr>
          </w:p>
        </w:tc>
      </w:tr>
      <w:tr w14:paraId="172B58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11FB7E">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951387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492E9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5E91AFBD">
            <w:pPr>
              <w:adjustRightInd w:val="0"/>
              <w:snapToGrid w:val="0"/>
              <w:spacing w:line="300" w:lineRule="exact"/>
              <w:jc w:val="center"/>
              <w:rPr>
                <w:rFonts w:hint="eastAsia" w:ascii="宋体" w:hAnsi="宋体" w:eastAsia="宋体" w:cs="宋体"/>
                <w:color w:val="auto"/>
                <w:spacing w:val="20"/>
                <w:sz w:val="24"/>
                <w:szCs w:val="24"/>
              </w:rPr>
            </w:pPr>
          </w:p>
        </w:tc>
      </w:tr>
      <w:tr w14:paraId="1B4665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C8C033">
            <w:pPr>
              <w:pStyle w:val="9"/>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3A7586F8">
      <w:pPr>
        <w:pStyle w:val="3"/>
        <w:bidi w:val="0"/>
        <w:rPr>
          <w:rFonts w:hint="eastAsia"/>
          <w:color w:val="auto"/>
        </w:rPr>
      </w:pPr>
      <w:bookmarkStart w:id="88" w:name="_Toc26077"/>
      <w:bookmarkStart w:id="89" w:name="_Toc27624"/>
      <w:r>
        <w:rPr>
          <w:rFonts w:hint="eastAsia"/>
          <w:color w:val="auto"/>
        </w:rPr>
        <w:t>第二节 政府采购合同通用条款</w:t>
      </w:r>
      <w:bookmarkEnd w:id="88"/>
      <w:bookmarkEnd w:id="89"/>
    </w:p>
    <w:p w14:paraId="094FB353">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4C7C8F3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62C110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521C0D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5F29A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BF6C50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70255C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4E7E187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7EAFA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2643AFE5">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752D9E6">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履行合同的行为。</w:t>
      </w:r>
    </w:p>
    <w:p w14:paraId="3E89DBF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w:t>
      </w:r>
      <w:r>
        <w:rPr>
          <w:rFonts w:hint="eastAsia" w:cs="宋体"/>
          <w:color w:val="auto"/>
          <w:sz w:val="24"/>
          <w:szCs w:val="24"/>
          <w:lang w:eastAsia="zh-CN"/>
        </w:rPr>
        <w:t>投标人</w:t>
      </w:r>
      <w:r>
        <w:rPr>
          <w:rFonts w:hint="eastAsia" w:ascii="宋体" w:hAnsi="宋体" w:eastAsia="宋体" w:cs="宋体"/>
          <w:color w:val="auto"/>
          <w:sz w:val="24"/>
          <w:szCs w:val="24"/>
          <w:lang w:eastAsia="zh-CN"/>
        </w:rPr>
        <w:t>的身份共同参加政府采购的主体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80059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573E57AC">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310A0412">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29D0F47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009F826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6384BF7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030A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531F1FE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AD3F74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452C2936">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CE1FAB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01E9E77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BDB6AE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198A64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08950B1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CC854E3">
      <w:pPr>
        <w:pStyle w:val="8"/>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2DA2A62D">
      <w:pPr>
        <w:pStyle w:val="8"/>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06D58E66">
      <w:pPr>
        <w:numPr>
          <w:ilvl w:val="0"/>
          <w:numId w:val="8"/>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7EF3634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31840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44FCFEBF">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2A31774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56981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C6C13C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760EC10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9FC3D8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0C1FE5EF">
      <w:pPr>
        <w:pStyle w:val="33"/>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14877063">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4CA82F90">
      <w:pPr>
        <w:pStyle w:val="10"/>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492A8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定的品牌、规格型号、技术性能、配置、质量、数量等要求。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B99B87A">
      <w:pPr>
        <w:pStyle w:val="1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1366AF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FD918D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126BBB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B4DD5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color w:val="auto"/>
          <w:sz w:val="24"/>
          <w:szCs w:val="24"/>
        </w:rPr>
        <w:t>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6E21DF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B6936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5ECE5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4A507C9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2BD479C">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D4F64D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70D6C5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rPr>
        <w:t>乙方保证在交付的货物上不存在抵押权等担保物权。</w:t>
      </w:r>
    </w:p>
    <w:p w14:paraId="4CADC35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33B5B0C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4FE225F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90"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90"/>
      <w:r>
        <w:rPr>
          <w:rFonts w:hint="eastAsia" w:ascii="宋体" w:hAnsi="宋体" w:eastAsia="宋体" w:cs="宋体"/>
          <w:color w:val="auto"/>
          <w:sz w:val="24"/>
          <w:szCs w:val="24"/>
          <w:highlight w:val="none"/>
        </w:rPr>
        <w:t>。</w:t>
      </w:r>
    </w:p>
    <w:p w14:paraId="7E2DBAD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7AE4D5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0B77819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9B9DB0F">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CC9C7CF">
      <w:pPr>
        <w:bidi w:val="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8888F53">
      <w:pPr>
        <w:pStyle w:val="8"/>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51554B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乙方应当以支票、汇票、本票或者金融机构、担保机构出具的保函等非现金形式提交。</w:t>
      </w:r>
    </w:p>
    <w:p w14:paraId="7AD923F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25B4E9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6FF82EFA">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2E080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90E44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0FAD6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37D424A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89C36E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lang w:eastAsia="zh-CN"/>
        </w:rPr>
        <w:t>；</w:t>
      </w:r>
    </w:p>
    <w:p w14:paraId="7C767DC9">
      <w:pPr>
        <w:pStyle w:val="33"/>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4BD4A7B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22C9F5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B8FB089">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E6DB9C0">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F2D463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206D031B">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0DEA01C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C83760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EDE5DC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F8B003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D27F5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D9856EB">
      <w:pPr>
        <w:numPr>
          <w:ilvl w:val="0"/>
          <w:numId w:val="9"/>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FB87D0A">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D765EB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2C6A33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F355C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0500DF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845E415">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1371BA2D">
      <w:pPr>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3916E9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5B2C4C2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711ED4A">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highlight w:val="none"/>
        </w:rPr>
        <w:t>。</w:t>
      </w:r>
    </w:p>
    <w:p w14:paraId="73897A7E">
      <w:pPr>
        <w:pStyle w:val="3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BD0E2EC">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4782F40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5B7917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FCED3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36B73B07">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F7623E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28260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766B6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2A1013B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1E12088">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2F049CEE">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323D23DE">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303A1889">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6CB515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4656A65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1814A351">
      <w:pPr>
        <w:pStyle w:val="8"/>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B30258">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15652AA">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01729A7A">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73179541">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3B66487">
      <w:pPr>
        <w:pStyle w:val="33"/>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28A00415">
      <w:pPr>
        <w:pStyle w:val="33"/>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2565667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3DA662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5C1ECA3">
      <w:pPr>
        <w:numPr>
          <w:ilvl w:val="0"/>
          <w:numId w:val="10"/>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FBFA365">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EF2AA12">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91" w:name="_Toc20313"/>
    </w:p>
    <w:p w14:paraId="070F7BB4">
      <w:pPr>
        <w:adjustRightInd w:val="0"/>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4407010A">
      <w:pPr>
        <w:pStyle w:val="3"/>
        <w:bidi w:val="0"/>
        <w:rPr>
          <w:rFonts w:hint="eastAsia"/>
          <w:color w:val="auto"/>
        </w:rPr>
      </w:pPr>
      <w:bookmarkStart w:id="92" w:name="_Toc10643"/>
      <w:r>
        <w:rPr>
          <w:rFonts w:hint="eastAsia"/>
          <w:color w:val="auto"/>
        </w:rPr>
        <w:t>第三节 政府采购合同专用条款</w:t>
      </w:r>
      <w:bookmarkEnd w:id="91"/>
      <w:bookmarkEnd w:id="92"/>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503"/>
        <w:gridCol w:w="4409"/>
      </w:tblGrid>
      <w:tr w14:paraId="4390E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7B254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612D49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2503" w:type="dxa"/>
            <w:vAlign w:val="center"/>
          </w:tcPr>
          <w:p w14:paraId="60B9BE9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4409" w:type="dxa"/>
            <w:vAlign w:val="center"/>
          </w:tcPr>
          <w:p w14:paraId="522C9016">
            <w:pPr>
              <w:adjustRightInd w:val="0"/>
              <w:snapToGrid w:val="0"/>
              <w:jc w:val="left"/>
              <w:rPr>
                <w:rFonts w:hint="eastAsia" w:ascii="宋体" w:hAnsi="宋体" w:eastAsia="宋体" w:cs="宋体"/>
                <w:color w:val="auto"/>
                <w:sz w:val="24"/>
                <w:szCs w:val="24"/>
              </w:rPr>
            </w:pPr>
          </w:p>
        </w:tc>
      </w:tr>
      <w:tr w14:paraId="42CB6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DEBDB5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C538697">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2503" w:type="dxa"/>
            <w:vAlign w:val="center"/>
          </w:tcPr>
          <w:p w14:paraId="26EDF719">
            <w:pPr>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4409" w:type="dxa"/>
            <w:vAlign w:val="center"/>
          </w:tcPr>
          <w:p w14:paraId="7069E15B">
            <w:pPr>
              <w:adjustRightInd w:val="0"/>
              <w:snapToGrid w:val="0"/>
              <w:jc w:val="left"/>
              <w:rPr>
                <w:rFonts w:hint="eastAsia" w:ascii="宋体" w:hAnsi="宋体" w:eastAsia="宋体" w:cs="宋体"/>
                <w:color w:val="auto"/>
                <w:kern w:val="2"/>
                <w:sz w:val="24"/>
                <w:szCs w:val="24"/>
                <w:lang w:val="en-US" w:eastAsia="zh-CN" w:bidi="ar-SA"/>
              </w:rPr>
            </w:pPr>
          </w:p>
        </w:tc>
      </w:tr>
      <w:tr w14:paraId="57A74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F0F75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C9AA633">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2503" w:type="dxa"/>
            <w:vAlign w:val="center"/>
          </w:tcPr>
          <w:p w14:paraId="4B00E515">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4409" w:type="dxa"/>
            <w:vAlign w:val="center"/>
          </w:tcPr>
          <w:p w14:paraId="70BD7CEC">
            <w:pPr>
              <w:adjustRightInd w:val="0"/>
              <w:snapToGrid w:val="0"/>
              <w:jc w:val="left"/>
              <w:rPr>
                <w:rFonts w:hint="eastAsia" w:ascii="宋体" w:hAnsi="宋体" w:eastAsia="宋体" w:cs="宋体"/>
                <w:color w:val="auto"/>
                <w:kern w:val="2"/>
                <w:sz w:val="24"/>
                <w:szCs w:val="24"/>
                <w:lang w:val="en-US" w:eastAsia="zh-CN" w:bidi="ar-SA"/>
              </w:rPr>
            </w:pPr>
          </w:p>
        </w:tc>
      </w:tr>
      <w:tr w14:paraId="5A304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8D888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CCF4E7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2503" w:type="dxa"/>
            <w:vAlign w:val="center"/>
          </w:tcPr>
          <w:p w14:paraId="1FDA948C">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4409" w:type="dxa"/>
            <w:vAlign w:val="center"/>
          </w:tcPr>
          <w:p w14:paraId="07C88BB6">
            <w:pPr>
              <w:adjustRightInd w:val="0"/>
              <w:snapToGrid w:val="0"/>
              <w:jc w:val="left"/>
              <w:rPr>
                <w:rFonts w:hint="eastAsia" w:ascii="宋体" w:hAnsi="宋体" w:eastAsia="宋体" w:cs="宋体"/>
                <w:color w:val="auto"/>
                <w:kern w:val="2"/>
                <w:sz w:val="24"/>
                <w:szCs w:val="24"/>
                <w:lang w:val="en-US" w:eastAsia="zh-CN" w:bidi="ar-SA"/>
              </w:rPr>
            </w:pPr>
          </w:p>
        </w:tc>
      </w:tr>
      <w:tr w14:paraId="040DC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5704BC">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6424FBB">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2503" w:type="dxa"/>
            <w:vAlign w:val="center"/>
          </w:tcPr>
          <w:p w14:paraId="3F3969B6">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4409" w:type="dxa"/>
            <w:vAlign w:val="center"/>
          </w:tcPr>
          <w:p w14:paraId="3EA97123">
            <w:pPr>
              <w:adjustRightInd w:val="0"/>
              <w:snapToGrid w:val="0"/>
              <w:jc w:val="left"/>
              <w:rPr>
                <w:rFonts w:hint="eastAsia" w:ascii="宋体" w:hAnsi="宋体" w:eastAsia="宋体" w:cs="宋体"/>
                <w:color w:val="auto"/>
                <w:kern w:val="2"/>
                <w:sz w:val="24"/>
                <w:szCs w:val="24"/>
                <w:lang w:val="en-US" w:eastAsia="zh-CN" w:bidi="ar-SA"/>
              </w:rPr>
            </w:pPr>
          </w:p>
        </w:tc>
      </w:tr>
      <w:tr w14:paraId="10C69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CC7593">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FDD4C46">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2503" w:type="dxa"/>
            <w:vAlign w:val="center"/>
          </w:tcPr>
          <w:p w14:paraId="23E811E6">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4409" w:type="dxa"/>
            <w:vAlign w:val="center"/>
          </w:tcPr>
          <w:p w14:paraId="69BC595B">
            <w:pPr>
              <w:adjustRightInd w:val="0"/>
              <w:snapToGrid w:val="0"/>
              <w:jc w:val="left"/>
              <w:rPr>
                <w:rFonts w:hint="eastAsia" w:ascii="宋体" w:hAnsi="宋体" w:eastAsia="宋体" w:cs="宋体"/>
                <w:color w:val="auto"/>
                <w:kern w:val="2"/>
                <w:sz w:val="24"/>
                <w:szCs w:val="24"/>
                <w:lang w:val="en-US" w:eastAsia="zh-CN" w:bidi="ar-SA"/>
              </w:rPr>
            </w:pPr>
          </w:p>
        </w:tc>
      </w:tr>
      <w:tr w14:paraId="60D9C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DB37AB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DDA381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2503" w:type="dxa"/>
            <w:vAlign w:val="center"/>
          </w:tcPr>
          <w:p w14:paraId="5B87764C">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4409" w:type="dxa"/>
            <w:vAlign w:val="center"/>
          </w:tcPr>
          <w:p w14:paraId="3FB98C1D">
            <w:pPr>
              <w:rPr>
                <w:rFonts w:hint="eastAsia" w:ascii="宋体" w:hAnsi="宋体" w:eastAsia="宋体" w:cs="宋体"/>
                <w:color w:val="auto"/>
                <w:sz w:val="24"/>
                <w:szCs w:val="24"/>
              </w:rPr>
            </w:pPr>
          </w:p>
        </w:tc>
      </w:tr>
      <w:tr w14:paraId="7BCC6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05DA6BB">
            <w:pPr>
              <w:adjustRightInd w:val="0"/>
              <w:snapToGrid w:val="0"/>
              <w:jc w:val="center"/>
              <w:rPr>
                <w:rFonts w:hint="eastAsia" w:ascii="宋体" w:hAnsi="宋体" w:eastAsia="宋体" w:cs="宋体"/>
                <w:color w:val="auto"/>
                <w:sz w:val="24"/>
                <w:szCs w:val="24"/>
              </w:rPr>
            </w:pPr>
          </w:p>
        </w:tc>
        <w:tc>
          <w:tcPr>
            <w:tcW w:w="2503" w:type="dxa"/>
            <w:vAlign w:val="center"/>
          </w:tcPr>
          <w:p w14:paraId="0830C155">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4409" w:type="dxa"/>
            <w:vAlign w:val="center"/>
          </w:tcPr>
          <w:p w14:paraId="5E02521E">
            <w:pPr>
              <w:rPr>
                <w:rFonts w:hint="eastAsia" w:ascii="宋体" w:hAnsi="宋体" w:eastAsia="宋体" w:cs="宋体"/>
                <w:color w:val="auto"/>
                <w:sz w:val="24"/>
                <w:szCs w:val="24"/>
              </w:rPr>
            </w:pPr>
          </w:p>
        </w:tc>
      </w:tr>
      <w:tr w14:paraId="10E07B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10FFA9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EB65D1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2503" w:type="dxa"/>
            <w:vAlign w:val="center"/>
          </w:tcPr>
          <w:p w14:paraId="483C07FE">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4409" w:type="dxa"/>
            <w:vAlign w:val="center"/>
          </w:tcPr>
          <w:p w14:paraId="26EED064">
            <w:pPr>
              <w:rPr>
                <w:rFonts w:hint="eastAsia" w:ascii="宋体" w:hAnsi="宋体" w:eastAsia="宋体" w:cs="宋体"/>
                <w:color w:val="auto"/>
                <w:sz w:val="24"/>
                <w:szCs w:val="24"/>
              </w:rPr>
            </w:pPr>
          </w:p>
        </w:tc>
      </w:tr>
      <w:tr w14:paraId="57AE53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C64460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2AB5CC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2503" w:type="dxa"/>
            <w:vAlign w:val="center"/>
          </w:tcPr>
          <w:p w14:paraId="770E46A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4409" w:type="dxa"/>
            <w:vAlign w:val="center"/>
          </w:tcPr>
          <w:p w14:paraId="2DBFB54A">
            <w:pPr>
              <w:rPr>
                <w:rFonts w:hint="eastAsia" w:ascii="宋体" w:hAnsi="宋体" w:eastAsia="宋体" w:cs="宋体"/>
                <w:color w:val="auto"/>
                <w:sz w:val="24"/>
                <w:szCs w:val="24"/>
              </w:rPr>
            </w:pPr>
          </w:p>
        </w:tc>
      </w:tr>
      <w:tr w14:paraId="2CF0B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4F6A0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612FCD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2503" w:type="dxa"/>
            <w:vAlign w:val="center"/>
          </w:tcPr>
          <w:p w14:paraId="5316DED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4409" w:type="dxa"/>
            <w:vAlign w:val="center"/>
          </w:tcPr>
          <w:p w14:paraId="7C7F8E12">
            <w:pPr>
              <w:autoSpaceDE w:val="0"/>
              <w:autoSpaceDN w:val="0"/>
              <w:adjustRightInd w:val="0"/>
              <w:snapToGrid w:val="0"/>
              <w:ind w:firstLine="480" w:firstLineChars="200"/>
              <w:jc w:val="left"/>
              <w:rPr>
                <w:rFonts w:hint="eastAsia" w:ascii="宋体" w:hAnsi="宋体" w:eastAsia="宋体" w:cs="宋体"/>
                <w:color w:val="auto"/>
                <w:sz w:val="24"/>
                <w:szCs w:val="24"/>
              </w:rPr>
            </w:pPr>
          </w:p>
        </w:tc>
      </w:tr>
      <w:tr w14:paraId="19FD7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6EFA8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554D2D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2503" w:type="dxa"/>
            <w:vAlign w:val="center"/>
          </w:tcPr>
          <w:p w14:paraId="289176F9">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53F5D22F">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4409" w:type="dxa"/>
            <w:vAlign w:val="center"/>
          </w:tcPr>
          <w:p w14:paraId="6C9BB22B">
            <w:pPr>
              <w:adjustRightInd w:val="0"/>
              <w:snapToGrid w:val="0"/>
              <w:jc w:val="left"/>
              <w:rPr>
                <w:rFonts w:hint="eastAsia" w:ascii="宋体" w:hAnsi="宋体" w:eastAsia="宋体" w:cs="宋体"/>
                <w:color w:val="auto"/>
                <w:sz w:val="24"/>
                <w:szCs w:val="24"/>
              </w:rPr>
            </w:pPr>
          </w:p>
        </w:tc>
      </w:tr>
      <w:tr w14:paraId="171EC1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2A8532">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6E316AA0">
            <w:pPr>
              <w:pStyle w:val="33"/>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2503" w:type="dxa"/>
            <w:vAlign w:val="center"/>
          </w:tcPr>
          <w:p w14:paraId="1626AF0E">
            <w:pPr>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4409" w:type="dxa"/>
            <w:vAlign w:val="center"/>
          </w:tcPr>
          <w:p w14:paraId="1259289F">
            <w:pPr>
              <w:adjustRightInd w:val="0"/>
              <w:snapToGrid w:val="0"/>
              <w:jc w:val="left"/>
              <w:rPr>
                <w:rFonts w:hint="eastAsia" w:ascii="宋体" w:hAnsi="宋体" w:eastAsia="宋体" w:cs="宋体"/>
                <w:color w:val="auto"/>
                <w:sz w:val="24"/>
                <w:szCs w:val="24"/>
              </w:rPr>
            </w:pPr>
          </w:p>
        </w:tc>
      </w:tr>
      <w:tr w14:paraId="6253F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C80BF4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44B357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2503" w:type="dxa"/>
            <w:vAlign w:val="center"/>
          </w:tcPr>
          <w:p w14:paraId="3EF6DEC9">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4409" w:type="dxa"/>
            <w:vAlign w:val="center"/>
          </w:tcPr>
          <w:p w14:paraId="4FA3B221">
            <w:pPr>
              <w:adjustRightInd w:val="0"/>
              <w:snapToGrid w:val="0"/>
              <w:jc w:val="left"/>
              <w:rPr>
                <w:rFonts w:hint="eastAsia" w:ascii="宋体" w:hAnsi="宋体" w:eastAsia="宋体" w:cs="宋体"/>
                <w:color w:val="auto"/>
                <w:sz w:val="24"/>
                <w:szCs w:val="24"/>
              </w:rPr>
            </w:pPr>
          </w:p>
        </w:tc>
      </w:tr>
      <w:tr w14:paraId="7020E7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0E27C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0F8A22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2503" w:type="dxa"/>
            <w:vAlign w:val="center"/>
          </w:tcPr>
          <w:p w14:paraId="12C410E9">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4409" w:type="dxa"/>
            <w:vAlign w:val="center"/>
          </w:tcPr>
          <w:p w14:paraId="17E36FA7">
            <w:pPr>
              <w:adjustRightInd w:val="0"/>
              <w:snapToGrid w:val="0"/>
              <w:jc w:val="left"/>
              <w:rPr>
                <w:rFonts w:hint="eastAsia" w:ascii="宋体" w:hAnsi="宋体" w:eastAsia="宋体" w:cs="宋体"/>
                <w:color w:val="auto"/>
                <w:sz w:val="24"/>
                <w:szCs w:val="24"/>
              </w:rPr>
            </w:pPr>
          </w:p>
        </w:tc>
      </w:tr>
      <w:tr w14:paraId="64373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8E4AF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C7EEFC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2503" w:type="dxa"/>
            <w:vAlign w:val="center"/>
          </w:tcPr>
          <w:p w14:paraId="0841440F">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4409" w:type="dxa"/>
            <w:vAlign w:val="center"/>
          </w:tcPr>
          <w:p w14:paraId="1EF57A79">
            <w:pPr>
              <w:adjustRightInd w:val="0"/>
              <w:snapToGrid w:val="0"/>
              <w:jc w:val="left"/>
              <w:rPr>
                <w:rFonts w:hint="eastAsia" w:ascii="宋体" w:hAnsi="宋体" w:eastAsia="宋体" w:cs="宋体"/>
                <w:color w:val="auto"/>
                <w:sz w:val="24"/>
                <w:szCs w:val="24"/>
              </w:rPr>
            </w:pPr>
          </w:p>
        </w:tc>
      </w:tr>
      <w:tr w14:paraId="490F9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1AA22A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F510B7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2503" w:type="dxa"/>
            <w:vAlign w:val="center"/>
          </w:tcPr>
          <w:p w14:paraId="185EAB82">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4409" w:type="dxa"/>
            <w:vAlign w:val="center"/>
          </w:tcPr>
          <w:p w14:paraId="1006C174">
            <w:pPr>
              <w:adjustRightInd w:val="0"/>
              <w:snapToGrid w:val="0"/>
              <w:jc w:val="left"/>
              <w:rPr>
                <w:rFonts w:hint="eastAsia" w:ascii="宋体" w:hAnsi="宋体" w:eastAsia="宋体" w:cs="宋体"/>
                <w:color w:val="auto"/>
                <w:sz w:val="24"/>
                <w:szCs w:val="24"/>
              </w:rPr>
            </w:pPr>
          </w:p>
        </w:tc>
      </w:tr>
      <w:tr w14:paraId="7E960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EC376D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C807A6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2503" w:type="dxa"/>
            <w:vAlign w:val="center"/>
          </w:tcPr>
          <w:p w14:paraId="0E0E8AF3">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4409" w:type="dxa"/>
            <w:vAlign w:val="center"/>
          </w:tcPr>
          <w:p w14:paraId="1E860C6B">
            <w:pPr>
              <w:adjustRightInd w:val="0"/>
              <w:snapToGrid w:val="0"/>
              <w:jc w:val="left"/>
              <w:rPr>
                <w:rFonts w:hint="eastAsia" w:ascii="宋体" w:hAnsi="宋体" w:eastAsia="宋体" w:cs="宋体"/>
                <w:color w:val="auto"/>
                <w:sz w:val="24"/>
                <w:szCs w:val="24"/>
              </w:rPr>
            </w:pPr>
          </w:p>
        </w:tc>
      </w:tr>
      <w:tr w14:paraId="67F88E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00DCF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FE47D9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2503" w:type="dxa"/>
            <w:vAlign w:val="center"/>
          </w:tcPr>
          <w:p w14:paraId="599A322A">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4409" w:type="dxa"/>
            <w:vAlign w:val="center"/>
          </w:tcPr>
          <w:p w14:paraId="33CFA3EC">
            <w:pPr>
              <w:adjustRightInd w:val="0"/>
              <w:snapToGrid w:val="0"/>
              <w:jc w:val="left"/>
              <w:rPr>
                <w:rFonts w:hint="eastAsia" w:ascii="宋体" w:hAnsi="宋体" w:eastAsia="宋体" w:cs="宋体"/>
                <w:color w:val="auto"/>
                <w:sz w:val="24"/>
                <w:szCs w:val="24"/>
              </w:rPr>
            </w:pPr>
          </w:p>
        </w:tc>
      </w:tr>
      <w:tr w14:paraId="4B16F3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625F9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0460D18">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2503" w:type="dxa"/>
            <w:vAlign w:val="center"/>
          </w:tcPr>
          <w:p w14:paraId="0BBB2AC4">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修理、重作、更换相关具体规定</w:t>
            </w:r>
          </w:p>
        </w:tc>
        <w:tc>
          <w:tcPr>
            <w:tcW w:w="4409" w:type="dxa"/>
            <w:vAlign w:val="center"/>
          </w:tcPr>
          <w:p w14:paraId="157D8335">
            <w:pPr>
              <w:adjustRightInd w:val="0"/>
              <w:snapToGrid w:val="0"/>
              <w:jc w:val="left"/>
              <w:rPr>
                <w:rFonts w:hint="eastAsia" w:ascii="宋体" w:hAnsi="宋体" w:eastAsia="宋体" w:cs="宋体"/>
                <w:color w:val="auto"/>
                <w:sz w:val="24"/>
                <w:szCs w:val="24"/>
              </w:rPr>
            </w:pPr>
          </w:p>
        </w:tc>
      </w:tr>
      <w:tr w14:paraId="7CCDDA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21A6D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100ABA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2503" w:type="dxa"/>
            <w:vAlign w:val="center"/>
          </w:tcPr>
          <w:p w14:paraId="4049D00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4409" w:type="dxa"/>
            <w:vAlign w:val="center"/>
          </w:tcPr>
          <w:p w14:paraId="32671F7D">
            <w:pPr>
              <w:adjustRightInd w:val="0"/>
              <w:snapToGrid w:val="0"/>
              <w:jc w:val="left"/>
              <w:rPr>
                <w:rFonts w:hint="eastAsia" w:ascii="宋体" w:hAnsi="宋体" w:eastAsia="宋体" w:cs="宋体"/>
                <w:color w:val="auto"/>
                <w:sz w:val="24"/>
                <w:szCs w:val="24"/>
                <w:u w:val="single"/>
              </w:rPr>
            </w:pPr>
          </w:p>
        </w:tc>
      </w:tr>
      <w:tr w14:paraId="414F5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9A6AB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34B5F8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2503" w:type="dxa"/>
            <w:vAlign w:val="center"/>
          </w:tcPr>
          <w:p w14:paraId="14B7007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4409" w:type="dxa"/>
            <w:vAlign w:val="center"/>
          </w:tcPr>
          <w:p w14:paraId="212AD7F4">
            <w:pPr>
              <w:adjustRightInd w:val="0"/>
              <w:snapToGrid w:val="0"/>
              <w:jc w:val="left"/>
              <w:rPr>
                <w:rFonts w:hint="eastAsia" w:ascii="宋体" w:hAnsi="宋体" w:eastAsia="宋体" w:cs="宋体"/>
                <w:color w:val="auto"/>
                <w:sz w:val="24"/>
                <w:szCs w:val="24"/>
                <w:u w:val="single"/>
              </w:rPr>
            </w:pPr>
          </w:p>
        </w:tc>
      </w:tr>
      <w:tr w14:paraId="1CC0F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AA7F06A">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430E82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2503" w:type="dxa"/>
            <w:tcBorders>
              <w:left w:val="single" w:color="auto" w:sz="2" w:space="0"/>
              <w:bottom w:val="single" w:color="auto" w:sz="2" w:space="0"/>
              <w:right w:val="single" w:color="auto" w:sz="2" w:space="0"/>
            </w:tcBorders>
            <w:vAlign w:val="center"/>
          </w:tcPr>
          <w:p w14:paraId="279634F0">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4409" w:type="dxa"/>
            <w:tcBorders>
              <w:left w:val="single" w:color="auto" w:sz="2" w:space="0"/>
              <w:bottom w:val="single" w:color="auto" w:sz="2" w:space="0"/>
            </w:tcBorders>
            <w:vAlign w:val="center"/>
          </w:tcPr>
          <w:p w14:paraId="556C2B3F">
            <w:pPr>
              <w:adjustRightInd w:val="0"/>
              <w:snapToGrid w:val="0"/>
              <w:jc w:val="left"/>
              <w:rPr>
                <w:rFonts w:hint="eastAsia" w:ascii="宋体" w:hAnsi="宋体" w:eastAsia="宋体" w:cs="宋体"/>
                <w:color w:val="auto"/>
                <w:sz w:val="24"/>
                <w:szCs w:val="24"/>
                <w:u w:val="single"/>
              </w:rPr>
            </w:pPr>
          </w:p>
        </w:tc>
      </w:tr>
      <w:tr w14:paraId="16FC9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EE12A8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619816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2503" w:type="dxa"/>
            <w:tcBorders>
              <w:top w:val="single" w:color="auto" w:sz="2" w:space="0"/>
              <w:left w:val="single" w:color="auto" w:sz="2" w:space="0"/>
              <w:right w:val="single" w:color="auto" w:sz="2" w:space="0"/>
            </w:tcBorders>
            <w:vAlign w:val="center"/>
          </w:tcPr>
          <w:p w14:paraId="5AF5D295">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4409" w:type="dxa"/>
            <w:tcBorders>
              <w:top w:val="single" w:color="auto" w:sz="2" w:space="0"/>
              <w:left w:val="single" w:color="auto" w:sz="2" w:space="0"/>
            </w:tcBorders>
            <w:vAlign w:val="center"/>
          </w:tcPr>
          <w:p w14:paraId="7FF16E67">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565EA068">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3CC3FFF8">
            <w:pPr>
              <w:adjustRightInd w:val="0"/>
              <w:snapToGrid w:val="0"/>
              <w:ind w:firstLine="0" w:firstLineChars="0"/>
              <w:jc w:val="left"/>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4472A7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A5E9E3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181969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2503" w:type="dxa"/>
            <w:vAlign w:val="center"/>
          </w:tcPr>
          <w:p w14:paraId="5D13FCBD">
            <w:pPr>
              <w:adjustRightInd w:val="0"/>
              <w:snapToGrid w:val="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eastAsia="zh-CN"/>
              </w:rPr>
              <w:t>其他专用条款</w:t>
            </w:r>
          </w:p>
        </w:tc>
        <w:tc>
          <w:tcPr>
            <w:tcW w:w="4409" w:type="dxa"/>
            <w:vAlign w:val="center"/>
          </w:tcPr>
          <w:p w14:paraId="00C2EBC0">
            <w:pPr>
              <w:adjustRightInd w:val="0"/>
              <w:snapToGrid w:val="0"/>
              <w:jc w:val="left"/>
              <w:rPr>
                <w:rFonts w:hint="eastAsia" w:ascii="宋体" w:hAnsi="宋体" w:eastAsia="宋体" w:cs="宋体"/>
                <w:color w:val="auto"/>
                <w:sz w:val="24"/>
                <w:szCs w:val="24"/>
                <w:lang w:val="en-US" w:eastAsia="zh-CN"/>
              </w:rPr>
            </w:pPr>
          </w:p>
        </w:tc>
      </w:tr>
    </w:tbl>
    <w:p w14:paraId="1E1EB391">
      <w:pPr>
        <w:rPr>
          <w:rFonts w:hint="eastAsia" w:ascii="宋体" w:hAnsi="宋体" w:eastAsia="宋体" w:cs="宋体"/>
          <w:color w:val="auto"/>
          <w:sz w:val="24"/>
          <w:szCs w:val="24"/>
        </w:rPr>
      </w:pPr>
    </w:p>
    <w:p w14:paraId="6A3FCC9B">
      <w:pPr>
        <w:rPr>
          <w:rStyle w:val="34"/>
          <w:rFonts w:hint="eastAsia"/>
          <w:color w:val="auto"/>
          <w:lang w:val="zh-CN"/>
        </w:rPr>
      </w:pPr>
      <w:bookmarkStart w:id="93" w:name="_Toc21793"/>
      <w:bookmarkStart w:id="94" w:name="_Toc121491765"/>
      <w:r>
        <w:rPr>
          <w:rStyle w:val="34"/>
          <w:rFonts w:hint="eastAsia"/>
          <w:color w:val="auto"/>
          <w:lang w:val="zh-CN"/>
        </w:rPr>
        <w:br w:type="page"/>
      </w:r>
    </w:p>
    <w:p w14:paraId="14DEDA38">
      <w:pPr>
        <w:autoSpaceDE w:val="0"/>
        <w:autoSpaceDN w:val="0"/>
        <w:adjustRightInd w:val="0"/>
        <w:spacing w:line="360" w:lineRule="auto"/>
        <w:jc w:val="center"/>
        <w:outlineLvl w:val="0"/>
        <w:rPr>
          <w:rFonts w:hint="eastAsia" w:ascii="宋体" w:hAnsi="宋体" w:eastAsia="宋体" w:cs="宋体"/>
          <w:b/>
          <w:color w:val="auto"/>
          <w:sz w:val="32"/>
          <w:szCs w:val="32"/>
          <w:lang w:val="zh-CN"/>
        </w:rPr>
      </w:pPr>
      <w:r>
        <w:rPr>
          <w:rStyle w:val="34"/>
          <w:rFonts w:hint="eastAsia"/>
          <w:color w:val="auto"/>
          <w:sz w:val="32"/>
          <w:szCs w:val="32"/>
          <w:lang w:val="zh-CN"/>
        </w:rPr>
        <w:t>第六章  投标文件格式</w:t>
      </w:r>
      <w:bookmarkEnd w:id="93"/>
      <w:bookmarkEnd w:id="94"/>
    </w:p>
    <w:p w14:paraId="09A83C70">
      <w:pPr>
        <w:autoSpaceDE w:val="0"/>
        <w:autoSpaceDN w:val="0"/>
        <w:adjustRightInd w:val="0"/>
        <w:spacing w:line="276" w:lineRule="auto"/>
        <w:ind w:firstLine="588" w:firstLineChars="245"/>
        <w:jc w:val="left"/>
        <w:rPr>
          <w:rFonts w:hint="eastAsia" w:ascii="宋体" w:hAnsi="宋体" w:eastAsia="宋体" w:cs="宋体"/>
          <w:color w:val="auto"/>
          <w:sz w:val="24"/>
          <w:szCs w:val="24"/>
          <w:lang w:val="zh-CN"/>
        </w:rPr>
      </w:pPr>
    </w:p>
    <w:p w14:paraId="267989AE">
      <w:pPr>
        <w:autoSpaceDE w:val="0"/>
        <w:autoSpaceDN w:val="0"/>
        <w:adjustRightInd w:val="0"/>
        <w:spacing w:line="276" w:lineRule="auto"/>
        <w:ind w:firstLine="588" w:firstLineChars="245"/>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投标人应按“投标人须知--投标文件的组成”列示内容编制投标文件，本章“投标文件格式”仅为对投标文件部分内容的格式化规范，并非投标文件所应具备的全部内容。</w:t>
      </w:r>
    </w:p>
    <w:p w14:paraId="1FD5EBF8">
      <w:pPr>
        <w:spacing w:before="936" w:beforeLines="300" w:after="312" w:afterLines="100" w:line="360" w:lineRule="auto"/>
        <w:jc w:val="center"/>
        <w:rPr>
          <w:rFonts w:hint="eastAsia" w:ascii="宋体" w:hAnsi="宋体" w:eastAsia="宋体" w:cs="宋体"/>
          <w:b/>
          <w:bCs/>
          <w:color w:val="auto"/>
          <w:spacing w:val="100"/>
          <w:sz w:val="72"/>
          <w:szCs w:val="72"/>
        </w:rPr>
      </w:pPr>
      <w:r>
        <w:rPr>
          <w:rFonts w:hint="eastAsia" w:ascii="宋体" w:hAnsi="宋体" w:eastAsia="宋体" w:cs="宋体"/>
          <w:b/>
          <w:bCs/>
          <w:color w:val="auto"/>
          <w:spacing w:val="100"/>
          <w:sz w:val="36"/>
          <w:szCs w:val="36"/>
          <w:u w:val="single"/>
        </w:rPr>
        <w:t xml:space="preserve">                 </w:t>
      </w:r>
      <w:r>
        <w:rPr>
          <w:rFonts w:hint="eastAsia" w:ascii="宋体" w:hAnsi="宋体" w:eastAsia="宋体" w:cs="宋体"/>
          <w:b/>
          <w:color w:val="auto"/>
          <w:spacing w:val="60"/>
          <w:sz w:val="72"/>
          <w:szCs w:val="72"/>
        </w:rPr>
        <w:t>项目</w:t>
      </w:r>
    </w:p>
    <w:p w14:paraId="60FA2810">
      <w:pPr>
        <w:spacing w:before="936" w:beforeLines="300" w:after="312" w:afterLines="100" w:line="360" w:lineRule="auto"/>
        <w:ind w:firstLine="3339" w:firstLineChars="396"/>
        <w:rPr>
          <w:rFonts w:hint="eastAsia" w:ascii="宋体" w:hAnsi="宋体" w:eastAsia="宋体" w:cs="宋体"/>
          <w:b/>
          <w:bCs/>
          <w:color w:val="auto"/>
          <w:spacing w:val="100"/>
          <w:sz w:val="36"/>
          <w:szCs w:val="36"/>
        </w:rPr>
      </w:pPr>
      <w:r>
        <w:rPr>
          <w:rFonts w:hint="eastAsia" w:ascii="宋体" w:hAnsi="宋体" w:eastAsia="宋体" w:cs="宋体"/>
          <w:b/>
          <w:color w:val="auto"/>
          <w:sz w:val="84"/>
          <w:szCs w:val="84"/>
        </w:rPr>
        <w:t xml:space="preserve"> </w:t>
      </w:r>
    </w:p>
    <w:p w14:paraId="4039BF07">
      <w:pPr>
        <w:spacing w:after="624" w:afterLines="200" w:line="360" w:lineRule="auto"/>
        <w:ind w:left="5768" w:leftChars="299" w:hanging="5050" w:hangingChars="466"/>
        <w:jc w:val="center"/>
        <w:rPr>
          <w:rFonts w:hint="eastAsia" w:ascii="宋体" w:hAnsi="宋体" w:eastAsia="宋体" w:cs="宋体"/>
          <w:b/>
          <w:color w:val="auto"/>
          <w:spacing w:val="60"/>
          <w:sz w:val="96"/>
          <w:szCs w:val="96"/>
          <w:lang w:eastAsia="zh-CN"/>
        </w:rPr>
      </w:pPr>
      <w:r>
        <w:rPr>
          <w:rFonts w:hint="eastAsia" w:ascii="宋体" w:hAnsi="宋体" w:cs="宋体"/>
          <w:b/>
          <w:color w:val="auto"/>
          <w:spacing w:val="60"/>
          <w:sz w:val="96"/>
          <w:szCs w:val="96"/>
          <w:lang w:eastAsia="zh-CN"/>
        </w:rPr>
        <w:t>投标文件</w:t>
      </w:r>
    </w:p>
    <w:p w14:paraId="351699D6">
      <w:pPr>
        <w:spacing w:before="156" w:beforeLines="50" w:after="156" w:afterLines="50" w:line="360" w:lineRule="auto"/>
        <w:ind w:firstLine="1744" w:firstLineChars="545"/>
        <w:rPr>
          <w:rFonts w:hint="eastAsia" w:ascii="宋体" w:hAnsi="宋体" w:eastAsia="宋体" w:cs="宋体"/>
          <w:b/>
          <w:color w:val="auto"/>
          <w:sz w:val="36"/>
          <w:szCs w:val="36"/>
        </w:rPr>
      </w:pPr>
      <w:r>
        <w:rPr>
          <w:rFonts w:hint="eastAsia" w:ascii="宋体" w:hAnsi="宋体" w:eastAsia="宋体" w:cs="宋体"/>
          <w:color w:val="auto"/>
          <w:sz w:val="32"/>
          <w:szCs w:val="32"/>
        </w:rPr>
        <w:t>项目编号：</w:t>
      </w:r>
      <w:r>
        <w:rPr>
          <w:rFonts w:hint="eastAsia" w:ascii="宋体" w:hAnsi="宋体" w:eastAsia="宋体" w:cs="宋体"/>
          <w:b/>
          <w:color w:val="auto"/>
          <w:sz w:val="36"/>
          <w:szCs w:val="36"/>
          <w:u w:val="single"/>
        </w:rPr>
        <w:t xml:space="preserve">                      </w:t>
      </w:r>
    </w:p>
    <w:p w14:paraId="107D5DBE">
      <w:pPr>
        <w:spacing w:line="360" w:lineRule="auto"/>
        <w:rPr>
          <w:rFonts w:hint="eastAsia" w:ascii="宋体" w:hAnsi="宋体" w:eastAsia="宋体" w:cs="宋体"/>
          <w:b/>
          <w:color w:val="auto"/>
          <w:sz w:val="36"/>
          <w:szCs w:val="36"/>
        </w:rPr>
      </w:pPr>
    </w:p>
    <w:p w14:paraId="28727E0A">
      <w:pPr>
        <w:pStyle w:val="31"/>
        <w:spacing w:before="468" w:beforeLines="150" w:after="468" w:afterLines="150" w:line="360" w:lineRule="auto"/>
        <w:jc w:val="both"/>
        <w:rPr>
          <w:rFonts w:hint="eastAsia" w:ascii="宋体" w:hAnsi="宋体" w:eastAsia="宋体" w:cs="宋体"/>
          <w:color w:val="auto"/>
          <w:sz w:val="28"/>
          <w:szCs w:val="28"/>
        </w:rPr>
      </w:pPr>
    </w:p>
    <w:p w14:paraId="0F55B62F">
      <w:pPr>
        <w:pStyle w:val="31"/>
        <w:spacing w:before="468" w:beforeLines="150" w:after="468" w:afterLines="150"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（加盖电子签章）</w:t>
      </w:r>
    </w:p>
    <w:p w14:paraId="32FFED54">
      <w:pPr>
        <w:pStyle w:val="31"/>
        <w:spacing w:before="468" w:beforeLines="150" w:after="468" w:afterLines="150" w:line="360" w:lineRule="auto"/>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（加盖电子签名）</w:t>
      </w:r>
    </w:p>
    <w:p w14:paraId="0DE662D1">
      <w:pPr>
        <w:spacing w:before="468" w:beforeLines="150" w:after="468" w:afterLines="150" w:line="586" w:lineRule="atLeast"/>
        <w:rPr>
          <w:rFonts w:hint="eastAsia" w:ascii="宋体" w:hAnsi="宋体" w:eastAsia="宋体" w:cs="宋体"/>
          <w:color w:val="auto"/>
          <w:sz w:val="28"/>
          <w:szCs w:val="28"/>
        </w:rPr>
      </w:pPr>
      <w:r>
        <w:rPr>
          <w:rFonts w:hint="eastAsia" w:ascii="宋体" w:hAnsi="宋体" w:eastAsia="宋体" w:cs="宋体"/>
          <w:color w:val="auto"/>
          <w:sz w:val="28"/>
          <w:szCs w:val="28"/>
        </w:rPr>
        <w:t>投标日期：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74E399B7">
      <w:pPr>
        <w:bidi w:val="0"/>
        <w:rPr>
          <w:rFonts w:hint="eastAsia"/>
          <w:color w:val="auto"/>
          <w:lang w:val="zh-CN"/>
        </w:rPr>
      </w:pPr>
    </w:p>
    <w:p w14:paraId="6D352A08">
      <w:pPr>
        <w:widowControl w:val="0"/>
        <w:snapToGrid w:val="0"/>
        <w:spacing w:line="56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0F7763D6">
      <w:pPr>
        <w:widowControl w:val="0"/>
        <w:snapToGrid w:val="0"/>
        <w:spacing w:line="560" w:lineRule="exact"/>
        <w:rPr>
          <w:rFonts w:hint="eastAsia" w:ascii="宋体" w:hAnsi="宋体" w:eastAsia="宋体" w:cs="宋体"/>
          <w:b/>
          <w:color w:val="auto"/>
          <w:sz w:val="30"/>
          <w:szCs w:val="30"/>
        </w:rPr>
      </w:pPr>
    </w:p>
    <w:p w14:paraId="7E609238">
      <w:pPr>
        <w:spacing w:line="351" w:lineRule="atLeast"/>
        <w:ind w:left="419"/>
        <w:jc w:val="center"/>
        <w:rPr>
          <w:rFonts w:hint="eastAsia" w:ascii="宋体" w:hAnsi="宋体" w:eastAsia="宋体" w:cs="宋体"/>
          <w:b/>
          <w:color w:val="auto"/>
          <w:spacing w:val="60"/>
          <w:sz w:val="36"/>
          <w:szCs w:val="36"/>
        </w:rPr>
      </w:pPr>
      <w:r>
        <w:rPr>
          <w:rFonts w:hint="eastAsia" w:ascii="宋体" w:hAnsi="宋体" w:eastAsia="宋体" w:cs="宋体"/>
          <w:b/>
          <w:color w:val="auto"/>
          <w:spacing w:val="60"/>
          <w:sz w:val="36"/>
          <w:szCs w:val="36"/>
        </w:rPr>
        <w:t>目录</w:t>
      </w:r>
    </w:p>
    <w:p w14:paraId="53DC7887">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1.投标书</w:t>
      </w:r>
    </w:p>
    <w:p w14:paraId="4C66D108">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2.开标一览表</w:t>
      </w:r>
    </w:p>
    <w:p w14:paraId="2C6EC1A5">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3.分项报价</w:t>
      </w:r>
      <w:r>
        <w:rPr>
          <w:rFonts w:hint="eastAsia" w:ascii="宋体" w:hAnsi="宋体" w:cs="宋体"/>
          <w:color w:val="auto"/>
          <w:sz w:val="24"/>
        </w:rPr>
        <w:t>（即</w:t>
      </w:r>
      <w:r>
        <w:rPr>
          <w:rFonts w:hint="eastAsia" w:cs="宋体"/>
          <w:color w:val="auto"/>
          <w:sz w:val="24"/>
          <w:lang w:val="en-US" w:eastAsia="zh-CN"/>
        </w:rPr>
        <w:t>投标人</w:t>
      </w:r>
      <w:r>
        <w:rPr>
          <w:rFonts w:hint="eastAsia" w:ascii="宋体" w:hAnsi="宋体" w:cs="宋体"/>
          <w:color w:val="auto"/>
          <w:sz w:val="24"/>
        </w:rPr>
        <w:t>的投标报价明细表）</w:t>
      </w:r>
    </w:p>
    <w:p w14:paraId="5987870B">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4.投标产品清单及其技术参数</w:t>
      </w:r>
    </w:p>
    <w:p w14:paraId="6B3B7A85">
      <w:pPr>
        <w:snapToGrid w:val="0"/>
        <w:spacing w:line="560" w:lineRule="atLeast"/>
        <w:textAlignment w:val="top"/>
        <w:rPr>
          <w:rFonts w:ascii="宋体" w:hAnsi="宋体" w:cs="宋体"/>
          <w:color w:val="auto"/>
          <w:sz w:val="24"/>
        </w:rPr>
      </w:pPr>
      <w:r>
        <w:rPr>
          <w:rFonts w:hint="eastAsia" w:ascii="宋体" w:hAnsi="宋体" w:cs="宋体"/>
          <w:color w:val="auto"/>
          <w:sz w:val="24"/>
          <w:szCs w:val="24"/>
        </w:rPr>
        <w:t>5. 技术偏差表</w:t>
      </w:r>
    </w:p>
    <w:p w14:paraId="6CF43B43">
      <w:pPr>
        <w:snapToGrid w:val="0"/>
        <w:spacing w:line="560" w:lineRule="atLeast"/>
        <w:textAlignment w:val="top"/>
        <w:rPr>
          <w:rFonts w:hint="eastAsia" w:ascii="宋体" w:hAnsi="宋体" w:cs="宋体"/>
          <w:color w:val="auto"/>
          <w:sz w:val="24"/>
          <w:szCs w:val="24"/>
        </w:rPr>
      </w:pPr>
      <w:r>
        <w:rPr>
          <w:rFonts w:hint="eastAsia" w:ascii="宋体" w:hAnsi="宋体" w:cs="宋体"/>
          <w:color w:val="auto"/>
          <w:sz w:val="24"/>
          <w:szCs w:val="24"/>
        </w:rPr>
        <w:t>6.其他偏差表（除技术偏差外）</w:t>
      </w:r>
    </w:p>
    <w:p w14:paraId="4EED9F09">
      <w:pPr>
        <w:snapToGrid w:val="0"/>
        <w:spacing w:line="560" w:lineRule="atLeast"/>
        <w:textAlignment w:val="top"/>
        <w:rPr>
          <w:rFonts w:hint="eastAsia" w:ascii="宋体" w:hAnsi="宋体" w:cs="宋体"/>
          <w:color w:val="auto"/>
          <w:sz w:val="24"/>
          <w:szCs w:val="24"/>
        </w:rPr>
      </w:pPr>
      <w:r>
        <w:rPr>
          <w:rFonts w:hint="eastAsia" w:ascii="宋体" w:hAnsi="宋体" w:cs="宋体"/>
          <w:color w:val="auto"/>
          <w:sz w:val="24"/>
          <w:szCs w:val="24"/>
        </w:rPr>
        <w:t>7. 售后服务计划</w:t>
      </w:r>
      <w:r>
        <w:rPr>
          <w:rFonts w:hint="eastAsia" w:ascii="宋体" w:hAnsi="宋体" w:cs="宋体"/>
          <w:color w:val="auto"/>
          <w:sz w:val="24"/>
          <w:szCs w:val="24"/>
          <w:lang w:eastAsia="zh-CN"/>
        </w:rPr>
        <w:t>、</w:t>
      </w:r>
      <w:r>
        <w:rPr>
          <w:rFonts w:hint="eastAsia" w:ascii="宋体" w:hAnsi="宋体" w:cs="宋体"/>
          <w:color w:val="auto"/>
          <w:sz w:val="24"/>
          <w:szCs w:val="24"/>
        </w:rPr>
        <w:t>安装调试方案</w:t>
      </w:r>
    </w:p>
    <w:p w14:paraId="220384E3">
      <w:pPr>
        <w:snapToGrid w:val="0"/>
        <w:spacing w:line="560" w:lineRule="atLeast"/>
        <w:textAlignment w:val="top"/>
        <w:rPr>
          <w:rFonts w:hint="eastAsia" w:ascii="宋体" w:hAnsi="宋体" w:cs="宋体"/>
          <w:color w:val="auto"/>
          <w:sz w:val="24"/>
          <w:szCs w:val="24"/>
        </w:rPr>
      </w:pPr>
      <w:r>
        <w:rPr>
          <w:rFonts w:hint="eastAsia" w:ascii="宋体" w:hAnsi="宋体" w:cs="宋体"/>
          <w:color w:val="auto"/>
          <w:sz w:val="24"/>
          <w:szCs w:val="24"/>
          <w:lang w:val="zh-CN"/>
        </w:rPr>
        <w:t>8．</w:t>
      </w:r>
      <w:r>
        <w:rPr>
          <w:rFonts w:hint="eastAsia" w:ascii="宋体" w:hAnsi="宋体" w:cs="宋体"/>
          <w:color w:val="auto"/>
          <w:sz w:val="24"/>
          <w:szCs w:val="24"/>
        </w:rPr>
        <w:t>关于资格的声明函</w:t>
      </w:r>
    </w:p>
    <w:p w14:paraId="432186E7">
      <w:pPr>
        <w:snapToGrid w:val="0"/>
        <w:spacing w:line="560" w:lineRule="atLeast"/>
        <w:textAlignment w:val="top"/>
        <w:rPr>
          <w:rFonts w:ascii="宋体" w:hAnsi="宋体" w:cs="宋体"/>
          <w:color w:val="auto"/>
          <w:sz w:val="24"/>
        </w:rPr>
      </w:pPr>
      <w:r>
        <w:rPr>
          <w:rFonts w:hint="eastAsia" w:ascii="宋体" w:hAnsi="宋体" w:cs="宋体"/>
          <w:color w:val="auto"/>
          <w:sz w:val="24"/>
        </w:rPr>
        <w:t>9. 反商业贿赂承诺书</w:t>
      </w:r>
    </w:p>
    <w:p w14:paraId="0F778F21">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10. 履约承诺书</w:t>
      </w:r>
    </w:p>
    <w:p w14:paraId="63733C23">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11. 资格要求相关证明材料（文件）</w:t>
      </w:r>
    </w:p>
    <w:p w14:paraId="298DCCD8">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12. 投标承诺函</w:t>
      </w:r>
    </w:p>
    <w:p w14:paraId="6E7A09BF">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13. 采购项目及技术要求所需的其他材料</w:t>
      </w:r>
    </w:p>
    <w:p w14:paraId="642BFAE6">
      <w:pPr>
        <w:snapToGrid w:val="0"/>
        <w:spacing w:line="560" w:lineRule="atLeast"/>
        <w:textAlignment w:val="top"/>
        <w:rPr>
          <w:rFonts w:ascii="宋体" w:hAnsi="宋体" w:cs="宋体"/>
          <w:color w:val="auto"/>
          <w:sz w:val="24"/>
          <w:szCs w:val="24"/>
        </w:rPr>
      </w:pPr>
      <w:r>
        <w:rPr>
          <w:rFonts w:hint="eastAsia" w:ascii="宋体" w:hAnsi="宋体" w:cs="宋体"/>
          <w:color w:val="auto"/>
          <w:sz w:val="24"/>
          <w:szCs w:val="24"/>
        </w:rPr>
        <w:t xml:space="preserve">14. </w:t>
      </w:r>
      <w:r>
        <w:rPr>
          <w:rFonts w:hint="eastAsia" w:cs="宋体"/>
          <w:color w:val="auto"/>
          <w:sz w:val="24"/>
          <w:szCs w:val="24"/>
          <w:lang w:val="en-US" w:eastAsia="zh-CN"/>
        </w:rPr>
        <w:t>投标人</w:t>
      </w:r>
      <w:r>
        <w:rPr>
          <w:rFonts w:hint="eastAsia" w:ascii="宋体" w:hAnsi="宋体" w:cs="宋体"/>
          <w:color w:val="auto"/>
          <w:sz w:val="24"/>
          <w:szCs w:val="24"/>
        </w:rPr>
        <w:t>须知所需的其他材料</w:t>
      </w:r>
    </w:p>
    <w:p w14:paraId="0E70A772">
      <w:pPr>
        <w:snapToGrid w:val="0"/>
        <w:spacing w:line="560" w:lineRule="atLeast"/>
        <w:textAlignment w:val="top"/>
        <w:rPr>
          <w:rFonts w:hint="eastAsia" w:ascii="宋体" w:hAnsi="宋体" w:eastAsia="宋体" w:cs="宋体"/>
          <w:color w:val="auto"/>
          <w:sz w:val="24"/>
          <w:szCs w:val="24"/>
        </w:rPr>
      </w:pPr>
      <w:r>
        <w:rPr>
          <w:rFonts w:hint="eastAsia" w:ascii="宋体" w:hAnsi="宋体" w:cs="宋体"/>
          <w:color w:val="auto"/>
          <w:sz w:val="24"/>
          <w:szCs w:val="24"/>
        </w:rPr>
        <w:t>15. 评审办法所需的其他材料</w:t>
      </w:r>
    </w:p>
    <w:p w14:paraId="6D68F772">
      <w:pPr>
        <w:widowControl w:val="0"/>
        <w:snapToGrid w:val="0"/>
        <w:spacing w:line="360" w:lineRule="auto"/>
        <w:ind w:firstLine="578"/>
        <w:textAlignment w:val="top"/>
        <w:rPr>
          <w:rFonts w:ascii="宋体" w:hAnsi="宋体" w:cs="宋体"/>
          <w:color w:val="auto"/>
          <w:sz w:val="24"/>
          <w:szCs w:val="24"/>
          <w:lang w:val="zh-CN"/>
        </w:rPr>
      </w:pPr>
      <w:r>
        <w:rPr>
          <w:rFonts w:hint="eastAsia" w:ascii="宋体" w:hAnsi="宋体" w:cs="宋体"/>
          <w:color w:val="auto"/>
          <w:sz w:val="24"/>
          <w:szCs w:val="24"/>
        </w:rPr>
        <w:t>......</w:t>
      </w:r>
    </w:p>
    <w:p w14:paraId="43F998A5">
      <w:pPr>
        <w:spacing w:line="351" w:lineRule="atLeast"/>
        <w:ind w:left="419"/>
        <w:jc w:val="left"/>
        <w:rPr>
          <w:rFonts w:hint="eastAsia" w:ascii="宋体" w:hAnsi="宋体" w:eastAsia="宋体" w:cs="宋体"/>
          <w:b/>
          <w:color w:val="auto"/>
          <w:spacing w:val="60"/>
          <w:sz w:val="36"/>
          <w:szCs w:val="36"/>
        </w:rPr>
      </w:pPr>
      <w:r>
        <w:rPr>
          <w:rFonts w:hint="eastAsia" w:ascii="宋体" w:hAnsi="宋体" w:eastAsia="宋体" w:cs="宋体"/>
          <w:b/>
          <w:color w:val="auto"/>
          <w:spacing w:val="60"/>
          <w:sz w:val="36"/>
          <w:szCs w:val="36"/>
        </w:rPr>
        <w:br w:type="page"/>
      </w:r>
    </w:p>
    <w:p w14:paraId="48BF37CE">
      <w:pPr>
        <w:spacing w:line="351" w:lineRule="atLeast"/>
        <w:ind w:left="419"/>
        <w:jc w:val="center"/>
        <w:rPr>
          <w:rFonts w:hint="eastAsia" w:ascii="宋体" w:hAnsi="宋体" w:eastAsia="宋体" w:cs="宋体"/>
          <w:b/>
          <w:color w:val="auto"/>
          <w:spacing w:val="60"/>
          <w:sz w:val="36"/>
          <w:szCs w:val="36"/>
        </w:rPr>
      </w:pPr>
      <w:r>
        <w:rPr>
          <w:rFonts w:hint="eastAsia" w:ascii="宋体" w:hAnsi="宋体" w:eastAsia="宋体" w:cs="宋体"/>
          <w:b/>
          <w:color w:val="auto"/>
          <w:spacing w:val="60"/>
          <w:sz w:val="36"/>
          <w:szCs w:val="36"/>
        </w:rPr>
        <w:t>1、投标书</w:t>
      </w:r>
    </w:p>
    <w:p w14:paraId="1273FD6E">
      <w:pPr>
        <w:widowControl w:val="0"/>
        <w:snapToGrid w:val="0"/>
        <w:spacing w:line="560" w:lineRule="exact"/>
        <w:rPr>
          <w:rFonts w:hint="eastAsia" w:ascii="宋体" w:hAnsi="宋体" w:eastAsia="宋体" w:cs="宋体"/>
          <w:color w:val="auto"/>
          <w:sz w:val="28"/>
        </w:rPr>
      </w:pPr>
    </w:p>
    <w:p w14:paraId="3FD06B47">
      <w:pPr>
        <w:keepNext w:val="0"/>
        <w:keepLines w:val="0"/>
        <w:pageBreakBefore w:val="0"/>
        <w:widowControl w:val="0"/>
        <w:kinsoku/>
        <w:wordWrap/>
        <w:overflowPunct/>
        <w:topLinePunct w:val="0"/>
        <w:autoSpaceDE/>
        <w:autoSpaceDN/>
        <w:bidi w:val="0"/>
        <w:adjustRightInd/>
        <w:snapToGri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河南众鼎招标代理有限公司</w:t>
      </w:r>
    </w:p>
    <w:p w14:paraId="53BBA988">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根据贵方公开招标</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18"/>
          <w:szCs w:val="18"/>
          <w:u w:val="single"/>
        </w:rPr>
        <w:t xml:space="preserve">          </w:t>
      </w:r>
      <w:r>
        <w:rPr>
          <w:rFonts w:hint="eastAsia" w:ascii="宋体" w:hAnsi="宋体" w:eastAsia="宋体" w:cs="宋体"/>
          <w:color w:val="auto"/>
          <w:sz w:val="24"/>
          <w:szCs w:val="24"/>
        </w:rPr>
        <w:t>的招标文件（项目编号：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），经详细研究，我们决定参加该项目的采购活动并按要求提交投标文件。我们郑重声明对我单位提交的所有投标资料的真实准确完整承担完全责任、并对之负法律责任。</w:t>
      </w:r>
    </w:p>
    <w:p w14:paraId="31024D87">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（1）投标书</w:t>
      </w:r>
    </w:p>
    <w:p w14:paraId="49388716">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（2）开标一览表</w:t>
      </w:r>
    </w:p>
    <w:p w14:paraId="4F8485E7">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（3）分项报价（即</w:t>
      </w:r>
      <w:r>
        <w:rPr>
          <w:rFonts w:hint="eastAsia" w:cs="宋体"/>
          <w:color w:val="auto"/>
          <w:sz w:val="24"/>
          <w:szCs w:val="24"/>
          <w:lang w:val="en-US" w:eastAsia="zh-CN"/>
        </w:rPr>
        <w:t>投标人</w:t>
      </w:r>
      <w:r>
        <w:rPr>
          <w:rFonts w:hint="eastAsia" w:ascii="宋体" w:hAnsi="宋体" w:cs="宋体"/>
          <w:color w:val="auto"/>
          <w:sz w:val="24"/>
          <w:szCs w:val="24"/>
        </w:rPr>
        <w:t>的投标报价明细表）</w:t>
      </w:r>
    </w:p>
    <w:p w14:paraId="717A7EF9">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cs="宋体"/>
          <w:color w:val="auto"/>
          <w:sz w:val="24"/>
          <w:szCs w:val="24"/>
        </w:rPr>
      </w:pPr>
      <w:r>
        <w:rPr>
          <w:rFonts w:hint="eastAsia" w:ascii="宋体" w:hAnsi="宋体" w:cs="宋体"/>
          <w:color w:val="auto"/>
          <w:sz w:val="24"/>
          <w:szCs w:val="24"/>
        </w:rPr>
        <w:t>（4）投标产品清单及其技术参数</w:t>
      </w:r>
    </w:p>
    <w:p w14:paraId="64B8020F">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（5）技术偏差表</w:t>
      </w:r>
    </w:p>
    <w:p w14:paraId="278DEBC5">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（6）其他偏差表（除技术偏差外）</w:t>
      </w:r>
    </w:p>
    <w:p w14:paraId="2B0E62DC">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（7）售后服务计划</w:t>
      </w:r>
      <w:r>
        <w:rPr>
          <w:rFonts w:hint="eastAsia" w:cs="宋体"/>
          <w:color w:val="auto"/>
          <w:sz w:val="24"/>
          <w:szCs w:val="24"/>
          <w:lang w:eastAsia="zh-CN"/>
        </w:rPr>
        <w:t>、</w:t>
      </w:r>
      <w:r>
        <w:rPr>
          <w:rFonts w:hint="eastAsia" w:ascii="宋体" w:hAnsi="宋体" w:cs="宋体"/>
          <w:color w:val="auto"/>
          <w:sz w:val="24"/>
          <w:szCs w:val="24"/>
        </w:rPr>
        <w:t>安装调试方案</w:t>
      </w:r>
    </w:p>
    <w:p w14:paraId="5F9B583D">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8</w:t>
      </w:r>
      <w:r>
        <w:rPr>
          <w:rFonts w:hint="eastAsia" w:ascii="宋体" w:hAnsi="宋体" w:cs="宋体"/>
          <w:color w:val="auto"/>
          <w:sz w:val="24"/>
          <w:szCs w:val="24"/>
          <w:lang w:val="zh-CN"/>
        </w:rPr>
        <w:t>）</w:t>
      </w:r>
      <w:r>
        <w:rPr>
          <w:rFonts w:hint="eastAsia" w:ascii="宋体" w:hAnsi="宋体" w:cs="宋体"/>
          <w:color w:val="auto"/>
          <w:sz w:val="24"/>
          <w:szCs w:val="24"/>
        </w:rPr>
        <w:t>关于资格的声明函</w:t>
      </w:r>
    </w:p>
    <w:p w14:paraId="4E65249B">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（9）反商业贿赂承诺书</w:t>
      </w:r>
    </w:p>
    <w:p w14:paraId="6F608D0E">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（10）履约承诺书</w:t>
      </w:r>
    </w:p>
    <w:p w14:paraId="62B615FE">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（11）资格要求相关证明材料（文件）</w:t>
      </w:r>
    </w:p>
    <w:p w14:paraId="2FB8E59E">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（12）投标承诺函</w:t>
      </w:r>
    </w:p>
    <w:p w14:paraId="0748615D">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（13）采购项目及技术要求所需的其他材料</w:t>
      </w:r>
    </w:p>
    <w:p w14:paraId="323152F8">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（14）</w:t>
      </w:r>
      <w:r>
        <w:rPr>
          <w:rFonts w:hint="eastAsia" w:cs="宋体"/>
          <w:color w:val="auto"/>
          <w:sz w:val="24"/>
          <w:szCs w:val="24"/>
          <w:lang w:val="en-US" w:eastAsia="zh-CN"/>
        </w:rPr>
        <w:t>投标人</w:t>
      </w:r>
      <w:r>
        <w:rPr>
          <w:rFonts w:hint="eastAsia" w:ascii="宋体" w:hAnsi="宋体" w:cs="宋体"/>
          <w:color w:val="auto"/>
          <w:sz w:val="24"/>
          <w:szCs w:val="24"/>
        </w:rPr>
        <w:t>须知所需的其他材料</w:t>
      </w:r>
    </w:p>
    <w:p w14:paraId="593CEF0F">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rPr>
      </w:pPr>
      <w:r>
        <w:rPr>
          <w:rFonts w:hint="eastAsia" w:ascii="宋体" w:hAnsi="宋体" w:cs="宋体"/>
          <w:color w:val="auto"/>
          <w:sz w:val="24"/>
          <w:szCs w:val="24"/>
        </w:rPr>
        <w:t>（15）评审办法所需材料</w:t>
      </w:r>
    </w:p>
    <w:p w14:paraId="4B7F9756">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ascii="宋体" w:hAnsi="宋体" w:cs="宋体"/>
          <w:color w:val="auto"/>
          <w:sz w:val="24"/>
          <w:szCs w:val="24"/>
          <w:lang w:val="zh-CN"/>
        </w:rPr>
      </w:pPr>
      <w:r>
        <w:rPr>
          <w:rFonts w:hint="eastAsia" w:ascii="宋体" w:hAnsi="宋体" w:cs="宋体"/>
          <w:color w:val="auto"/>
          <w:sz w:val="24"/>
          <w:szCs w:val="24"/>
        </w:rPr>
        <w:t>.........</w:t>
      </w:r>
    </w:p>
    <w:p w14:paraId="4AE3828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578" w:leftChars="0"/>
        <w:textAlignment w:val="top"/>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愿按照招标文件中规定的条款和要求，提供完成招标文件规定的全部工作，</w:t>
      </w:r>
    </w:p>
    <w:p w14:paraId="21E03976">
      <w:pPr>
        <w:keepNext w:val="0"/>
        <w:keepLines w:val="0"/>
        <w:pageBreakBefore w:val="0"/>
        <w:widowControl w:val="0"/>
        <w:kinsoku/>
        <w:wordWrap/>
        <w:overflowPunct/>
        <w:topLinePunct w:val="0"/>
        <w:autoSpaceDE/>
        <w:autoSpaceDN/>
        <w:bidi w:val="0"/>
        <w:adjustRightInd/>
        <w:snapToGrid w:val="0"/>
        <w:spacing w:line="480" w:lineRule="exact"/>
        <w:ind w:left="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投标总价为人民币（大写）</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 RMB¥</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 ），</w:t>
      </w:r>
    </w:p>
    <w:p w14:paraId="6E643841">
      <w:pPr>
        <w:keepNext w:val="0"/>
        <w:keepLines w:val="0"/>
        <w:pageBreakBefore w:val="0"/>
        <w:widowControl w:val="0"/>
        <w:kinsoku/>
        <w:wordWrap/>
        <w:overflowPunct/>
        <w:topLinePunct w:val="0"/>
        <w:autoSpaceDE/>
        <w:autoSpaceDN/>
        <w:bidi w:val="0"/>
        <w:adjustRightInd/>
        <w:snapToGrid w:val="0"/>
        <w:spacing w:line="480" w:lineRule="exact"/>
        <w:ind w:left="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交付（实施）期：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，交付（实施）地点：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18AFF0">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2.如果我们的投标文件被接受，我们将履行招标文件中规定的每一项要求，按期、按质、按量履行合同。</w:t>
      </w:r>
    </w:p>
    <w:p w14:paraId="2E466DEF">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3.我们已详细阅读全部招标文件，包括修改文件以及全部参考资料和有关附件。我们完全理解并同意放弃对这方面有不明及误解的权力。</w:t>
      </w:r>
    </w:p>
    <w:p w14:paraId="2904522E">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4.我们同意提供按照贵方可能要求的与其投标有关的一切数据或资料，理解贵方不一定要接受最低价的投标或收到的任何投标。</w:t>
      </w:r>
    </w:p>
    <w:p w14:paraId="0015B7FD">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5.本投标自开标日起有效期为90日历天。</w:t>
      </w:r>
    </w:p>
    <w:p w14:paraId="48B53AB6">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6.我们愿按《中华人民共和国民法典》履行其的全部责任。</w:t>
      </w:r>
    </w:p>
    <w:p w14:paraId="53E3586C">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rPr>
        <w:t xml:space="preserve"> </w:t>
      </w:r>
      <w:r>
        <w:rPr>
          <w:rFonts w:hint="eastAsia" w:ascii="宋体" w:hAnsi="宋体" w:eastAsia="宋体" w:cs="宋体"/>
          <w:color w:val="auto"/>
          <w:sz w:val="24"/>
          <w:szCs w:val="24"/>
        </w:rPr>
        <w:t>我们承诺按照《招标文件》规定的付款方式执行。</w:t>
      </w:r>
    </w:p>
    <w:p w14:paraId="6F308853">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8.如果在规定的开标时间后，我单位在投标有效期内撤回投标的，依据招标文件“第三章3.5.5 违背承诺的责任追究措施”，我单位承担相应法律责任及违约责任。</w:t>
      </w:r>
    </w:p>
    <w:p w14:paraId="521A02E6">
      <w:pPr>
        <w:keepNext w:val="0"/>
        <w:keepLines w:val="0"/>
        <w:pageBreakBefore w:val="0"/>
        <w:widowControl w:val="0"/>
        <w:kinsoku/>
        <w:wordWrap/>
        <w:overflowPunct/>
        <w:topLinePunct w:val="0"/>
        <w:autoSpaceDE/>
        <w:autoSpaceDN/>
        <w:bidi w:val="0"/>
        <w:adjustRightInd/>
        <w:snapToGrid w:val="0"/>
        <w:spacing w:line="480" w:lineRule="exact"/>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与本投标有关的一切正式往来请寄：</w:t>
      </w:r>
    </w:p>
    <w:p w14:paraId="0E7ACCD1">
      <w:pPr>
        <w:widowControl w:val="0"/>
        <w:snapToGrid w:val="0"/>
        <w:spacing w:line="360" w:lineRule="auto"/>
        <w:ind w:firstLine="578"/>
        <w:textAlignment w:val="top"/>
        <w:rPr>
          <w:rFonts w:hint="eastAsia" w:ascii="宋体" w:hAnsi="宋体" w:eastAsia="宋体" w:cs="宋体"/>
          <w:color w:val="auto"/>
          <w:sz w:val="24"/>
          <w:szCs w:val="24"/>
        </w:rPr>
      </w:pPr>
    </w:p>
    <w:p w14:paraId="39DB5167">
      <w:pPr>
        <w:widowControl w:val="0"/>
        <w:snapToGrid w:val="0"/>
        <w:spacing w:line="360" w:lineRule="auto"/>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邮政编码：       </w:t>
      </w:r>
    </w:p>
    <w:p w14:paraId="2AD71FD3">
      <w:pPr>
        <w:widowControl w:val="0"/>
        <w:snapToGrid w:val="0"/>
        <w:spacing w:line="360" w:lineRule="auto"/>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传真：</w:t>
      </w:r>
    </w:p>
    <w:p w14:paraId="15C505A6">
      <w:pPr>
        <w:widowControl w:val="0"/>
        <w:snapToGrid w:val="0"/>
        <w:spacing w:line="360" w:lineRule="auto"/>
        <w:ind w:firstLine="578"/>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6278A3F2">
      <w:pPr>
        <w:widowControl w:val="0"/>
        <w:snapToGrid w:val="0"/>
        <w:spacing w:line="360" w:lineRule="auto"/>
        <w:textAlignment w:val="top"/>
        <w:rPr>
          <w:rFonts w:hint="eastAsia" w:ascii="宋体" w:hAnsi="宋体" w:eastAsia="宋体" w:cs="宋体"/>
          <w:color w:val="auto"/>
          <w:sz w:val="24"/>
          <w:szCs w:val="24"/>
        </w:rPr>
      </w:pPr>
    </w:p>
    <w:p w14:paraId="4B3C36B2">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2140A5B8">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384826DA">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lang w:val="zh-CN"/>
        </w:rPr>
        <w:t xml:space="preserve">  年   月   日</w:t>
      </w:r>
    </w:p>
    <w:p w14:paraId="68B8A9F9">
      <w:pPr>
        <w:widowControl w:val="0"/>
        <w:snapToGrid w:val="0"/>
        <w:spacing w:line="360" w:lineRule="auto"/>
        <w:textAlignment w:val="top"/>
        <w:rPr>
          <w:rFonts w:hint="eastAsia" w:ascii="宋体" w:hAnsi="宋体" w:eastAsia="宋体" w:cs="宋体"/>
          <w:color w:val="auto"/>
          <w:sz w:val="24"/>
          <w:szCs w:val="24"/>
        </w:rPr>
      </w:pPr>
    </w:p>
    <w:p w14:paraId="34E4A8A7">
      <w:pPr>
        <w:widowControl w:val="0"/>
        <w:snapToGrid w:val="0"/>
        <w:spacing w:line="56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407A0C58">
      <w:pPr>
        <w:widowControl w:val="0"/>
        <w:snapToGrid w:val="0"/>
        <w:spacing w:line="600" w:lineRule="auto"/>
        <w:jc w:val="cente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2、开标一览表</w:t>
      </w:r>
      <w:r>
        <w:rPr>
          <w:rFonts w:hint="eastAsia" w:cs="宋体"/>
          <w:b/>
          <w:color w:val="auto"/>
          <w:sz w:val="30"/>
          <w:szCs w:val="30"/>
          <w:lang w:eastAsia="zh-CN"/>
        </w:rPr>
        <w:t>（</w:t>
      </w:r>
      <w:r>
        <w:rPr>
          <w:rFonts w:hint="eastAsia" w:cs="宋体"/>
          <w:b/>
          <w:color w:val="auto"/>
          <w:sz w:val="30"/>
          <w:szCs w:val="30"/>
          <w:lang w:val="en-US" w:eastAsia="zh-CN"/>
        </w:rPr>
        <w:t>即交易系统中报价一览表</w:t>
      </w:r>
      <w:r>
        <w:rPr>
          <w:rFonts w:hint="eastAsia" w:cs="宋体"/>
          <w:b/>
          <w:color w:val="auto"/>
          <w:sz w:val="30"/>
          <w:szCs w:val="30"/>
          <w:lang w:eastAsia="zh-CN"/>
        </w:rPr>
        <w:t>）</w:t>
      </w:r>
    </w:p>
    <w:p w14:paraId="020901FD">
      <w:pPr>
        <w:pStyle w:val="19"/>
        <w:adjustRightInd w:val="0"/>
        <w:snapToGrid w:val="0"/>
        <w:spacing w:before="0" w:beforeAutospacing="0" w:after="0" w:afterAutospacing="0" w:line="600" w:lineRule="auto"/>
        <w:rPr>
          <w:rFonts w:hint="eastAsia" w:ascii="宋体" w:hAnsi="宋体" w:eastAsia="宋体" w:cs="宋体"/>
          <w:color w:val="auto"/>
        </w:rPr>
      </w:pPr>
    </w:p>
    <w:p w14:paraId="10893493">
      <w:pPr>
        <w:pStyle w:val="10"/>
        <w:spacing w:line="6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注：1、投标人需在安阳市公共资源电子交易平台投标文件制作工具中、按系统要求填列报价一览表（即开标一览表），系统中填列的报价一览表（即开标一览表）为投标人《</w:t>
      </w:r>
      <w:r>
        <w:rPr>
          <w:rFonts w:hint="eastAsia" w:hAnsi="宋体" w:cs="宋体"/>
          <w:b/>
          <w:color w:val="auto"/>
          <w:sz w:val="24"/>
          <w:szCs w:val="24"/>
          <w:lang w:val="en-US" w:eastAsia="zh-CN"/>
        </w:rPr>
        <w:t>投标</w:t>
      </w:r>
      <w:r>
        <w:rPr>
          <w:rFonts w:hint="eastAsia" w:ascii="宋体" w:hAnsi="宋体" w:eastAsia="宋体" w:cs="宋体"/>
          <w:b/>
          <w:color w:val="auto"/>
          <w:sz w:val="24"/>
          <w:szCs w:val="24"/>
        </w:rPr>
        <w:t>文件》的一部分。</w:t>
      </w:r>
    </w:p>
    <w:p w14:paraId="1393B5CB">
      <w:pPr>
        <w:pStyle w:val="10"/>
        <w:spacing w:line="6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2、投标人的投标报价（价格构成）应包括《</w:t>
      </w:r>
      <w:r>
        <w:rPr>
          <w:rFonts w:hint="eastAsia" w:hAnsi="宋体" w:cs="宋体"/>
          <w:b/>
          <w:color w:val="auto"/>
          <w:sz w:val="24"/>
          <w:szCs w:val="24"/>
          <w:lang w:val="en-US" w:eastAsia="zh-CN"/>
        </w:rPr>
        <w:t>招标</w:t>
      </w:r>
      <w:r>
        <w:rPr>
          <w:rFonts w:hint="eastAsia" w:ascii="宋体" w:hAnsi="宋体" w:eastAsia="宋体" w:cs="宋体"/>
          <w:b/>
          <w:color w:val="auto"/>
          <w:sz w:val="24"/>
          <w:szCs w:val="24"/>
        </w:rPr>
        <w:t>文件》所述投标报价的所有内容。</w:t>
      </w:r>
    </w:p>
    <w:p w14:paraId="6F8260BB">
      <w:pPr>
        <w:pStyle w:val="10"/>
        <w:spacing w:line="600" w:lineRule="auto"/>
        <w:ind w:firstLine="482" w:firstLineChars="200"/>
        <w:rPr>
          <w:rFonts w:hint="eastAsia" w:ascii="宋体" w:hAnsi="宋体" w:eastAsia="宋体" w:cs="宋体"/>
          <w:b/>
          <w:color w:val="auto"/>
          <w:sz w:val="24"/>
          <w:szCs w:val="24"/>
          <w:highlight w:val="none"/>
        </w:rPr>
      </w:pPr>
      <w:r>
        <w:rPr>
          <w:rFonts w:hint="eastAsia" w:hAnsi="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开标一览表与</w:t>
      </w:r>
      <w:r>
        <w:rPr>
          <w:rFonts w:hint="eastAsia" w:hAnsi="宋体" w:cs="宋体"/>
          <w:b/>
          <w:color w:val="auto"/>
          <w:sz w:val="24"/>
          <w:szCs w:val="24"/>
          <w:highlight w:val="none"/>
          <w:lang w:val="en-US" w:eastAsia="zh-CN"/>
        </w:rPr>
        <w:t>分项报价</w:t>
      </w:r>
      <w:r>
        <w:rPr>
          <w:rFonts w:hint="eastAsia" w:ascii="宋体" w:hAnsi="宋体" w:eastAsia="宋体" w:cs="宋体"/>
          <w:b/>
          <w:color w:val="auto"/>
          <w:sz w:val="24"/>
          <w:szCs w:val="24"/>
          <w:highlight w:val="none"/>
        </w:rPr>
        <w:t>表有差别时，以开标一览表为准；大写文字表示的数据与小写数字表示的有差别时，以大写文字表示的数据为准。</w:t>
      </w:r>
    </w:p>
    <w:p w14:paraId="05B16557">
      <w:pPr>
        <w:pStyle w:val="10"/>
        <w:spacing w:line="600" w:lineRule="auto"/>
        <w:rPr>
          <w:rFonts w:hint="eastAsia"/>
          <w:color w:val="auto"/>
        </w:rPr>
      </w:pPr>
    </w:p>
    <w:p w14:paraId="48E031CF">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600AC7A8">
      <w:pPr>
        <w:widowControl w:val="0"/>
        <w:snapToGrid w:val="0"/>
        <w:spacing w:line="560" w:lineRule="exact"/>
        <w:jc w:val="center"/>
        <w:rPr>
          <w:rFonts w:hint="eastAsia" w:ascii="宋体" w:hAnsi="宋体" w:eastAsia="宋体" w:cs="宋体"/>
          <w:color w:val="auto"/>
          <w:sz w:val="28"/>
        </w:rPr>
      </w:pPr>
      <w:r>
        <w:rPr>
          <w:rFonts w:hint="eastAsia" w:ascii="宋体" w:hAnsi="宋体" w:eastAsia="宋体" w:cs="宋体"/>
          <w:b/>
          <w:color w:val="auto"/>
          <w:sz w:val="30"/>
          <w:szCs w:val="30"/>
        </w:rPr>
        <w:t>3、分项报价</w:t>
      </w:r>
    </w:p>
    <w:p w14:paraId="72DBFBEE">
      <w:pPr>
        <w:widowControl w:val="0"/>
        <w:snapToGrid w:val="0"/>
        <w:spacing w:line="560" w:lineRule="exact"/>
        <w:jc w:val="left"/>
        <w:rPr>
          <w:rFonts w:hint="eastAsia" w:ascii="宋体" w:hAnsi="宋体" w:eastAsia="宋体" w:cs="宋体"/>
          <w:b/>
          <w:color w:val="auto"/>
          <w:sz w:val="24"/>
          <w:szCs w:val="24"/>
        </w:rPr>
      </w:pPr>
    </w:p>
    <w:p w14:paraId="01F3A784">
      <w:pPr>
        <w:autoSpaceDE w:val="0"/>
        <w:autoSpaceDN w:val="0"/>
        <w:adjustRightInd w:val="0"/>
        <w:spacing w:line="276" w:lineRule="auto"/>
        <w:ind w:right="-817"/>
        <w:rPr>
          <w:color w:val="auto"/>
          <w:sz w:val="24"/>
          <w:szCs w:val="24"/>
        </w:rPr>
      </w:pPr>
    </w:p>
    <w:p w14:paraId="734D716B">
      <w:pPr>
        <w:pStyle w:val="19"/>
        <w:adjustRightInd w:val="0"/>
        <w:snapToGrid w:val="0"/>
        <w:spacing w:before="0" w:beforeAutospacing="0" w:after="0" w:afterAutospacing="0"/>
        <w:rPr>
          <w:color w:val="auto"/>
          <w:u w:val="single"/>
        </w:rPr>
      </w:pPr>
      <w:r>
        <w:rPr>
          <w:rFonts w:hint="eastAsia"/>
          <w:color w:val="auto"/>
        </w:rPr>
        <w:t>项目名称：</w:t>
      </w:r>
    </w:p>
    <w:p w14:paraId="44FE50B5">
      <w:pPr>
        <w:pStyle w:val="19"/>
        <w:adjustRightInd w:val="0"/>
        <w:snapToGrid w:val="0"/>
        <w:spacing w:before="0" w:beforeAutospacing="0" w:after="0" w:afterAutospacing="0"/>
        <w:rPr>
          <w:color w:val="auto"/>
        </w:rPr>
      </w:pPr>
      <w:r>
        <w:rPr>
          <w:rFonts w:hint="eastAsia"/>
          <w:color w:val="auto"/>
        </w:rPr>
        <w:t xml:space="preserve">项目编号：        </w:t>
      </w:r>
    </w:p>
    <w:tbl>
      <w:tblPr>
        <w:tblStyle w:val="23"/>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1910"/>
        <w:gridCol w:w="2977"/>
        <w:gridCol w:w="851"/>
        <w:gridCol w:w="850"/>
        <w:gridCol w:w="1190"/>
        <w:gridCol w:w="1000"/>
      </w:tblGrid>
      <w:tr w14:paraId="0DD2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630" w:type="dxa"/>
            <w:tcBorders>
              <w:top w:val="single" w:color="000000" w:sz="8" w:space="0"/>
              <w:left w:val="single" w:color="000000" w:sz="8" w:space="0"/>
              <w:bottom w:val="single" w:color="000000" w:sz="4" w:space="0"/>
              <w:right w:val="single" w:color="000000" w:sz="4" w:space="0"/>
            </w:tcBorders>
            <w:vAlign w:val="center"/>
          </w:tcPr>
          <w:p w14:paraId="7F57ACA6">
            <w:pPr>
              <w:spacing w:line="560" w:lineRule="exact"/>
              <w:jc w:val="center"/>
              <w:rPr>
                <w:b/>
                <w:color w:val="auto"/>
                <w:sz w:val="28"/>
              </w:rPr>
            </w:pPr>
            <w:r>
              <w:rPr>
                <w:rFonts w:hint="eastAsia"/>
                <w:b/>
                <w:color w:val="auto"/>
              </w:rPr>
              <w:t>序号</w:t>
            </w:r>
          </w:p>
        </w:tc>
        <w:tc>
          <w:tcPr>
            <w:tcW w:w="1910" w:type="dxa"/>
            <w:tcBorders>
              <w:top w:val="single" w:color="000000" w:sz="8" w:space="0"/>
              <w:bottom w:val="single" w:color="000000" w:sz="4" w:space="0"/>
              <w:right w:val="single" w:color="000000" w:sz="4" w:space="0"/>
            </w:tcBorders>
            <w:vAlign w:val="center"/>
          </w:tcPr>
          <w:p w14:paraId="129E305D">
            <w:pPr>
              <w:spacing w:line="560" w:lineRule="exact"/>
              <w:jc w:val="center"/>
              <w:rPr>
                <w:b/>
                <w:color w:val="auto"/>
                <w:sz w:val="28"/>
              </w:rPr>
            </w:pPr>
            <w:r>
              <w:rPr>
                <w:rFonts w:hint="eastAsia"/>
                <w:b/>
                <w:color w:val="auto"/>
              </w:rPr>
              <w:t>产品名称</w:t>
            </w:r>
          </w:p>
        </w:tc>
        <w:tc>
          <w:tcPr>
            <w:tcW w:w="2977" w:type="dxa"/>
            <w:tcBorders>
              <w:top w:val="single" w:color="000000" w:sz="8" w:space="0"/>
              <w:bottom w:val="single" w:color="000000" w:sz="4" w:space="0"/>
              <w:right w:val="single" w:color="000000" w:sz="4" w:space="0"/>
            </w:tcBorders>
            <w:vAlign w:val="center"/>
          </w:tcPr>
          <w:p w14:paraId="4DCBCE2B">
            <w:pPr>
              <w:spacing w:line="300" w:lineRule="exact"/>
              <w:jc w:val="center"/>
              <w:rPr>
                <w:b/>
                <w:color w:val="auto"/>
                <w:szCs w:val="21"/>
              </w:rPr>
            </w:pPr>
            <w:r>
              <w:rPr>
                <w:rFonts w:hint="eastAsia"/>
                <w:b/>
                <w:color w:val="auto"/>
              </w:rPr>
              <w:t>品牌型号规格</w:t>
            </w:r>
          </w:p>
        </w:tc>
        <w:tc>
          <w:tcPr>
            <w:tcW w:w="851" w:type="dxa"/>
            <w:tcBorders>
              <w:top w:val="single" w:color="000000" w:sz="8" w:space="0"/>
              <w:bottom w:val="single" w:color="000000" w:sz="4" w:space="0"/>
              <w:right w:val="single" w:color="000000" w:sz="4" w:space="0"/>
            </w:tcBorders>
            <w:vAlign w:val="center"/>
          </w:tcPr>
          <w:p w14:paraId="698ECC43">
            <w:pPr>
              <w:spacing w:line="560" w:lineRule="exact"/>
              <w:jc w:val="center"/>
              <w:rPr>
                <w:b/>
                <w:color w:val="auto"/>
                <w:sz w:val="28"/>
              </w:rPr>
            </w:pPr>
            <w:r>
              <w:rPr>
                <w:rFonts w:hint="eastAsia"/>
                <w:b/>
                <w:color w:val="auto"/>
              </w:rPr>
              <w:t>单位</w:t>
            </w:r>
          </w:p>
        </w:tc>
        <w:tc>
          <w:tcPr>
            <w:tcW w:w="850" w:type="dxa"/>
            <w:tcBorders>
              <w:top w:val="single" w:color="000000" w:sz="8" w:space="0"/>
              <w:bottom w:val="single" w:color="000000" w:sz="4" w:space="0"/>
              <w:right w:val="single" w:color="000000" w:sz="4" w:space="0"/>
            </w:tcBorders>
            <w:vAlign w:val="center"/>
          </w:tcPr>
          <w:p w14:paraId="743C0879">
            <w:pPr>
              <w:spacing w:line="560" w:lineRule="exact"/>
              <w:jc w:val="center"/>
              <w:rPr>
                <w:b/>
                <w:color w:val="auto"/>
                <w:sz w:val="28"/>
              </w:rPr>
            </w:pPr>
            <w:r>
              <w:rPr>
                <w:rFonts w:hint="eastAsia"/>
                <w:b/>
                <w:color w:val="auto"/>
              </w:rPr>
              <w:t>数量</w:t>
            </w:r>
          </w:p>
        </w:tc>
        <w:tc>
          <w:tcPr>
            <w:tcW w:w="1190" w:type="dxa"/>
            <w:tcBorders>
              <w:top w:val="single" w:color="000000" w:sz="8" w:space="0"/>
              <w:bottom w:val="single" w:color="000000" w:sz="4" w:space="0"/>
              <w:right w:val="single" w:color="000000" w:sz="4" w:space="0"/>
            </w:tcBorders>
            <w:vAlign w:val="center"/>
          </w:tcPr>
          <w:p w14:paraId="49C82A1C">
            <w:pPr>
              <w:spacing w:line="560" w:lineRule="exact"/>
              <w:jc w:val="center"/>
              <w:rPr>
                <w:b/>
                <w:color w:val="auto"/>
                <w:sz w:val="28"/>
              </w:rPr>
            </w:pPr>
            <w:r>
              <w:rPr>
                <w:rFonts w:hint="eastAsia"/>
                <w:b/>
                <w:color w:val="auto"/>
              </w:rPr>
              <w:t>单价</w:t>
            </w:r>
          </w:p>
        </w:tc>
        <w:tc>
          <w:tcPr>
            <w:tcW w:w="1000" w:type="dxa"/>
            <w:tcBorders>
              <w:top w:val="single" w:color="000000" w:sz="8" w:space="0"/>
              <w:bottom w:val="single" w:color="000000" w:sz="4" w:space="0"/>
              <w:right w:val="single" w:color="000000" w:sz="8" w:space="0"/>
            </w:tcBorders>
            <w:vAlign w:val="center"/>
          </w:tcPr>
          <w:p w14:paraId="6E51916D">
            <w:pPr>
              <w:spacing w:line="560" w:lineRule="exact"/>
              <w:jc w:val="center"/>
              <w:rPr>
                <w:b/>
                <w:color w:val="auto"/>
                <w:sz w:val="28"/>
              </w:rPr>
            </w:pPr>
            <w:r>
              <w:rPr>
                <w:rFonts w:hint="eastAsia"/>
                <w:b/>
                <w:color w:val="auto"/>
              </w:rPr>
              <w:t>小计</w:t>
            </w:r>
          </w:p>
        </w:tc>
      </w:tr>
      <w:tr w14:paraId="22EA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630" w:type="dxa"/>
            <w:tcBorders>
              <w:left w:val="single" w:color="000000" w:sz="8" w:space="0"/>
              <w:bottom w:val="single" w:color="000000" w:sz="4" w:space="0"/>
              <w:right w:val="single" w:color="000000" w:sz="4" w:space="0"/>
            </w:tcBorders>
            <w:vAlign w:val="center"/>
          </w:tcPr>
          <w:p w14:paraId="06D0DFED">
            <w:pPr>
              <w:spacing w:line="560" w:lineRule="exact"/>
              <w:jc w:val="center"/>
              <w:rPr>
                <w:color w:val="auto"/>
                <w:sz w:val="28"/>
              </w:rPr>
            </w:pPr>
            <w:r>
              <w:rPr>
                <w:color w:val="auto"/>
              </w:rPr>
              <w:t>1</w:t>
            </w:r>
          </w:p>
        </w:tc>
        <w:tc>
          <w:tcPr>
            <w:tcW w:w="1910" w:type="dxa"/>
            <w:tcBorders>
              <w:bottom w:val="single" w:color="000000" w:sz="4" w:space="0"/>
              <w:right w:val="single" w:color="000000" w:sz="4" w:space="0"/>
            </w:tcBorders>
            <w:vAlign w:val="center"/>
          </w:tcPr>
          <w:p w14:paraId="231E8565">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540C241C">
            <w:pPr>
              <w:spacing w:line="560" w:lineRule="exact"/>
              <w:jc w:val="left"/>
              <w:rPr>
                <w:color w:val="auto"/>
                <w:sz w:val="28"/>
              </w:rPr>
            </w:pPr>
          </w:p>
        </w:tc>
        <w:tc>
          <w:tcPr>
            <w:tcW w:w="851" w:type="dxa"/>
            <w:tcBorders>
              <w:bottom w:val="single" w:color="000000" w:sz="4" w:space="0"/>
              <w:right w:val="single" w:color="000000" w:sz="4" w:space="0"/>
            </w:tcBorders>
            <w:vAlign w:val="center"/>
          </w:tcPr>
          <w:p w14:paraId="3F38EE34">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4CC7E2BF">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4BF5026A">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283DFCA3">
            <w:pPr>
              <w:spacing w:line="560" w:lineRule="exact"/>
              <w:jc w:val="center"/>
              <w:rPr>
                <w:color w:val="auto"/>
                <w:sz w:val="28"/>
              </w:rPr>
            </w:pPr>
          </w:p>
        </w:tc>
      </w:tr>
      <w:tr w14:paraId="7CE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30" w:type="dxa"/>
            <w:tcBorders>
              <w:left w:val="single" w:color="000000" w:sz="8" w:space="0"/>
              <w:bottom w:val="single" w:color="000000" w:sz="4" w:space="0"/>
              <w:right w:val="single" w:color="000000" w:sz="4" w:space="0"/>
            </w:tcBorders>
            <w:vAlign w:val="center"/>
          </w:tcPr>
          <w:p w14:paraId="47F2DF9D">
            <w:pPr>
              <w:spacing w:line="560" w:lineRule="exact"/>
              <w:jc w:val="center"/>
              <w:rPr>
                <w:color w:val="auto"/>
                <w:sz w:val="28"/>
              </w:rPr>
            </w:pPr>
            <w:r>
              <w:rPr>
                <w:color w:val="auto"/>
              </w:rPr>
              <w:t>2</w:t>
            </w:r>
          </w:p>
        </w:tc>
        <w:tc>
          <w:tcPr>
            <w:tcW w:w="1910" w:type="dxa"/>
            <w:tcBorders>
              <w:bottom w:val="single" w:color="000000" w:sz="4" w:space="0"/>
              <w:right w:val="single" w:color="000000" w:sz="4" w:space="0"/>
            </w:tcBorders>
            <w:vAlign w:val="center"/>
          </w:tcPr>
          <w:p w14:paraId="307E3407">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4EC27BFB">
            <w:pPr>
              <w:spacing w:line="560" w:lineRule="exact"/>
              <w:jc w:val="left"/>
              <w:rPr>
                <w:color w:val="auto"/>
                <w:sz w:val="28"/>
              </w:rPr>
            </w:pPr>
          </w:p>
        </w:tc>
        <w:tc>
          <w:tcPr>
            <w:tcW w:w="851" w:type="dxa"/>
            <w:tcBorders>
              <w:bottom w:val="single" w:color="000000" w:sz="4" w:space="0"/>
              <w:right w:val="single" w:color="000000" w:sz="4" w:space="0"/>
            </w:tcBorders>
            <w:vAlign w:val="center"/>
          </w:tcPr>
          <w:p w14:paraId="1178EBB7">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55E042C7">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76B8FC60">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16860C3D">
            <w:pPr>
              <w:spacing w:line="560" w:lineRule="exact"/>
              <w:jc w:val="center"/>
              <w:rPr>
                <w:color w:val="auto"/>
                <w:sz w:val="28"/>
              </w:rPr>
            </w:pPr>
          </w:p>
        </w:tc>
      </w:tr>
      <w:tr w14:paraId="6C45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30" w:type="dxa"/>
            <w:tcBorders>
              <w:left w:val="single" w:color="000000" w:sz="8" w:space="0"/>
              <w:bottom w:val="single" w:color="000000" w:sz="4" w:space="0"/>
              <w:right w:val="single" w:color="000000" w:sz="4" w:space="0"/>
            </w:tcBorders>
            <w:vAlign w:val="center"/>
          </w:tcPr>
          <w:p w14:paraId="04CDDE35">
            <w:pPr>
              <w:spacing w:line="560" w:lineRule="exact"/>
              <w:jc w:val="center"/>
              <w:rPr>
                <w:color w:val="auto"/>
                <w:sz w:val="28"/>
              </w:rPr>
            </w:pPr>
            <w:r>
              <w:rPr>
                <w:color w:val="auto"/>
              </w:rPr>
              <w:t>3</w:t>
            </w:r>
          </w:p>
        </w:tc>
        <w:tc>
          <w:tcPr>
            <w:tcW w:w="1910" w:type="dxa"/>
            <w:tcBorders>
              <w:bottom w:val="single" w:color="000000" w:sz="4" w:space="0"/>
              <w:right w:val="single" w:color="000000" w:sz="4" w:space="0"/>
            </w:tcBorders>
            <w:vAlign w:val="center"/>
          </w:tcPr>
          <w:p w14:paraId="7C6126E2">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3CA990C0">
            <w:pPr>
              <w:spacing w:line="560" w:lineRule="exact"/>
              <w:jc w:val="left"/>
              <w:rPr>
                <w:color w:val="auto"/>
                <w:sz w:val="28"/>
              </w:rPr>
            </w:pPr>
          </w:p>
        </w:tc>
        <w:tc>
          <w:tcPr>
            <w:tcW w:w="851" w:type="dxa"/>
            <w:tcBorders>
              <w:bottom w:val="single" w:color="000000" w:sz="4" w:space="0"/>
              <w:right w:val="single" w:color="000000" w:sz="4" w:space="0"/>
            </w:tcBorders>
            <w:vAlign w:val="center"/>
          </w:tcPr>
          <w:p w14:paraId="6C3D519F">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23F34DEA">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1A20043E">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5F723750">
            <w:pPr>
              <w:spacing w:line="560" w:lineRule="exact"/>
              <w:jc w:val="center"/>
              <w:rPr>
                <w:color w:val="auto"/>
                <w:sz w:val="28"/>
              </w:rPr>
            </w:pPr>
          </w:p>
        </w:tc>
      </w:tr>
      <w:tr w14:paraId="786F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30" w:type="dxa"/>
            <w:tcBorders>
              <w:left w:val="single" w:color="000000" w:sz="8" w:space="0"/>
              <w:bottom w:val="single" w:color="000000" w:sz="4" w:space="0"/>
              <w:right w:val="single" w:color="000000" w:sz="4" w:space="0"/>
            </w:tcBorders>
            <w:vAlign w:val="center"/>
          </w:tcPr>
          <w:p w14:paraId="6A3D1373">
            <w:pPr>
              <w:spacing w:line="560" w:lineRule="exact"/>
              <w:jc w:val="center"/>
              <w:rPr>
                <w:color w:val="auto"/>
                <w:sz w:val="28"/>
              </w:rPr>
            </w:pPr>
            <w:r>
              <w:rPr>
                <w:color w:val="auto"/>
              </w:rPr>
              <w:t>4</w:t>
            </w:r>
          </w:p>
        </w:tc>
        <w:tc>
          <w:tcPr>
            <w:tcW w:w="1910" w:type="dxa"/>
            <w:tcBorders>
              <w:bottom w:val="single" w:color="000000" w:sz="4" w:space="0"/>
              <w:right w:val="single" w:color="000000" w:sz="4" w:space="0"/>
            </w:tcBorders>
            <w:vAlign w:val="center"/>
          </w:tcPr>
          <w:p w14:paraId="05873C04">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21391584">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18991C3B">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5AA2EE66">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13A5DC22">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52C00C51">
            <w:pPr>
              <w:spacing w:line="560" w:lineRule="exact"/>
              <w:jc w:val="center"/>
              <w:rPr>
                <w:color w:val="auto"/>
                <w:sz w:val="28"/>
              </w:rPr>
            </w:pPr>
          </w:p>
        </w:tc>
      </w:tr>
      <w:tr w14:paraId="2C07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630" w:type="dxa"/>
            <w:tcBorders>
              <w:left w:val="single" w:color="000000" w:sz="8" w:space="0"/>
              <w:bottom w:val="single" w:color="000000" w:sz="4" w:space="0"/>
              <w:right w:val="single" w:color="000000" w:sz="4" w:space="0"/>
            </w:tcBorders>
            <w:vAlign w:val="center"/>
          </w:tcPr>
          <w:p w14:paraId="186FACBB">
            <w:pPr>
              <w:spacing w:line="560" w:lineRule="exact"/>
              <w:jc w:val="center"/>
              <w:rPr>
                <w:color w:val="auto"/>
                <w:sz w:val="28"/>
              </w:rPr>
            </w:pPr>
            <w:r>
              <w:rPr>
                <w:color w:val="auto"/>
              </w:rPr>
              <w:t>5</w:t>
            </w:r>
          </w:p>
        </w:tc>
        <w:tc>
          <w:tcPr>
            <w:tcW w:w="1910" w:type="dxa"/>
            <w:tcBorders>
              <w:bottom w:val="single" w:color="000000" w:sz="4" w:space="0"/>
              <w:right w:val="single" w:color="000000" w:sz="4" w:space="0"/>
            </w:tcBorders>
            <w:vAlign w:val="center"/>
          </w:tcPr>
          <w:p w14:paraId="579B0B17">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099E229D">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2E26EAAE">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1348A970">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4748C109">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3BA2BC31">
            <w:pPr>
              <w:spacing w:line="560" w:lineRule="exact"/>
              <w:jc w:val="center"/>
              <w:rPr>
                <w:color w:val="auto"/>
                <w:sz w:val="28"/>
              </w:rPr>
            </w:pPr>
          </w:p>
        </w:tc>
      </w:tr>
      <w:tr w14:paraId="1A5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630" w:type="dxa"/>
            <w:tcBorders>
              <w:left w:val="single" w:color="000000" w:sz="8" w:space="0"/>
              <w:bottom w:val="single" w:color="000000" w:sz="4" w:space="0"/>
              <w:right w:val="single" w:color="000000" w:sz="4" w:space="0"/>
            </w:tcBorders>
            <w:vAlign w:val="center"/>
          </w:tcPr>
          <w:p w14:paraId="422AF3D8">
            <w:pPr>
              <w:spacing w:line="560" w:lineRule="exact"/>
              <w:jc w:val="center"/>
              <w:rPr>
                <w:color w:val="auto"/>
                <w:sz w:val="28"/>
              </w:rPr>
            </w:pPr>
            <w:r>
              <w:rPr>
                <w:color w:val="auto"/>
              </w:rPr>
              <w:t>6</w:t>
            </w:r>
          </w:p>
        </w:tc>
        <w:tc>
          <w:tcPr>
            <w:tcW w:w="1910" w:type="dxa"/>
            <w:tcBorders>
              <w:bottom w:val="single" w:color="000000" w:sz="4" w:space="0"/>
              <w:right w:val="single" w:color="000000" w:sz="4" w:space="0"/>
            </w:tcBorders>
            <w:vAlign w:val="center"/>
          </w:tcPr>
          <w:p w14:paraId="5BFF9ADF">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095C8F6E">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29122467">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04BE654B">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530C7ECD">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13D837C0">
            <w:pPr>
              <w:spacing w:line="560" w:lineRule="exact"/>
              <w:jc w:val="center"/>
              <w:rPr>
                <w:color w:val="auto"/>
                <w:sz w:val="28"/>
              </w:rPr>
            </w:pPr>
          </w:p>
        </w:tc>
      </w:tr>
      <w:tr w14:paraId="46FF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30" w:type="dxa"/>
            <w:tcBorders>
              <w:left w:val="single" w:color="000000" w:sz="8" w:space="0"/>
              <w:bottom w:val="single" w:color="000000" w:sz="4" w:space="0"/>
              <w:right w:val="single" w:color="000000" w:sz="4" w:space="0"/>
            </w:tcBorders>
            <w:vAlign w:val="center"/>
          </w:tcPr>
          <w:p w14:paraId="09B969D3">
            <w:pPr>
              <w:spacing w:line="560" w:lineRule="exact"/>
              <w:jc w:val="center"/>
              <w:rPr>
                <w:color w:val="auto"/>
                <w:sz w:val="28"/>
              </w:rPr>
            </w:pPr>
            <w:r>
              <w:rPr>
                <w:color w:val="auto"/>
              </w:rPr>
              <w:t>7</w:t>
            </w:r>
          </w:p>
        </w:tc>
        <w:tc>
          <w:tcPr>
            <w:tcW w:w="1910" w:type="dxa"/>
            <w:tcBorders>
              <w:bottom w:val="single" w:color="000000" w:sz="4" w:space="0"/>
              <w:right w:val="single" w:color="000000" w:sz="4" w:space="0"/>
            </w:tcBorders>
            <w:vAlign w:val="center"/>
          </w:tcPr>
          <w:p w14:paraId="68370113">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33A772AA">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76B72C66">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4AA2EB6E">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1994E41D">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1E4F9FD6">
            <w:pPr>
              <w:spacing w:line="560" w:lineRule="exact"/>
              <w:jc w:val="center"/>
              <w:rPr>
                <w:color w:val="auto"/>
                <w:sz w:val="28"/>
              </w:rPr>
            </w:pPr>
          </w:p>
        </w:tc>
      </w:tr>
      <w:tr w14:paraId="5975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630" w:type="dxa"/>
            <w:tcBorders>
              <w:left w:val="single" w:color="000000" w:sz="8" w:space="0"/>
              <w:bottom w:val="single" w:color="000000" w:sz="4" w:space="0"/>
              <w:right w:val="single" w:color="000000" w:sz="4" w:space="0"/>
            </w:tcBorders>
            <w:vAlign w:val="center"/>
          </w:tcPr>
          <w:p w14:paraId="2894C4A7">
            <w:pPr>
              <w:spacing w:line="560" w:lineRule="exact"/>
              <w:jc w:val="center"/>
              <w:rPr>
                <w:color w:val="auto"/>
                <w:sz w:val="28"/>
              </w:rPr>
            </w:pPr>
            <w:r>
              <w:rPr>
                <w:color w:val="auto"/>
              </w:rPr>
              <w:t>8</w:t>
            </w:r>
          </w:p>
        </w:tc>
        <w:tc>
          <w:tcPr>
            <w:tcW w:w="1910" w:type="dxa"/>
            <w:tcBorders>
              <w:bottom w:val="single" w:color="000000" w:sz="4" w:space="0"/>
              <w:right w:val="single" w:color="000000" w:sz="4" w:space="0"/>
            </w:tcBorders>
            <w:vAlign w:val="center"/>
          </w:tcPr>
          <w:p w14:paraId="6A7F85BE">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1110721B">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09935D64">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311B285F">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55A4C497">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64234654">
            <w:pPr>
              <w:spacing w:line="560" w:lineRule="exact"/>
              <w:jc w:val="center"/>
              <w:rPr>
                <w:color w:val="auto"/>
                <w:sz w:val="28"/>
              </w:rPr>
            </w:pPr>
          </w:p>
        </w:tc>
      </w:tr>
      <w:tr w14:paraId="5ECE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30" w:type="dxa"/>
            <w:tcBorders>
              <w:left w:val="single" w:color="000000" w:sz="8" w:space="0"/>
              <w:bottom w:val="single" w:color="000000" w:sz="4" w:space="0"/>
              <w:right w:val="single" w:color="000000" w:sz="4" w:space="0"/>
            </w:tcBorders>
            <w:vAlign w:val="center"/>
          </w:tcPr>
          <w:p w14:paraId="1E70C64D">
            <w:pPr>
              <w:spacing w:line="560" w:lineRule="exact"/>
              <w:jc w:val="center"/>
              <w:rPr>
                <w:color w:val="auto"/>
                <w:sz w:val="28"/>
              </w:rPr>
            </w:pPr>
            <w:r>
              <w:rPr>
                <w:color w:val="auto"/>
              </w:rPr>
              <w:t>9</w:t>
            </w:r>
          </w:p>
        </w:tc>
        <w:tc>
          <w:tcPr>
            <w:tcW w:w="1910" w:type="dxa"/>
            <w:tcBorders>
              <w:bottom w:val="single" w:color="000000" w:sz="4" w:space="0"/>
              <w:right w:val="single" w:color="000000" w:sz="4" w:space="0"/>
            </w:tcBorders>
            <w:vAlign w:val="center"/>
          </w:tcPr>
          <w:p w14:paraId="1C0D3618">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51DDB40D">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16E263DE">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3028225C">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7E06B08E">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52646356">
            <w:pPr>
              <w:spacing w:line="560" w:lineRule="exact"/>
              <w:jc w:val="center"/>
              <w:rPr>
                <w:color w:val="auto"/>
                <w:sz w:val="28"/>
              </w:rPr>
            </w:pPr>
          </w:p>
        </w:tc>
      </w:tr>
      <w:tr w14:paraId="7AB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630" w:type="dxa"/>
            <w:tcBorders>
              <w:left w:val="single" w:color="000000" w:sz="8" w:space="0"/>
              <w:bottom w:val="single" w:color="000000" w:sz="4" w:space="0"/>
              <w:right w:val="single" w:color="000000" w:sz="4" w:space="0"/>
            </w:tcBorders>
            <w:vAlign w:val="center"/>
          </w:tcPr>
          <w:p w14:paraId="5675A416">
            <w:pPr>
              <w:spacing w:line="560" w:lineRule="exact"/>
              <w:jc w:val="center"/>
              <w:rPr>
                <w:color w:val="auto"/>
                <w:sz w:val="28"/>
              </w:rPr>
            </w:pPr>
            <w:r>
              <w:rPr>
                <w:rFonts w:hint="eastAsia"/>
                <w:color w:val="auto"/>
                <w:lang w:eastAsia="zh-CN"/>
              </w:rPr>
              <w:t>……</w:t>
            </w:r>
          </w:p>
        </w:tc>
        <w:tc>
          <w:tcPr>
            <w:tcW w:w="1910" w:type="dxa"/>
            <w:tcBorders>
              <w:bottom w:val="single" w:color="000000" w:sz="4" w:space="0"/>
              <w:right w:val="single" w:color="000000" w:sz="4" w:space="0"/>
            </w:tcBorders>
            <w:vAlign w:val="center"/>
          </w:tcPr>
          <w:p w14:paraId="54D28705">
            <w:pPr>
              <w:spacing w:line="560" w:lineRule="exact"/>
              <w:jc w:val="center"/>
              <w:rPr>
                <w:color w:val="auto"/>
                <w:sz w:val="28"/>
              </w:rPr>
            </w:pPr>
          </w:p>
        </w:tc>
        <w:tc>
          <w:tcPr>
            <w:tcW w:w="2977" w:type="dxa"/>
            <w:tcBorders>
              <w:bottom w:val="single" w:color="000000" w:sz="4" w:space="0"/>
              <w:right w:val="single" w:color="000000" w:sz="4" w:space="0"/>
            </w:tcBorders>
            <w:vAlign w:val="center"/>
          </w:tcPr>
          <w:p w14:paraId="0516B803">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1519FFC7">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5894B36D">
            <w:pPr>
              <w:spacing w:line="560" w:lineRule="exact"/>
              <w:jc w:val="center"/>
              <w:rPr>
                <w:color w:val="auto"/>
                <w:sz w:val="28"/>
              </w:rPr>
            </w:pPr>
          </w:p>
        </w:tc>
        <w:tc>
          <w:tcPr>
            <w:tcW w:w="1190" w:type="dxa"/>
            <w:tcBorders>
              <w:bottom w:val="single" w:color="000000" w:sz="4" w:space="0"/>
              <w:right w:val="single" w:color="000000" w:sz="4" w:space="0"/>
            </w:tcBorders>
            <w:vAlign w:val="center"/>
          </w:tcPr>
          <w:p w14:paraId="0CB48E3B">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43A6E390">
            <w:pPr>
              <w:spacing w:line="560" w:lineRule="exact"/>
              <w:jc w:val="center"/>
              <w:rPr>
                <w:color w:val="auto"/>
                <w:sz w:val="28"/>
              </w:rPr>
            </w:pPr>
          </w:p>
        </w:tc>
      </w:tr>
      <w:tr w14:paraId="556F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9408" w:type="dxa"/>
            <w:gridSpan w:val="7"/>
            <w:tcBorders>
              <w:left w:val="single" w:color="000000" w:sz="8" w:space="0"/>
              <w:bottom w:val="single" w:color="000000" w:sz="8" w:space="0"/>
              <w:right w:val="single" w:color="000000" w:sz="8" w:space="0"/>
            </w:tcBorders>
            <w:vAlign w:val="center"/>
          </w:tcPr>
          <w:p w14:paraId="68F8FBDD">
            <w:pPr>
              <w:spacing w:line="560" w:lineRule="exact"/>
              <w:jc w:val="left"/>
              <w:rPr>
                <w:color w:val="auto"/>
              </w:rPr>
            </w:pPr>
            <w:r>
              <w:rPr>
                <w:rFonts w:hint="eastAsia"/>
                <w:color w:val="auto"/>
              </w:rPr>
              <w:t>投标报价： 拾 万 仟 佰 拾 元 整</w:t>
            </w:r>
          </w:p>
          <w:p w14:paraId="05F71B53">
            <w:pPr>
              <w:spacing w:line="560" w:lineRule="exact"/>
              <w:jc w:val="center"/>
              <w:rPr>
                <w:color w:val="auto"/>
                <w:sz w:val="28"/>
              </w:rPr>
            </w:pPr>
            <w:r>
              <w:rPr>
                <w:rFonts w:hint="eastAsia"/>
                <w:color w:val="auto"/>
              </w:rPr>
              <w:t>（小写：¥　　　　元）</w:t>
            </w:r>
          </w:p>
        </w:tc>
      </w:tr>
    </w:tbl>
    <w:p w14:paraId="2E773417">
      <w:pPr>
        <w:widowControl w:val="0"/>
        <w:tabs>
          <w:tab w:val="left" w:pos="9365"/>
        </w:tabs>
        <w:snapToGrid w:val="0"/>
        <w:spacing w:after="56" w:line="360" w:lineRule="exact"/>
        <w:ind w:right="85" w:firstLine="601"/>
        <w:textAlignment w:val="top"/>
        <w:rPr>
          <w:b/>
          <w:color w:val="auto"/>
        </w:rPr>
      </w:pPr>
    </w:p>
    <w:p w14:paraId="7622D80A">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14:paraId="5D644A2F">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法定代表人（电子签名或签章）：</w:t>
      </w:r>
    </w:p>
    <w:p w14:paraId="0990E8A6">
      <w:pPr>
        <w:autoSpaceDE w:val="0"/>
        <w:autoSpaceDN w:val="0"/>
        <w:adjustRightInd w:val="0"/>
        <w:spacing w:line="360" w:lineRule="auto"/>
        <w:ind w:right="-817"/>
        <w:rPr>
          <w:rFonts w:ascii="宋体" w:hAns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4BA60693">
      <w:pPr>
        <w:widowControl w:val="0"/>
        <w:snapToGrid w:val="0"/>
        <w:spacing w:line="560" w:lineRule="exact"/>
        <w:ind w:firstLine="602" w:firstLineChars="200"/>
        <w:jc w:val="left"/>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793A5057">
      <w:pPr>
        <w:spacing w:line="240" w:lineRule="auto"/>
        <w:jc w:val="center"/>
        <w:textAlignment w:val="auto"/>
        <w:rPr>
          <w:rFonts w:hint="eastAsia" w:ascii="宋体" w:hAnsi="宋体" w:eastAsia="宋体" w:cs="宋体"/>
          <w:color w:val="auto"/>
          <w:sz w:val="30"/>
          <w:szCs w:val="30"/>
        </w:rPr>
      </w:pPr>
      <w:r>
        <w:rPr>
          <w:rFonts w:hint="eastAsia" w:ascii="宋体" w:hAnsi="宋体" w:eastAsia="宋体" w:cs="宋体"/>
          <w:b/>
          <w:color w:val="auto"/>
          <w:sz w:val="30"/>
          <w:szCs w:val="30"/>
        </w:rPr>
        <w:t>4、投标产品清单及具体技术参数</w:t>
      </w:r>
    </w:p>
    <w:p w14:paraId="54538089">
      <w:pPr>
        <w:pStyle w:val="19"/>
        <w:adjustRightInd w:val="0"/>
        <w:snapToGrid w:val="0"/>
        <w:spacing w:before="0" w:beforeAutospacing="0" w:after="0" w:afterAutospacing="0"/>
        <w:rPr>
          <w:rFonts w:hint="eastAsia" w:ascii="宋体" w:hAnsi="宋体" w:eastAsia="宋体" w:cs="宋体"/>
          <w:color w:val="auto"/>
        </w:rPr>
      </w:pPr>
    </w:p>
    <w:p w14:paraId="4B904AB3">
      <w:pPr>
        <w:pStyle w:val="19"/>
        <w:adjustRightInd w:val="0"/>
        <w:snapToGrid w:val="0"/>
        <w:spacing w:before="0" w:beforeAutospacing="0" w:after="0" w:afterAutospacing="0"/>
        <w:rPr>
          <w:rFonts w:hint="eastAsia" w:ascii="宋体" w:hAnsi="宋体" w:eastAsia="宋体" w:cs="宋体"/>
          <w:color w:val="auto"/>
          <w:u w:val="single"/>
        </w:rPr>
      </w:pPr>
      <w:r>
        <w:rPr>
          <w:rFonts w:hint="eastAsia" w:ascii="宋体" w:hAnsi="宋体" w:eastAsia="宋体" w:cs="宋体"/>
          <w:color w:val="auto"/>
        </w:rPr>
        <w:t>项目名称：</w:t>
      </w:r>
      <w:r>
        <w:rPr>
          <w:rFonts w:hint="eastAsia" w:ascii="宋体" w:hAnsi="宋体" w:eastAsia="宋体" w:cs="宋体"/>
          <w:color w:val="auto"/>
          <w:u w:val="single"/>
        </w:rPr>
        <w:t xml:space="preserve">                             </w:t>
      </w:r>
    </w:p>
    <w:p w14:paraId="5E01C5D7">
      <w:pPr>
        <w:pStyle w:val="19"/>
        <w:adjustRightInd w:val="0"/>
        <w:snapToGrid w:val="0"/>
        <w:spacing w:before="0" w:beforeAutospacing="0" w:after="0" w:afterAutospacing="0"/>
        <w:rPr>
          <w:rFonts w:hint="eastAsia" w:ascii="宋体" w:hAnsi="宋体" w:eastAsia="宋体" w:cs="宋体"/>
          <w:color w:val="auto"/>
          <w:u w:val="single"/>
        </w:rPr>
      </w:pPr>
      <w:r>
        <w:rPr>
          <w:rFonts w:hint="eastAsia" w:ascii="宋体" w:hAnsi="宋体" w:eastAsia="宋体" w:cs="宋体"/>
          <w:color w:val="auto"/>
        </w:rPr>
        <w:t>项目编号：</w:t>
      </w:r>
      <w:r>
        <w:rPr>
          <w:rFonts w:hint="eastAsia" w:ascii="宋体" w:hAnsi="宋体" w:eastAsia="宋体" w:cs="宋体"/>
          <w:color w:val="auto"/>
          <w:u w:val="single"/>
        </w:rPr>
        <w:t xml:space="preserve">                             </w:t>
      </w:r>
    </w:p>
    <w:p w14:paraId="7F4ACAB7">
      <w:pPr>
        <w:pStyle w:val="19"/>
        <w:adjustRightInd w:val="0"/>
        <w:snapToGrid w:val="0"/>
        <w:spacing w:before="0" w:beforeAutospacing="0" w:after="0" w:afterAutospacing="0"/>
        <w:rPr>
          <w:rFonts w:hint="eastAsia" w:ascii="宋体" w:hAnsi="宋体" w:eastAsia="宋体" w:cs="宋体"/>
          <w:color w:val="auto"/>
          <w:u w:val="single"/>
        </w:rPr>
      </w:pPr>
    </w:p>
    <w:tbl>
      <w:tblPr>
        <w:tblStyle w:val="23"/>
        <w:tblW w:w="100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1494"/>
        <w:gridCol w:w="540"/>
        <w:gridCol w:w="540"/>
        <w:gridCol w:w="1046"/>
        <w:gridCol w:w="1383"/>
        <w:gridCol w:w="1942"/>
        <w:gridCol w:w="945"/>
        <w:gridCol w:w="1542"/>
      </w:tblGrid>
      <w:tr w14:paraId="053D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611" w:type="dxa"/>
            <w:tcBorders>
              <w:top w:val="single" w:color="auto" w:sz="6" w:space="0"/>
              <w:left w:val="single" w:color="auto" w:sz="6" w:space="0"/>
              <w:bottom w:val="single" w:color="auto" w:sz="6" w:space="0"/>
              <w:right w:val="single" w:color="auto" w:sz="6" w:space="0"/>
            </w:tcBorders>
            <w:vAlign w:val="center"/>
          </w:tcPr>
          <w:p w14:paraId="6E7DD05D">
            <w:pPr>
              <w:spacing w:line="360" w:lineRule="exact"/>
              <w:jc w:val="center"/>
              <w:rPr>
                <w:rFonts w:hint="eastAsia" w:ascii="宋体" w:hAnsi="宋体" w:eastAsia="宋体" w:cs="宋体"/>
                <w:color w:val="auto"/>
                <w:sz w:val="28"/>
              </w:rPr>
            </w:pPr>
            <w:r>
              <w:rPr>
                <w:rFonts w:hint="eastAsia" w:ascii="宋体" w:hAnsi="宋体" w:eastAsia="宋体" w:cs="宋体"/>
                <w:color w:val="auto"/>
              </w:rPr>
              <w:t>序号</w:t>
            </w:r>
          </w:p>
        </w:tc>
        <w:tc>
          <w:tcPr>
            <w:tcW w:w="1494" w:type="dxa"/>
            <w:tcBorders>
              <w:top w:val="single" w:color="auto" w:sz="6" w:space="0"/>
              <w:left w:val="single" w:color="auto" w:sz="6" w:space="0"/>
              <w:bottom w:val="single" w:color="auto" w:sz="6" w:space="0"/>
              <w:right w:val="single" w:color="auto" w:sz="6" w:space="0"/>
            </w:tcBorders>
            <w:vAlign w:val="center"/>
          </w:tcPr>
          <w:p w14:paraId="073AEA98">
            <w:pPr>
              <w:widowControl w:val="0"/>
              <w:snapToGrid w:val="0"/>
              <w:spacing w:line="360" w:lineRule="exact"/>
              <w:jc w:val="center"/>
              <w:rPr>
                <w:rFonts w:hint="eastAsia" w:ascii="宋体" w:hAnsi="宋体" w:eastAsia="宋体" w:cs="宋体"/>
                <w:color w:val="auto"/>
                <w:sz w:val="28"/>
              </w:rPr>
            </w:pPr>
            <w:r>
              <w:rPr>
                <w:rFonts w:hint="eastAsia" w:ascii="宋体" w:hAnsi="宋体" w:eastAsia="宋体" w:cs="宋体"/>
                <w:color w:val="auto"/>
              </w:rPr>
              <w:t>产品名称</w:t>
            </w:r>
          </w:p>
        </w:tc>
        <w:tc>
          <w:tcPr>
            <w:tcW w:w="540" w:type="dxa"/>
            <w:tcBorders>
              <w:top w:val="single" w:color="auto" w:sz="6" w:space="0"/>
              <w:left w:val="single" w:color="auto" w:sz="6" w:space="0"/>
              <w:bottom w:val="single" w:color="auto" w:sz="6" w:space="0"/>
              <w:right w:val="single" w:color="auto" w:sz="6" w:space="0"/>
            </w:tcBorders>
            <w:vAlign w:val="center"/>
          </w:tcPr>
          <w:p w14:paraId="5EF10FD2">
            <w:pPr>
              <w:spacing w:line="360" w:lineRule="exact"/>
              <w:jc w:val="center"/>
              <w:rPr>
                <w:rFonts w:hint="eastAsia" w:ascii="宋体" w:hAnsi="宋体" w:eastAsia="宋体" w:cs="宋体"/>
                <w:color w:val="auto"/>
                <w:sz w:val="28"/>
              </w:rPr>
            </w:pPr>
            <w:r>
              <w:rPr>
                <w:rFonts w:hint="eastAsia" w:ascii="宋体" w:hAnsi="宋体" w:eastAsia="宋体" w:cs="宋体"/>
                <w:color w:val="auto"/>
              </w:rPr>
              <w:t>单位</w:t>
            </w:r>
          </w:p>
        </w:tc>
        <w:tc>
          <w:tcPr>
            <w:tcW w:w="540" w:type="dxa"/>
            <w:tcBorders>
              <w:top w:val="single" w:color="auto" w:sz="6" w:space="0"/>
              <w:left w:val="single" w:color="auto" w:sz="6" w:space="0"/>
              <w:bottom w:val="single" w:color="auto" w:sz="6" w:space="0"/>
              <w:right w:val="single" w:color="auto" w:sz="6" w:space="0"/>
            </w:tcBorders>
            <w:vAlign w:val="center"/>
          </w:tcPr>
          <w:p w14:paraId="42B415D1">
            <w:pPr>
              <w:spacing w:line="360" w:lineRule="exact"/>
              <w:jc w:val="center"/>
              <w:rPr>
                <w:rFonts w:hint="eastAsia" w:ascii="宋体" w:hAnsi="宋体" w:eastAsia="宋体" w:cs="宋体"/>
                <w:color w:val="auto"/>
                <w:sz w:val="28"/>
              </w:rPr>
            </w:pPr>
            <w:r>
              <w:rPr>
                <w:rFonts w:hint="eastAsia" w:ascii="宋体" w:hAnsi="宋体" w:eastAsia="宋体" w:cs="宋体"/>
                <w:color w:val="auto"/>
              </w:rPr>
              <w:t>数量</w:t>
            </w:r>
          </w:p>
        </w:tc>
        <w:tc>
          <w:tcPr>
            <w:tcW w:w="1046" w:type="dxa"/>
            <w:tcBorders>
              <w:top w:val="single" w:color="auto" w:sz="6" w:space="0"/>
              <w:left w:val="single" w:color="auto" w:sz="6" w:space="0"/>
              <w:bottom w:val="single" w:color="auto" w:sz="6" w:space="0"/>
              <w:right w:val="single" w:color="auto" w:sz="6" w:space="0"/>
            </w:tcBorders>
            <w:vAlign w:val="center"/>
          </w:tcPr>
          <w:p w14:paraId="38871187">
            <w:pPr>
              <w:spacing w:line="360" w:lineRule="exact"/>
              <w:jc w:val="center"/>
              <w:rPr>
                <w:rFonts w:hint="eastAsia" w:ascii="宋体" w:hAnsi="宋体" w:eastAsia="宋体" w:cs="宋体"/>
                <w:color w:val="auto"/>
                <w:sz w:val="28"/>
              </w:rPr>
            </w:pPr>
            <w:r>
              <w:rPr>
                <w:rFonts w:hint="eastAsia" w:ascii="宋体" w:hAnsi="宋体" w:eastAsia="宋体" w:cs="宋体"/>
                <w:color w:val="auto"/>
              </w:rPr>
              <w:t>品牌型号</w:t>
            </w:r>
          </w:p>
        </w:tc>
        <w:tc>
          <w:tcPr>
            <w:tcW w:w="1383" w:type="dxa"/>
            <w:tcBorders>
              <w:top w:val="single" w:color="auto" w:sz="6" w:space="0"/>
              <w:left w:val="single" w:color="auto" w:sz="6" w:space="0"/>
              <w:bottom w:val="single" w:color="auto" w:sz="6" w:space="0"/>
              <w:right w:val="single" w:color="auto" w:sz="6" w:space="0"/>
            </w:tcBorders>
            <w:vAlign w:val="center"/>
          </w:tcPr>
          <w:p w14:paraId="490852E3">
            <w:pPr>
              <w:spacing w:line="360" w:lineRule="exact"/>
              <w:jc w:val="center"/>
              <w:rPr>
                <w:rFonts w:hint="eastAsia" w:ascii="宋体" w:hAnsi="宋体" w:eastAsia="宋体" w:cs="宋体"/>
                <w:color w:val="auto"/>
                <w:sz w:val="28"/>
              </w:rPr>
            </w:pPr>
            <w:r>
              <w:rPr>
                <w:rFonts w:hint="eastAsia" w:ascii="宋体" w:hAnsi="宋体" w:eastAsia="宋体" w:cs="宋体"/>
                <w:color w:val="auto"/>
              </w:rPr>
              <w:t>技术参数</w:t>
            </w:r>
          </w:p>
        </w:tc>
        <w:tc>
          <w:tcPr>
            <w:tcW w:w="1942" w:type="dxa"/>
            <w:tcBorders>
              <w:top w:val="single" w:color="auto" w:sz="6" w:space="0"/>
              <w:left w:val="single" w:color="auto" w:sz="6" w:space="0"/>
              <w:bottom w:val="single" w:color="auto" w:sz="6" w:space="0"/>
              <w:right w:val="single" w:color="auto" w:sz="6" w:space="0"/>
            </w:tcBorders>
            <w:vAlign w:val="center"/>
          </w:tcPr>
          <w:p w14:paraId="710456B0">
            <w:pPr>
              <w:spacing w:line="360" w:lineRule="exact"/>
              <w:jc w:val="center"/>
              <w:rPr>
                <w:rFonts w:hint="eastAsia" w:ascii="宋体" w:hAnsi="宋体" w:eastAsia="宋体" w:cs="宋体"/>
                <w:color w:val="auto"/>
                <w:sz w:val="28"/>
              </w:rPr>
            </w:pPr>
            <w:r>
              <w:rPr>
                <w:rFonts w:hint="eastAsia" w:ascii="宋体" w:hAnsi="宋体" w:eastAsia="宋体" w:cs="宋体"/>
                <w:color w:val="auto"/>
              </w:rPr>
              <w:t>原产地及制造商</w:t>
            </w:r>
          </w:p>
        </w:tc>
        <w:tc>
          <w:tcPr>
            <w:tcW w:w="945" w:type="dxa"/>
            <w:tcBorders>
              <w:top w:val="single" w:color="auto" w:sz="6" w:space="0"/>
              <w:left w:val="single" w:color="auto" w:sz="6" w:space="0"/>
              <w:bottom w:val="single" w:color="auto" w:sz="6" w:space="0"/>
              <w:right w:val="single" w:color="auto" w:sz="6" w:space="0"/>
            </w:tcBorders>
            <w:vAlign w:val="center"/>
          </w:tcPr>
          <w:p w14:paraId="280C5F23">
            <w:pPr>
              <w:spacing w:line="360" w:lineRule="exact"/>
              <w:jc w:val="center"/>
              <w:rPr>
                <w:rFonts w:hint="eastAsia" w:ascii="宋体" w:hAnsi="宋体" w:eastAsia="宋体" w:cs="宋体"/>
                <w:color w:val="auto"/>
                <w:sz w:val="28"/>
              </w:rPr>
            </w:pPr>
            <w:r>
              <w:rPr>
                <w:rFonts w:hint="eastAsia" w:ascii="宋体" w:hAnsi="宋体" w:eastAsia="宋体" w:cs="宋体"/>
                <w:color w:val="auto"/>
              </w:rPr>
              <w:t>附件</w:t>
            </w:r>
          </w:p>
        </w:tc>
        <w:tc>
          <w:tcPr>
            <w:tcW w:w="1542" w:type="dxa"/>
            <w:tcBorders>
              <w:top w:val="single" w:color="auto" w:sz="6" w:space="0"/>
              <w:left w:val="single" w:color="auto" w:sz="6" w:space="0"/>
              <w:bottom w:val="single" w:color="auto" w:sz="6" w:space="0"/>
              <w:right w:val="single" w:color="auto" w:sz="6" w:space="0"/>
            </w:tcBorders>
          </w:tcPr>
          <w:p w14:paraId="11069C81">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Cs w:val="21"/>
              </w:rPr>
              <w:t>节能产品、环境标志产品的标注</w:t>
            </w:r>
            <w:r>
              <w:rPr>
                <w:rFonts w:hint="eastAsia" w:ascii="宋体" w:hAnsi="宋体" w:eastAsia="宋体" w:cs="宋体"/>
                <w:color w:val="auto"/>
                <w:sz w:val="18"/>
                <w:szCs w:val="18"/>
              </w:rPr>
              <w:t>(按需填列)</w:t>
            </w:r>
          </w:p>
        </w:tc>
      </w:tr>
      <w:tr w14:paraId="124E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611" w:type="dxa"/>
            <w:tcBorders>
              <w:top w:val="single" w:color="auto" w:sz="6" w:space="0"/>
              <w:left w:val="single" w:color="auto" w:sz="6" w:space="0"/>
              <w:bottom w:val="single" w:color="auto" w:sz="6" w:space="0"/>
              <w:right w:val="single" w:color="auto" w:sz="6" w:space="0"/>
            </w:tcBorders>
            <w:vAlign w:val="center"/>
          </w:tcPr>
          <w:p w14:paraId="240030AB">
            <w:pPr>
              <w:spacing w:line="360" w:lineRule="exact"/>
              <w:jc w:val="center"/>
              <w:rPr>
                <w:rFonts w:hint="eastAsia" w:ascii="宋体" w:hAnsi="宋体" w:eastAsia="宋体" w:cs="宋体"/>
                <w:color w:val="auto"/>
                <w:sz w:val="28"/>
              </w:rPr>
            </w:pPr>
            <w:r>
              <w:rPr>
                <w:rFonts w:hint="eastAsia" w:ascii="宋体" w:hAnsi="宋体" w:eastAsia="宋体" w:cs="宋体"/>
                <w:color w:val="auto"/>
              </w:rPr>
              <w:t>1</w:t>
            </w:r>
          </w:p>
        </w:tc>
        <w:tc>
          <w:tcPr>
            <w:tcW w:w="1494" w:type="dxa"/>
            <w:tcBorders>
              <w:top w:val="single" w:color="auto" w:sz="6" w:space="0"/>
              <w:left w:val="single" w:color="auto" w:sz="6" w:space="0"/>
              <w:bottom w:val="single" w:color="auto" w:sz="6" w:space="0"/>
              <w:right w:val="single" w:color="auto" w:sz="6" w:space="0"/>
            </w:tcBorders>
            <w:vAlign w:val="center"/>
          </w:tcPr>
          <w:p w14:paraId="5EF8C9EE">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63220C23">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3509E049">
            <w:pPr>
              <w:spacing w:line="360" w:lineRule="exact"/>
              <w:jc w:val="center"/>
              <w:rPr>
                <w:rFonts w:hint="eastAsia" w:ascii="宋体" w:hAnsi="宋体" w:eastAsia="宋体" w:cs="宋体"/>
                <w:color w:val="auto"/>
                <w:sz w:val="28"/>
              </w:rPr>
            </w:pPr>
          </w:p>
        </w:tc>
        <w:tc>
          <w:tcPr>
            <w:tcW w:w="1046" w:type="dxa"/>
            <w:tcBorders>
              <w:top w:val="single" w:color="auto" w:sz="6" w:space="0"/>
              <w:left w:val="single" w:color="auto" w:sz="6" w:space="0"/>
              <w:bottom w:val="single" w:color="auto" w:sz="6" w:space="0"/>
              <w:right w:val="single" w:color="auto" w:sz="6" w:space="0"/>
            </w:tcBorders>
            <w:vAlign w:val="center"/>
          </w:tcPr>
          <w:p w14:paraId="6E88852E">
            <w:pPr>
              <w:spacing w:line="360" w:lineRule="exact"/>
              <w:jc w:val="center"/>
              <w:rPr>
                <w:rFonts w:hint="eastAsia" w:ascii="宋体" w:hAnsi="宋体" w:eastAsia="宋体" w:cs="宋体"/>
                <w:color w:val="auto"/>
                <w:sz w:val="28"/>
              </w:rPr>
            </w:pPr>
          </w:p>
        </w:tc>
        <w:tc>
          <w:tcPr>
            <w:tcW w:w="1383" w:type="dxa"/>
            <w:tcBorders>
              <w:top w:val="single" w:color="auto" w:sz="6" w:space="0"/>
              <w:left w:val="single" w:color="auto" w:sz="6" w:space="0"/>
              <w:bottom w:val="single" w:color="auto" w:sz="6" w:space="0"/>
              <w:right w:val="single" w:color="auto" w:sz="6" w:space="0"/>
            </w:tcBorders>
            <w:vAlign w:val="center"/>
          </w:tcPr>
          <w:p w14:paraId="1CF2E2DA">
            <w:pPr>
              <w:spacing w:line="360" w:lineRule="exact"/>
              <w:jc w:val="center"/>
              <w:rPr>
                <w:rFonts w:hint="eastAsia" w:ascii="宋体" w:hAnsi="宋体" w:eastAsia="宋体" w:cs="宋体"/>
                <w:color w:val="auto"/>
                <w:sz w:val="28"/>
              </w:rPr>
            </w:pPr>
          </w:p>
        </w:tc>
        <w:tc>
          <w:tcPr>
            <w:tcW w:w="1942" w:type="dxa"/>
            <w:tcBorders>
              <w:top w:val="single" w:color="auto" w:sz="6" w:space="0"/>
              <w:left w:val="single" w:color="auto" w:sz="6" w:space="0"/>
              <w:bottom w:val="single" w:color="auto" w:sz="6" w:space="0"/>
              <w:right w:val="single" w:color="auto" w:sz="6" w:space="0"/>
            </w:tcBorders>
            <w:vAlign w:val="center"/>
          </w:tcPr>
          <w:p w14:paraId="256579B2">
            <w:pPr>
              <w:spacing w:line="360" w:lineRule="exact"/>
              <w:jc w:val="center"/>
              <w:rPr>
                <w:rFonts w:hint="eastAsia" w:ascii="宋体" w:hAnsi="宋体" w:eastAsia="宋体" w:cs="宋体"/>
                <w:color w:val="auto"/>
                <w:sz w:val="28"/>
              </w:rPr>
            </w:pPr>
          </w:p>
        </w:tc>
        <w:tc>
          <w:tcPr>
            <w:tcW w:w="945" w:type="dxa"/>
            <w:tcBorders>
              <w:top w:val="single" w:color="auto" w:sz="6" w:space="0"/>
              <w:left w:val="single" w:color="auto" w:sz="6" w:space="0"/>
              <w:bottom w:val="single" w:color="auto" w:sz="6" w:space="0"/>
              <w:right w:val="single" w:color="auto" w:sz="6" w:space="0"/>
            </w:tcBorders>
            <w:vAlign w:val="center"/>
          </w:tcPr>
          <w:p w14:paraId="45D281B4">
            <w:pPr>
              <w:spacing w:line="360" w:lineRule="exact"/>
              <w:jc w:val="center"/>
              <w:rPr>
                <w:rFonts w:hint="eastAsia" w:ascii="宋体" w:hAnsi="宋体" w:eastAsia="宋体" w:cs="宋体"/>
                <w:color w:val="auto"/>
                <w:sz w:val="28"/>
              </w:rPr>
            </w:pPr>
          </w:p>
        </w:tc>
        <w:tc>
          <w:tcPr>
            <w:tcW w:w="1542" w:type="dxa"/>
            <w:tcBorders>
              <w:top w:val="single" w:color="auto" w:sz="6" w:space="0"/>
              <w:left w:val="single" w:color="auto" w:sz="6" w:space="0"/>
              <w:bottom w:val="single" w:color="auto" w:sz="6" w:space="0"/>
              <w:right w:val="single" w:color="auto" w:sz="6" w:space="0"/>
            </w:tcBorders>
          </w:tcPr>
          <w:p w14:paraId="57CAE49A">
            <w:pPr>
              <w:spacing w:line="360" w:lineRule="exact"/>
              <w:jc w:val="center"/>
              <w:rPr>
                <w:rFonts w:hint="eastAsia" w:ascii="宋体" w:hAnsi="宋体" w:eastAsia="宋体" w:cs="宋体"/>
                <w:color w:val="auto"/>
                <w:sz w:val="28"/>
              </w:rPr>
            </w:pPr>
          </w:p>
        </w:tc>
      </w:tr>
      <w:tr w14:paraId="35FB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611" w:type="dxa"/>
            <w:tcBorders>
              <w:top w:val="single" w:color="auto" w:sz="6" w:space="0"/>
              <w:left w:val="single" w:color="auto" w:sz="6" w:space="0"/>
              <w:bottom w:val="single" w:color="auto" w:sz="6" w:space="0"/>
              <w:right w:val="single" w:color="auto" w:sz="6" w:space="0"/>
            </w:tcBorders>
            <w:vAlign w:val="center"/>
          </w:tcPr>
          <w:p w14:paraId="1149FF59">
            <w:pPr>
              <w:spacing w:line="360" w:lineRule="exact"/>
              <w:jc w:val="center"/>
              <w:rPr>
                <w:rFonts w:hint="eastAsia" w:ascii="宋体" w:hAnsi="宋体" w:eastAsia="宋体" w:cs="宋体"/>
                <w:color w:val="auto"/>
                <w:sz w:val="28"/>
              </w:rPr>
            </w:pPr>
            <w:r>
              <w:rPr>
                <w:rFonts w:hint="eastAsia" w:ascii="宋体" w:hAnsi="宋体" w:eastAsia="宋体" w:cs="宋体"/>
                <w:color w:val="auto"/>
              </w:rPr>
              <w:t>2</w:t>
            </w:r>
          </w:p>
        </w:tc>
        <w:tc>
          <w:tcPr>
            <w:tcW w:w="1494" w:type="dxa"/>
            <w:tcBorders>
              <w:top w:val="single" w:color="auto" w:sz="6" w:space="0"/>
              <w:left w:val="single" w:color="auto" w:sz="6" w:space="0"/>
              <w:bottom w:val="single" w:color="auto" w:sz="6" w:space="0"/>
              <w:right w:val="single" w:color="auto" w:sz="6" w:space="0"/>
            </w:tcBorders>
            <w:vAlign w:val="center"/>
          </w:tcPr>
          <w:p w14:paraId="2F3E4FE9">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4514D9FD">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400B8B90">
            <w:pPr>
              <w:spacing w:line="360" w:lineRule="exact"/>
              <w:jc w:val="center"/>
              <w:rPr>
                <w:rFonts w:hint="eastAsia" w:ascii="宋体" w:hAnsi="宋体" w:eastAsia="宋体" w:cs="宋体"/>
                <w:color w:val="auto"/>
                <w:sz w:val="28"/>
              </w:rPr>
            </w:pPr>
          </w:p>
        </w:tc>
        <w:tc>
          <w:tcPr>
            <w:tcW w:w="1046" w:type="dxa"/>
            <w:tcBorders>
              <w:top w:val="single" w:color="auto" w:sz="6" w:space="0"/>
              <w:left w:val="single" w:color="auto" w:sz="6" w:space="0"/>
              <w:bottom w:val="single" w:color="auto" w:sz="6" w:space="0"/>
              <w:right w:val="single" w:color="auto" w:sz="6" w:space="0"/>
            </w:tcBorders>
            <w:vAlign w:val="center"/>
          </w:tcPr>
          <w:p w14:paraId="305E7155">
            <w:pPr>
              <w:spacing w:line="360" w:lineRule="exact"/>
              <w:jc w:val="center"/>
              <w:rPr>
                <w:rFonts w:hint="eastAsia" w:ascii="宋体" w:hAnsi="宋体" w:eastAsia="宋体" w:cs="宋体"/>
                <w:color w:val="auto"/>
                <w:sz w:val="28"/>
              </w:rPr>
            </w:pPr>
          </w:p>
        </w:tc>
        <w:tc>
          <w:tcPr>
            <w:tcW w:w="1383" w:type="dxa"/>
            <w:tcBorders>
              <w:top w:val="single" w:color="auto" w:sz="6" w:space="0"/>
              <w:left w:val="single" w:color="auto" w:sz="6" w:space="0"/>
              <w:bottom w:val="single" w:color="auto" w:sz="6" w:space="0"/>
              <w:right w:val="single" w:color="auto" w:sz="6" w:space="0"/>
            </w:tcBorders>
            <w:vAlign w:val="center"/>
          </w:tcPr>
          <w:p w14:paraId="71D44682">
            <w:pPr>
              <w:spacing w:line="360" w:lineRule="exact"/>
              <w:jc w:val="center"/>
              <w:rPr>
                <w:rFonts w:hint="eastAsia" w:ascii="宋体" w:hAnsi="宋体" w:eastAsia="宋体" w:cs="宋体"/>
                <w:color w:val="auto"/>
                <w:sz w:val="28"/>
              </w:rPr>
            </w:pPr>
          </w:p>
        </w:tc>
        <w:tc>
          <w:tcPr>
            <w:tcW w:w="1942" w:type="dxa"/>
            <w:tcBorders>
              <w:top w:val="single" w:color="auto" w:sz="6" w:space="0"/>
              <w:left w:val="single" w:color="auto" w:sz="6" w:space="0"/>
              <w:bottom w:val="single" w:color="auto" w:sz="6" w:space="0"/>
              <w:right w:val="single" w:color="auto" w:sz="6" w:space="0"/>
            </w:tcBorders>
            <w:vAlign w:val="center"/>
          </w:tcPr>
          <w:p w14:paraId="7826BC6B">
            <w:pPr>
              <w:spacing w:line="360" w:lineRule="exact"/>
              <w:jc w:val="center"/>
              <w:rPr>
                <w:rFonts w:hint="eastAsia" w:ascii="宋体" w:hAnsi="宋体" w:eastAsia="宋体" w:cs="宋体"/>
                <w:color w:val="auto"/>
                <w:sz w:val="28"/>
              </w:rPr>
            </w:pPr>
          </w:p>
        </w:tc>
        <w:tc>
          <w:tcPr>
            <w:tcW w:w="945" w:type="dxa"/>
            <w:tcBorders>
              <w:top w:val="single" w:color="auto" w:sz="6" w:space="0"/>
              <w:left w:val="single" w:color="auto" w:sz="6" w:space="0"/>
              <w:bottom w:val="single" w:color="auto" w:sz="6" w:space="0"/>
              <w:right w:val="single" w:color="auto" w:sz="6" w:space="0"/>
            </w:tcBorders>
            <w:vAlign w:val="center"/>
          </w:tcPr>
          <w:p w14:paraId="5D646A08">
            <w:pPr>
              <w:spacing w:line="360" w:lineRule="exact"/>
              <w:jc w:val="center"/>
              <w:rPr>
                <w:rFonts w:hint="eastAsia" w:ascii="宋体" w:hAnsi="宋体" w:eastAsia="宋体" w:cs="宋体"/>
                <w:color w:val="auto"/>
                <w:sz w:val="28"/>
              </w:rPr>
            </w:pPr>
          </w:p>
        </w:tc>
        <w:tc>
          <w:tcPr>
            <w:tcW w:w="1542" w:type="dxa"/>
            <w:tcBorders>
              <w:top w:val="single" w:color="auto" w:sz="6" w:space="0"/>
              <w:left w:val="single" w:color="auto" w:sz="6" w:space="0"/>
              <w:bottom w:val="single" w:color="auto" w:sz="6" w:space="0"/>
              <w:right w:val="single" w:color="auto" w:sz="6" w:space="0"/>
            </w:tcBorders>
          </w:tcPr>
          <w:p w14:paraId="7FDADE3C">
            <w:pPr>
              <w:spacing w:line="360" w:lineRule="exact"/>
              <w:jc w:val="center"/>
              <w:rPr>
                <w:rFonts w:hint="eastAsia" w:ascii="宋体" w:hAnsi="宋体" w:eastAsia="宋体" w:cs="宋体"/>
                <w:color w:val="auto"/>
                <w:sz w:val="28"/>
              </w:rPr>
            </w:pPr>
          </w:p>
        </w:tc>
      </w:tr>
      <w:tr w14:paraId="07B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611" w:type="dxa"/>
            <w:tcBorders>
              <w:top w:val="single" w:color="auto" w:sz="6" w:space="0"/>
              <w:left w:val="single" w:color="auto" w:sz="6" w:space="0"/>
              <w:bottom w:val="single" w:color="auto" w:sz="6" w:space="0"/>
              <w:right w:val="single" w:color="auto" w:sz="6" w:space="0"/>
            </w:tcBorders>
            <w:vAlign w:val="center"/>
          </w:tcPr>
          <w:p w14:paraId="45B843A4">
            <w:pPr>
              <w:spacing w:line="360" w:lineRule="exact"/>
              <w:jc w:val="center"/>
              <w:rPr>
                <w:rFonts w:hint="eastAsia" w:ascii="宋体" w:hAnsi="宋体" w:eastAsia="宋体" w:cs="宋体"/>
                <w:color w:val="auto"/>
                <w:sz w:val="28"/>
              </w:rPr>
            </w:pPr>
            <w:r>
              <w:rPr>
                <w:rFonts w:hint="eastAsia" w:ascii="宋体" w:hAnsi="宋体" w:eastAsia="宋体" w:cs="宋体"/>
                <w:color w:val="auto"/>
              </w:rPr>
              <w:t>3</w:t>
            </w:r>
          </w:p>
        </w:tc>
        <w:tc>
          <w:tcPr>
            <w:tcW w:w="1494" w:type="dxa"/>
            <w:tcBorders>
              <w:top w:val="single" w:color="auto" w:sz="6" w:space="0"/>
              <w:left w:val="single" w:color="auto" w:sz="6" w:space="0"/>
              <w:bottom w:val="single" w:color="auto" w:sz="6" w:space="0"/>
              <w:right w:val="single" w:color="auto" w:sz="6" w:space="0"/>
            </w:tcBorders>
            <w:vAlign w:val="center"/>
          </w:tcPr>
          <w:p w14:paraId="3B55EC3A">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14BB52C2">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76BD513A">
            <w:pPr>
              <w:spacing w:line="360" w:lineRule="exact"/>
              <w:jc w:val="center"/>
              <w:rPr>
                <w:rFonts w:hint="eastAsia" w:ascii="宋体" w:hAnsi="宋体" w:eastAsia="宋体" w:cs="宋体"/>
                <w:color w:val="auto"/>
                <w:sz w:val="28"/>
              </w:rPr>
            </w:pPr>
          </w:p>
        </w:tc>
        <w:tc>
          <w:tcPr>
            <w:tcW w:w="1046" w:type="dxa"/>
            <w:tcBorders>
              <w:top w:val="single" w:color="auto" w:sz="6" w:space="0"/>
              <w:left w:val="single" w:color="auto" w:sz="6" w:space="0"/>
              <w:bottom w:val="single" w:color="auto" w:sz="6" w:space="0"/>
              <w:right w:val="single" w:color="auto" w:sz="6" w:space="0"/>
            </w:tcBorders>
            <w:vAlign w:val="center"/>
          </w:tcPr>
          <w:p w14:paraId="6AC7ECD1">
            <w:pPr>
              <w:spacing w:line="360" w:lineRule="exact"/>
              <w:jc w:val="center"/>
              <w:rPr>
                <w:rFonts w:hint="eastAsia" w:ascii="宋体" w:hAnsi="宋体" w:eastAsia="宋体" w:cs="宋体"/>
                <w:color w:val="auto"/>
                <w:sz w:val="28"/>
              </w:rPr>
            </w:pPr>
          </w:p>
        </w:tc>
        <w:tc>
          <w:tcPr>
            <w:tcW w:w="1383" w:type="dxa"/>
            <w:tcBorders>
              <w:top w:val="single" w:color="auto" w:sz="6" w:space="0"/>
              <w:left w:val="single" w:color="auto" w:sz="6" w:space="0"/>
              <w:bottom w:val="single" w:color="auto" w:sz="6" w:space="0"/>
              <w:right w:val="single" w:color="auto" w:sz="6" w:space="0"/>
            </w:tcBorders>
            <w:vAlign w:val="center"/>
          </w:tcPr>
          <w:p w14:paraId="3319D2D7">
            <w:pPr>
              <w:spacing w:line="360" w:lineRule="exact"/>
              <w:jc w:val="center"/>
              <w:rPr>
                <w:rFonts w:hint="eastAsia" w:ascii="宋体" w:hAnsi="宋体" w:eastAsia="宋体" w:cs="宋体"/>
                <w:color w:val="auto"/>
                <w:sz w:val="28"/>
              </w:rPr>
            </w:pPr>
          </w:p>
        </w:tc>
        <w:tc>
          <w:tcPr>
            <w:tcW w:w="1942" w:type="dxa"/>
            <w:tcBorders>
              <w:top w:val="single" w:color="auto" w:sz="6" w:space="0"/>
              <w:left w:val="single" w:color="auto" w:sz="6" w:space="0"/>
              <w:bottom w:val="single" w:color="auto" w:sz="6" w:space="0"/>
              <w:right w:val="single" w:color="auto" w:sz="6" w:space="0"/>
            </w:tcBorders>
            <w:vAlign w:val="center"/>
          </w:tcPr>
          <w:p w14:paraId="5648045F">
            <w:pPr>
              <w:spacing w:line="360" w:lineRule="exact"/>
              <w:jc w:val="center"/>
              <w:rPr>
                <w:rFonts w:hint="eastAsia" w:ascii="宋体" w:hAnsi="宋体" w:eastAsia="宋体" w:cs="宋体"/>
                <w:color w:val="auto"/>
                <w:sz w:val="28"/>
              </w:rPr>
            </w:pPr>
          </w:p>
        </w:tc>
        <w:tc>
          <w:tcPr>
            <w:tcW w:w="945" w:type="dxa"/>
            <w:tcBorders>
              <w:top w:val="single" w:color="auto" w:sz="6" w:space="0"/>
              <w:left w:val="single" w:color="auto" w:sz="6" w:space="0"/>
              <w:bottom w:val="single" w:color="auto" w:sz="6" w:space="0"/>
              <w:right w:val="single" w:color="auto" w:sz="6" w:space="0"/>
            </w:tcBorders>
            <w:vAlign w:val="center"/>
          </w:tcPr>
          <w:p w14:paraId="75A022A4">
            <w:pPr>
              <w:spacing w:line="360" w:lineRule="exact"/>
              <w:jc w:val="center"/>
              <w:rPr>
                <w:rFonts w:hint="eastAsia" w:ascii="宋体" w:hAnsi="宋体" w:eastAsia="宋体" w:cs="宋体"/>
                <w:color w:val="auto"/>
                <w:sz w:val="28"/>
              </w:rPr>
            </w:pPr>
          </w:p>
        </w:tc>
        <w:tc>
          <w:tcPr>
            <w:tcW w:w="1542" w:type="dxa"/>
            <w:tcBorders>
              <w:top w:val="single" w:color="auto" w:sz="6" w:space="0"/>
              <w:left w:val="single" w:color="auto" w:sz="6" w:space="0"/>
              <w:bottom w:val="single" w:color="auto" w:sz="6" w:space="0"/>
              <w:right w:val="single" w:color="auto" w:sz="6" w:space="0"/>
            </w:tcBorders>
          </w:tcPr>
          <w:p w14:paraId="14AA76A9">
            <w:pPr>
              <w:spacing w:line="360" w:lineRule="exact"/>
              <w:jc w:val="center"/>
              <w:rPr>
                <w:rFonts w:hint="eastAsia" w:ascii="宋体" w:hAnsi="宋体" w:eastAsia="宋体" w:cs="宋体"/>
                <w:color w:val="auto"/>
                <w:sz w:val="28"/>
              </w:rPr>
            </w:pPr>
          </w:p>
        </w:tc>
      </w:tr>
      <w:tr w14:paraId="0A92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611" w:type="dxa"/>
            <w:tcBorders>
              <w:top w:val="single" w:color="auto" w:sz="6" w:space="0"/>
              <w:left w:val="single" w:color="auto" w:sz="6" w:space="0"/>
              <w:bottom w:val="single" w:color="auto" w:sz="6" w:space="0"/>
              <w:right w:val="single" w:color="auto" w:sz="6" w:space="0"/>
            </w:tcBorders>
            <w:vAlign w:val="center"/>
          </w:tcPr>
          <w:p w14:paraId="2B47F3DF">
            <w:pPr>
              <w:spacing w:line="360" w:lineRule="exact"/>
              <w:jc w:val="center"/>
              <w:rPr>
                <w:rFonts w:hint="eastAsia" w:ascii="宋体" w:hAnsi="宋体" w:eastAsia="宋体" w:cs="宋体"/>
                <w:color w:val="auto"/>
              </w:rPr>
            </w:pPr>
            <w:r>
              <w:rPr>
                <w:rFonts w:hint="eastAsia" w:ascii="宋体" w:hAnsi="宋体" w:eastAsia="宋体" w:cs="宋体"/>
                <w:color w:val="auto"/>
              </w:rPr>
              <w:t>……</w:t>
            </w:r>
          </w:p>
        </w:tc>
        <w:tc>
          <w:tcPr>
            <w:tcW w:w="1494" w:type="dxa"/>
            <w:tcBorders>
              <w:top w:val="single" w:color="auto" w:sz="6" w:space="0"/>
              <w:left w:val="single" w:color="auto" w:sz="6" w:space="0"/>
              <w:bottom w:val="single" w:color="auto" w:sz="6" w:space="0"/>
              <w:right w:val="single" w:color="auto" w:sz="6" w:space="0"/>
            </w:tcBorders>
            <w:vAlign w:val="center"/>
          </w:tcPr>
          <w:p w14:paraId="01DBD230">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6DE66D93">
            <w:pPr>
              <w:spacing w:line="360" w:lineRule="exact"/>
              <w:jc w:val="center"/>
              <w:rPr>
                <w:rFonts w:hint="eastAsia" w:ascii="宋体" w:hAnsi="宋体" w:eastAsia="宋体" w:cs="宋体"/>
                <w:color w:val="auto"/>
                <w:sz w:val="28"/>
              </w:rPr>
            </w:pPr>
          </w:p>
        </w:tc>
        <w:tc>
          <w:tcPr>
            <w:tcW w:w="540" w:type="dxa"/>
            <w:tcBorders>
              <w:top w:val="single" w:color="auto" w:sz="6" w:space="0"/>
              <w:left w:val="single" w:color="auto" w:sz="6" w:space="0"/>
              <w:bottom w:val="single" w:color="auto" w:sz="6" w:space="0"/>
              <w:right w:val="single" w:color="auto" w:sz="6" w:space="0"/>
            </w:tcBorders>
            <w:vAlign w:val="center"/>
          </w:tcPr>
          <w:p w14:paraId="348F08C3">
            <w:pPr>
              <w:spacing w:line="360" w:lineRule="exact"/>
              <w:jc w:val="center"/>
              <w:rPr>
                <w:rFonts w:hint="eastAsia" w:ascii="宋体" w:hAnsi="宋体" w:eastAsia="宋体" w:cs="宋体"/>
                <w:color w:val="auto"/>
                <w:sz w:val="28"/>
              </w:rPr>
            </w:pPr>
          </w:p>
        </w:tc>
        <w:tc>
          <w:tcPr>
            <w:tcW w:w="1046" w:type="dxa"/>
            <w:tcBorders>
              <w:top w:val="single" w:color="auto" w:sz="6" w:space="0"/>
              <w:left w:val="single" w:color="auto" w:sz="6" w:space="0"/>
              <w:bottom w:val="single" w:color="auto" w:sz="6" w:space="0"/>
              <w:right w:val="single" w:color="auto" w:sz="6" w:space="0"/>
            </w:tcBorders>
            <w:vAlign w:val="center"/>
          </w:tcPr>
          <w:p w14:paraId="0827CDDF">
            <w:pPr>
              <w:spacing w:line="360" w:lineRule="exact"/>
              <w:jc w:val="center"/>
              <w:rPr>
                <w:rFonts w:hint="eastAsia" w:ascii="宋体" w:hAnsi="宋体" w:eastAsia="宋体" w:cs="宋体"/>
                <w:color w:val="auto"/>
                <w:sz w:val="28"/>
              </w:rPr>
            </w:pPr>
          </w:p>
        </w:tc>
        <w:tc>
          <w:tcPr>
            <w:tcW w:w="1383" w:type="dxa"/>
            <w:tcBorders>
              <w:top w:val="single" w:color="auto" w:sz="6" w:space="0"/>
              <w:left w:val="single" w:color="auto" w:sz="6" w:space="0"/>
              <w:bottom w:val="single" w:color="auto" w:sz="6" w:space="0"/>
              <w:right w:val="single" w:color="auto" w:sz="6" w:space="0"/>
            </w:tcBorders>
            <w:vAlign w:val="center"/>
          </w:tcPr>
          <w:p w14:paraId="5662C4E5">
            <w:pPr>
              <w:spacing w:line="360" w:lineRule="exact"/>
              <w:jc w:val="center"/>
              <w:rPr>
                <w:rFonts w:hint="eastAsia" w:ascii="宋体" w:hAnsi="宋体" w:eastAsia="宋体" w:cs="宋体"/>
                <w:color w:val="auto"/>
                <w:sz w:val="28"/>
              </w:rPr>
            </w:pPr>
          </w:p>
        </w:tc>
        <w:tc>
          <w:tcPr>
            <w:tcW w:w="1942" w:type="dxa"/>
            <w:tcBorders>
              <w:top w:val="single" w:color="auto" w:sz="6" w:space="0"/>
              <w:left w:val="single" w:color="auto" w:sz="6" w:space="0"/>
              <w:bottom w:val="single" w:color="auto" w:sz="6" w:space="0"/>
              <w:right w:val="single" w:color="auto" w:sz="6" w:space="0"/>
            </w:tcBorders>
            <w:vAlign w:val="center"/>
          </w:tcPr>
          <w:p w14:paraId="056BE0A7">
            <w:pPr>
              <w:spacing w:line="360" w:lineRule="exact"/>
              <w:jc w:val="center"/>
              <w:rPr>
                <w:rFonts w:hint="eastAsia" w:ascii="宋体" w:hAnsi="宋体" w:eastAsia="宋体" w:cs="宋体"/>
                <w:color w:val="auto"/>
                <w:sz w:val="28"/>
              </w:rPr>
            </w:pPr>
          </w:p>
        </w:tc>
        <w:tc>
          <w:tcPr>
            <w:tcW w:w="945" w:type="dxa"/>
            <w:tcBorders>
              <w:top w:val="single" w:color="auto" w:sz="6" w:space="0"/>
              <w:left w:val="single" w:color="auto" w:sz="6" w:space="0"/>
              <w:bottom w:val="single" w:color="auto" w:sz="6" w:space="0"/>
              <w:right w:val="single" w:color="auto" w:sz="6" w:space="0"/>
            </w:tcBorders>
            <w:vAlign w:val="center"/>
          </w:tcPr>
          <w:p w14:paraId="227D0D1B">
            <w:pPr>
              <w:spacing w:line="360" w:lineRule="exact"/>
              <w:jc w:val="center"/>
              <w:rPr>
                <w:rFonts w:hint="eastAsia" w:ascii="宋体" w:hAnsi="宋体" w:eastAsia="宋体" w:cs="宋体"/>
                <w:color w:val="auto"/>
                <w:sz w:val="28"/>
              </w:rPr>
            </w:pPr>
          </w:p>
        </w:tc>
        <w:tc>
          <w:tcPr>
            <w:tcW w:w="1542" w:type="dxa"/>
            <w:tcBorders>
              <w:top w:val="single" w:color="auto" w:sz="6" w:space="0"/>
              <w:left w:val="single" w:color="auto" w:sz="6" w:space="0"/>
              <w:bottom w:val="single" w:color="auto" w:sz="6" w:space="0"/>
              <w:right w:val="single" w:color="auto" w:sz="6" w:space="0"/>
            </w:tcBorders>
          </w:tcPr>
          <w:p w14:paraId="2F01ED8E">
            <w:pPr>
              <w:spacing w:line="360" w:lineRule="exact"/>
              <w:jc w:val="center"/>
              <w:rPr>
                <w:rFonts w:hint="eastAsia" w:ascii="宋体" w:hAnsi="宋体" w:eastAsia="宋体" w:cs="宋体"/>
                <w:color w:val="auto"/>
                <w:sz w:val="28"/>
              </w:rPr>
            </w:pPr>
          </w:p>
        </w:tc>
      </w:tr>
    </w:tbl>
    <w:p w14:paraId="58C366FA">
      <w:pPr>
        <w:keepNext w:val="0"/>
        <w:keepLines w:val="0"/>
        <w:pageBreakBefore w:val="0"/>
        <w:kinsoku/>
        <w:wordWrap/>
        <w:overflowPunct/>
        <w:topLinePunct w:val="0"/>
        <w:autoSpaceDE/>
        <w:autoSpaceDN/>
        <w:bidi w:val="0"/>
        <w:adjustRightInd/>
        <w:spacing w:line="440" w:lineRule="exact"/>
        <w:ind w:right="0"/>
        <w:rPr>
          <w:rFonts w:hint="eastAsia" w:ascii="宋体" w:hAnsi="宋体" w:eastAsia="宋体" w:cs="宋体"/>
          <w:color w:val="auto"/>
        </w:rPr>
      </w:pPr>
      <w:r>
        <w:rPr>
          <w:rFonts w:hint="eastAsia" w:ascii="宋体" w:hAnsi="宋体" w:eastAsia="宋体" w:cs="宋体"/>
          <w:color w:val="auto"/>
          <w:sz w:val="24"/>
        </w:rPr>
        <w:t>　</w:t>
      </w:r>
      <w:r>
        <w:rPr>
          <w:rFonts w:hint="eastAsia" w:ascii="宋体" w:hAnsi="宋体" w:eastAsia="宋体" w:cs="宋体"/>
          <w:color w:val="auto"/>
        </w:rPr>
        <w:t>注：1、投标人应详细填写投标产品具体技术参数。包括产品的品牌、规格、型号、产地等技术参数。</w:t>
      </w:r>
    </w:p>
    <w:p w14:paraId="1B560DEB">
      <w:pPr>
        <w:keepNext w:val="0"/>
        <w:keepLines w:val="0"/>
        <w:pageBreakBefore w:val="0"/>
        <w:widowControl w:val="0"/>
        <w:tabs>
          <w:tab w:val="left" w:pos="9365"/>
        </w:tabs>
        <w:kinsoku/>
        <w:wordWrap/>
        <w:overflowPunct/>
        <w:topLinePunct w:val="0"/>
        <w:autoSpaceDE/>
        <w:autoSpaceDN/>
        <w:bidi w:val="0"/>
        <w:adjustRightInd/>
        <w:snapToGrid w:val="0"/>
        <w:spacing w:line="440" w:lineRule="exact"/>
        <w:ind w:right="0" w:firstLine="601"/>
        <w:textAlignment w:val="top"/>
        <w:rPr>
          <w:rFonts w:hint="eastAsia" w:ascii="宋体" w:hAnsi="宋体" w:eastAsia="宋体" w:cs="宋体"/>
          <w:color w:val="auto"/>
        </w:rPr>
      </w:pPr>
      <w:r>
        <w:rPr>
          <w:rFonts w:hint="eastAsia" w:ascii="宋体" w:hAnsi="宋体" w:eastAsia="宋体" w:cs="宋体"/>
          <w:color w:val="auto"/>
        </w:rPr>
        <w:t>2、如采购产品属于政府强制采购品目清单的，投标人须在本表对应栏中标明“为节能产品，节能产品认证证书后附”，认证证书应当为国家确定的认证机构出具</w:t>
      </w:r>
      <w:r>
        <w:rPr>
          <w:rFonts w:hint="eastAsia" w:cs="宋体"/>
          <w:color w:val="auto"/>
          <w:lang w:eastAsia="zh-CN"/>
        </w:rPr>
        <w:t>且</w:t>
      </w:r>
      <w:r>
        <w:rPr>
          <w:rFonts w:hint="eastAsia" w:ascii="宋体" w:hAnsi="宋体" w:eastAsia="宋体" w:cs="宋体"/>
          <w:color w:val="auto"/>
        </w:rPr>
        <w:t>应处于有效期之内。不符合的、按招标文件规定为无效投标。</w:t>
      </w:r>
    </w:p>
    <w:p w14:paraId="46147E25">
      <w:pPr>
        <w:keepNext w:val="0"/>
        <w:keepLines w:val="0"/>
        <w:pageBreakBefore w:val="0"/>
        <w:widowControl w:val="0"/>
        <w:tabs>
          <w:tab w:val="left" w:pos="9365"/>
        </w:tabs>
        <w:kinsoku/>
        <w:wordWrap/>
        <w:overflowPunct/>
        <w:topLinePunct w:val="0"/>
        <w:autoSpaceDE/>
        <w:autoSpaceDN/>
        <w:bidi w:val="0"/>
        <w:adjustRightInd/>
        <w:snapToGrid w:val="0"/>
        <w:spacing w:line="440" w:lineRule="exact"/>
        <w:ind w:right="0" w:firstLine="601"/>
        <w:textAlignment w:val="top"/>
        <w:rPr>
          <w:rFonts w:hint="eastAsia" w:ascii="宋体" w:hAnsi="宋体" w:eastAsia="宋体" w:cs="宋体"/>
          <w:color w:val="auto"/>
        </w:rPr>
      </w:pPr>
      <w:r>
        <w:rPr>
          <w:rFonts w:hint="eastAsia" w:ascii="宋体" w:hAnsi="宋体" w:eastAsia="宋体" w:cs="宋体"/>
          <w:color w:val="auto"/>
        </w:rPr>
        <w:t>3、如采购产品不属于政府强制采购品目清单的，投标人自主填列。</w:t>
      </w:r>
    </w:p>
    <w:p w14:paraId="2509A31E">
      <w:pPr>
        <w:widowControl w:val="0"/>
        <w:snapToGrid w:val="0"/>
        <w:spacing w:line="560" w:lineRule="exact"/>
        <w:ind w:firstLine="532"/>
        <w:jc w:val="left"/>
        <w:textAlignment w:val="top"/>
        <w:rPr>
          <w:rFonts w:hint="eastAsia" w:ascii="宋体" w:hAnsi="宋体" w:eastAsia="宋体" w:cs="宋体"/>
          <w:color w:val="auto"/>
        </w:rPr>
      </w:pPr>
    </w:p>
    <w:p w14:paraId="75F1AE57">
      <w:pPr>
        <w:autoSpaceDE w:val="0"/>
        <w:autoSpaceDN w:val="0"/>
        <w:adjustRightInd w:val="0"/>
        <w:spacing w:line="360" w:lineRule="auto"/>
        <w:rPr>
          <w:rFonts w:hint="eastAsia" w:ascii="宋体" w:hAnsi="宋体" w:eastAsia="宋体" w:cs="宋体"/>
          <w:color w:val="auto"/>
          <w:sz w:val="24"/>
          <w:lang w:val="zh-CN"/>
        </w:rPr>
      </w:pPr>
      <w:r>
        <w:rPr>
          <w:rFonts w:hint="eastAsia" w:ascii="宋体" w:hAnsi="宋体" w:eastAsia="宋体" w:cs="宋体"/>
          <w:color w:val="auto"/>
          <w:sz w:val="24"/>
        </w:rPr>
        <w:t>投标人</w:t>
      </w:r>
      <w:r>
        <w:rPr>
          <w:rFonts w:hint="eastAsia" w:ascii="宋体" w:hAnsi="宋体" w:eastAsia="宋体" w:cs="宋体"/>
          <w:color w:val="auto"/>
          <w:sz w:val="24"/>
          <w:szCs w:val="24"/>
        </w:rPr>
        <w:t>（电子签章）</w:t>
      </w:r>
      <w:r>
        <w:rPr>
          <w:rFonts w:hint="eastAsia" w:ascii="宋体" w:hAnsi="宋体" w:eastAsia="宋体" w:cs="宋体"/>
          <w:color w:val="auto"/>
          <w:sz w:val="24"/>
          <w:lang w:val="zh-CN"/>
        </w:rPr>
        <w:t>：</w:t>
      </w:r>
    </w:p>
    <w:p w14:paraId="56043406">
      <w:pPr>
        <w:autoSpaceDE w:val="0"/>
        <w:autoSpaceDN w:val="0"/>
        <w:adjustRightInd w:val="0"/>
        <w:spacing w:line="360" w:lineRule="auto"/>
        <w:ind w:left="-2" w:right="-817" w:firstLine="2"/>
        <w:rPr>
          <w:rFonts w:hint="eastAsia" w:ascii="宋体" w:hAnsi="宋体" w:eastAsia="宋体" w:cs="宋体"/>
          <w:color w:val="auto"/>
          <w:sz w:val="24"/>
          <w:lang w:val="zh-CN"/>
        </w:rPr>
      </w:pPr>
      <w:r>
        <w:rPr>
          <w:rFonts w:hint="eastAsia" w:ascii="宋体" w:hAnsi="宋体" w:eastAsia="宋体" w:cs="宋体"/>
          <w:color w:val="auto"/>
          <w:sz w:val="24"/>
          <w:lang w:val="zh-CN"/>
        </w:rPr>
        <w:t>法定代表人</w:t>
      </w:r>
      <w:r>
        <w:rPr>
          <w:rFonts w:hint="eastAsia" w:ascii="宋体" w:hAnsi="宋体" w:eastAsia="宋体" w:cs="宋体"/>
          <w:color w:val="auto"/>
          <w:sz w:val="24"/>
          <w:szCs w:val="24"/>
        </w:rPr>
        <w:t>（电子签名）</w:t>
      </w:r>
      <w:r>
        <w:rPr>
          <w:rFonts w:hint="eastAsia" w:ascii="宋体" w:hAnsi="宋体" w:eastAsia="宋体" w:cs="宋体"/>
          <w:color w:val="auto"/>
          <w:sz w:val="24"/>
          <w:lang w:val="zh-CN"/>
        </w:rPr>
        <w:t xml:space="preserve">：  </w:t>
      </w:r>
    </w:p>
    <w:p w14:paraId="5C06DB79">
      <w:pPr>
        <w:widowControl w:val="0"/>
        <w:tabs>
          <w:tab w:val="left" w:pos="9365"/>
        </w:tabs>
        <w:snapToGrid w:val="0"/>
        <w:spacing w:after="56" w:line="560" w:lineRule="exact"/>
        <w:ind w:right="56"/>
        <w:jc w:val="left"/>
        <w:textAlignment w:val="top"/>
        <w:rPr>
          <w:rFonts w:hint="eastAsia" w:ascii="宋体" w:hAnsi="宋体" w:eastAsia="宋体" w:cs="宋体"/>
          <w:color w:val="auto"/>
        </w:rPr>
      </w:pPr>
      <w:r>
        <w:rPr>
          <w:rFonts w:hint="eastAsia" w:ascii="宋体" w:hAnsi="宋体" w:eastAsia="宋体" w:cs="宋体"/>
          <w:color w:val="auto"/>
          <w:sz w:val="24"/>
          <w:lang w:val="zh-CN"/>
        </w:rPr>
        <w:t>日期：   年   月   日</w:t>
      </w:r>
    </w:p>
    <w:p w14:paraId="1C89CDA5">
      <w:pPr>
        <w:widowControl w:val="0"/>
        <w:snapToGrid w:val="0"/>
        <w:spacing w:line="560" w:lineRule="exact"/>
        <w:jc w:val="left"/>
        <w:textAlignment w:val="top"/>
        <w:rPr>
          <w:rFonts w:hint="eastAsia" w:ascii="宋体" w:hAnsi="宋体" w:eastAsia="宋体" w:cs="宋体"/>
          <w:color w:val="auto"/>
        </w:rPr>
      </w:pPr>
      <w:r>
        <w:rPr>
          <w:rFonts w:hint="eastAsia" w:ascii="宋体" w:hAnsi="宋体" w:eastAsia="宋体" w:cs="宋体"/>
          <w:b/>
          <w:color w:val="auto"/>
          <w:sz w:val="30"/>
          <w:szCs w:val="30"/>
        </w:rPr>
        <w:br w:type="page"/>
      </w:r>
    </w:p>
    <w:p w14:paraId="632D018C">
      <w:pPr>
        <w:widowControl w:val="0"/>
        <w:snapToGrid w:val="0"/>
        <w:spacing w:line="560" w:lineRule="exact"/>
        <w:jc w:val="center"/>
        <w:rPr>
          <w:rFonts w:hint="eastAsia" w:ascii="宋体" w:hAnsi="宋体" w:eastAsia="宋体" w:cs="宋体"/>
          <w:color w:val="auto"/>
          <w:sz w:val="30"/>
          <w:szCs w:val="30"/>
        </w:rPr>
      </w:pPr>
      <w:r>
        <w:rPr>
          <w:rFonts w:hint="eastAsia" w:ascii="宋体" w:hAnsi="宋体" w:eastAsia="宋体" w:cs="宋体"/>
          <w:b/>
          <w:color w:val="auto"/>
          <w:sz w:val="30"/>
          <w:szCs w:val="30"/>
        </w:rPr>
        <w:t>5、技术偏差表</w:t>
      </w:r>
    </w:p>
    <w:p w14:paraId="53540463">
      <w:pPr>
        <w:pStyle w:val="19"/>
        <w:adjustRightInd w:val="0"/>
        <w:snapToGrid w:val="0"/>
        <w:spacing w:before="0" w:beforeAutospacing="0" w:after="0" w:afterAutospacing="0"/>
        <w:rPr>
          <w:rFonts w:hint="eastAsia" w:ascii="宋体" w:hAnsi="宋体" w:eastAsia="宋体" w:cs="宋体"/>
          <w:color w:val="auto"/>
          <w:u w:val="single"/>
        </w:rPr>
      </w:pPr>
      <w:r>
        <w:rPr>
          <w:rFonts w:hint="eastAsia" w:ascii="宋体" w:hAnsi="宋体" w:eastAsia="宋体" w:cs="宋体"/>
          <w:color w:val="auto"/>
        </w:rPr>
        <w:t>项目名称：</w:t>
      </w:r>
    </w:p>
    <w:p w14:paraId="26B528E0">
      <w:pPr>
        <w:pStyle w:val="19"/>
        <w:adjustRightInd w:val="0"/>
        <w:snapToGrid w:val="0"/>
        <w:spacing w:before="0" w:beforeAutospacing="0" w:after="0" w:afterAutospacing="0"/>
        <w:rPr>
          <w:rFonts w:hint="eastAsia" w:ascii="宋体" w:hAnsi="宋体" w:eastAsia="宋体" w:cs="宋体"/>
          <w:color w:val="auto"/>
        </w:rPr>
      </w:pPr>
      <w:r>
        <w:rPr>
          <w:rFonts w:hint="eastAsia" w:ascii="宋体" w:hAnsi="宋体" w:eastAsia="宋体" w:cs="宋体"/>
          <w:color w:val="auto"/>
        </w:rPr>
        <w:t>项目编号：</w:t>
      </w:r>
    </w:p>
    <w:tbl>
      <w:tblPr>
        <w:tblStyle w:val="2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510"/>
        <w:gridCol w:w="2184"/>
        <w:gridCol w:w="2077"/>
        <w:gridCol w:w="1859"/>
        <w:gridCol w:w="1260"/>
      </w:tblGrid>
      <w:tr w14:paraId="77BF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78" w:type="dxa"/>
            <w:tcBorders>
              <w:top w:val="single" w:color="000000" w:sz="8" w:space="0"/>
              <w:left w:val="single" w:color="000000" w:sz="8" w:space="0"/>
              <w:bottom w:val="single" w:color="000000" w:sz="4" w:space="0"/>
              <w:right w:val="single" w:color="000000" w:sz="4" w:space="0"/>
            </w:tcBorders>
            <w:vAlign w:val="center"/>
          </w:tcPr>
          <w:p w14:paraId="7C0D212E">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序号</w:t>
            </w:r>
          </w:p>
        </w:tc>
        <w:tc>
          <w:tcPr>
            <w:tcW w:w="1510" w:type="dxa"/>
            <w:tcBorders>
              <w:top w:val="single" w:color="000000" w:sz="8" w:space="0"/>
              <w:bottom w:val="single" w:color="000000" w:sz="4" w:space="0"/>
              <w:right w:val="single" w:color="000000" w:sz="4" w:space="0"/>
            </w:tcBorders>
            <w:vAlign w:val="center"/>
          </w:tcPr>
          <w:p w14:paraId="6AF55767">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产品名称</w:t>
            </w:r>
          </w:p>
        </w:tc>
        <w:tc>
          <w:tcPr>
            <w:tcW w:w="2184" w:type="dxa"/>
            <w:tcBorders>
              <w:top w:val="single" w:color="000000" w:sz="8" w:space="0"/>
              <w:bottom w:val="single" w:color="000000" w:sz="4" w:space="0"/>
              <w:right w:val="single" w:color="000000" w:sz="4" w:space="0"/>
            </w:tcBorders>
            <w:vAlign w:val="center"/>
          </w:tcPr>
          <w:p w14:paraId="4F2C3049">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《招标文件》要求</w:t>
            </w:r>
          </w:p>
        </w:tc>
        <w:tc>
          <w:tcPr>
            <w:tcW w:w="2077" w:type="dxa"/>
            <w:tcBorders>
              <w:top w:val="single" w:color="000000" w:sz="8" w:space="0"/>
              <w:bottom w:val="single" w:color="000000" w:sz="4" w:space="0"/>
              <w:right w:val="single" w:color="000000" w:sz="4" w:space="0"/>
            </w:tcBorders>
            <w:vAlign w:val="center"/>
          </w:tcPr>
          <w:p w14:paraId="51751F86">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投标产品参数</w:t>
            </w:r>
          </w:p>
        </w:tc>
        <w:tc>
          <w:tcPr>
            <w:tcW w:w="1859" w:type="dxa"/>
            <w:tcBorders>
              <w:top w:val="single" w:color="000000" w:sz="8" w:space="0"/>
              <w:bottom w:val="single" w:color="000000" w:sz="4" w:space="0"/>
              <w:right w:val="single" w:color="000000" w:sz="8" w:space="0"/>
            </w:tcBorders>
            <w:vAlign w:val="center"/>
          </w:tcPr>
          <w:p w14:paraId="3C85189D">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偏差描述</w:t>
            </w:r>
          </w:p>
        </w:tc>
        <w:tc>
          <w:tcPr>
            <w:tcW w:w="1260" w:type="dxa"/>
            <w:tcBorders>
              <w:top w:val="single" w:color="000000" w:sz="8" w:space="0"/>
              <w:bottom w:val="single" w:color="000000" w:sz="4" w:space="0"/>
              <w:right w:val="single" w:color="000000" w:sz="8" w:space="0"/>
            </w:tcBorders>
          </w:tcPr>
          <w:p w14:paraId="74C69C39">
            <w:pPr>
              <w:spacing w:line="240" w:lineRule="auto"/>
              <w:jc w:val="center"/>
              <w:rPr>
                <w:rFonts w:hint="eastAsia" w:ascii="宋体" w:hAnsi="宋体" w:eastAsia="宋体" w:cs="宋体"/>
                <w:b/>
                <w:color w:val="auto"/>
              </w:rPr>
            </w:pPr>
            <w:r>
              <w:rPr>
                <w:rFonts w:hint="eastAsia" w:ascii="宋体" w:hAnsi="宋体" w:eastAsia="宋体" w:cs="宋体"/>
                <w:b/>
                <w:color w:val="auto"/>
              </w:rPr>
              <w:t>所对应的产品证明材料的页码</w:t>
            </w:r>
          </w:p>
        </w:tc>
      </w:tr>
      <w:tr w14:paraId="5259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78" w:type="dxa"/>
            <w:tcBorders>
              <w:left w:val="single" w:color="000000" w:sz="8" w:space="0"/>
              <w:bottom w:val="single" w:color="000000" w:sz="4" w:space="0"/>
              <w:right w:val="single" w:color="000000" w:sz="4" w:space="0"/>
            </w:tcBorders>
            <w:vAlign w:val="center"/>
          </w:tcPr>
          <w:p w14:paraId="3DB18D60">
            <w:pPr>
              <w:spacing w:line="560" w:lineRule="exact"/>
              <w:jc w:val="center"/>
              <w:rPr>
                <w:rFonts w:hint="eastAsia" w:ascii="宋体" w:hAnsi="宋体" w:eastAsia="宋体" w:cs="宋体"/>
                <w:color w:val="auto"/>
                <w:sz w:val="28"/>
              </w:rPr>
            </w:pPr>
            <w:r>
              <w:rPr>
                <w:rFonts w:hint="eastAsia" w:ascii="宋体" w:hAnsi="宋体" w:eastAsia="宋体" w:cs="宋体"/>
                <w:color w:val="auto"/>
              </w:rPr>
              <w:t>1</w:t>
            </w:r>
          </w:p>
        </w:tc>
        <w:tc>
          <w:tcPr>
            <w:tcW w:w="1510" w:type="dxa"/>
            <w:tcBorders>
              <w:bottom w:val="single" w:color="000000" w:sz="4" w:space="0"/>
              <w:right w:val="single" w:color="000000" w:sz="4" w:space="0"/>
            </w:tcBorders>
            <w:vAlign w:val="center"/>
          </w:tcPr>
          <w:p w14:paraId="42D5E906">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7C3AD4C9">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032B0907">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0C49E0C4">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593E3C77">
            <w:pPr>
              <w:spacing w:line="560" w:lineRule="exact"/>
              <w:jc w:val="center"/>
              <w:rPr>
                <w:rFonts w:hint="eastAsia" w:ascii="宋体" w:hAnsi="宋体" w:eastAsia="宋体" w:cs="宋体"/>
                <w:color w:val="auto"/>
                <w:sz w:val="28"/>
              </w:rPr>
            </w:pPr>
          </w:p>
        </w:tc>
      </w:tr>
      <w:tr w14:paraId="70C3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78" w:type="dxa"/>
            <w:tcBorders>
              <w:left w:val="single" w:color="000000" w:sz="8" w:space="0"/>
              <w:bottom w:val="single" w:color="000000" w:sz="4" w:space="0"/>
              <w:right w:val="single" w:color="000000" w:sz="4" w:space="0"/>
            </w:tcBorders>
            <w:vAlign w:val="center"/>
          </w:tcPr>
          <w:p w14:paraId="11082F90">
            <w:pPr>
              <w:spacing w:line="560" w:lineRule="exact"/>
              <w:jc w:val="center"/>
              <w:rPr>
                <w:rFonts w:hint="eastAsia" w:ascii="宋体" w:hAnsi="宋体" w:eastAsia="宋体" w:cs="宋体"/>
                <w:color w:val="auto"/>
                <w:sz w:val="28"/>
              </w:rPr>
            </w:pPr>
            <w:r>
              <w:rPr>
                <w:rFonts w:hint="eastAsia" w:ascii="宋体" w:hAnsi="宋体" w:eastAsia="宋体" w:cs="宋体"/>
                <w:color w:val="auto"/>
              </w:rPr>
              <w:t>2</w:t>
            </w:r>
          </w:p>
        </w:tc>
        <w:tc>
          <w:tcPr>
            <w:tcW w:w="1510" w:type="dxa"/>
            <w:tcBorders>
              <w:bottom w:val="single" w:color="000000" w:sz="4" w:space="0"/>
              <w:right w:val="single" w:color="000000" w:sz="4" w:space="0"/>
            </w:tcBorders>
            <w:vAlign w:val="center"/>
          </w:tcPr>
          <w:p w14:paraId="26A05627">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469927A1">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660E45B6">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599C06E0">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2268F28D">
            <w:pPr>
              <w:spacing w:line="560" w:lineRule="exact"/>
              <w:jc w:val="center"/>
              <w:rPr>
                <w:rFonts w:hint="eastAsia" w:ascii="宋体" w:hAnsi="宋体" w:eastAsia="宋体" w:cs="宋体"/>
                <w:color w:val="auto"/>
                <w:sz w:val="28"/>
              </w:rPr>
            </w:pPr>
          </w:p>
        </w:tc>
      </w:tr>
      <w:tr w14:paraId="2F4D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78" w:type="dxa"/>
            <w:tcBorders>
              <w:left w:val="single" w:color="000000" w:sz="8" w:space="0"/>
              <w:bottom w:val="single" w:color="000000" w:sz="4" w:space="0"/>
              <w:right w:val="single" w:color="000000" w:sz="4" w:space="0"/>
            </w:tcBorders>
            <w:vAlign w:val="center"/>
          </w:tcPr>
          <w:p w14:paraId="3B11D9CB">
            <w:pPr>
              <w:spacing w:line="560" w:lineRule="exact"/>
              <w:jc w:val="center"/>
              <w:rPr>
                <w:rFonts w:hint="eastAsia" w:ascii="宋体" w:hAnsi="宋体" w:eastAsia="宋体" w:cs="宋体"/>
                <w:color w:val="auto"/>
                <w:sz w:val="28"/>
              </w:rPr>
            </w:pPr>
            <w:r>
              <w:rPr>
                <w:rFonts w:hint="eastAsia" w:ascii="宋体" w:hAnsi="宋体" w:eastAsia="宋体" w:cs="宋体"/>
                <w:color w:val="auto"/>
              </w:rPr>
              <w:t>3</w:t>
            </w:r>
          </w:p>
        </w:tc>
        <w:tc>
          <w:tcPr>
            <w:tcW w:w="1510" w:type="dxa"/>
            <w:tcBorders>
              <w:bottom w:val="single" w:color="000000" w:sz="4" w:space="0"/>
              <w:right w:val="single" w:color="000000" w:sz="4" w:space="0"/>
            </w:tcBorders>
            <w:vAlign w:val="center"/>
          </w:tcPr>
          <w:p w14:paraId="0B00A72E">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72785E94">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7012A33B">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082E229C">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1CA1FEDD">
            <w:pPr>
              <w:spacing w:line="560" w:lineRule="exact"/>
              <w:jc w:val="center"/>
              <w:rPr>
                <w:rFonts w:hint="eastAsia" w:ascii="宋体" w:hAnsi="宋体" w:eastAsia="宋体" w:cs="宋体"/>
                <w:color w:val="auto"/>
                <w:sz w:val="28"/>
              </w:rPr>
            </w:pPr>
          </w:p>
        </w:tc>
      </w:tr>
      <w:tr w14:paraId="39C7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78" w:type="dxa"/>
            <w:tcBorders>
              <w:left w:val="single" w:color="000000" w:sz="8" w:space="0"/>
              <w:bottom w:val="single" w:color="000000" w:sz="4" w:space="0"/>
              <w:right w:val="single" w:color="000000" w:sz="4" w:space="0"/>
            </w:tcBorders>
            <w:vAlign w:val="center"/>
          </w:tcPr>
          <w:p w14:paraId="4847F262">
            <w:pPr>
              <w:spacing w:line="560" w:lineRule="exact"/>
              <w:jc w:val="center"/>
              <w:rPr>
                <w:rFonts w:hint="eastAsia" w:ascii="宋体" w:hAnsi="宋体" w:eastAsia="宋体" w:cs="宋体"/>
                <w:color w:val="auto"/>
                <w:sz w:val="28"/>
              </w:rPr>
            </w:pPr>
            <w:r>
              <w:rPr>
                <w:rFonts w:hint="eastAsia" w:ascii="宋体" w:hAnsi="宋体" w:eastAsia="宋体" w:cs="宋体"/>
                <w:color w:val="auto"/>
              </w:rPr>
              <w:t>4</w:t>
            </w:r>
          </w:p>
        </w:tc>
        <w:tc>
          <w:tcPr>
            <w:tcW w:w="1510" w:type="dxa"/>
            <w:tcBorders>
              <w:bottom w:val="single" w:color="000000" w:sz="4" w:space="0"/>
              <w:right w:val="single" w:color="000000" w:sz="4" w:space="0"/>
            </w:tcBorders>
            <w:vAlign w:val="center"/>
          </w:tcPr>
          <w:p w14:paraId="56CBE35C">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69A91240">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2E5F7A26">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5DF009C5">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7DBD8492">
            <w:pPr>
              <w:spacing w:line="560" w:lineRule="exact"/>
              <w:jc w:val="center"/>
              <w:rPr>
                <w:rFonts w:hint="eastAsia" w:ascii="宋体" w:hAnsi="宋体" w:eastAsia="宋体" w:cs="宋体"/>
                <w:color w:val="auto"/>
                <w:sz w:val="28"/>
              </w:rPr>
            </w:pPr>
          </w:p>
        </w:tc>
      </w:tr>
      <w:tr w14:paraId="249A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578" w:type="dxa"/>
            <w:tcBorders>
              <w:left w:val="single" w:color="000000" w:sz="8" w:space="0"/>
              <w:bottom w:val="single" w:color="000000" w:sz="4" w:space="0"/>
              <w:right w:val="single" w:color="000000" w:sz="4" w:space="0"/>
            </w:tcBorders>
            <w:vAlign w:val="center"/>
          </w:tcPr>
          <w:p w14:paraId="19F085EC">
            <w:pPr>
              <w:spacing w:line="560" w:lineRule="exact"/>
              <w:jc w:val="center"/>
              <w:rPr>
                <w:rFonts w:hint="eastAsia" w:ascii="宋体" w:hAnsi="宋体" w:eastAsia="宋体" w:cs="宋体"/>
                <w:color w:val="auto"/>
                <w:sz w:val="28"/>
              </w:rPr>
            </w:pPr>
            <w:r>
              <w:rPr>
                <w:rFonts w:hint="eastAsia" w:ascii="宋体" w:hAnsi="宋体" w:eastAsia="宋体" w:cs="宋体"/>
                <w:color w:val="auto"/>
              </w:rPr>
              <w:t>5</w:t>
            </w:r>
          </w:p>
        </w:tc>
        <w:tc>
          <w:tcPr>
            <w:tcW w:w="1510" w:type="dxa"/>
            <w:tcBorders>
              <w:bottom w:val="single" w:color="000000" w:sz="4" w:space="0"/>
              <w:right w:val="single" w:color="000000" w:sz="4" w:space="0"/>
            </w:tcBorders>
            <w:vAlign w:val="center"/>
          </w:tcPr>
          <w:p w14:paraId="3171D428">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056DB864">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490ABBF0">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3BDEF468">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5B7FF83F">
            <w:pPr>
              <w:spacing w:line="560" w:lineRule="exact"/>
              <w:jc w:val="center"/>
              <w:rPr>
                <w:rFonts w:hint="eastAsia" w:ascii="宋体" w:hAnsi="宋体" w:eastAsia="宋体" w:cs="宋体"/>
                <w:color w:val="auto"/>
                <w:sz w:val="28"/>
              </w:rPr>
            </w:pPr>
          </w:p>
        </w:tc>
      </w:tr>
      <w:tr w14:paraId="18EA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78" w:type="dxa"/>
            <w:tcBorders>
              <w:left w:val="single" w:color="000000" w:sz="8" w:space="0"/>
              <w:bottom w:val="single" w:color="000000" w:sz="4" w:space="0"/>
              <w:right w:val="single" w:color="000000" w:sz="4" w:space="0"/>
            </w:tcBorders>
            <w:vAlign w:val="center"/>
          </w:tcPr>
          <w:p w14:paraId="7D0D7AB6">
            <w:pPr>
              <w:spacing w:line="560" w:lineRule="exact"/>
              <w:jc w:val="center"/>
              <w:rPr>
                <w:rFonts w:hint="eastAsia" w:ascii="宋体" w:hAnsi="宋体" w:eastAsia="宋体" w:cs="宋体"/>
                <w:color w:val="auto"/>
                <w:sz w:val="28"/>
              </w:rPr>
            </w:pPr>
            <w:r>
              <w:rPr>
                <w:rFonts w:hint="eastAsia" w:ascii="宋体" w:hAnsi="宋体" w:eastAsia="宋体" w:cs="宋体"/>
                <w:color w:val="auto"/>
              </w:rPr>
              <w:t>6</w:t>
            </w:r>
          </w:p>
        </w:tc>
        <w:tc>
          <w:tcPr>
            <w:tcW w:w="1510" w:type="dxa"/>
            <w:tcBorders>
              <w:bottom w:val="single" w:color="000000" w:sz="4" w:space="0"/>
              <w:right w:val="single" w:color="000000" w:sz="4" w:space="0"/>
            </w:tcBorders>
            <w:vAlign w:val="center"/>
          </w:tcPr>
          <w:p w14:paraId="1C38DD69">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1C6BF80E">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47E7E0D4">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617F79B1">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636B6AA3">
            <w:pPr>
              <w:spacing w:line="560" w:lineRule="exact"/>
              <w:jc w:val="center"/>
              <w:rPr>
                <w:rFonts w:hint="eastAsia" w:ascii="宋体" w:hAnsi="宋体" w:eastAsia="宋体" w:cs="宋体"/>
                <w:color w:val="auto"/>
                <w:sz w:val="28"/>
              </w:rPr>
            </w:pPr>
          </w:p>
        </w:tc>
      </w:tr>
      <w:tr w14:paraId="58F1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78" w:type="dxa"/>
            <w:tcBorders>
              <w:left w:val="single" w:color="000000" w:sz="8" w:space="0"/>
              <w:bottom w:val="single" w:color="000000" w:sz="4" w:space="0"/>
              <w:right w:val="single" w:color="000000" w:sz="4" w:space="0"/>
            </w:tcBorders>
            <w:vAlign w:val="center"/>
          </w:tcPr>
          <w:p w14:paraId="5552224F">
            <w:pPr>
              <w:spacing w:line="560" w:lineRule="exact"/>
              <w:jc w:val="center"/>
              <w:rPr>
                <w:rFonts w:hint="eastAsia" w:ascii="宋体" w:hAnsi="宋体" w:eastAsia="宋体" w:cs="宋体"/>
                <w:color w:val="auto"/>
                <w:sz w:val="28"/>
              </w:rPr>
            </w:pPr>
            <w:r>
              <w:rPr>
                <w:rFonts w:hint="eastAsia" w:ascii="宋体" w:hAnsi="宋体" w:eastAsia="宋体" w:cs="宋体"/>
                <w:color w:val="auto"/>
              </w:rPr>
              <w:t>7</w:t>
            </w:r>
          </w:p>
        </w:tc>
        <w:tc>
          <w:tcPr>
            <w:tcW w:w="1510" w:type="dxa"/>
            <w:tcBorders>
              <w:bottom w:val="single" w:color="000000" w:sz="4" w:space="0"/>
              <w:right w:val="single" w:color="000000" w:sz="4" w:space="0"/>
            </w:tcBorders>
            <w:vAlign w:val="center"/>
          </w:tcPr>
          <w:p w14:paraId="2C935F8B">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3DA13A6A">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69AF7CF8">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778F8F1B">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56D0ADE3">
            <w:pPr>
              <w:spacing w:line="560" w:lineRule="exact"/>
              <w:jc w:val="center"/>
              <w:rPr>
                <w:rFonts w:hint="eastAsia" w:ascii="宋体" w:hAnsi="宋体" w:eastAsia="宋体" w:cs="宋体"/>
                <w:color w:val="auto"/>
                <w:sz w:val="28"/>
              </w:rPr>
            </w:pPr>
          </w:p>
        </w:tc>
      </w:tr>
      <w:tr w14:paraId="3503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78" w:type="dxa"/>
            <w:tcBorders>
              <w:left w:val="single" w:color="000000" w:sz="8" w:space="0"/>
              <w:bottom w:val="single" w:color="000000" w:sz="4" w:space="0"/>
              <w:right w:val="single" w:color="000000" w:sz="4" w:space="0"/>
            </w:tcBorders>
            <w:vAlign w:val="center"/>
          </w:tcPr>
          <w:p w14:paraId="29D797D0">
            <w:pPr>
              <w:spacing w:line="560" w:lineRule="exact"/>
              <w:jc w:val="center"/>
              <w:rPr>
                <w:rFonts w:hint="eastAsia" w:ascii="宋体" w:hAnsi="宋体" w:eastAsia="宋体" w:cs="宋体"/>
                <w:color w:val="auto"/>
                <w:sz w:val="28"/>
              </w:rPr>
            </w:pPr>
            <w:r>
              <w:rPr>
                <w:rFonts w:hint="eastAsia" w:ascii="宋体" w:hAnsi="宋体" w:eastAsia="宋体" w:cs="宋体"/>
                <w:color w:val="auto"/>
              </w:rPr>
              <w:t>8</w:t>
            </w:r>
          </w:p>
        </w:tc>
        <w:tc>
          <w:tcPr>
            <w:tcW w:w="1510" w:type="dxa"/>
            <w:tcBorders>
              <w:bottom w:val="single" w:color="000000" w:sz="4" w:space="0"/>
              <w:right w:val="single" w:color="000000" w:sz="4" w:space="0"/>
            </w:tcBorders>
            <w:vAlign w:val="center"/>
          </w:tcPr>
          <w:p w14:paraId="23A082CB">
            <w:pPr>
              <w:spacing w:line="560" w:lineRule="exact"/>
              <w:jc w:val="center"/>
              <w:rPr>
                <w:rFonts w:hint="eastAsia" w:ascii="宋体" w:hAnsi="宋体" w:eastAsia="宋体" w:cs="宋体"/>
                <w:color w:val="auto"/>
                <w:sz w:val="28"/>
              </w:rPr>
            </w:pPr>
          </w:p>
        </w:tc>
        <w:tc>
          <w:tcPr>
            <w:tcW w:w="2184" w:type="dxa"/>
            <w:tcBorders>
              <w:bottom w:val="single" w:color="000000" w:sz="4" w:space="0"/>
              <w:right w:val="single" w:color="000000" w:sz="4" w:space="0"/>
            </w:tcBorders>
            <w:vAlign w:val="center"/>
          </w:tcPr>
          <w:p w14:paraId="769BFE11">
            <w:pPr>
              <w:spacing w:line="560" w:lineRule="exact"/>
              <w:jc w:val="center"/>
              <w:rPr>
                <w:rFonts w:hint="eastAsia" w:ascii="宋体" w:hAnsi="宋体" w:eastAsia="宋体" w:cs="宋体"/>
                <w:color w:val="auto"/>
                <w:sz w:val="28"/>
              </w:rPr>
            </w:pPr>
          </w:p>
        </w:tc>
        <w:tc>
          <w:tcPr>
            <w:tcW w:w="2077" w:type="dxa"/>
            <w:tcBorders>
              <w:bottom w:val="single" w:color="000000" w:sz="4" w:space="0"/>
              <w:right w:val="single" w:color="000000" w:sz="4" w:space="0"/>
            </w:tcBorders>
            <w:vAlign w:val="center"/>
          </w:tcPr>
          <w:p w14:paraId="4A5F2759">
            <w:pPr>
              <w:spacing w:line="560" w:lineRule="exact"/>
              <w:jc w:val="center"/>
              <w:rPr>
                <w:rFonts w:hint="eastAsia" w:ascii="宋体" w:hAnsi="宋体" w:eastAsia="宋体" w:cs="宋体"/>
                <w:color w:val="auto"/>
                <w:sz w:val="28"/>
              </w:rPr>
            </w:pPr>
          </w:p>
        </w:tc>
        <w:tc>
          <w:tcPr>
            <w:tcW w:w="1859" w:type="dxa"/>
            <w:tcBorders>
              <w:bottom w:val="single" w:color="000000" w:sz="4" w:space="0"/>
              <w:right w:val="single" w:color="000000" w:sz="8" w:space="0"/>
            </w:tcBorders>
            <w:vAlign w:val="center"/>
          </w:tcPr>
          <w:p w14:paraId="0DEFF399">
            <w:pPr>
              <w:spacing w:line="560" w:lineRule="exact"/>
              <w:jc w:val="center"/>
              <w:rPr>
                <w:rFonts w:hint="eastAsia" w:ascii="宋体" w:hAnsi="宋体" w:eastAsia="宋体" w:cs="宋体"/>
                <w:color w:val="auto"/>
                <w:sz w:val="28"/>
              </w:rPr>
            </w:pPr>
          </w:p>
        </w:tc>
        <w:tc>
          <w:tcPr>
            <w:tcW w:w="1260" w:type="dxa"/>
            <w:tcBorders>
              <w:bottom w:val="single" w:color="000000" w:sz="4" w:space="0"/>
              <w:right w:val="single" w:color="000000" w:sz="8" w:space="0"/>
            </w:tcBorders>
          </w:tcPr>
          <w:p w14:paraId="62C2561D">
            <w:pPr>
              <w:spacing w:line="560" w:lineRule="exact"/>
              <w:jc w:val="center"/>
              <w:rPr>
                <w:rFonts w:hint="eastAsia" w:ascii="宋体" w:hAnsi="宋体" w:eastAsia="宋体" w:cs="宋体"/>
                <w:color w:val="auto"/>
                <w:sz w:val="28"/>
              </w:rPr>
            </w:pPr>
          </w:p>
        </w:tc>
      </w:tr>
      <w:tr w14:paraId="022C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78" w:type="dxa"/>
            <w:tcBorders>
              <w:left w:val="single" w:color="000000" w:sz="8" w:space="0"/>
              <w:bottom w:val="single" w:color="000000" w:sz="8" w:space="0"/>
              <w:right w:val="single" w:color="000000" w:sz="4" w:space="0"/>
            </w:tcBorders>
            <w:vAlign w:val="center"/>
          </w:tcPr>
          <w:p w14:paraId="5E7958B7">
            <w:pPr>
              <w:spacing w:line="560" w:lineRule="exact"/>
              <w:jc w:val="center"/>
              <w:rPr>
                <w:rFonts w:hint="eastAsia" w:ascii="宋体" w:hAnsi="宋体" w:eastAsia="宋体" w:cs="宋体"/>
                <w:color w:val="auto"/>
                <w:sz w:val="28"/>
              </w:rPr>
            </w:pPr>
            <w:r>
              <w:rPr>
                <w:rFonts w:hint="eastAsia" w:cs="宋体"/>
                <w:color w:val="auto"/>
                <w:lang w:eastAsia="zh-CN"/>
              </w:rPr>
              <w:t>……</w:t>
            </w:r>
          </w:p>
        </w:tc>
        <w:tc>
          <w:tcPr>
            <w:tcW w:w="1510" w:type="dxa"/>
            <w:tcBorders>
              <w:bottom w:val="single" w:color="000000" w:sz="8" w:space="0"/>
              <w:right w:val="single" w:color="000000" w:sz="4" w:space="0"/>
            </w:tcBorders>
            <w:vAlign w:val="center"/>
          </w:tcPr>
          <w:p w14:paraId="246027E5">
            <w:pPr>
              <w:spacing w:line="560" w:lineRule="exact"/>
              <w:jc w:val="center"/>
              <w:rPr>
                <w:rFonts w:hint="eastAsia" w:ascii="宋体" w:hAnsi="宋体" w:eastAsia="宋体" w:cs="宋体"/>
                <w:color w:val="auto"/>
                <w:sz w:val="28"/>
              </w:rPr>
            </w:pPr>
          </w:p>
        </w:tc>
        <w:tc>
          <w:tcPr>
            <w:tcW w:w="2184" w:type="dxa"/>
            <w:tcBorders>
              <w:bottom w:val="single" w:color="000000" w:sz="8" w:space="0"/>
              <w:right w:val="single" w:color="000000" w:sz="4" w:space="0"/>
            </w:tcBorders>
            <w:vAlign w:val="center"/>
          </w:tcPr>
          <w:p w14:paraId="7EB27596">
            <w:pPr>
              <w:spacing w:line="560" w:lineRule="exact"/>
              <w:jc w:val="center"/>
              <w:rPr>
                <w:rFonts w:hint="eastAsia" w:ascii="宋体" w:hAnsi="宋体" w:eastAsia="宋体" w:cs="宋体"/>
                <w:color w:val="auto"/>
                <w:sz w:val="28"/>
              </w:rPr>
            </w:pPr>
          </w:p>
        </w:tc>
        <w:tc>
          <w:tcPr>
            <w:tcW w:w="2077" w:type="dxa"/>
            <w:tcBorders>
              <w:bottom w:val="single" w:color="000000" w:sz="8" w:space="0"/>
              <w:right w:val="single" w:color="000000" w:sz="4" w:space="0"/>
            </w:tcBorders>
            <w:vAlign w:val="center"/>
          </w:tcPr>
          <w:p w14:paraId="7171B8D0">
            <w:pPr>
              <w:spacing w:line="560" w:lineRule="exact"/>
              <w:jc w:val="center"/>
              <w:rPr>
                <w:rFonts w:hint="eastAsia" w:ascii="宋体" w:hAnsi="宋体" w:eastAsia="宋体" w:cs="宋体"/>
                <w:color w:val="auto"/>
                <w:sz w:val="28"/>
              </w:rPr>
            </w:pPr>
          </w:p>
        </w:tc>
        <w:tc>
          <w:tcPr>
            <w:tcW w:w="1859" w:type="dxa"/>
            <w:tcBorders>
              <w:bottom w:val="single" w:color="000000" w:sz="8" w:space="0"/>
              <w:right w:val="single" w:color="000000" w:sz="8" w:space="0"/>
            </w:tcBorders>
            <w:vAlign w:val="center"/>
          </w:tcPr>
          <w:p w14:paraId="69049906">
            <w:pPr>
              <w:spacing w:line="560" w:lineRule="exact"/>
              <w:jc w:val="center"/>
              <w:rPr>
                <w:rFonts w:hint="eastAsia" w:ascii="宋体" w:hAnsi="宋体" w:eastAsia="宋体" w:cs="宋体"/>
                <w:color w:val="auto"/>
                <w:sz w:val="28"/>
              </w:rPr>
            </w:pPr>
          </w:p>
        </w:tc>
        <w:tc>
          <w:tcPr>
            <w:tcW w:w="1260" w:type="dxa"/>
            <w:tcBorders>
              <w:bottom w:val="single" w:color="000000" w:sz="8" w:space="0"/>
              <w:right w:val="single" w:color="000000" w:sz="8" w:space="0"/>
            </w:tcBorders>
          </w:tcPr>
          <w:p w14:paraId="1F9AF986">
            <w:pPr>
              <w:spacing w:line="560" w:lineRule="exact"/>
              <w:jc w:val="center"/>
              <w:rPr>
                <w:rFonts w:hint="eastAsia" w:ascii="宋体" w:hAnsi="宋体" w:eastAsia="宋体" w:cs="宋体"/>
                <w:color w:val="auto"/>
                <w:sz w:val="28"/>
              </w:rPr>
            </w:pPr>
          </w:p>
        </w:tc>
      </w:tr>
    </w:tbl>
    <w:p w14:paraId="46FF1174">
      <w:pPr>
        <w:widowControl w:val="0"/>
        <w:tabs>
          <w:tab w:val="left" w:pos="9365"/>
        </w:tabs>
        <w:snapToGrid w:val="0"/>
        <w:spacing w:after="56" w:line="560" w:lineRule="exact"/>
        <w:ind w:firstLine="623"/>
        <w:textAlignment w:val="top"/>
        <w:rPr>
          <w:rFonts w:hint="eastAsia" w:ascii="宋体" w:hAnsi="宋体" w:eastAsia="宋体" w:cs="宋体"/>
          <w:color w:val="auto"/>
        </w:rPr>
      </w:pPr>
    </w:p>
    <w:p w14:paraId="6806AD87">
      <w:pPr>
        <w:widowControl w:val="0"/>
        <w:tabs>
          <w:tab w:val="left" w:pos="9365"/>
        </w:tabs>
        <w:snapToGrid w:val="0"/>
        <w:spacing w:line="360" w:lineRule="auto"/>
        <w:ind w:firstLine="624"/>
        <w:textAlignment w:val="top"/>
        <w:rPr>
          <w:rFonts w:hint="eastAsia" w:ascii="宋体" w:hAnsi="宋体" w:eastAsia="宋体" w:cs="宋体"/>
          <w:color w:val="auto"/>
        </w:rPr>
      </w:pPr>
      <w:r>
        <w:rPr>
          <w:rFonts w:hint="eastAsia" w:ascii="宋体" w:hAnsi="宋体" w:eastAsia="宋体" w:cs="宋体"/>
          <w:color w:val="auto"/>
        </w:rPr>
        <w:t>注：1、“偏差”栏中详细注明所投产品参数与《招标文件》中要求有何不同，并说明其符合性。投标人应分标段（包）填制本表。</w:t>
      </w:r>
    </w:p>
    <w:p w14:paraId="40D78A9D">
      <w:pPr>
        <w:widowControl w:val="0"/>
        <w:tabs>
          <w:tab w:val="left" w:pos="9365"/>
        </w:tabs>
        <w:snapToGrid w:val="0"/>
        <w:spacing w:line="360" w:lineRule="auto"/>
        <w:ind w:firstLine="624"/>
        <w:textAlignment w:val="top"/>
        <w:rPr>
          <w:rFonts w:hint="eastAsia" w:ascii="宋体" w:hAnsi="宋体" w:eastAsia="宋体" w:cs="宋体"/>
          <w:b/>
          <w:bCs/>
          <w:color w:val="auto"/>
          <w:lang w:eastAsia="zh-CN"/>
        </w:rPr>
      </w:pPr>
      <w:r>
        <w:rPr>
          <w:rFonts w:hint="eastAsia" w:ascii="宋体" w:hAnsi="宋体" w:eastAsia="宋体" w:cs="宋体"/>
          <w:b/>
          <w:bCs/>
          <w:color w:val="auto"/>
        </w:rPr>
        <w:t>2、投标产品的“符合</w:t>
      </w:r>
      <w:r>
        <w:rPr>
          <w:rFonts w:hint="eastAsia" w:cs="宋体"/>
          <w:b/>
          <w:bCs/>
          <w:color w:val="auto"/>
          <w:lang w:eastAsia="zh-CN"/>
        </w:rPr>
        <w:t>”“</w:t>
      </w:r>
      <w:r>
        <w:rPr>
          <w:rFonts w:hint="eastAsia" w:ascii="宋体" w:hAnsi="宋体" w:eastAsia="宋体" w:cs="宋体"/>
          <w:b/>
          <w:bCs/>
          <w:color w:val="auto"/>
        </w:rPr>
        <w:t>正偏离</w:t>
      </w:r>
      <w:r>
        <w:rPr>
          <w:rFonts w:hint="eastAsia" w:cs="宋体"/>
          <w:b/>
          <w:bCs/>
          <w:color w:val="auto"/>
          <w:lang w:eastAsia="zh-CN"/>
        </w:rPr>
        <w:t>”“</w:t>
      </w:r>
      <w:r>
        <w:rPr>
          <w:rFonts w:hint="eastAsia" w:ascii="宋体" w:hAnsi="宋体" w:eastAsia="宋体" w:cs="宋体"/>
          <w:b/>
          <w:bCs/>
          <w:color w:val="auto"/>
        </w:rPr>
        <w:t>负偏离”均须在偏离表备注一栏中填写“注册检验报告或</w:t>
      </w:r>
      <w:r>
        <w:rPr>
          <w:rFonts w:hint="eastAsia" w:ascii="宋体" w:hAnsi="宋体" w:eastAsia="宋体" w:cs="宋体"/>
          <w:b/>
          <w:bCs/>
          <w:color w:val="auto"/>
          <w:lang w:eastAsia="zh-CN"/>
        </w:rPr>
        <w:t>操作手册</w:t>
      </w:r>
      <w:r>
        <w:rPr>
          <w:rFonts w:hint="eastAsia" w:ascii="宋体" w:hAnsi="宋体" w:eastAsia="宋体" w:cs="宋体"/>
          <w:b/>
          <w:bCs/>
          <w:color w:val="auto"/>
        </w:rPr>
        <w:t>或</w:t>
      </w:r>
      <w:r>
        <w:rPr>
          <w:rFonts w:hint="eastAsia" w:ascii="宋体" w:hAnsi="宋体" w:eastAsia="宋体" w:cs="宋体"/>
          <w:b/>
          <w:bCs/>
          <w:color w:val="auto"/>
          <w:lang w:eastAsia="zh-CN"/>
        </w:rPr>
        <w:t>技术白皮书</w:t>
      </w:r>
      <w:r>
        <w:rPr>
          <w:rFonts w:hint="eastAsia" w:ascii="宋体" w:hAnsi="宋体" w:eastAsia="宋体" w:cs="宋体"/>
          <w:b/>
          <w:bCs/>
          <w:color w:val="auto"/>
          <w:lang w:val="en-US" w:eastAsia="zh-CN"/>
        </w:rPr>
        <w:t>等证明材料</w:t>
      </w:r>
      <w:r>
        <w:rPr>
          <w:rFonts w:hint="eastAsia" w:ascii="宋体" w:hAnsi="宋体" w:eastAsia="宋体" w:cs="宋体"/>
          <w:b/>
          <w:bCs/>
          <w:color w:val="auto"/>
        </w:rPr>
        <w:t>）第*页第*条（或第*行），并在相应位置进行标注。如未填写</w:t>
      </w:r>
      <w:r>
        <w:rPr>
          <w:rFonts w:hint="eastAsia" w:cs="宋体"/>
          <w:b/>
          <w:bCs/>
          <w:color w:val="auto"/>
          <w:lang w:val="en-US" w:eastAsia="zh-CN"/>
        </w:rPr>
        <w:t>或标注</w:t>
      </w:r>
      <w:r>
        <w:rPr>
          <w:rFonts w:hint="eastAsia" w:ascii="宋体" w:hAnsi="宋体" w:eastAsia="宋体" w:cs="宋体"/>
          <w:b/>
          <w:bCs/>
          <w:color w:val="auto"/>
        </w:rPr>
        <w:t>，导致评标委员会无法认定此项参数是否满足招标要求的，评标委员会可以认为此项参数不符合招标要求进行扣分或作无效标处理</w:t>
      </w:r>
      <w:r>
        <w:rPr>
          <w:rFonts w:hint="eastAsia" w:cs="宋体"/>
          <w:b/>
          <w:bCs/>
          <w:color w:val="auto"/>
          <w:lang w:eastAsia="zh-CN"/>
        </w:rPr>
        <w:t>。</w:t>
      </w:r>
    </w:p>
    <w:p w14:paraId="2947D654">
      <w:pPr>
        <w:autoSpaceDE w:val="0"/>
        <w:autoSpaceDN w:val="0"/>
        <w:adjustRightInd w:val="0"/>
        <w:spacing w:line="360" w:lineRule="auto"/>
        <w:jc w:val="center"/>
        <w:rPr>
          <w:rFonts w:hint="eastAsia" w:ascii="宋体" w:hAnsi="宋体" w:eastAsia="宋体" w:cs="宋体"/>
          <w:color w:val="auto"/>
          <w:sz w:val="24"/>
        </w:rPr>
      </w:pPr>
    </w:p>
    <w:p w14:paraId="5E9E5741">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1E5D1AAC">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4A242C73">
      <w:pPr>
        <w:autoSpaceDE w:val="0"/>
        <w:autoSpaceDN w:val="0"/>
        <w:adjustRightInd w:val="0"/>
        <w:spacing w:line="360" w:lineRule="auto"/>
        <w:ind w:right="-817"/>
        <w:jc w:val="left"/>
        <w:rPr>
          <w:rFonts w:hint="eastAsia" w:ascii="宋体" w:hAnsi="宋体" w:eastAsia="宋体" w:cs="宋体"/>
          <w:color w:val="auto"/>
          <w:sz w:val="24"/>
          <w:lang w:val="zh-CN"/>
        </w:rPr>
      </w:pPr>
      <w:r>
        <w:rPr>
          <w:rFonts w:hint="eastAsia" w:ascii="宋体" w:hAnsi="宋体" w:eastAsia="宋体" w:cs="宋体"/>
          <w:color w:val="auto"/>
          <w:sz w:val="24"/>
          <w:lang w:val="zh-CN"/>
        </w:rPr>
        <w:t>日期：   年   月   日</w:t>
      </w:r>
    </w:p>
    <w:p w14:paraId="009AC9DB">
      <w:pPr>
        <w:rPr>
          <w:rFonts w:hint="eastAsia" w:ascii="宋体" w:hAnsi="宋体" w:eastAsia="宋体" w:cs="宋体"/>
          <w:color w:val="auto"/>
          <w:sz w:val="24"/>
          <w:lang w:val="zh-CN"/>
        </w:rPr>
      </w:pPr>
      <w:r>
        <w:rPr>
          <w:rFonts w:hint="eastAsia" w:ascii="宋体" w:hAnsi="宋体" w:eastAsia="宋体" w:cs="宋体"/>
          <w:color w:val="auto"/>
          <w:sz w:val="24"/>
          <w:lang w:val="zh-CN"/>
        </w:rPr>
        <w:br w:type="page"/>
      </w:r>
    </w:p>
    <w:p w14:paraId="2D582907">
      <w:pPr>
        <w:autoSpaceDE w:val="0"/>
        <w:autoSpaceDN w:val="0"/>
        <w:adjustRightInd w:val="0"/>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6、其他偏差表（除技术偏差外）</w:t>
      </w:r>
    </w:p>
    <w:p w14:paraId="5E9D1045">
      <w:pPr>
        <w:pStyle w:val="19"/>
        <w:adjustRightInd w:val="0"/>
        <w:snapToGrid w:val="0"/>
        <w:spacing w:before="0" w:beforeAutospacing="0" w:after="0" w:afterAutospacing="0"/>
        <w:rPr>
          <w:rFonts w:hint="eastAsia" w:ascii="宋体" w:hAnsi="宋体" w:eastAsia="宋体" w:cs="宋体"/>
          <w:color w:val="auto"/>
          <w:u w:val="single"/>
        </w:rPr>
      </w:pPr>
      <w:r>
        <w:rPr>
          <w:rFonts w:hint="eastAsia" w:ascii="宋体" w:hAnsi="宋体" w:eastAsia="宋体" w:cs="宋体"/>
          <w:color w:val="auto"/>
        </w:rPr>
        <w:t>项目名称：</w:t>
      </w:r>
    </w:p>
    <w:p w14:paraId="00856D5B">
      <w:pPr>
        <w:pStyle w:val="19"/>
        <w:adjustRightInd w:val="0"/>
        <w:snapToGrid w:val="0"/>
        <w:spacing w:before="0" w:beforeAutospacing="0" w:after="0" w:afterAutospacing="0"/>
        <w:rPr>
          <w:rFonts w:hint="eastAsia" w:ascii="宋体" w:hAnsi="宋体" w:eastAsia="宋体" w:cs="宋体"/>
          <w:color w:val="auto"/>
        </w:rPr>
      </w:pPr>
      <w:r>
        <w:rPr>
          <w:rFonts w:hint="eastAsia" w:ascii="宋体" w:hAnsi="宋体" w:eastAsia="宋体" w:cs="宋体"/>
          <w:color w:val="auto"/>
        </w:rPr>
        <w:t>项目编号：</w:t>
      </w:r>
    </w:p>
    <w:tbl>
      <w:tblPr>
        <w:tblStyle w:val="2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363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58CB54BF">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序号</w:t>
            </w:r>
          </w:p>
        </w:tc>
        <w:tc>
          <w:tcPr>
            <w:tcW w:w="3098" w:type="dxa"/>
            <w:tcBorders>
              <w:top w:val="single" w:color="000000" w:sz="8" w:space="0"/>
              <w:bottom w:val="single" w:color="000000" w:sz="4" w:space="0"/>
              <w:right w:val="single" w:color="000000" w:sz="4" w:space="0"/>
            </w:tcBorders>
            <w:vAlign w:val="center"/>
          </w:tcPr>
          <w:p w14:paraId="0178C64B">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招标文件要求</w:t>
            </w:r>
          </w:p>
        </w:tc>
        <w:tc>
          <w:tcPr>
            <w:tcW w:w="2947" w:type="dxa"/>
            <w:tcBorders>
              <w:top w:val="single" w:color="000000" w:sz="8" w:space="0"/>
              <w:bottom w:val="single" w:color="000000" w:sz="4" w:space="0"/>
              <w:right w:val="single" w:color="000000" w:sz="4" w:space="0"/>
            </w:tcBorders>
            <w:vAlign w:val="center"/>
          </w:tcPr>
          <w:p w14:paraId="0399435D">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投标文件响应</w:t>
            </w:r>
          </w:p>
        </w:tc>
        <w:tc>
          <w:tcPr>
            <w:tcW w:w="2638" w:type="dxa"/>
            <w:tcBorders>
              <w:top w:val="single" w:color="000000" w:sz="8" w:space="0"/>
              <w:bottom w:val="single" w:color="000000" w:sz="4" w:space="0"/>
              <w:right w:val="single" w:color="000000" w:sz="8" w:space="0"/>
            </w:tcBorders>
            <w:vAlign w:val="center"/>
          </w:tcPr>
          <w:p w14:paraId="760D7B1E">
            <w:pPr>
              <w:spacing w:line="560" w:lineRule="exact"/>
              <w:jc w:val="center"/>
              <w:rPr>
                <w:rFonts w:hint="eastAsia" w:ascii="宋体" w:hAnsi="宋体" w:eastAsia="宋体" w:cs="宋体"/>
                <w:b/>
                <w:color w:val="auto"/>
                <w:sz w:val="28"/>
              </w:rPr>
            </w:pPr>
            <w:r>
              <w:rPr>
                <w:rFonts w:hint="eastAsia" w:ascii="宋体" w:hAnsi="宋体" w:eastAsia="宋体" w:cs="宋体"/>
                <w:b/>
                <w:color w:val="auto"/>
              </w:rPr>
              <w:t>偏差描述</w:t>
            </w:r>
          </w:p>
        </w:tc>
      </w:tr>
      <w:tr w14:paraId="2B31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01EA2D1">
            <w:pPr>
              <w:spacing w:line="560" w:lineRule="exact"/>
              <w:jc w:val="center"/>
              <w:rPr>
                <w:rFonts w:hint="eastAsia" w:ascii="宋体" w:hAnsi="宋体" w:eastAsia="宋体" w:cs="宋体"/>
                <w:color w:val="auto"/>
                <w:sz w:val="28"/>
              </w:rPr>
            </w:pPr>
            <w:r>
              <w:rPr>
                <w:rFonts w:hint="eastAsia" w:ascii="宋体" w:hAnsi="宋体" w:eastAsia="宋体" w:cs="宋体"/>
                <w:color w:val="auto"/>
              </w:rPr>
              <w:t>1</w:t>
            </w:r>
          </w:p>
        </w:tc>
        <w:tc>
          <w:tcPr>
            <w:tcW w:w="3098" w:type="dxa"/>
            <w:tcBorders>
              <w:bottom w:val="single" w:color="000000" w:sz="4" w:space="0"/>
              <w:right w:val="single" w:color="000000" w:sz="4" w:space="0"/>
            </w:tcBorders>
            <w:vAlign w:val="center"/>
          </w:tcPr>
          <w:p w14:paraId="7549882D">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3F4E33E0">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0BEF1E40">
            <w:pPr>
              <w:spacing w:line="560" w:lineRule="exact"/>
              <w:jc w:val="center"/>
              <w:rPr>
                <w:rFonts w:hint="eastAsia" w:ascii="宋体" w:hAnsi="宋体" w:eastAsia="宋体" w:cs="宋体"/>
                <w:color w:val="auto"/>
                <w:sz w:val="28"/>
              </w:rPr>
            </w:pPr>
          </w:p>
        </w:tc>
      </w:tr>
      <w:tr w14:paraId="4903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50DB58F9">
            <w:pPr>
              <w:spacing w:line="560" w:lineRule="exact"/>
              <w:jc w:val="center"/>
              <w:rPr>
                <w:rFonts w:hint="eastAsia" w:ascii="宋体" w:hAnsi="宋体" w:eastAsia="宋体" w:cs="宋体"/>
                <w:color w:val="auto"/>
                <w:sz w:val="28"/>
              </w:rPr>
            </w:pPr>
            <w:r>
              <w:rPr>
                <w:rFonts w:hint="eastAsia" w:ascii="宋体" w:hAnsi="宋体" w:eastAsia="宋体" w:cs="宋体"/>
                <w:color w:val="auto"/>
              </w:rPr>
              <w:t>2</w:t>
            </w:r>
          </w:p>
        </w:tc>
        <w:tc>
          <w:tcPr>
            <w:tcW w:w="3098" w:type="dxa"/>
            <w:tcBorders>
              <w:bottom w:val="single" w:color="000000" w:sz="4" w:space="0"/>
              <w:right w:val="single" w:color="000000" w:sz="4" w:space="0"/>
            </w:tcBorders>
            <w:vAlign w:val="center"/>
          </w:tcPr>
          <w:p w14:paraId="0769A32E">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79F6218C">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5B6497DE">
            <w:pPr>
              <w:spacing w:line="560" w:lineRule="exact"/>
              <w:jc w:val="center"/>
              <w:rPr>
                <w:rFonts w:hint="eastAsia" w:ascii="宋体" w:hAnsi="宋体" w:eastAsia="宋体" w:cs="宋体"/>
                <w:color w:val="auto"/>
                <w:sz w:val="28"/>
              </w:rPr>
            </w:pPr>
          </w:p>
        </w:tc>
      </w:tr>
      <w:tr w14:paraId="282B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D367FA5">
            <w:pPr>
              <w:spacing w:line="560" w:lineRule="exact"/>
              <w:jc w:val="center"/>
              <w:rPr>
                <w:rFonts w:hint="eastAsia" w:ascii="宋体" w:hAnsi="宋体" w:eastAsia="宋体" w:cs="宋体"/>
                <w:color w:val="auto"/>
                <w:sz w:val="28"/>
              </w:rPr>
            </w:pPr>
            <w:r>
              <w:rPr>
                <w:rFonts w:hint="eastAsia" w:ascii="宋体" w:hAnsi="宋体" w:eastAsia="宋体" w:cs="宋体"/>
                <w:color w:val="auto"/>
              </w:rPr>
              <w:t>3</w:t>
            </w:r>
          </w:p>
        </w:tc>
        <w:tc>
          <w:tcPr>
            <w:tcW w:w="3098" w:type="dxa"/>
            <w:tcBorders>
              <w:bottom w:val="single" w:color="000000" w:sz="4" w:space="0"/>
              <w:right w:val="single" w:color="000000" w:sz="4" w:space="0"/>
            </w:tcBorders>
            <w:vAlign w:val="center"/>
          </w:tcPr>
          <w:p w14:paraId="01A80A4C">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674799F2">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7CA6588D">
            <w:pPr>
              <w:spacing w:line="560" w:lineRule="exact"/>
              <w:jc w:val="center"/>
              <w:rPr>
                <w:rFonts w:hint="eastAsia" w:ascii="宋体" w:hAnsi="宋体" w:eastAsia="宋体" w:cs="宋体"/>
                <w:color w:val="auto"/>
                <w:sz w:val="28"/>
              </w:rPr>
            </w:pPr>
          </w:p>
        </w:tc>
      </w:tr>
      <w:tr w14:paraId="2728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C86923F">
            <w:pPr>
              <w:spacing w:line="560" w:lineRule="exact"/>
              <w:jc w:val="center"/>
              <w:rPr>
                <w:rFonts w:hint="eastAsia" w:ascii="宋体" w:hAnsi="宋体" w:eastAsia="宋体" w:cs="宋体"/>
                <w:color w:val="auto"/>
                <w:sz w:val="28"/>
              </w:rPr>
            </w:pPr>
            <w:r>
              <w:rPr>
                <w:rFonts w:hint="eastAsia" w:ascii="宋体" w:hAnsi="宋体" w:eastAsia="宋体" w:cs="宋体"/>
                <w:color w:val="auto"/>
              </w:rPr>
              <w:t>4</w:t>
            </w:r>
          </w:p>
        </w:tc>
        <w:tc>
          <w:tcPr>
            <w:tcW w:w="3098" w:type="dxa"/>
            <w:tcBorders>
              <w:bottom w:val="single" w:color="000000" w:sz="4" w:space="0"/>
              <w:right w:val="single" w:color="000000" w:sz="4" w:space="0"/>
            </w:tcBorders>
            <w:vAlign w:val="center"/>
          </w:tcPr>
          <w:p w14:paraId="4EEB0C40">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1963459A">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7A4137AC">
            <w:pPr>
              <w:spacing w:line="560" w:lineRule="exact"/>
              <w:jc w:val="center"/>
              <w:rPr>
                <w:rFonts w:hint="eastAsia" w:ascii="宋体" w:hAnsi="宋体" w:eastAsia="宋体" w:cs="宋体"/>
                <w:color w:val="auto"/>
                <w:sz w:val="28"/>
              </w:rPr>
            </w:pPr>
          </w:p>
        </w:tc>
      </w:tr>
      <w:tr w14:paraId="2D64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419EB123">
            <w:pPr>
              <w:spacing w:line="560" w:lineRule="exact"/>
              <w:jc w:val="center"/>
              <w:rPr>
                <w:rFonts w:hint="eastAsia" w:ascii="宋体" w:hAnsi="宋体" w:eastAsia="宋体" w:cs="宋体"/>
                <w:color w:val="auto"/>
                <w:sz w:val="28"/>
              </w:rPr>
            </w:pPr>
            <w:r>
              <w:rPr>
                <w:rFonts w:hint="eastAsia" w:ascii="宋体" w:hAnsi="宋体" w:eastAsia="宋体" w:cs="宋体"/>
                <w:color w:val="auto"/>
              </w:rPr>
              <w:t>5</w:t>
            </w:r>
          </w:p>
        </w:tc>
        <w:tc>
          <w:tcPr>
            <w:tcW w:w="3098" w:type="dxa"/>
            <w:tcBorders>
              <w:bottom w:val="single" w:color="000000" w:sz="4" w:space="0"/>
              <w:right w:val="single" w:color="000000" w:sz="4" w:space="0"/>
            </w:tcBorders>
            <w:vAlign w:val="center"/>
          </w:tcPr>
          <w:p w14:paraId="6CF98355">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29D7E1BE">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1496A8BD">
            <w:pPr>
              <w:spacing w:line="560" w:lineRule="exact"/>
              <w:jc w:val="center"/>
              <w:rPr>
                <w:rFonts w:hint="eastAsia" w:ascii="宋体" w:hAnsi="宋体" w:eastAsia="宋体" w:cs="宋体"/>
                <w:color w:val="auto"/>
                <w:sz w:val="28"/>
              </w:rPr>
            </w:pPr>
          </w:p>
        </w:tc>
      </w:tr>
      <w:tr w14:paraId="06C8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27D7BBB7">
            <w:pPr>
              <w:spacing w:line="560" w:lineRule="exact"/>
              <w:jc w:val="center"/>
              <w:rPr>
                <w:rFonts w:hint="eastAsia" w:ascii="宋体" w:hAnsi="宋体" w:eastAsia="宋体" w:cs="宋体"/>
                <w:color w:val="auto"/>
                <w:sz w:val="28"/>
              </w:rPr>
            </w:pPr>
            <w:r>
              <w:rPr>
                <w:rFonts w:hint="eastAsia" w:ascii="宋体" w:hAnsi="宋体" w:eastAsia="宋体" w:cs="宋体"/>
                <w:color w:val="auto"/>
              </w:rPr>
              <w:t>6</w:t>
            </w:r>
          </w:p>
        </w:tc>
        <w:tc>
          <w:tcPr>
            <w:tcW w:w="3098" w:type="dxa"/>
            <w:tcBorders>
              <w:bottom w:val="single" w:color="000000" w:sz="4" w:space="0"/>
              <w:right w:val="single" w:color="000000" w:sz="4" w:space="0"/>
            </w:tcBorders>
            <w:vAlign w:val="center"/>
          </w:tcPr>
          <w:p w14:paraId="75956705">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39F279A9">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767E6491">
            <w:pPr>
              <w:spacing w:line="560" w:lineRule="exact"/>
              <w:jc w:val="center"/>
              <w:rPr>
                <w:rFonts w:hint="eastAsia" w:ascii="宋体" w:hAnsi="宋体" w:eastAsia="宋体" w:cs="宋体"/>
                <w:color w:val="auto"/>
                <w:sz w:val="28"/>
              </w:rPr>
            </w:pPr>
          </w:p>
        </w:tc>
      </w:tr>
      <w:tr w14:paraId="5438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417A61EF">
            <w:pPr>
              <w:spacing w:line="560" w:lineRule="exact"/>
              <w:jc w:val="center"/>
              <w:rPr>
                <w:rFonts w:hint="eastAsia" w:ascii="宋体" w:hAnsi="宋体" w:eastAsia="宋体" w:cs="宋体"/>
                <w:color w:val="auto"/>
                <w:sz w:val="28"/>
              </w:rPr>
            </w:pPr>
            <w:r>
              <w:rPr>
                <w:rFonts w:hint="eastAsia" w:ascii="宋体" w:hAnsi="宋体" w:eastAsia="宋体" w:cs="宋体"/>
                <w:color w:val="auto"/>
              </w:rPr>
              <w:t>7</w:t>
            </w:r>
          </w:p>
        </w:tc>
        <w:tc>
          <w:tcPr>
            <w:tcW w:w="3098" w:type="dxa"/>
            <w:tcBorders>
              <w:bottom w:val="single" w:color="000000" w:sz="4" w:space="0"/>
              <w:right w:val="single" w:color="000000" w:sz="4" w:space="0"/>
            </w:tcBorders>
            <w:vAlign w:val="center"/>
          </w:tcPr>
          <w:p w14:paraId="6CCF7DF8">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57E5F603">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19CEEA47">
            <w:pPr>
              <w:spacing w:line="560" w:lineRule="exact"/>
              <w:jc w:val="center"/>
              <w:rPr>
                <w:rFonts w:hint="eastAsia" w:ascii="宋体" w:hAnsi="宋体" w:eastAsia="宋体" w:cs="宋体"/>
                <w:color w:val="auto"/>
                <w:sz w:val="28"/>
              </w:rPr>
            </w:pPr>
          </w:p>
        </w:tc>
      </w:tr>
      <w:tr w14:paraId="25B0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C0B5E38">
            <w:pPr>
              <w:spacing w:line="560" w:lineRule="exact"/>
              <w:jc w:val="center"/>
              <w:rPr>
                <w:rFonts w:hint="eastAsia" w:ascii="宋体" w:hAnsi="宋体" w:eastAsia="宋体" w:cs="宋体"/>
                <w:color w:val="auto"/>
                <w:sz w:val="28"/>
              </w:rPr>
            </w:pPr>
            <w:r>
              <w:rPr>
                <w:rFonts w:hint="eastAsia" w:ascii="宋体" w:hAnsi="宋体" w:eastAsia="宋体" w:cs="宋体"/>
                <w:color w:val="auto"/>
              </w:rPr>
              <w:t>8</w:t>
            </w:r>
          </w:p>
        </w:tc>
        <w:tc>
          <w:tcPr>
            <w:tcW w:w="3098" w:type="dxa"/>
            <w:tcBorders>
              <w:bottom w:val="single" w:color="000000" w:sz="4" w:space="0"/>
              <w:right w:val="single" w:color="000000" w:sz="4" w:space="0"/>
            </w:tcBorders>
            <w:vAlign w:val="center"/>
          </w:tcPr>
          <w:p w14:paraId="3B2F5CF5">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7033DEAD">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1EF5AB64">
            <w:pPr>
              <w:spacing w:line="560" w:lineRule="exact"/>
              <w:jc w:val="center"/>
              <w:rPr>
                <w:rFonts w:hint="eastAsia" w:ascii="宋体" w:hAnsi="宋体" w:eastAsia="宋体" w:cs="宋体"/>
                <w:color w:val="auto"/>
                <w:sz w:val="28"/>
              </w:rPr>
            </w:pPr>
          </w:p>
        </w:tc>
      </w:tr>
      <w:tr w14:paraId="577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5C13EB5A">
            <w:pPr>
              <w:spacing w:line="560" w:lineRule="exact"/>
              <w:jc w:val="center"/>
              <w:rPr>
                <w:rFonts w:hint="eastAsia" w:ascii="宋体" w:hAnsi="宋体" w:eastAsia="宋体" w:cs="宋体"/>
                <w:color w:val="auto"/>
                <w:sz w:val="28"/>
              </w:rPr>
            </w:pPr>
            <w:r>
              <w:rPr>
                <w:rFonts w:hint="eastAsia" w:ascii="宋体" w:hAnsi="宋体" w:eastAsia="宋体" w:cs="宋体"/>
                <w:color w:val="auto"/>
              </w:rPr>
              <w:t>9</w:t>
            </w:r>
          </w:p>
        </w:tc>
        <w:tc>
          <w:tcPr>
            <w:tcW w:w="3098" w:type="dxa"/>
            <w:tcBorders>
              <w:bottom w:val="single" w:color="000000" w:sz="4" w:space="0"/>
              <w:right w:val="single" w:color="000000" w:sz="4" w:space="0"/>
            </w:tcBorders>
            <w:vAlign w:val="center"/>
          </w:tcPr>
          <w:p w14:paraId="1E780C73">
            <w:pPr>
              <w:spacing w:line="560" w:lineRule="exact"/>
              <w:jc w:val="center"/>
              <w:rPr>
                <w:rFonts w:hint="eastAsia" w:ascii="宋体" w:hAnsi="宋体" w:eastAsia="宋体" w:cs="宋体"/>
                <w:color w:val="auto"/>
                <w:sz w:val="28"/>
              </w:rPr>
            </w:pPr>
          </w:p>
        </w:tc>
        <w:tc>
          <w:tcPr>
            <w:tcW w:w="2947" w:type="dxa"/>
            <w:tcBorders>
              <w:bottom w:val="single" w:color="000000" w:sz="4" w:space="0"/>
              <w:right w:val="single" w:color="000000" w:sz="4" w:space="0"/>
            </w:tcBorders>
            <w:vAlign w:val="center"/>
          </w:tcPr>
          <w:p w14:paraId="7C1913A7">
            <w:pPr>
              <w:spacing w:line="560" w:lineRule="exact"/>
              <w:jc w:val="center"/>
              <w:rPr>
                <w:rFonts w:hint="eastAsia" w:ascii="宋体" w:hAnsi="宋体" w:eastAsia="宋体" w:cs="宋体"/>
                <w:color w:val="auto"/>
                <w:sz w:val="28"/>
              </w:rPr>
            </w:pPr>
          </w:p>
        </w:tc>
        <w:tc>
          <w:tcPr>
            <w:tcW w:w="2638" w:type="dxa"/>
            <w:tcBorders>
              <w:bottom w:val="single" w:color="000000" w:sz="4" w:space="0"/>
              <w:right w:val="single" w:color="000000" w:sz="8" w:space="0"/>
            </w:tcBorders>
            <w:vAlign w:val="center"/>
          </w:tcPr>
          <w:p w14:paraId="1674C5E8">
            <w:pPr>
              <w:spacing w:line="560" w:lineRule="exact"/>
              <w:jc w:val="center"/>
              <w:rPr>
                <w:rFonts w:hint="eastAsia" w:ascii="宋体" w:hAnsi="宋体" w:eastAsia="宋体" w:cs="宋体"/>
                <w:color w:val="auto"/>
                <w:sz w:val="28"/>
              </w:rPr>
            </w:pPr>
          </w:p>
        </w:tc>
      </w:tr>
      <w:tr w14:paraId="5F3F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1025E6B5">
            <w:pPr>
              <w:spacing w:line="560" w:lineRule="exact"/>
              <w:jc w:val="center"/>
              <w:rPr>
                <w:rFonts w:hint="eastAsia" w:ascii="宋体" w:hAnsi="宋体" w:eastAsia="宋体" w:cs="宋体"/>
                <w:color w:val="auto"/>
                <w:sz w:val="28"/>
              </w:rPr>
            </w:pPr>
            <w:r>
              <w:rPr>
                <w:rFonts w:hint="eastAsia" w:cs="宋体"/>
                <w:color w:val="auto"/>
                <w:lang w:eastAsia="zh-CN"/>
              </w:rPr>
              <w:t>……</w:t>
            </w:r>
          </w:p>
        </w:tc>
        <w:tc>
          <w:tcPr>
            <w:tcW w:w="3098" w:type="dxa"/>
            <w:tcBorders>
              <w:bottom w:val="single" w:color="000000" w:sz="8" w:space="0"/>
              <w:right w:val="single" w:color="000000" w:sz="4" w:space="0"/>
            </w:tcBorders>
            <w:vAlign w:val="center"/>
          </w:tcPr>
          <w:p w14:paraId="764938BB">
            <w:pPr>
              <w:spacing w:line="560" w:lineRule="exact"/>
              <w:jc w:val="center"/>
              <w:rPr>
                <w:rFonts w:hint="eastAsia" w:ascii="宋体" w:hAnsi="宋体" w:eastAsia="宋体" w:cs="宋体"/>
                <w:color w:val="auto"/>
                <w:sz w:val="28"/>
              </w:rPr>
            </w:pPr>
          </w:p>
        </w:tc>
        <w:tc>
          <w:tcPr>
            <w:tcW w:w="2947" w:type="dxa"/>
            <w:tcBorders>
              <w:bottom w:val="single" w:color="000000" w:sz="8" w:space="0"/>
              <w:right w:val="single" w:color="000000" w:sz="4" w:space="0"/>
            </w:tcBorders>
            <w:vAlign w:val="center"/>
          </w:tcPr>
          <w:p w14:paraId="505AD289">
            <w:pPr>
              <w:spacing w:line="560" w:lineRule="exact"/>
              <w:jc w:val="center"/>
              <w:rPr>
                <w:rFonts w:hint="eastAsia" w:ascii="宋体" w:hAnsi="宋体" w:eastAsia="宋体" w:cs="宋体"/>
                <w:color w:val="auto"/>
                <w:sz w:val="28"/>
              </w:rPr>
            </w:pPr>
          </w:p>
        </w:tc>
        <w:tc>
          <w:tcPr>
            <w:tcW w:w="2638" w:type="dxa"/>
            <w:tcBorders>
              <w:bottom w:val="single" w:color="000000" w:sz="8" w:space="0"/>
              <w:right w:val="single" w:color="000000" w:sz="8" w:space="0"/>
            </w:tcBorders>
            <w:vAlign w:val="center"/>
          </w:tcPr>
          <w:p w14:paraId="6D2AD2C0">
            <w:pPr>
              <w:spacing w:line="560" w:lineRule="exact"/>
              <w:jc w:val="center"/>
              <w:rPr>
                <w:rFonts w:hint="eastAsia" w:ascii="宋体" w:hAnsi="宋体" w:eastAsia="宋体" w:cs="宋体"/>
                <w:color w:val="auto"/>
                <w:sz w:val="28"/>
              </w:rPr>
            </w:pPr>
          </w:p>
        </w:tc>
      </w:tr>
    </w:tbl>
    <w:p w14:paraId="1B4D22BC">
      <w:pPr>
        <w:tabs>
          <w:tab w:val="left" w:pos="0"/>
        </w:tabs>
        <w:adjustRightInd w:val="0"/>
        <w:snapToGrid w:val="0"/>
        <w:spacing w:before="156" w:beforeLines="50" w:line="300" w:lineRule="auto"/>
        <w:ind w:right="25" w:firstLine="512" w:firstLineChars="200"/>
        <w:rPr>
          <w:rFonts w:hint="eastAsia" w:ascii="宋体" w:hAnsi="宋体" w:eastAsia="宋体" w:cs="宋体"/>
          <w:color w:val="auto"/>
          <w:spacing w:val="8"/>
          <w:szCs w:val="21"/>
        </w:rPr>
      </w:pPr>
      <w:r>
        <w:rPr>
          <w:rFonts w:hint="eastAsia" w:ascii="宋体" w:hAnsi="宋体" w:eastAsia="宋体" w:cs="宋体"/>
          <w:color w:val="auto"/>
          <w:spacing w:val="8"/>
          <w:szCs w:val="21"/>
        </w:rPr>
        <w:t>注：1、“其他偏差表”应详细注明与《招标文件》中各项要求（除技术条款外的所有条款）有何不同，并说明其符合性（优于</w:t>
      </w:r>
      <w:r>
        <w:rPr>
          <w:rFonts w:hint="eastAsia" w:cs="宋体"/>
          <w:color w:val="auto"/>
          <w:spacing w:val="8"/>
          <w:szCs w:val="21"/>
          <w:lang w:eastAsia="zh-CN"/>
        </w:rPr>
        <w:t>或</w:t>
      </w:r>
      <w:r>
        <w:rPr>
          <w:rFonts w:hint="eastAsia" w:ascii="宋体" w:hAnsi="宋体" w:eastAsia="宋体" w:cs="宋体"/>
          <w:color w:val="auto"/>
          <w:spacing w:val="8"/>
          <w:szCs w:val="21"/>
        </w:rPr>
        <w:t>低于《招标文件》要求）。</w:t>
      </w:r>
    </w:p>
    <w:p w14:paraId="1EB76FBB">
      <w:pPr>
        <w:tabs>
          <w:tab w:val="left" w:pos="0"/>
        </w:tabs>
        <w:adjustRightInd w:val="0"/>
        <w:snapToGrid w:val="0"/>
        <w:spacing w:before="156" w:beforeLines="50" w:line="300" w:lineRule="auto"/>
        <w:ind w:right="510"/>
        <w:rPr>
          <w:rFonts w:hint="eastAsia" w:ascii="宋体" w:hAnsi="宋体" w:eastAsia="宋体" w:cs="宋体"/>
          <w:color w:val="auto"/>
          <w:spacing w:val="8"/>
          <w:szCs w:val="21"/>
        </w:rPr>
      </w:pPr>
    </w:p>
    <w:p w14:paraId="7950EBFF">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5DE6261A">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07CAF856">
      <w:pPr>
        <w:autoSpaceDE w:val="0"/>
        <w:autoSpaceDN w:val="0"/>
        <w:adjustRightInd w:val="0"/>
        <w:spacing w:line="480" w:lineRule="auto"/>
        <w:rPr>
          <w:rFonts w:hint="eastAsia" w:ascii="宋体" w:hAnsi="宋体" w:eastAsia="宋体" w:cs="宋体"/>
          <w:color w:val="auto"/>
          <w:sz w:val="24"/>
        </w:rPr>
      </w:pPr>
      <w:r>
        <w:rPr>
          <w:rFonts w:hint="eastAsia" w:ascii="宋体" w:hAnsi="宋体" w:eastAsia="宋体" w:cs="宋体"/>
          <w:color w:val="auto"/>
          <w:spacing w:val="8"/>
          <w:sz w:val="24"/>
        </w:rPr>
        <w:t>日期 ：</w:t>
      </w:r>
      <w:r>
        <w:rPr>
          <w:rFonts w:hint="eastAsia" w:ascii="宋体" w:hAnsi="宋体" w:eastAsia="宋体" w:cs="宋体"/>
          <w:color w:val="auto"/>
          <w:sz w:val="24"/>
          <w:lang w:val="zh-CN"/>
        </w:rPr>
        <w:t xml:space="preserve">   年   月   日</w:t>
      </w:r>
    </w:p>
    <w:p w14:paraId="537E06D5">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425098EE">
      <w:pPr>
        <w:tabs>
          <w:tab w:val="left" w:pos="540"/>
        </w:tabs>
        <w:spacing w:line="440" w:lineRule="exact"/>
        <w:jc w:val="center"/>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rPr>
        <w:t>7、售后服务计划</w:t>
      </w:r>
      <w:r>
        <w:rPr>
          <w:rFonts w:hint="eastAsia" w:cs="宋体"/>
          <w:b/>
          <w:color w:val="auto"/>
          <w:sz w:val="30"/>
          <w:szCs w:val="30"/>
          <w:lang w:eastAsia="zh-CN"/>
        </w:rPr>
        <w:t>、</w:t>
      </w:r>
      <w:r>
        <w:rPr>
          <w:rFonts w:hint="eastAsia" w:cs="宋体"/>
          <w:b/>
          <w:color w:val="auto"/>
          <w:sz w:val="30"/>
          <w:szCs w:val="30"/>
          <w:lang w:val="en-US" w:eastAsia="zh-CN"/>
        </w:rPr>
        <w:t>安装调试方案</w:t>
      </w:r>
    </w:p>
    <w:p w14:paraId="26EBF973">
      <w:pPr>
        <w:snapToGrid w:val="0"/>
        <w:spacing w:line="560" w:lineRule="exact"/>
        <w:ind w:firstLine="839"/>
        <w:rPr>
          <w:rFonts w:hint="eastAsia" w:ascii="宋体" w:hAnsi="宋体" w:eastAsia="宋体" w:cs="宋体"/>
          <w:color w:val="auto"/>
        </w:rPr>
      </w:pPr>
    </w:p>
    <w:p w14:paraId="3799DE1E">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1、详细说明售后服务的内容、形式、时间、解决质量的响应时间、解决问题时间、单位名称、地点。</w:t>
      </w:r>
    </w:p>
    <w:p w14:paraId="349BB4D9">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2、质量保证措施。</w:t>
      </w:r>
    </w:p>
    <w:p w14:paraId="4730B369">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3、培训计划</w:t>
      </w:r>
    </w:p>
    <w:p w14:paraId="63DB8C66">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4、该项目（标段&lt;包&gt;）所提供的其他免费物品或服务。</w:t>
      </w:r>
    </w:p>
    <w:p w14:paraId="6A2CC720">
      <w:pPr>
        <w:autoSpaceDE w:val="0"/>
        <w:autoSpaceDN w:val="0"/>
        <w:adjustRightInd w:val="0"/>
        <w:spacing w:line="360" w:lineRule="auto"/>
        <w:ind w:left="1" w:firstLine="560"/>
        <w:rPr>
          <w:rFonts w:hint="eastAsia" w:ascii="宋体" w:hAnsi="宋体" w:eastAsia="宋体" w:cs="宋体"/>
          <w:color w:val="auto"/>
          <w:sz w:val="24"/>
          <w:lang w:val="zh-CN"/>
        </w:rPr>
      </w:pPr>
    </w:p>
    <w:p w14:paraId="7D81429C">
      <w:pPr>
        <w:autoSpaceDE w:val="0"/>
        <w:autoSpaceDN w:val="0"/>
        <w:adjustRightInd w:val="0"/>
        <w:spacing w:line="360" w:lineRule="auto"/>
        <w:ind w:left="1" w:firstLine="560"/>
        <w:rPr>
          <w:rFonts w:hint="eastAsia" w:ascii="宋体" w:hAnsi="宋体" w:eastAsia="宋体" w:cs="宋体"/>
          <w:color w:val="auto"/>
          <w:sz w:val="24"/>
          <w:lang w:val="zh-CN"/>
        </w:rPr>
      </w:pPr>
    </w:p>
    <w:p w14:paraId="797FBAB8">
      <w:pPr>
        <w:autoSpaceDE w:val="0"/>
        <w:autoSpaceDN w:val="0"/>
        <w:adjustRightInd w:val="0"/>
        <w:spacing w:line="360" w:lineRule="auto"/>
        <w:ind w:left="1" w:firstLine="560"/>
        <w:rPr>
          <w:rFonts w:hint="eastAsia" w:ascii="宋体" w:hAnsi="宋体" w:eastAsia="宋体" w:cs="宋体"/>
          <w:color w:val="auto"/>
          <w:sz w:val="24"/>
          <w:lang w:val="zh-CN"/>
        </w:rPr>
      </w:pPr>
    </w:p>
    <w:p w14:paraId="23E3ACA4">
      <w:pPr>
        <w:autoSpaceDE w:val="0"/>
        <w:autoSpaceDN w:val="0"/>
        <w:adjustRightInd w:val="0"/>
        <w:spacing w:line="360" w:lineRule="auto"/>
        <w:ind w:left="1" w:firstLine="560"/>
        <w:rPr>
          <w:rFonts w:hint="eastAsia" w:ascii="宋体" w:hAnsi="宋体" w:eastAsia="宋体" w:cs="宋体"/>
          <w:color w:val="auto"/>
          <w:sz w:val="24"/>
          <w:lang w:val="zh-CN"/>
        </w:rPr>
      </w:pPr>
    </w:p>
    <w:p w14:paraId="48F17BB4">
      <w:pPr>
        <w:autoSpaceDE w:val="0"/>
        <w:autoSpaceDN w:val="0"/>
        <w:adjustRightInd w:val="0"/>
        <w:spacing w:line="360" w:lineRule="auto"/>
        <w:ind w:left="1" w:firstLine="560"/>
        <w:rPr>
          <w:rFonts w:hint="eastAsia" w:ascii="宋体" w:hAnsi="宋体" w:eastAsia="宋体" w:cs="宋体"/>
          <w:color w:val="auto"/>
          <w:sz w:val="24"/>
          <w:lang w:val="zh-CN"/>
        </w:rPr>
      </w:pPr>
    </w:p>
    <w:p w14:paraId="27BBBE2C">
      <w:pPr>
        <w:autoSpaceDE w:val="0"/>
        <w:autoSpaceDN w:val="0"/>
        <w:adjustRightInd w:val="0"/>
        <w:spacing w:line="360" w:lineRule="auto"/>
        <w:ind w:left="1" w:firstLine="560"/>
        <w:rPr>
          <w:rFonts w:hint="eastAsia" w:ascii="宋体" w:hAnsi="宋体" w:eastAsia="宋体" w:cs="宋体"/>
          <w:color w:val="auto"/>
          <w:sz w:val="24"/>
          <w:lang w:val="zh-CN"/>
        </w:rPr>
      </w:pPr>
    </w:p>
    <w:p w14:paraId="0F41578D">
      <w:pPr>
        <w:autoSpaceDE w:val="0"/>
        <w:autoSpaceDN w:val="0"/>
        <w:adjustRightInd w:val="0"/>
        <w:spacing w:line="360" w:lineRule="auto"/>
        <w:ind w:left="1" w:firstLine="560"/>
        <w:rPr>
          <w:rFonts w:hint="eastAsia" w:ascii="宋体" w:hAnsi="宋体" w:eastAsia="宋体" w:cs="宋体"/>
          <w:color w:val="auto"/>
          <w:sz w:val="24"/>
          <w:lang w:val="zh-CN"/>
        </w:rPr>
      </w:pPr>
    </w:p>
    <w:p w14:paraId="709548DF">
      <w:pPr>
        <w:autoSpaceDE w:val="0"/>
        <w:autoSpaceDN w:val="0"/>
        <w:adjustRightInd w:val="0"/>
        <w:spacing w:line="360" w:lineRule="auto"/>
        <w:ind w:left="1" w:firstLine="560"/>
        <w:rPr>
          <w:rFonts w:hint="eastAsia" w:ascii="宋体" w:hAnsi="宋体" w:eastAsia="宋体" w:cs="宋体"/>
          <w:color w:val="auto"/>
          <w:sz w:val="24"/>
          <w:lang w:val="zh-CN"/>
        </w:rPr>
      </w:pPr>
    </w:p>
    <w:p w14:paraId="767987D7">
      <w:pPr>
        <w:autoSpaceDE w:val="0"/>
        <w:autoSpaceDN w:val="0"/>
        <w:adjustRightInd w:val="0"/>
        <w:spacing w:line="360" w:lineRule="auto"/>
        <w:ind w:left="1" w:firstLine="560"/>
        <w:rPr>
          <w:rFonts w:hint="eastAsia" w:ascii="宋体" w:hAnsi="宋体" w:eastAsia="宋体" w:cs="宋体"/>
          <w:color w:val="auto"/>
          <w:sz w:val="24"/>
          <w:lang w:val="zh-CN"/>
        </w:rPr>
      </w:pPr>
    </w:p>
    <w:p w14:paraId="0D28D85D">
      <w:pPr>
        <w:autoSpaceDE w:val="0"/>
        <w:autoSpaceDN w:val="0"/>
        <w:adjustRightInd w:val="0"/>
        <w:spacing w:line="360" w:lineRule="auto"/>
        <w:ind w:left="1" w:firstLine="560"/>
        <w:rPr>
          <w:rFonts w:hint="eastAsia" w:ascii="宋体" w:hAnsi="宋体" w:eastAsia="宋体" w:cs="宋体"/>
          <w:color w:val="auto"/>
          <w:sz w:val="24"/>
          <w:lang w:val="zh-CN"/>
        </w:rPr>
      </w:pPr>
    </w:p>
    <w:p w14:paraId="3FE8E71F">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注：</w:t>
      </w:r>
    </w:p>
    <w:p w14:paraId="6DC38676">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1、投标人应按要求详细制定出所列条款。</w:t>
      </w:r>
    </w:p>
    <w:p w14:paraId="7991AF64">
      <w:pPr>
        <w:autoSpaceDE w:val="0"/>
        <w:autoSpaceDN w:val="0"/>
        <w:adjustRightInd w:val="0"/>
        <w:spacing w:line="360" w:lineRule="auto"/>
        <w:ind w:left="1" w:firstLine="560"/>
        <w:rPr>
          <w:rFonts w:hint="eastAsia" w:ascii="宋体" w:hAnsi="宋体" w:eastAsia="宋体" w:cs="宋体"/>
          <w:color w:val="auto"/>
          <w:sz w:val="24"/>
          <w:lang w:val="zh-CN"/>
        </w:rPr>
      </w:pPr>
      <w:r>
        <w:rPr>
          <w:rFonts w:hint="eastAsia" w:ascii="宋体" w:hAnsi="宋体" w:eastAsia="宋体" w:cs="宋体"/>
          <w:color w:val="auto"/>
          <w:sz w:val="24"/>
          <w:lang w:val="zh-CN"/>
        </w:rPr>
        <w:t>2、“售后服务计划”按招标文件相应条款要求电子签名&lt;签</w:t>
      </w:r>
      <w:r>
        <w:rPr>
          <w:rFonts w:hint="eastAsia" w:ascii="宋体" w:hAnsi="宋体" w:eastAsia="宋体" w:cs="宋体"/>
          <w:color w:val="auto"/>
          <w:sz w:val="24"/>
          <w:szCs w:val="24"/>
        </w:rPr>
        <w:t>章&gt;，未作明确要求的，由法定代表人</w:t>
      </w:r>
      <w:r>
        <w:rPr>
          <w:rFonts w:hint="eastAsia" w:ascii="宋体" w:hAnsi="宋体" w:eastAsia="宋体" w:cs="宋体"/>
          <w:color w:val="auto"/>
          <w:sz w:val="24"/>
          <w:lang w:val="zh-CN"/>
        </w:rPr>
        <w:t>电子签名</w:t>
      </w:r>
      <w:r>
        <w:rPr>
          <w:rFonts w:hint="eastAsia" w:ascii="宋体" w:hAnsi="宋体" w:eastAsia="宋体" w:cs="宋体"/>
          <w:color w:val="auto"/>
          <w:sz w:val="24"/>
          <w:szCs w:val="24"/>
        </w:rPr>
        <w:t>或投标人</w:t>
      </w:r>
      <w:r>
        <w:rPr>
          <w:rFonts w:hint="eastAsia" w:ascii="宋体" w:hAnsi="宋体" w:eastAsia="宋体" w:cs="宋体"/>
          <w:color w:val="auto"/>
          <w:sz w:val="24"/>
          <w:lang w:val="zh-CN"/>
        </w:rPr>
        <w:t>电子签</w:t>
      </w:r>
      <w:r>
        <w:rPr>
          <w:rFonts w:hint="eastAsia" w:ascii="宋体" w:hAnsi="宋体" w:eastAsia="宋体" w:cs="宋体"/>
          <w:color w:val="auto"/>
          <w:sz w:val="24"/>
          <w:szCs w:val="24"/>
        </w:rPr>
        <w:t>章</w:t>
      </w:r>
      <w:r>
        <w:rPr>
          <w:rFonts w:hint="eastAsia" w:ascii="宋体" w:hAnsi="宋体" w:eastAsia="宋体" w:cs="宋体"/>
          <w:color w:val="auto"/>
          <w:sz w:val="24"/>
          <w:lang w:val="zh-CN"/>
        </w:rPr>
        <w:t xml:space="preserve">。                  </w:t>
      </w:r>
    </w:p>
    <w:p w14:paraId="2B853419">
      <w:pPr>
        <w:snapToGrid w:val="0"/>
        <w:spacing w:line="560" w:lineRule="exact"/>
        <w:rPr>
          <w:rFonts w:hint="eastAsia" w:ascii="宋体" w:hAnsi="宋体" w:eastAsia="宋体" w:cs="宋体"/>
          <w:color w:val="auto"/>
        </w:rPr>
      </w:pPr>
    </w:p>
    <w:p w14:paraId="1A65969B">
      <w:pPr>
        <w:autoSpaceDE w:val="0"/>
        <w:autoSpaceDN w:val="0"/>
        <w:adjustRightInd w:val="0"/>
        <w:spacing w:line="360" w:lineRule="auto"/>
        <w:ind w:left="1" w:firstLine="560"/>
        <w:rPr>
          <w:rFonts w:hint="eastAsia" w:ascii="宋体" w:hAnsi="宋体" w:eastAsia="宋体" w:cs="宋体"/>
          <w:color w:val="auto"/>
          <w:sz w:val="24"/>
        </w:rPr>
      </w:pPr>
    </w:p>
    <w:p w14:paraId="3E80AF66">
      <w:pPr>
        <w:snapToGrid w:val="0"/>
        <w:spacing w:line="560" w:lineRule="atLeast"/>
        <w:rPr>
          <w:rFonts w:hint="eastAsia" w:ascii="宋体" w:hAnsi="宋体" w:eastAsia="宋体" w:cs="宋体"/>
          <w:b/>
          <w:color w:val="auto"/>
          <w:sz w:val="32"/>
          <w:szCs w:val="32"/>
        </w:rPr>
      </w:pPr>
    </w:p>
    <w:p w14:paraId="646A2B34">
      <w:pPr>
        <w:tabs>
          <w:tab w:val="left" w:pos="54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677AB4AF">
      <w:pPr>
        <w:rPr>
          <w:rFonts w:hint="eastAsia" w:ascii="宋体" w:hAnsi="宋体" w:eastAsia="宋体" w:cs="宋体"/>
          <w:color w:val="auto"/>
          <w:sz w:val="24"/>
        </w:rPr>
      </w:pPr>
      <w:r>
        <w:rPr>
          <w:rFonts w:hint="eastAsia" w:ascii="宋体" w:hAnsi="宋体" w:eastAsia="宋体" w:cs="宋体"/>
          <w:color w:val="auto"/>
          <w:sz w:val="24"/>
        </w:rPr>
        <w:br w:type="page"/>
      </w:r>
    </w:p>
    <w:p w14:paraId="0984D9BD">
      <w:pPr>
        <w:tabs>
          <w:tab w:val="left" w:pos="540"/>
        </w:tabs>
        <w:spacing w:line="440" w:lineRule="exact"/>
        <w:jc w:val="center"/>
        <w:rPr>
          <w:rFonts w:ascii="宋体" w:hAnsi="宋体" w:cs="宋体"/>
          <w:b/>
          <w:color w:val="auto"/>
          <w:sz w:val="30"/>
          <w:szCs w:val="30"/>
        </w:rPr>
      </w:pPr>
      <w:r>
        <w:rPr>
          <w:rFonts w:hint="eastAsia" w:ascii="宋体" w:hAnsi="宋体" w:eastAsia="宋体" w:cs="宋体"/>
          <w:b/>
          <w:color w:val="auto"/>
          <w:sz w:val="30"/>
          <w:szCs w:val="30"/>
        </w:rPr>
        <w:t>8、</w:t>
      </w:r>
      <w:r>
        <w:rPr>
          <w:rFonts w:hint="eastAsia" w:ascii="宋体" w:hAnsi="宋体" w:cs="宋体"/>
          <w:b/>
          <w:color w:val="auto"/>
          <w:sz w:val="30"/>
          <w:szCs w:val="30"/>
        </w:rPr>
        <w:t>关于资格的声明函</w:t>
      </w:r>
    </w:p>
    <w:p w14:paraId="13ECE3F1">
      <w:pPr>
        <w:snapToGrid w:val="0"/>
        <w:spacing w:line="560" w:lineRule="exact"/>
        <w:ind w:firstLine="839"/>
        <w:rPr>
          <w:rFonts w:ascii="宋体" w:hAnsi="宋体" w:cs="宋体"/>
          <w:color w:val="auto"/>
        </w:rPr>
      </w:pPr>
    </w:p>
    <w:p w14:paraId="5E8E3F1B">
      <w:pPr>
        <w:snapToGrid w:val="0"/>
        <w:spacing w:line="560" w:lineRule="exact"/>
        <w:rPr>
          <w:rFonts w:ascii="宋体" w:hAnsi="宋体" w:cs="宋体"/>
          <w:color w:val="auto"/>
          <w:sz w:val="24"/>
        </w:rPr>
      </w:pPr>
      <w:r>
        <w:rPr>
          <w:rFonts w:hint="eastAsia" w:ascii="宋体" w:hAnsi="宋体" w:cs="宋体"/>
          <w:color w:val="auto"/>
          <w:sz w:val="24"/>
        </w:rPr>
        <w:t>河南众鼎招标代理有限公司：</w:t>
      </w:r>
    </w:p>
    <w:p w14:paraId="1EE02E07">
      <w:pPr>
        <w:snapToGrid w:val="0"/>
        <w:spacing w:line="560" w:lineRule="exact"/>
        <w:ind w:firstLine="555"/>
        <w:rPr>
          <w:rFonts w:ascii="宋体" w:hAnsi="宋体" w:cs="宋体"/>
          <w:color w:val="auto"/>
          <w:sz w:val="24"/>
        </w:rPr>
      </w:pPr>
      <w:r>
        <w:rPr>
          <w:rFonts w:hint="eastAsia" w:ascii="宋体" w:hAnsi="宋体" w:cs="宋体"/>
          <w:color w:val="auto"/>
          <w:sz w:val="24"/>
        </w:rPr>
        <w:t>关于贵方项目编号为</w:t>
      </w:r>
      <w:r>
        <w:rPr>
          <w:rFonts w:hint="eastAsia" w:ascii="宋体" w:hAnsi="宋体" w:cs="宋体"/>
          <w:color w:val="auto"/>
          <w:sz w:val="24"/>
          <w:u w:val="single"/>
        </w:rPr>
        <w:t xml:space="preserve">          </w:t>
      </w:r>
      <w:r>
        <w:rPr>
          <w:rFonts w:hint="eastAsia" w:ascii="宋体" w:hAnsi="宋体" w:cs="宋体"/>
          <w:color w:val="auto"/>
          <w:sz w:val="24"/>
        </w:rPr>
        <w:t>的投标邀请，本签字人愿意参加投标，提供《招标文件》中规定的产品及服务，并声明提交下列文件是准确的、真实的和有效的。</w:t>
      </w:r>
    </w:p>
    <w:p w14:paraId="65F77E7B">
      <w:pPr>
        <w:snapToGrid w:val="0"/>
        <w:spacing w:line="560" w:lineRule="exact"/>
        <w:ind w:firstLine="555"/>
        <w:rPr>
          <w:rFonts w:ascii="宋体" w:hAnsi="宋体" w:cs="宋体"/>
          <w:color w:val="auto"/>
          <w:sz w:val="24"/>
        </w:rPr>
      </w:pPr>
      <w:r>
        <w:rPr>
          <w:rFonts w:hint="eastAsia" w:ascii="宋体" w:hAnsi="宋体" w:cs="宋体"/>
          <w:color w:val="auto"/>
          <w:sz w:val="24"/>
        </w:rPr>
        <w:t>1、《招标文件》第一章“招标公告”第二条所要求的资格性证明文件（证件或证明资料或承诺）</w:t>
      </w:r>
    </w:p>
    <w:p w14:paraId="6D93C918">
      <w:pPr>
        <w:snapToGrid w:val="0"/>
        <w:spacing w:line="560" w:lineRule="exact"/>
        <w:ind w:firstLine="555"/>
        <w:rPr>
          <w:rFonts w:ascii="宋体" w:hAnsi="宋体" w:cs="宋体"/>
          <w:color w:val="auto"/>
          <w:sz w:val="24"/>
        </w:rPr>
      </w:pPr>
      <w:r>
        <w:rPr>
          <w:rFonts w:hint="eastAsia" w:ascii="宋体" w:hAnsi="宋体" w:cs="宋体"/>
          <w:color w:val="auto"/>
          <w:sz w:val="24"/>
        </w:rPr>
        <w:t>2、采购项目中必须的其他证件。</w:t>
      </w:r>
    </w:p>
    <w:p w14:paraId="2F5B75AB">
      <w:pPr>
        <w:snapToGrid w:val="0"/>
        <w:spacing w:line="560" w:lineRule="exact"/>
        <w:ind w:firstLine="555"/>
        <w:rPr>
          <w:rFonts w:ascii="宋体" w:hAnsi="宋体" w:cs="宋体"/>
          <w:color w:val="auto"/>
          <w:sz w:val="24"/>
        </w:rPr>
      </w:pPr>
      <w:r>
        <w:rPr>
          <w:rFonts w:hint="eastAsia" w:ascii="宋体" w:hAnsi="宋体" w:cs="宋体"/>
          <w:color w:val="auto"/>
          <w:sz w:val="24"/>
        </w:rPr>
        <w:t>3、本签字人确认资格文件中的说明是真实的、准确的。</w:t>
      </w:r>
    </w:p>
    <w:p w14:paraId="0857F27E">
      <w:pPr>
        <w:widowControl w:val="0"/>
        <w:tabs>
          <w:tab w:val="left" w:pos="9365"/>
        </w:tabs>
        <w:snapToGrid w:val="0"/>
        <w:spacing w:after="56" w:line="560" w:lineRule="exact"/>
        <w:ind w:right="85"/>
        <w:jc w:val="left"/>
        <w:textAlignment w:val="top"/>
        <w:rPr>
          <w:rFonts w:ascii="宋体" w:hAnsi="宋体" w:cs="宋体"/>
          <w:color w:val="auto"/>
          <w:sz w:val="24"/>
        </w:rPr>
      </w:pPr>
    </w:p>
    <w:p w14:paraId="045E5011">
      <w:pPr>
        <w:widowControl w:val="0"/>
        <w:tabs>
          <w:tab w:val="left" w:pos="9365"/>
        </w:tabs>
        <w:snapToGrid w:val="0"/>
        <w:spacing w:after="56" w:line="560" w:lineRule="exact"/>
        <w:ind w:right="85"/>
        <w:jc w:val="left"/>
        <w:textAlignment w:val="top"/>
        <w:rPr>
          <w:rFonts w:ascii="宋体" w:hAnsi="宋体" w:cs="宋体"/>
          <w:color w:val="auto"/>
          <w:sz w:val="24"/>
        </w:rPr>
      </w:pPr>
    </w:p>
    <w:p w14:paraId="40CCE53F">
      <w:pPr>
        <w:widowControl w:val="0"/>
        <w:tabs>
          <w:tab w:val="left" w:pos="9365"/>
        </w:tabs>
        <w:snapToGrid w:val="0"/>
        <w:spacing w:after="56" w:line="560" w:lineRule="exact"/>
        <w:ind w:right="85"/>
        <w:jc w:val="left"/>
        <w:textAlignment w:val="top"/>
        <w:rPr>
          <w:rFonts w:ascii="宋体" w:hAnsi="宋体" w:cs="宋体"/>
          <w:color w:val="auto"/>
          <w:sz w:val="24"/>
        </w:rPr>
      </w:pPr>
    </w:p>
    <w:p w14:paraId="6744520C">
      <w:pPr>
        <w:widowControl w:val="0"/>
        <w:tabs>
          <w:tab w:val="left" w:pos="9365"/>
        </w:tabs>
        <w:snapToGrid w:val="0"/>
        <w:spacing w:after="56" w:line="560" w:lineRule="exact"/>
        <w:ind w:right="85"/>
        <w:jc w:val="left"/>
        <w:textAlignment w:val="top"/>
        <w:rPr>
          <w:rFonts w:ascii="宋体" w:hAnsi="宋体" w:cs="宋体"/>
          <w:color w:val="auto"/>
          <w:sz w:val="24"/>
        </w:rPr>
      </w:pPr>
    </w:p>
    <w:p w14:paraId="30B15508">
      <w:pPr>
        <w:widowControl w:val="0"/>
        <w:tabs>
          <w:tab w:val="left" w:pos="9365"/>
        </w:tabs>
        <w:snapToGrid w:val="0"/>
        <w:spacing w:after="56" w:line="560" w:lineRule="exact"/>
        <w:ind w:right="85"/>
        <w:jc w:val="left"/>
        <w:textAlignment w:val="top"/>
        <w:rPr>
          <w:rFonts w:ascii="宋体" w:hAnsi="宋体" w:cs="宋体"/>
          <w:color w:val="auto"/>
          <w:sz w:val="24"/>
        </w:rPr>
      </w:pPr>
    </w:p>
    <w:p w14:paraId="37CE33E0">
      <w:pPr>
        <w:widowControl w:val="0"/>
        <w:tabs>
          <w:tab w:val="left" w:pos="9365"/>
        </w:tabs>
        <w:snapToGrid w:val="0"/>
        <w:spacing w:after="56" w:line="560" w:lineRule="exact"/>
        <w:ind w:right="85"/>
        <w:jc w:val="left"/>
        <w:textAlignment w:val="top"/>
        <w:rPr>
          <w:rFonts w:ascii="宋体" w:hAnsi="宋体" w:cs="宋体"/>
          <w:color w:val="auto"/>
          <w:sz w:val="24"/>
        </w:rPr>
      </w:pPr>
    </w:p>
    <w:p w14:paraId="1F817C18">
      <w:pPr>
        <w:widowControl w:val="0"/>
        <w:tabs>
          <w:tab w:val="left" w:pos="9365"/>
        </w:tabs>
        <w:snapToGrid w:val="0"/>
        <w:spacing w:after="56" w:line="560" w:lineRule="exact"/>
        <w:ind w:right="85"/>
        <w:jc w:val="left"/>
        <w:textAlignment w:val="top"/>
        <w:rPr>
          <w:rFonts w:ascii="宋体" w:hAnsi="宋体" w:cs="宋体"/>
          <w:color w:val="auto"/>
          <w:sz w:val="24"/>
          <w:szCs w:val="24"/>
        </w:rPr>
      </w:pPr>
      <w:r>
        <w:rPr>
          <w:rFonts w:hint="eastAsia" w:cs="宋体"/>
          <w:color w:val="auto"/>
          <w:sz w:val="24"/>
          <w:lang w:val="en-US" w:eastAsia="zh-CN"/>
        </w:rPr>
        <w:t>投标人</w:t>
      </w:r>
      <w:r>
        <w:rPr>
          <w:rFonts w:hint="eastAsia" w:ascii="宋体" w:hAnsi="宋体" w:cs="宋体"/>
          <w:color w:val="auto"/>
          <w:sz w:val="24"/>
          <w:szCs w:val="24"/>
        </w:rPr>
        <w:t>（电子签章）：</w:t>
      </w:r>
    </w:p>
    <w:p w14:paraId="1DE3FFEA">
      <w:pPr>
        <w:widowControl w:val="0"/>
        <w:tabs>
          <w:tab w:val="left" w:pos="9365"/>
        </w:tabs>
        <w:snapToGrid w:val="0"/>
        <w:spacing w:after="56" w:line="560" w:lineRule="exact"/>
        <w:ind w:right="85"/>
        <w:jc w:val="left"/>
        <w:textAlignment w:val="top"/>
        <w:rPr>
          <w:rFonts w:ascii="宋体" w:hAnsi="宋体" w:cs="宋体"/>
          <w:color w:val="auto"/>
          <w:sz w:val="24"/>
          <w:szCs w:val="24"/>
        </w:rPr>
      </w:pPr>
      <w:r>
        <w:rPr>
          <w:rFonts w:hint="eastAsia" w:ascii="宋体" w:hAnsi="宋体" w:cs="宋体"/>
          <w:color w:val="auto"/>
          <w:sz w:val="24"/>
          <w:szCs w:val="24"/>
        </w:rPr>
        <w:t>法定代表人（电子签名）：</w:t>
      </w:r>
    </w:p>
    <w:p w14:paraId="2F5E1CD4">
      <w:pPr>
        <w:widowControl w:val="0"/>
        <w:tabs>
          <w:tab w:val="left" w:pos="9365"/>
        </w:tabs>
        <w:snapToGrid w:val="0"/>
        <w:spacing w:after="56" w:line="560" w:lineRule="exact"/>
        <w:ind w:right="85"/>
        <w:jc w:val="left"/>
        <w:textAlignment w:val="top"/>
        <w:rPr>
          <w:rFonts w:hint="eastAsia" w:ascii="宋体" w:hAnsi="宋体" w:cs="宋体"/>
          <w:color w:val="auto"/>
          <w:sz w:val="24"/>
          <w:lang w:val="zh-CN"/>
        </w:rPr>
      </w:pPr>
      <w:r>
        <w:rPr>
          <w:rFonts w:hint="eastAsia" w:ascii="宋体" w:hAnsi="宋体" w:cs="宋体"/>
          <w:color w:val="auto"/>
          <w:spacing w:val="8"/>
          <w:sz w:val="24"/>
        </w:rPr>
        <w:t>日期 ：</w:t>
      </w:r>
      <w:r>
        <w:rPr>
          <w:rFonts w:hint="eastAsia" w:ascii="宋体" w:hAnsi="宋体" w:cs="宋体"/>
          <w:color w:val="auto"/>
          <w:sz w:val="24"/>
          <w:lang w:val="zh-CN"/>
        </w:rPr>
        <w:t xml:space="preserve">   年   月   日</w:t>
      </w:r>
    </w:p>
    <w:p w14:paraId="53DC123B">
      <w:pPr>
        <w:rPr>
          <w:rFonts w:hint="eastAsia" w:ascii="宋体" w:hAnsi="宋体" w:cs="宋体"/>
          <w:color w:val="auto"/>
          <w:sz w:val="24"/>
          <w:lang w:val="zh-CN"/>
        </w:rPr>
      </w:pPr>
      <w:r>
        <w:rPr>
          <w:rFonts w:hint="eastAsia" w:ascii="宋体" w:hAnsi="宋体" w:cs="宋体"/>
          <w:color w:val="auto"/>
          <w:sz w:val="24"/>
          <w:lang w:val="zh-CN"/>
        </w:rPr>
        <w:br w:type="page"/>
      </w:r>
    </w:p>
    <w:p w14:paraId="031302A2">
      <w:pPr>
        <w:widowControl w:val="0"/>
        <w:tabs>
          <w:tab w:val="left" w:pos="9365"/>
        </w:tabs>
        <w:snapToGrid w:val="0"/>
        <w:spacing w:after="56" w:line="560" w:lineRule="exact"/>
        <w:ind w:right="85"/>
        <w:jc w:val="center"/>
        <w:textAlignment w:val="top"/>
        <w:rPr>
          <w:rFonts w:hint="eastAsia" w:ascii="宋体" w:hAnsi="宋体" w:eastAsia="宋体" w:cs="宋体"/>
          <w:b/>
          <w:color w:val="auto"/>
          <w:sz w:val="30"/>
          <w:szCs w:val="30"/>
        </w:rPr>
      </w:pPr>
      <w:r>
        <w:rPr>
          <w:rFonts w:hint="eastAsia" w:cs="宋体"/>
          <w:b/>
          <w:color w:val="auto"/>
          <w:sz w:val="30"/>
          <w:szCs w:val="30"/>
          <w:lang w:val="en-US" w:eastAsia="zh-CN"/>
        </w:rPr>
        <w:t>9、</w:t>
      </w:r>
      <w:r>
        <w:rPr>
          <w:rFonts w:hint="eastAsia" w:ascii="宋体" w:hAnsi="宋体" w:eastAsia="宋体" w:cs="宋体"/>
          <w:b/>
          <w:color w:val="auto"/>
          <w:sz w:val="30"/>
          <w:szCs w:val="30"/>
        </w:rPr>
        <w:t>反商业贿赂承诺书</w:t>
      </w:r>
    </w:p>
    <w:p w14:paraId="47703C15">
      <w:pPr>
        <w:tabs>
          <w:tab w:val="left" w:pos="65"/>
        </w:tabs>
        <w:spacing w:line="560" w:lineRule="exact"/>
        <w:jc w:val="center"/>
        <w:rPr>
          <w:rFonts w:hint="eastAsia" w:ascii="宋体" w:hAnsi="宋体" w:eastAsia="宋体" w:cs="宋体"/>
          <w:b/>
          <w:color w:val="auto"/>
          <w:sz w:val="24"/>
          <w:szCs w:val="24"/>
        </w:rPr>
      </w:pPr>
    </w:p>
    <w:p w14:paraId="17D91EC5">
      <w:pPr>
        <w:tabs>
          <w:tab w:val="left" w:pos="65"/>
        </w:tabs>
        <w:spacing w:line="74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1"/>
          <w:sz w:val="24"/>
          <w:szCs w:val="24"/>
          <w:u w:val="single"/>
        </w:rPr>
        <w:t xml:space="preserve">(采购人名称）    </w:t>
      </w:r>
    </w:p>
    <w:p w14:paraId="3B7D2147">
      <w:pPr>
        <w:tabs>
          <w:tab w:val="left" w:pos="65"/>
        </w:tabs>
        <w:spacing w:line="7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在项目编号为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 xml:space="preserve"> 招标活动中，我公司保证做到：</w:t>
      </w:r>
    </w:p>
    <w:p w14:paraId="2D6ADBF8">
      <w:pPr>
        <w:tabs>
          <w:tab w:val="left" w:pos="65"/>
        </w:tabs>
        <w:spacing w:line="7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一、公平竞争参加本次招标活动。</w:t>
      </w:r>
    </w:p>
    <w:p w14:paraId="62B556A3">
      <w:pPr>
        <w:tabs>
          <w:tab w:val="left" w:pos="65"/>
        </w:tabs>
        <w:spacing w:line="7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045D948">
      <w:pPr>
        <w:tabs>
          <w:tab w:val="left" w:pos="65"/>
        </w:tabs>
        <w:spacing w:line="7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三、若出现上述行为，我单位愿意接受相关部门按照国家法律法规等有关规定给予的处理。</w:t>
      </w:r>
    </w:p>
    <w:p w14:paraId="5B732D06">
      <w:pPr>
        <w:tabs>
          <w:tab w:val="left" w:pos="65"/>
        </w:tabs>
        <w:spacing w:line="740" w:lineRule="exact"/>
        <w:rPr>
          <w:rFonts w:hint="eastAsia" w:ascii="宋体" w:hAnsi="宋体" w:eastAsia="宋体" w:cs="宋体"/>
          <w:color w:val="auto"/>
          <w:sz w:val="24"/>
          <w:szCs w:val="24"/>
        </w:rPr>
      </w:pPr>
    </w:p>
    <w:p w14:paraId="278FA992">
      <w:pPr>
        <w:tabs>
          <w:tab w:val="left" w:pos="65"/>
        </w:tabs>
        <w:spacing w:line="740" w:lineRule="exact"/>
        <w:rPr>
          <w:rFonts w:hint="eastAsia" w:ascii="宋体" w:hAnsi="宋体" w:eastAsia="宋体" w:cs="宋体"/>
          <w:color w:val="auto"/>
          <w:sz w:val="24"/>
          <w:szCs w:val="24"/>
        </w:rPr>
      </w:pPr>
    </w:p>
    <w:p w14:paraId="4386316C">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44AD640D">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6FF2E30A">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480EFF70">
      <w:pPr>
        <w:tabs>
          <w:tab w:val="left" w:pos="9365"/>
        </w:tabs>
        <w:spacing w:before="360" w:after="360" w:line="586" w:lineRule="atLeast"/>
        <w:ind w:right="85"/>
        <w:jc w:val="left"/>
        <w:textAlignment w:val="top"/>
        <w:rPr>
          <w:rFonts w:hint="eastAsia" w:ascii="宋体" w:hAnsi="宋体" w:eastAsia="宋体" w:cs="宋体"/>
          <w:color w:val="auto"/>
          <w:sz w:val="24"/>
          <w:szCs w:val="24"/>
        </w:rPr>
      </w:pPr>
    </w:p>
    <w:p w14:paraId="29EFEF8D">
      <w:pPr>
        <w:snapToGrid w:val="0"/>
        <w:spacing w:line="560" w:lineRule="exact"/>
        <w:rPr>
          <w:rFonts w:hint="eastAsia" w:ascii="宋体" w:hAnsi="宋体" w:eastAsia="宋体" w:cs="宋体"/>
          <w:color w:val="auto"/>
          <w:sz w:val="24"/>
        </w:rPr>
      </w:pPr>
      <w:r>
        <w:rPr>
          <w:rFonts w:hint="eastAsia" w:ascii="宋体" w:hAnsi="宋体" w:eastAsia="宋体" w:cs="宋体"/>
          <w:color w:val="auto"/>
          <w:sz w:val="24"/>
        </w:rPr>
        <w:br w:type="page"/>
      </w:r>
    </w:p>
    <w:p w14:paraId="5FC40BCF">
      <w:pPr>
        <w:tabs>
          <w:tab w:val="left" w:pos="540"/>
        </w:tabs>
        <w:spacing w:line="440" w:lineRule="exact"/>
        <w:jc w:val="center"/>
        <w:rPr>
          <w:rFonts w:hint="eastAsia" w:ascii="宋体" w:hAnsi="宋体" w:eastAsia="宋体" w:cs="宋体"/>
          <w:color w:val="auto"/>
          <w:sz w:val="28"/>
        </w:rPr>
      </w:pPr>
      <w:r>
        <w:rPr>
          <w:rFonts w:hint="eastAsia" w:cs="宋体"/>
          <w:b/>
          <w:color w:val="auto"/>
          <w:sz w:val="30"/>
          <w:szCs w:val="30"/>
          <w:lang w:val="en-US" w:eastAsia="zh-CN"/>
        </w:rPr>
        <w:t>10</w:t>
      </w:r>
      <w:r>
        <w:rPr>
          <w:rFonts w:hint="eastAsia" w:ascii="宋体" w:hAnsi="宋体" w:eastAsia="宋体" w:cs="宋体"/>
          <w:b/>
          <w:color w:val="auto"/>
          <w:sz w:val="30"/>
          <w:szCs w:val="30"/>
        </w:rPr>
        <w:t>、履约承诺书</w:t>
      </w:r>
    </w:p>
    <w:p w14:paraId="289D1531">
      <w:pPr>
        <w:keepNext w:val="0"/>
        <w:keepLines w:val="0"/>
        <w:pageBreakBefore w:val="0"/>
        <w:widowControl/>
        <w:kinsoku/>
        <w:wordWrap/>
        <w:overflowPunct/>
        <w:topLinePunct w:val="0"/>
        <w:autoSpaceDE/>
        <w:autoSpaceDN/>
        <w:bidi w:val="0"/>
        <w:adjustRightInd w:val="0"/>
        <w:snapToGrid w:val="0"/>
        <w:spacing w:line="440" w:lineRule="exact"/>
        <w:ind w:right="0" w:firstLine="555"/>
        <w:textAlignment w:val="baseline"/>
        <w:rPr>
          <w:rFonts w:hint="eastAsia" w:ascii="宋体" w:hAnsi="宋体" w:eastAsia="宋体" w:cs="宋体"/>
          <w:color w:val="auto"/>
          <w:sz w:val="24"/>
        </w:rPr>
      </w:pPr>
      <w:r>
        <w:rPr>
          <w:rFonts w:hint="eastAsia" w:ascii="宋体" w:hAnsi="宋体" w:eastAsia="宋体" w:cs="宋体"/>
          <w:color w:val="auto"/>
          <w:sz w:val="24"/>
        </w:rPr>
        <w:t>一、我单位承诺：</w:t>
      </w:r>
    </w:p>
    <w:p w14:paraId="13A75C92">
      <w:pPr>
        <w:keepNext w:val="0"/>
        <w:keepLines w:val="0"/>
        <w:pageBreakBefore w:val="0"/>
        <w:widowControl/>
        <w:kinsoku/>
        <w:wordWrap/>
        <w:overflowPunct/>
        <w:topLinePunct w:val="0"/>
        <w:autoSpaceDE/>
        <w:autoSpaceDN/>
        <w:bidi w:val="0"/>
        <w:adjustRightInd w:val="0"/>
        <w:snapToGrid w:val="0"/>
        <w:spacing w:line="440" w:lineRule="exact"/>
        <w:ind w:right="0" w:firstLine="555"/>
        <w:textAlignment w:val="baseline"/>
        <w:rPr>
          <w:rFonts w:hint="eastAsia" w:ascii="宋体" w:hAnsi="宋体" w:eastAsia="宋体" w:cs="宋体"/>
          <w:color w:val="auto"/>
          <w:sz w:val="24"/>
        </w:rPr>
      </w:pPr>
      <w:r>
        <w:rPr>
          <w:rFonts w:hint="eastAsia" w:ascii="宋体" w:hAnsi="宋体" w:eastAsia="宋体" w:cs="宋体"/>
          <w:color w:val="auto"/>
          <w:sz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3A4AA496">
      <w:pPr>
        <w:keepNext w:val="0"/>
        <w:keepLines w:val="0"/>
        <w:pageBreakBefore w:val="0"/>
        <w:widowControl/>
        <w:tabs>
          <w:tab w:val="left" w:pos="9354"/>
        </w:tabs>
        <w:kinsoku/>
        <w:wordWrap/>
        <w:overflowPunct/>
        <w:topLinePunct w:val="0"/>
        <w:autoSpaceDE/>
        <w:autoSpaceDN/>
        <w:bidi w:val="0"/>
        <w:adjustRightInd w:val="0"/>
        <w:snapToGrid w:val="0"/>
        <w:spacing w:line="440" w:lineRule="exact"/>
        <w:ind w:right="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二）我单位开标前已详细勘察现场，并按采购人现场条件及采购要求编制投标报价；我单位的投标报价包括文件所述报价组成的所有内容、并包括招标文件未列明而与采购项目相关的、必须的所有款项及费用等达到交付使用及验收条件的所有一切风险、责任和义务的费用。</w:t>
      </w:r>
    </w:p>
    <w:p w14:paraId="08F3A6BC">
      <w:pPr>
        <w:keepNext w:val="0"/>
        <w:keepLines w:val="0"/>
        <w:pageBreakBefore w:val="0"/>
        <w:widowControl/>
        <w:tabs>
          <w:tab w:val="left" w:pos="9354"/>
        </w:tabs>
        <w:kinsoku/>
        <w:wordWrap/>
        <w:overflowPunct/>
        <w:topLinePunct w:val="0"/>
        <w:autoSpaceDE/>
        <w:autoSpaceDN/>
        <w:bidi w:val="0"/>
        <w:adjustRightInd w:val="0"/>
        <w:snapToGrid w:val="0"/>
        <w:spacing w:line="440" w:lineRule="exact"/>
        <w:ind w:right="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我单位保证按招标文件要求及投标承诺的质量诚信履约。</w:t>
      </w:r>
    </w:p>
    <w:p w14:paraId="71927A7C">
      <w:pPr>
        <w:keepNext w:val="0"/>
        <w:keepLines w:val="0"/>
        <w:pageBreakBefore w:val="0"/>
        <w:widowControl/>
        <w:tabs>
          <w:tab w:val="left" w:pos="9354"/>
        </w:tabs>
        <w:kinsoku/>
        <w:wordWrap/>
        <w:overflowPunct/>
        <w:topLinePunct w:val="0"/>
        <w:autoSpaceDE/>
        <w:autoSpaceDN/>
        <w:bidi w:val="0"/>
        <w:adjustRightInd w:val="0"/>
        <w:snapToGrid w:val="0"/>
        <w:spacing w:line="440" w:lineRule="exact"/>
        <w:ind w:right="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63767264">
      <w:pPr>
        <w:keepNext w:val="0"/>
        <w:keepLines w:val="0"/>
        <w:pageBreakBefore w:val="0"/>
        <w:widowControl/>
        <w:tabs>
          <w:tab w:val="left" w:pos="9354"/>
        </w:tabs>
        <w:kinsoku/>
        <w:wordWrap/>
        <w:overflowPunct/>
        <w:topLinePunct w:val="0"/>
        <w:autoSpaceDE/>
        <w:autoSpaceDN/>
        <w:bidi w:val="0"/>
        <w:adjustRightInd w:val="0"/>
        <w:snapToGrid w:val="0"/>
        <w:spacing w:line="440" w:lineRule="exact"/>
        <w:ind w:right="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二、我单位承诺：</w:t>
      </w:r>
    </w:p>
    <w:p w14:paraId="311EAD4E">
      <w:pPr>
        <w:keepNext w:val="0"/>
        <w:keepLines w:val="0"/>
        <w:pageBreakBefore w:val="0"/>
        <w:widowControl/>
        <w:tabs>
          <w:tab w:val="left" w:pos="9354"/>
        </w:tabs>
        <w:kinsoku/>
        <w:wordWrap/>
        <w:overflowPunct/>
        <w:topLinePunct w:val="0"/>
        <w:autoSpaceDE/>
        <w:autoSpaceDN/>
        <w:bidi w:val="0"/>
        <w:adjustRightInd w:val="0"/>
        <w:snapToGrid w:val="0"/>
        <w:spacing w:line="440" w:lineRule="exact"/>
        <w:ind w:right="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w:t>
      </w:r>
      <w:r>
        <w:rPr>
          <w:rFonts w:hint="eastAsia" w:ascii="宋体" w:hAnsi="宋体" w:eastAsia="宋体" w:cs="宋体"/>
          <w:color w:val="auto"/>
          <w:sz w:val="24"/>
          <w:szCs w:val="24"/>
        </w:rPr>
        <w:t>依据招标文件“第三章</w:t>
      </w:r>
      <w:r>
        <w:rPr>
          <w:rFonts w:hint="eastAsia" w:ascii="宋体" w:hAnsi="宋体" w:eastAsia="宋体" w:cs="宋体"/>
          <w:color w:val="auto"/>
          <w:sz w:val="24"/>
          <w:szCs w:val="22"/>
        </w:rPr>
        <w:t>3.5.5 违背承诺的责任追究措施</w:t>
      </w:r>
      <w:r>
        <w:rPr>
          <w:rFonts w:hint="eastAsia" w:ascii="宋体" w:hAnsi="宋体" w:eastAsia="宋体" w:cs="宋体"/>
          <w:color w:val="auto"/>
          <w:sz w:val="24"/>
          <w:szCs w:val="24"/>
        </w:rPr>
        <w:t>”</w:t>
      </w:r>
      <w:r>
        <w:rPr>
          <w:rFonts w:hint="eastAsia" w:ascii="宋体" w:hAnsi="宋体" w:eastAsia="宋体" w:cs="宋体"/>
          <w:color w:val="auto"/>
          <w:sz w:val="24"/>
          <w:szCs w:val="22"/>
        </w:rPr>
        <w:t>承担相应法律责任及违约责任。</w:t>
      </w:r>
      <w:r>
        <w:rPr>
          <w:rFonts w:hint="eastAsia" w:ascii="宋体" w:hAnsi="宋体" w:eastAsia="宋体" w:cs="宋体"/>
          <w:color w:val="auto"/>
          <w:sz w:val="24"/>
        </w:rPr>
        <w:t>情节严重的，由财政部门列入不良行为记录名单，在一至三年内禁止参加政府采购活动，并予以通报，处以罚金，给采购人及他人造成损失的，承担相应的赔偿责任。</w:t>
      </w:r>
    </w:p>
    <w:p w14:paraId="31AC3071">
      <w:pPr>
        <w:tabs>
          <w:tab w:val="left" w:pos="9354"/>
        </w:tabs>
        <w:adjustRightInd w:val="0"/>
        <w:snapToGrid w:val="0"/>
        <w:spacing w:before="156" w:beforeLines="50" w:line="300" w:lineRule="auto"/>
        <w:ind w:firstLine="480" w:firstLineChars="200"/>
        <w:rPr>
          <w:rFonts w:hint="eastAsia" w:ascii="宋体" w:hAnsi="宋体" w:eastAsia="宋体" w:cs="宋体"/>
          <w:color w:val="auto"/>
          <w:sz w:val="24"/>
        </w:rPr>
      </w:pPr>
    </w:p>
    <w:p w14:paraId="22A13B20">
      <w:pPr>
        <w:tabs>
          <w:tab w:val="left" w:pos="9354"/>
        </w:tabs>
        <w:adjustRightInd w:val="0"/>
        <w:snapToGrid w:val="0"/>
        <w:spacing w:before="156" w:beforeLines="50" w:line="300" w:lineRule="auto"/>
        <w:ind w:firstLine="480" w:firstLineChars="200"/>
        <w:rPr>
          <w:rFonts w:hint="eastAsia" w:ascii="宋体" w:hAnsi="宋体" w:eastAsia="宋体" w:cs="宋体"/>
          <w:color w:val="auto"/>
          <w:sz w:val="24"/>
        </w:rPr>
      </w:pPr>
    </w:p>
    <w:p w14:paraId="5DC81903">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473548A2">
      <w:pPr>
        <w:widowControl w:val="0"/>
        <w:tabs>
          <w:tab w:val="left" w:pos="9365"/>
        </w:tabs>
        <w:snapToGrid w:val="0"/>
        <w:spacing w:after="56" w:line="5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5AE8AFAC">
      <w:pPr>
        <w:tabs>
          <w:tab w:val="left" w:pos="0"/>
        </w:tabs>
        <w:spacing w:line="500" w:lineRule="exact"/>
        <w:ind w:right="256"/>
        <w:jc w:val="right"/>
        <w:rPr>
          <w:rFonts w:hint="eastAsia" w:ascii="宋体" w:hAnsi="宋体" w:eastAsia="宋体" w:cs="宋体"/>
          <w:color w:val="auto"/>
          <w:spacing w:val="8"/>
          <w:sz w:val="24"/>
        </w:rPr>
      </w:pPr>
    </w:p>
    <w:p w14:paraId="0338140E">
      <w:pPr>
        <w:autoSpaceDE w:val="0"/>
        <w:autoSpaceDN w:val="0"/>
        <w:adjustRightInd w:val="0"/>
        <w:spacing w:line="360" w:lineRule="auto"/>
        <w:jc w:val="left"/>
        <w:rPr>
          <w:rFonts w:hint="eastAsia" w:ascii="宋体" w:hAnsi="宋体" w:eastAsia="宋体" w:cs="宋体"/>
          <w:b/>
          <w:color w:val="auto"/>
          <w:sz w:val="30"/>
          <w:szCs w:val="30"/>
        </w:rPr>
      </w:pPr>
      <w:r>
        <w:rPr>
          <w:rFonts w:hint="eastAsia" w:ascii="宋体" w:hAnsi="宋体" w:eastAsia="宋体" w:cs="宋体"/>
          <w:color w:val="auto"/>
          <w:spacing w:val="8"/>
          <w:sz w:val="24"/>
        </w:rPr>
        <w:t>日期 ：</w:t>
      </w:r>
      <w:r>
        <w:rPr>
          <w:rFonts w:hint="eastAsia" w:ascii="宋体" w:hAnsi="宋体" w:eastAsia="宋体" w:cs="宋体"/>
          <w:color w:val="auto"/>
          <w:sz w:val="24"/>
          <w:lang w:val="zh-CN"/>
        </w:rPr>
        <w:t xml:space="preserve">   年   月   日</w:t>
      </w:r>
    </w:p>
    <w:p w14:paraId="4CF62418">
      <w:pPr>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30"/>
          <w:szCs w:val="30"/>
        </w:rPr>
        <w:br w:type="page"/>
      </w:r>
    </w:p>
    <w:p w14:paraId="47426E4A">
      <w:pPr>
        <w:autoSpaceDE w:val="0"/>
        <w:autoSpaceDN w:val="0"/>
        <w:adjustRightInd w:val="0"/>
        <w:spacing w:line="360" w:lineRule="auto"/>
        <w:jc w:val="center"/>
        <w:rPr>
          <w:rFonts w:ascii="宋体" w:hAnsi="宋体" w:cs="宋体"/>
          <w:b/>
          <w:color w:val="auto"/>
          <w:sz w:val="30"/>
          <w:szCs w:val="30"/>
        </w:rPr>
      </w:pPr>
      <w:r>
        <w:rPr>
          <w:rFonts w:hint="eastAsia" w:ascii="宋体" w:hAnsi="宋体" w:cs="宋体"/>
          <w:b/>
          <w:color w:val="auto"/>
          <w:sz w:val="30"/>
          <w:szCs w:val="30"/>
          <w:lang w:val="en-US" w:eastAsia="zh-CN"/>
        </w:rPr>
        <w:t>11</w:t>
      </w:r>
      <w:r>
        <w:rPr>
          <w:rFonts w:hint="eastAsia" w:ascii="宋体" w:hAnsi="宋体" w:cs="宋体"/>
          <w:b/>
          <w:color w:val="auto"/>
          <w:sz w:val="30"/>
          <w:szCs w:val="30"/>
        </w:rPr>
        <w:t>、资格要求相关证明材料（文件）</w:t>
      </w:r>
    </w:p>
    <w:p w14:paraId="580B6384">
      <w:pPr>
        <w:autoSpaceDE w:val="0"/>
        <w:autoSpaceDN w:val="0"/>
        <w:adjustRightInd w:val="0"/>
        <w:spacing w:line="360" w:lineRule="auto"/>
        <w:jc w:val="center"/>
        <w:rPr>
          <w:rFonts w:ascii="宋体" w:hAnsi="宋体" w:cs="宋体"/>
          <w:color w:val="auto"/>
          <w:sz w:val="24"/>
          <w:szCs w:val="24"/>
        </w:rPr>
      </w:pPr>
    </w:p>
    <w:p w14:paraId="4A173E5C">
      <w:pPr>
        <w:autoSpaceDE w:val="0"/>
        <w:autoSpaceDN w:val="0"/>
        <w:adjustRightInd w:val="0"/>
        <w:spacing w:line="360" w:lineRule="auto"/>
        <w:jc w:val="center"/>
        <w:rPr>
          <w:rFonts w:ascii="宋体" w:hAnsi="宋体" w:cs="宋体"/>
          <w:b/>
          <w:color w:val="auto"/>
          <w:sz w:val="24"/>
          <w:szCs w:val="24"/>
        </w:rPr>
      </w:pPr>
      <w:r>
        <w:rPr>
          <w:rFonts w:hint="eastAsia" w:ascii="宋体" w:hAnsi="宋体" w:cs="宋体"/>
          <w:color w:val="auto"/>
          <w:sz w:val="24"/>
          <w:szCs w:val="24"/>
        </w:rPr>
        <w:t>★★★【</w:t>
      </w:r>
      <w:r>
        <w:rPr>
          <w:rFonts w:hint="eastAsia" w:ascii="宋体" w:hAnsi="宋体" w:cs="宋体"/>
          <w:b/>
          <w:color w:val="auto"/>
          <w:sz w:val="24"/>
          <w:szCs w:val="24"/>
        </w:rPr>
        <w:t>请注意：未按公告要求逐一提交资格证明资料的将导致无效投标，为近期常见的因不仔细而缺少某一资格证明资料、导致无效，特此提醒】</w:t>
      </w:r>
    </w:p>
    <w:p w14:paraId="7C572541">
      <w:pPr>
        <w:autoSpaceDE w:val="0"/>
        <w:autoSpaceDN w:val="0"/>
        <w:adjustRightInd w:val="0"/>
        <w:spacing w:line="360" w:lineRule="auto"/>
        <w:jc w:val="center"/>
        <w:rPr>
          <w:rFonts w:ascii="宋体" w:hAnsi="宋体" w:cs="宋体"/>
          <w:color w:val="auto"/>
          <w:sz w:val="24"/>
          <w:szCs w:val="24"/>
        </w:rPr>
      </w:pPr>
    </w:p>
    <w:p w14:paraId="1D505A70">
      <w:pPr>
        <w:rPr>
          <w:rFonts w:hint="eastAsia" w:ascii="宋体" w:hAnsi="宋体" w:eastAsia="宋体" w:cs="宋体"/>
          <w:b/>
          <w:color w:val="auto"/>
          <w:sz w:val="30"/>
          <w:szCs w:val="30"/>
        </w:rPr>
      </w:pPr>
      <w:r>
        <w:rPr>
          <w:rFonts w:hint="eastAsia" w:ascii="宋体" w:hAnsi="宋体" w:cs="宋体"/>
          <w:color w:val="auto"/>
          <w:sz w:val="24"/>
          <w:szCs w:val="24"/>
        </w:rPr>
        <w:t>★★★【</w:t>
      </w:r>
      <w:r>
        <w:rPr>
          <w:rFonts w:hint="eastAsia" w:ascii="宋体" w:hAnsi="宋体" w:cs="宋体"/>
          <w:b/>
          <w:color w:val="auto"/>
          <w:sz w:val="24"/>
          <w:szCs w:val="24"/>
        </w:rPr>
        <w:t>请注意：未按招标公告要求电子签名&lt;签章&gt;的将导致无效投标，特此提醒】</w:t>
      </w:r>
      <w:r>
        <w:rPr>
          <w:rFonts w:hint="eastAsia" w:ascii="宋体" w:hAnsi="宋体" w:cs="宋体"/>
          <w:color w:val="auto"/>
          <w:sz w:val="24"/>
        </w:rPr>
        <w:t xml:space="preserve"> </w:t>
      </w:r>
    </w:p>
    <w:p w14:paraId="0D3A4BAF">
      <w:pPr>
        <w:autoSpaceDE w:val="0"/>
        <w:autoSpaceDN w:val="0"/>
        <w:adjustRightInd w:val="0"/>
        <w:spacing w:line="360" w:lineRule="auto"/>
        <w:rPr>
          <w:rFonts w:hint="eastAsia" w:ascii="宋体" w:hAnsi="宋体" w:eastAsia="宋体" w:cs="宋体"/>
          <w:b/>
          <w:color w:val="auto"/>
          <w:sz w:val="30"/>
          <w:szCs w:val="30"/>
        </w:rPr>
      </w:pPr>
    </w:p>
    <w:p w14:paraId="0CB79EC5">
      <w:pPr>
        <w:autoSpaceDE w:val="0"/>
        <w:autoSpaceDN w:val="0"/>
        <w:adjustRightInd w:val="0"/>
        <w:spacing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rPr>
        <w:t>招标项目要求及采购需求所需的其他材料</w:t>
      </w:r>
    </w:p>
    <w:p w14:paraId="180891B8">
      <w:pPr>
        <w:widowControl w:val="0"/>
        <w:snapToGrid w:val="0"/>
        <w:spacing w:line="56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（按条款需要填列；并按条款要求电子签名&lt;签章</w:t>
      </w:r>
      <w:r>
        <w:rPr>
          <w:rFonts w:hint="eastAsia" w:cs="宋体"/>
          <w:color w:val="auto"/>
          <w:sz w:val="24"/>
          <w:szCs w:val="24"/>
          <w:lang w:eastAsia="zh-CN"/>
        </w:rPr>
        <w:t>&gt;</w:t>
      </w:r>
      <w:r>
        <w:rPr>
          <w:rFonts w:hint="eastAsia" w:ascii="宋体" w:hAnsi="宋体" w:eastAsia="宋体" w:cs="宋体"/>
          <w:color w:val="auto"/>
          <w:sz w:val="24"/>
          <w:szCs w:val="24"/>
        </w:rPr>
        <w:t>条款中对电子签名&lt;签章&gt;未作明确要求的，由法定代表人电子签名或投标人电子签章）</w:t>
      </w:r>
    </w:p>
    <w:p w14:paraId="0B5FEF27">
      <w:pPr>
        <w:widowControl w:val="0"/>
        <w:snapToGrid w:val="0"/>
        <w:spacing w:line="56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如采购产品属于政府强制采购品目清单的，投标文件中应当提供相应的认证证书，认证证书应当为国家确定的认证机构出具</w:t>
      </w:r>
      <w:r>
        <w:rPr>
          <w:rFonts w:hint="eastAsia" w:cs="宋体"/>
          <w:color w:val="auto"/>
          <w:sz w:val="24"/>
          <w:szCs w:val="24"/>
          <w:lang w:eastAsia="zh-CN"/>
        </w:rPr>
        <w:t>且</w:t>
      </w:r>
      <w:r>
        <w:rPr>
          <w:rFonts w:hint="eastAsia" w:ascii="宋体" w:hAnsi="宋体" w:eastAsia="宋体" w:cs="宋体"/>
          <w:color w:val="auto"/>
          <w:sz w:val="24"/>
          <w:szCs w:val="24"/>
        </w:rPr>
        <w:t>应处于有效期之内。不符合的</w:t>
      </w:r>
      <w:r>
        <w:rPr>
          <w:rFonts w:hint="eastAsia" w:cs="宋体"/>
          <w:color w:val="auto"/>
          <w:sz w:val="24"/>
          <w:szCs w:val="24"/>
          <w:lang w:eastAsia="zh-CN"/>
        </w:rPr>
        <w:t>、作</w:t>
      </w:r>
      <w:r>
        <w:rPr>
          <w:rFonts w:hint="eastAsia" w:ascii="宋体" w:hAnsi="宋体" w:eastAsia="宋体" w:cs="宋体"/>
          <w:color w:val="auto"/>
          <w:sz w:val="24"/>
          <w:szCs w:val="24"/>
        </w:rPr>
        <w:t>为无效投标。</w:t>
      </w:r>
    </w:p>
    <w:p w14:paraId="4A9FD989">
      <w:pPr>
        <w:widowControl w:val="0"/>
        <w:snapToGrid w:val="0"/>
        <w:spacing w:line="560" w:lineRule="exact"/>
        <w:ind w:firstLine="555"/>
        <w:rPr>
          <w:rFonts w:hint="eastAsia" w:ascii="宋体" w:hAnsi="宋体" w:eastAsia="宋体" w:cs="宋体"/>
          <w:color w:val="auto"/>
          <w:sz w:val="24"/>
          <w:szCs w:val="24"/>
        </w:rPr>
      </w:pPr>
    </w:p>
    <w:p w14:paraId="353B92C9">
      <w:pPr>
        <w:widowControl w:val="0"/>
        <w:snapToGrid w:val="0"/>
        <w:spacing w:line="560" w:lineRule="exact"/>
        <w:ind w:firstLine="555"/>
        <w:rPr>
          <w:rFonts w:hint="eastAsia" w:ascii="宋体" w:hAnsi="宋体" w:eastAsia="宋体" w:cs="宋体"/>
          <w:color w:val="auto"/>
          <w:sz w:val="24"/>
          <w:szCs w:val="24"/>
        </w:rPr>
      </w:pPr>
    </w:p>
    <w:p w14:paraId="099B54BD">
      <w:pPr>
        <w:widowControl w:val="0"/>
        <w:snapToGrid w:val="0"/>
        <w:spacing w:line="560" w:lineRule="exact"/>
        <w:ind w:firstLine="555"/>
        <w:rPr>
          <w:rFonts w:hint="eastAsia" w:ascii="宋体" w:hAnsi="宋体" w:eastAsia="宋体" w:cs="宋体"/>
          <w:color w:val="auto"/>
          <w:sz w:val="24"/>
          <w:szCs w:val="24"/>
        </w:rPr>
      </w:pPr>
    </w:p>
    <w:p w14:paraId="136FA6DB">
      <w:pPr>
        <w:autoSpaceDE w:val="0"/>
        <w:autoSpaceDN w:val="0"/>
        <w:adjustRightInd w:val="0"/>
        <w:spacing w:line="360" w:lineRule="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所投医疗设备必须符合国家标准、行业标准和专业标准等相关标准，并符合中华人民共和国国务院令第739号修订后的《医疗器械监督管理条例》相关规定；</w:t>
      </w:r>
      <w:r>
        <w:rPr>
          <w:rFonts w:hint="eastAsia" w:cs="宋体"/>
          <w:b/>
          <w:color w:val="auto"/>
          <w:sz w:val="30"/>
          <w:szCs w:val="30"/>
          <w:lang w:val="en-US" w:eastAsia="zh-CN"/>
        </w:rPr>
        <w:t>（提供承诺函）</w:t>
      </w:r>
    </w:p>
    <w:p w14:paraId="0F534E45">
      <w:pPr>
        <w:autoSpaceDE w:val="0"/>
        <w:autoSpaceDN w:val="0"/>
        <w:adjustRightInd w:val="0"/>
        <w:spacing w:line="360" w:lineRule="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具备法律、行政法规规定的其他条件。</w:t>
      </w:r>
      <w:r>
        <w:rPr>
          <w:rFonts w:hint="eastAsia" w:cs="宋体"/>
          <w:b/>
          <w:color w:val="auto"/>
          <w:sz w:val="30"/>
          <w:szCs w:val="30"/>
          <w:lang w:val="en-US" w:eastAsia="zh-CN"/>
        </w:rPr>
        <w:t>（提供承诺函）</w:t>
      </w:r>
    </w:p>
    <w:p w14:paraId="1F816822">
      <w:pPr>
        <w:autoSpaceDE w:val="0"/>
        <w:autoSpaceDN w:val="0"/>
        <w:adjustRightInd w:val="0"/>
        <w:spacing w:line="360" w:lineRule="auto"/>
        <w:rPr>
          <w:rFonts w:hint="eastAsia" w:ascii="宋体" w:hAnsi="宋体" w:eastAsia="宋体" w:cs="宋体"/>
          <w:b/>
          <w:color w:val="auto"/>
          <w:sz w:val="30"/>
          <w:szCs w:val="30"/>
          <w:lang w:val="en-US" w:eastAsia="zh-CN"/>
        </w:rPr>
      </w:pPr>
    </w:p>
    <w:p w14:paraId="364593DC">
      <w:pPr>
        <w:autoSpaceDE w:val="0"/>
        <w:autoSpaceDN w:val="0"/>
        <w:adjustRightInd w:val="0"/>
        <w:spacing w:line="360" w:lineRule="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本项目（是/否）接受联合体投标：</w:t>
      </w:r>
      <w:r>
        <w:rPr>
          <w:rFonts w:hint="eastAsia" w:ascii="宋体" w:hAnsi="宋体" w:eastAsia="宋体" w:cs="宋体"/>
          <w:b/>
          <w:color w:val="auto"/>
          <w:sz w:val="30"/>
          <w:szCs w:val="30"/>
          <w:lang w:val="en-US" w:eastAsia="zh-CN"/>
        </w:rPr>
        <w:t>否</w:t>
      </w:r>
      <w:r>
        <w:rPr>
          <w:rFonts w:hint="eastAsia" w:cs="宋体"/>
          <w:b/>
          <w:color w:val="auto"/>
          <w:sz w:val="30"/>
          <w:szCs w:val="30"/>
          <w:lang w:val="en-US" w:eastAsia="zh-CN"/>
        </w:rPr>
        <w:t>（提供承诺函）</w:t>
      </w:r>
    </w:p>
    <w:p w14:paraId="6E8646A9">
      <w:pPr>
        <w:widowControl w:val="0"/>
        <w:snapToGrid w:val="0"/>
        <w:spacing w:line="560" w:lineRule="exact"/>
        <w:ind w:firstLine="555"/>
        <w:rPr>
          <w:rFonts w:hint="eastAsia" w:ascii="宋体" w:hAnsi="宋体" w:eastAsia="宋体" w:cs="宋体"/>
          <w:color w:val="auto"/>
          <w:sz w:val="24"/>
          <w:szCs w:val="24"/>
        </w:rPr>
      </w:pPr>
    </w:p>
    <w:p w14:paraId="25DDF437">
      <w:pPr>
        <w:autoSpaceDE w:val="0"/>
        <w:autoSpaceDN w:val="0"/>
        <w:adjustRightInd w:val="0"/>
        <w:spacing w:line="360" w:lineRule="auto"/>
        <w:jc w:val="center"/>
        <w:rPr>
          <w:rFonts w:hint="eastAsia" w:ascii="宋体" w:hAnsi="宋体" w:eastAsia="宋体" w:cs="宋体"/>
          <w:b/>
          <w:color w:val="auto"/>
          <w:sz w:val="30"/>
          <w:szCs w:val="30"/>
        </w:rPr>
      </w:pPr>
    </w:p>
    <w:p w14:paraId="44FC8FFD">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2F700CD3">
      <w:pPr>
        <w:spacing w:line="588" w:lineRule="exact"/>
        <w:jc w:val="center"/>
        <w:rPr>
          <w:rFonts w:hint="eastAsia" w:ascii="宋体" w:hAnsi="宋体" w:eastAsia="宋体" w:cs="宋体"/>
          <w:b/>
          <w:color w:val="auto"/>
          <w:sz w:val="24"/>
          <w:szCs w:val="24"/>
        </w:rPr>
      </w:pPr>
      <w:r>
        <w:rPr>
          <w:rFonts w:hint="eastAsia" w:ascii="宋体" w:hAnsi="宋体" w:eastAsia="宋体" w:cs="宋体"/>
          <w:b/>
          <w:color w:val="auto"/>
          <w:sz w:val="30"/>
          <w:szCs w:val="30"/>
        </w:rPr>
        <w:t>中小企业声明函</w:t>
      </w:r>
    </w:p>
    <w:p w14:paraId="3C9261B0">
      <w:pPr>
        <w:spacing w:line="588" w:lineRule="exact"/>
        <w:jc w:val="center"/>
        <w:rPr>
          <w:rFonts w:hint="eastAsia" w:ascii="宋体" w:hAnsi="宋体" w:eastAsia="宋体" w:cs="宋体"/>
          <w:b/>
          <w:color w:val="auto"/>
          <w:sz w:val="30"/>
          <w:szCs w:val="30"/>
        </w:rPr>
      </w:pPr>
    </w:p>
    <w:p w14:paraId="059BFB4F">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本公司（联合体）郑重声明，根据《政府采购促进中小企业发展管理办法》（财库〔2020〕46号）的规定，本公司(联合体）参加</w:t>
      </w:r>
      <w:r>
        <w:rPr>
          <w:rFonts w:hint="eastAsia" w:ascii="宋体" w:hAnsi="宋体" w:eastAsia="宋体" w:cs="宋体"/>
          <w:color w:val="auto"/>
          <w:spacing w:val="6"/>
          <w:sz w:val="24"/>
          <w:szCs w:val="24"/>
          <w:u w:val="single"/>
        </w:rPr>
        <w:t>（单位名称）</w:t>
      </w:r>
      <w:r>
        <w:rPr>
          <w:rFonts w:hint="eastAsia" w:ascii="宋体" w:hAnsi="宋体" w:eastAsia="宋体" w:cs="宋体"/>
          <w:color w:val="auto"/>
          <w:spacing w:val="6"/>
          <w:sz w:val="24"/>
          <w:szCs w:val="24"/>
        </w:rPr>
        <w:t>的</w:t>
      </w:r>
      <w:r>
        <w:rPr>
          <w:rFonts w:hint="eastAsia" w:ascii="宋体" w:hAnsi="宋体" w:eastAsia="宋体" w:cs="宋体"/>
          <w:color w:val="auto"/>
          <w:spacing w:val="6"/>
          <w:sz w:val="24"/>
          <w:szCs w:val="24"/>
          <w:u w:val="single"/>
        </w:rPr>
        <w:t>（项目名称）</w:t>
      </w:r>
      <w:r>
        <w:rPr>
          <w:rFonts w:hint="eastAsia" w:ascii="宋体" w:hAnsi="宋体" w:eastAsia="宋体" w:cs="宋体"/>
          <w:color w:val="auto"/>
          <w:spacing w:val="6"/>
          <w:sz w:val="24"/>
          <w:szCs w:val="24"/>
        </w:rPr>
        <w:t>采购活动，提供的货物全部由符合政策要求的中小企业制造。相关企业 (含联合体中的中小企业、签订分包意向协议的中小企业）的具体情况如下：</w:t>
      </w:r>
    </w:p>
    <w:p w14:paraId="0652B158">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u w:val="single"/>
        </w:rPr>
        <w:t>(标的名称)</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rPr>
        <w:t>（</w:t>
      </w:r>
      <w:r>
        <w:rPr>
          <w:rFonts w:hint="eastAsia" w:cs="宋体"/>
          <w:color w:val="auto"/>
          <w:spacing w:val="6"/>
          <w:sz w:val="24"/>
          <w:szCs w:val="24"/>
          <w:u w:val="single"/>
          <w:lang w:val="en-US" w:eastAsia="zh-CN"/>
        </w:rPr>
        <w:t>招标</w:t>
      </w:r>
      <w:r>
        <w:rPr>
          <w:rFonts w:hint="eastAsia" w:ascii="宋体" w:hAnsi="宋体" w:eastAsia="宋体" w:cs="宋体"/>
          <w:color w:val="auto"/>
          <w:spacing w:val="6"/>
          <w:sz w:val="24"/>
          <w:szCs w:val="24"/>
          <w:u w:val="single"/>
        </w:rPr>
        <w:t>文件中明确的所属行业)</w:t>
      </w:r>
      <w:r>
        <w:rPr>
          <w:rFonts w:hint="eastAsia" w:ascii="宋体" w:hAnsi="宋体" w:eastAsia="宋体" w:cs="宋体"/>
          <w:color w:val="auto"/>
          <w:spacing w:val="6"/>
          <w:sz w:val="24"/>
          <w:szCs w:val="24"/>
        </w:rPr>
        <w:t>行业， 制造商为</w:t>
      </w:r>
      <w:r>
        <w:rPr>
          <w:rFonts w:hint="eastAsia" w:ascii="宋体" w:hAnsi="宋体" w:eastAsia="宋体" w:cs="宋体"/>
          <w:color w:val="auto"/>
          <w:spacing w:val="6"/>
          <w:sz w:val="24"/>
          <w:szCs w:val="24"/>
          <w:u w:val="single"/>
        </w:rPr>
        <w:t>（企业名称)</w:t>
      </w:r>
      <w:r>
        <w:rPr>
          <w:rFonts w:hint="eastAsia" w:ascii="宋体" w:hAnsi="宋体" w:eastAsia="宋体" w:cs="宋体"/>
          <w:color w:val="auto"/>
          <w:spacing w:val="6"/>
          <w:sz w:val="24"/>
          <w:szCs w:val="24"/>
        </w:rPr>
        <w:t>，从业人员</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人，营业收入为</w:t>
      </w:r>
      <w:r>
        <w:rPr>
          <w:rFonts w:hint="eastAsia" w:ascii="宋体" w:hAnsi="宋体" w:eastAsia="宋体" w:cs="宋体"/>
          <w:color w:val="auto"/>
          <w:spacing w:val="6"/>
          <w:sz w:val="24"/>
          <w:szCs w:val="24"/>
          <w:u w:val="single"/>
        </w:rPr>
        <w:t xml:space="preserve"> </w:t>
      </w:r>
      <w:r>
        <w:rPr>
          <w:rFonts w:hint="eastAsia"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 xml:space="preserve">万元，资产总额为 </w:t>
      </w:r>
      <w:r>
        <w:rPr>
          <w:rFonts w:hint="eastAsia" w:ascii="宋体" w:hAnsi="宋体" w:eastAsia="宋体" w:cs="宋体"/>
          <w:color w:val="auto"/>
          <w:spacing w:val="6"/>
          <w:sz w:val="24"/>
          <w:szCs w:val="24"/>
          <w:u w:val="single"/>
        </w:rPr>
        <w:t xml:space="preserve"> </w:t>
      </w:r>
      <w:r>
        <w:rPr>
          <w:rFonts w:hint="eastAsia"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万元</w:t>
      </w:r>
      <w:r>
        <w:rPr>
          <w:rFonts w:hint="eastAsia" w:ascii="宋体" w:hAnsi="宋体" w:eastAsia="宋体" w:cs="宋体"/>
          <w:color w:val="auto"/>
          <w:spacing w:val="6"/>
          <w:sz w:val="24"/>
          <w:szCs w:val="24"/>
          <w:vertAlign w:val="superscript"/>
        </w:rPr>
        <w:t>1</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rPr>
        <w:t>（中型企业、小型企业、微型企业）</w:t>
      </w:r>
      <w:r>
        <w:rPr>
          <w:rFonts w:hint="eastAsia" w:ascii="宋体" w:hAnsi="宋体" w:eastAsia="宋体" w:cs="宋体"/>
          <w:color w:val="auto"/>
          <w:spacing w:val="6"/>
          <w:sz w:val="24"/>
          <w:szCs w:val="24"/>
        </w:rPr>
        <w:t>；</w:t>
      </w:r>
    </w:p>
    <w:p w14:paraId="2120AE9E">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2. </w:t>
      </w:r>
      <w:r>
        <w:rPr>
          <w:rFonts w:hint="eastAsia" w:ascii="宋体" w:hAnsi="宋体" w:eastAsia="宋体" w:cs="宋体"/>
          <w:color w:val="auto"/>
          <w:spacing w:val="6"/>
          <w:sz w:val="24"/>
          <w:szCs w:val="24"/>
          <w:u w:val="single"/>
        </w:rPr>
        <w:t>(标的名称)</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rPr>
        <w:t>（</w:t>
      </w:r>
      <w:r>
        <w:rPr>
          <w:rFonts w:hint="eastAsia" w:cs="宋体"/>
          <w:color w:val="auto"/>
          <w:spacing w:val="6"/>
          <w:sz w:val="24"/>
          <w:szCs w:val="24"/>
          <w:u w:val="single"/>
          <w:lang w:val="en-US" w:eastAsia="zh-CN"/>
        </w:rPr>
        <w:t>招标</w:t>
      </w:r>
      <w:r>
        <w:rPr>
          <w:rFonts w:hint="eastAsia" w:ascii="宋体" w:hAnsi="宋体" w:eastAsia="宋体" w:cs="宋体"/>
          <w:color w:val="auto"/>
          <w:spacing w:val="6"/>
          <w:sz w:val="24"/>
          <w:szCs w:val="24"/>
          <w:u w:val="single"/>
        </w:rPr>
        <w:t>文件中明确的所属行业)</w:t>
      </w:r>
      <w:r>
        <w:rPr>
          <w:rFonts w:hint="eastAsia" w:ascii="宋体" w:hAnsi="宋体" w:eastAsia="宋体" w:cs="宋体"/>
          <w:color w:val="auto"/>
          <w:spacing w:val="6"/>
          <w:sz w:val="24"/>
          <w:szCs w:val="24"/>
        </w:rPr>
        <w:t>行业， 制造商为</w:t>
      </w:r>
      <w:r>
        <w:rPr>
          <w:rFonts w:hint="eastAsia" w:ascii="宋体" w:hAnsi="宋体" w:eastAsia="宋体" w:cs="宋体"/>
          <w:color w:val="auto"/>
          <w:spacing w:val="6"/>
          <w:sz w:val="24"/>
          <w:szCs w:val="24"/>
          <w:u w:val="single"/>
        </w:rPr>
        <w:t>（企业名称)</w:t>
      </w:r>
      <w:r>
        <w:rPr>
          <w:rFonts w:hint="eastAsia" w:ascii="宋体" w:hAnsi="宋体" w:eastAsia="宋体" w:cs="宋体"/>
          <w:color w:val="auto"/>
          <w:spacing w:val="6"/>
          <w:sz w:val="24"/>
          <w:szCs w:val="24"/>
        </w:rPr>
        <w:t>，从业人员</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人，营业收入为</w:t>
      </w:r>
      <w:r>
        <w:rPr>
          <w:rFonts w:hint="eastAsia" w:ascii="宋体" w:hAnsi="宋体" w:eastAsia="宋体" w:cs="宋体"/>
          <w:color w:val="auto"/>
          <w:spacing w:val="6"/>
          <w:sz w:val="24"/>
          <w:szCs w:val="24"/>
          <w:u w:val="single"/>
        </w:rPr>
        <w:t xml:space="preserve"> </w:t>
      </w:r>
      <w:r>
        <w:rPr>
          <w:rFonts w:hint="eastAsia" w:cs="宋体"/>
          <w:color w:val="auto"/>
          <w:spacing w:val="6"/>
          <w:sz w:val="24"/>
          <w:szCs w:val="24"/>
          <w:u w:val="single"/>
          <w:lang w:val="en-US" w:eastAsia="zh-CN"/>
        </w:rPr>
        <w:t xml:space="preserve">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万元，资产总额为 </w:t>
      </w:r>
      <w:r>
        <w:rPr>
          <w:rFonts w:hint="eastAsia" w:ascii="宋体" w:hAnsi="宋体" w:eastAsia="宋体" w:cs="宋体"/>
          <w:color w:val="auto"/>
          <w:spacing w:val="6"/>
          <w:sz w:val="24"/>
          <w:szCs w:val="24"/>
          <w:u w:val="single"/>
        </w:rPr>
        <w:t xml:space="preserve"> </w:t>
      </w:r>
      <w:r>
        <w:rPr>
          <w:rFonts w:hint="eastAsia"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万元，属于</w:t>
      </w:r>
      <w:r>
        <w:rPr>
          <w:rFonts w:hint="eastAsia" w:ascii="宋体" w:hAnsi="宋体" w:eastAsia="宋体" w:cs="宋体"/>
          <w:color w:val="auto"/>
          <w:spacing w:val="6"/>
          <w:sz w:val="24"/>
          <w:szCs w:val="24"/>
          <w:u w:val="single"/>
        </w:rPr>
        <w:t>（中型企业、小 型企业、微型企业）</w:t>
      </w:r>
      <w:r>
        <w:rPr>
          <w:rFonts w:hint="eastAsia" w:ascii="宋体" w:hAnsi="宋体" w:eastAsia="宋体" w:cs="宋体"/>
          <w:color w:val="auto"/>
          <w:spacing w:val="6"/>
          <w:sz w:val="24"/>
          <w:szCs w:val="24"/>
        </w:rPr>
        <w:t>；</w:t>
      </w:r>
    </w:p>
    <w:p w14:paraId="659CA3B2">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w:t>
      </w:r>
    </w:p>
    <w:p w14:paraId="1A6E667F">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以上企业，不属于大企业的分支机构，不存在控股股东为大企业的情形，也不存在与大企业的负责人为同一人的情形。</w:t>
      </w:r>
    </w:p>
    <w:p w14:paraId="5A528590">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本企业对上述声明内容的真实性负责。如有虚假，将依法承担相应责任。</w:t>
      </w:r>
    </w:p>
    <w:p w14:paraId="6D000F30">
      <w:pPr>
        <w:spacing w:line="588" w:lineRule="exact"/>
        <w:rPr>
          <w:rFonts w:hint="eastAsia" w:ascii="宋体" w:hAnsi="宋体" w:eastAsia="宋体" w:cs="宋体"/>
          <w:color w:val="auto"/>
          <w:spacing w:val="6"/>
          <w:sz w:val="24"/>
          <w:szCs w:val="24"/>
        </w:rPr>
      </w:pPr>
    </w:p>
    <w:p w14:paraId="4B6A4C90">
      <w:pPr>
        <w:pStyle w:val="78"/>
        <w:shd w:val="clear" w:color="auto" w:fill="auto"/>
        <w:spacing w:after="228" w:line="300" w:lineRule="exact"/>
        <w:ind w:firstLine="4536" w:firstLineChars="1512"/>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r>
        <w:rPr>
          <w:rFonts w:hint="eastAsia" w:ascii="宋体" w:hAnsi="宋体" w:eastAsia="宋体" w:cs="宋体"/>
          <w:color w:val="auto"/>
          <w:sz w:val="24"/>
          <w:szCs w:val="24"/>
          <w:lang w:bidi="en-US"/>
        </w:rPr>
        <w:t>）</w:t>
      </w:r>
    </w:p>
    <w:p w14:paraId="7FBB1C0B">
      <w:pPr>
        <w:autoSpaceDE w:val="0"/>
        <w:autoSpaceDN w:val="0"/>
        <w:adjustRightInd w:val="0"/>
        <w:spacing w:line="360" w:lineRule="auto"/>
        <w:ind w:firstLine="4536" w:firstLineChars="189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43F57725">
      <w:pPr>
        <w:spacing w:line="588" w:lineRule="exact"/>
        <w:ind w:firstLine="504" w:firstLineChars="200"/>
        <w:rPr>
          <w:rFonts w:hint="eastAsia" w:ascii="宋体" w:hAnsi="宋体" w:eastAsia="宋体" w:cs="宋体"/>
          <w:color w:val="auto"/>
          <w:spacing w:val="6"/>
          <w:sz w:val="24"/>
          <w:szCs w:val="24"/>
        </w:rPr>
      </w:pPr>
    </w:p>
    <w:p w14:paraId="09952E93">
      <w:pPr>
        <w:spacing w:line="240" w:lineRule="auto"/>
        <w:jc w:val="center"/>
        <w:textAlignment w:val="auto"/>
        <w:rPr>
          <w:rFonts w:hint="eastAsia" w:ascii="宋体" w:hAnsi="宋体" w:eastAsia="宋体" w:cs="宋体"/>
          <w:b/>
          <w:color w:val="auto"/>
          <w:sz w:val="30"/>
          <w:szCs w:val="30"/>
        </w:rPr>
      </w:pPr>
    </w:p>
    <w:p w14:paraId="662CC366">
      <w:pPr>
        <w:spacing w:line="240" w:lineRule="auto"/>
        <w:rPr>
          <w:rStyle w:val="77"/>
          <w:rFonts w:hint="eastAsia" w:ascii="宋体" w:hAnsi="宋体" w:eastAsia="宋体" w:cs="宋体"/>
          <w:color w:val="auto"/>
        </w:rPr>
      </w:pPr>
      <w:r>
        <w:rPr>
          <w:rFonts w:hint="eastAsia" w:ascii="宋体" w:hAnsi="宋体" w:eastAsia="宋体" w:cs="宋体"/>
          <w:color w:val="auto"/>
          <w:sz w:val="18"/>
          <w:szCs w:val="18"/>
        </w:rPr>
        <w:t>注：1、</w:t>
      </w:r>
      <w:r>
        <w:rPr>
          <w:rStyle w:val="76"/>
          <w:rFonts w:hint="eastAsia" w:ascii="宋体" w:hAnsi="宋体" w:eastAsia="宋体" w:cs="宋体"/>
          <w:color w:val="auto"/>
          <w:sz w:val="18"/>
          <w:szCs w:val="18"/>
          <w:vertAlign w:val="superscript"/>
        </w:rPr>
        <w:t>1</w:t>
      </w:r>
      <w:r>
        <w:rPr>
          <w:rStyle w:val="77"/>
          <w:rFonts w:hint="eastAsia" w:ascii="宋体" w:hAnsi="宋体" w:eastAsia="宋体" w:cs="宋体"/>
          <w:color w:val="auto"/>
        </w:rPr>
        <w:t>从业人员、营业收入、资产总额填报上一年度数据，无上一年度数据的新成立企业可不填报。</w:t>
      </w:r>
    </w:p>
    <w:p w14:paraId="27AEA6E1">
      <w:pPr>
        <w:spacing w:line="240" w:lineRule="auto"/>
        <w:rPr>
          <w:rFonts w:hint="eastAsia" w:ascii="宋体" w:hAnsi="宋体" w:eastAsia="宋体" w:cs="宋体"/>
          <w:color w:val="auto"/>
          <w:sz w:val="18"/>
          <w:szCs w:val="18"/>
        </w:rPr>
      </w:pPr>
      <w:r>
        <w:rPr>
          <w:rStyle w:val="77"/>
          <w:rFonts w:hint="eastAsia" w:ascii="宋体" w:hAnsi="宋体" w:eastAsia="宋体" w:cs="宋体"/>
          <w:color w:val="auto"/>
        </w:rPr>
        <w:t xml:space="preserve">     2、招标文件中未标注“专门面向中小企业采购”的未预留（非预留）项目，投标人可以根据自身情况提供《中小企业声明函》，未提供《中小企业声明函》的、将不享受小微企业价格扣除扶持政策。</w:t>
      </w:r>
    </w:p>
    <w:p w14:paraId="20F2E250">
      <w:pPr>
        <w:spacing w:line="240" w:lineRule="auto"/>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1278C983">
      <w:pPr>
        <w:spacing w:line="240" w:lineRule="auto"/>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残疾人福利性单位声明函</w:t>
      </w:r>
      <w:r>
        <w:rPr>
          <w:rFonts w:hint="eastAsia" w:ascii="宋体" w:hAnsi="宋体" w:eastAsia="宋体" w:cs="宋体"/>
          <w:color w:val="auto"/>
          <w:spacing w:val="6"/>
          <w:sz w:val="24"/>
          <w:szCs w:val="24"/>
        </w:rPr>
        <w:t>（如符合条件时填写</w:t>
      </w:r>
      <w:r>
        <w:rPr>
          <w:rFonts w:hint="eastAsia" w:ascii="宋体" w:hAnsi="宋体" w:eastAsia="宋体" w:cs="宋体"/>
          <w:color w:val="auto"/>
          <w:spacing w:val="6"/>
          <w:sz w:val="28"/>
          <w:szCs w:val="28"/>
          <w:vertAlign w:val="superscript"/>
        </w:rPr>
        <w:t>*</w:t>
      </w:r>
      <w:r>
        <w:rPr>
          <w:rFonts w:hint="eastAsia" w:ascii="宋体" w:hAnsi="宋体" w:eastAsia="宋体" w:cs="宋体"/>
          <w:color w:val="auto"/>
          <w:spacing w:val="6"/>
          <w:sz w:val="24"/>
          <w:szCs w:val="24"/>
        </w:rPr>
        <w:t>）</w:t>
      </w:r>
    </w:p>
    <w:p w14:paraId="7016E50B">
      <w:pPr>
        <w:spacing w:line="588" w:lineRule="exact"/>
        <w:rPr>
          <w:rFonts w:hint="eastAsia" w:ascii="宋体" w:hAnsi="宋体" w:eastAsia="宋体" w:cs="宋体"/>
          <w:b/>
          <w:color w:val="auto"/>
          <w:spacing w:val="6"/>
          <w:sz w:val="30"/>
          <w:szCs w:val="30"/>
        </w:rPr>
      </w:pPr>
    </w:p>
    <w:p w14:paraId="3C2222CE">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13C418">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515A4ACA">
      <w:pPr>
        <w:spacing w:line="588" w:lineRule="exact"/>
        <w:ind w:firstLine="504" w:firstLineChars="200"/>
        <w:rPr>
          <w:rFonts w:hint="eastAsia" w:ascii="宋体" w:hAnsi="宋体" w:eastAsia="宋体" w:cs="宋体"/>
          <w:color w:val="auto"/>
          <w:spacing w:val="6"/>
          <w:sz w:val="24"/>
          <w:szCs w:val="24"/>
        </w:rPr>
      </w:pPr>
    </w:p>
    <w:p w14:paraId="630B2BE8">
      <w:pPr>
        <w:spacing w:line="588" w:lineRule="exact"/>
        <w:ind w:firstLine="504" w:firstLineChars="200"/>
        <w:rPr>
          <w:rFonts w:hint="eastAsia" w:ascii="宋体" w:hAnsi="宋体" w:eastAsia="宋体" w:cs="宋体"/>
          <w:color w:val="auto"/>
          <w:spacing w:val="6"/>
          <w:sz w:val="24"/>
          <w:szCs w:val="24"/>
        </w:rPr>
      </w:pPr>
    </w:p>
    <w:p w14:paraId="1919EFCE">
      <w:pPr>
        <w:spacing w:line="588" w:lineRule="exact"/>
        <w:ind w:firstLine="504" w:firstLineChars="200"/>
        <w:rPr>
          <w:rFonts w:hint="eastAsia" w:ascii="宋体" w:hAnsi="宋体" w:eastAsia="宋体" w:cs="宋体"/>
          <w:color w:val="auto"/>
          <w:spacing w:val="6"/>
          <w:sz w:val="24"/>
          <w:szCs w:val="24"/>
        </w:rPr>
      </w:pPr>
    </w:p>
    <w:p w14:paraId="3080C7BD">
      <w:pPr>
        <w:snapToGrid w:val="0"/>
        <w:spacing w:before="100" w:beforeAutospacing="1" w:after="100" w:afterAutospacing="1" w:line="700" w:lineRule="exact"/>
        <w:ind w:right="641" w:firstLine="4960" w:firstLineChars="2067"/>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r>
        <w:rPr>
          <w:rFonts w:hint="eastAsia" w:ascii="宋体" w:hAnsi="宋体" w:eastAsia="宋体" w:cs="宋体"/>
          <w:color w:val="auto"/>
          <w:sz w:val="24"/>
          <w:szCs w:val="24"/>
          <w:lang w:bidi="en-US"/>
        </w:rPr>
        <w:t>）</w:t>
      </w:r>
      <w:r>
        <w:rPr>
          <w:rFonts w:hint="eastAsia" w:ascii="宋体" w:hAnsi="宋体" w:eastAsia="宋体" w:cs="宋体"/>
          <w:color w:val="auto"/>
          <w:sz w:val="24"/>
          <w:szCs w:val="24"/>
        </w:rPr>
        <w:t>：</w:t>
      </w:r>
    </w:p>
    <w:p w14:paraId="7AF34540">
      <w:pPr>
        <w:snapToGrid w:val="0"/>
        <w:spacing w:before="100" w:beforeAutospacing="1" w:after="100" w:afterAutospacing="1" w:line="540" w:lineRule="exact"/>
        <w:ind w:right="85" w:firstLine="5016" w:firstLineChars="2090"/>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129ADC43">
      <w:pPr>
        <w:snapToGrid w:val="0"/>
        <w:spacing w:before="100" w:beforeAutospacing="1" w:after="100" w:afterAutospacing="1" w:line="540" w:lineRule="exact"/>
        <w:ind w:right="85" w:firstLine="5016" w:firstLineChars="2090"/>
        <w:jc w:val="left"/>
        <w:textAlignment w:val="top"/>
        <w:rPr>
          <w:rFonts w:hint="eastAsia" w:ascii="宋体" w:hAnsi="宋体" w:eastAsia="宋体" w:cs="宋体"/>
          <w:color w:val="auto"/>
          <w:sz w:val="24"/>
          <w:szCs w:val="24"/>
        </w:rPr>
      </w:pPr>
    </w:p>
    <w:p w14:paraId="5569DFAC">
      <w:pPr>
        <w:snapToGrid w:val="0"/>
        <w:spacing w:before="100" w:beforeAutospacing="1" w:after="100" w:afterAutospacing="1" w:line="540" w:lineRule="exact"/>
        <w:ind w:right="85" w:firstLine="5016" w:firstLineChars="2090"/>
        <w:jc w:val="left"/>
        <w:textAlignment w:val="top"/>
        <w:rPr>
          <w:rFonts w:hint="eastAsia" w:ascii="宋体" w:hAnsi="宋体" w:eastAsia="宋体" w:cs="宋体"/>
          <w:color w:val="auto"/>
          <w:sz w:val="24"/>
          <w:szCs w:val="24"/>
        </w:rPr>
      </w:pPr>
    </w:p>
    <w:p w14:paraId="12250CF5">
      <w:pPr>
        <w:snapToGrid w:val="0"/>
        <w:spacing w:before="100" w:beforeAutospacing="1" w:after="100" w:afterAutospacing="1" w:line="540" w:lineRule="exact"/>
        <w:ind w:right="85" w:firstLine="5016" w:firstLineChars="2090"/>
        <w:jc w:val="left"/>
        <w:textAlignment w:val="top"/>
        <w:rPr>
          <w:rFonts w:hint="eastAsia" w:ascii="宋体" w:hAnsi="宋体" w:eastAsia="宋体" w:cs="宋体"/>
          <w:color w:val="auto"/>
          <w:sz w:val="24"/>
          <w:szCs w:val="24"/>
        </w:rPr>
      </w:pPr>
    </w:p>
    <w:p w14:paraId="06F066EC">
      <w:pPr>
        <w:snapToGrid w:val="0"/>
        <w:spacing w:before="100" w:beforeAutospacing="1" w:after="100" w:afterAutospacing="1" w:line="540" w:lineRule="exact"/>
        <w:ind w:right="85" w:firstLine="5016" w:firstLineChars="2090"/>
        <w:jc w:val="left"/>
        <w:textAlignment w:val="top"/>
        <w:rPr>
          <w:rFonts w:hint="eastAsia" w:ascii="宋体" w:hAnsi="宋体" w:eastAsia="宋体" w:cs="宋体"/>
          <w:color w:val="auto"/>
          <w:sz w:val="24"/>
          <w:szCs w:val="24"/>
        </w:rPr>
      </w:pPr>
    </w:p>
    <w:p w14:paraId="560E1D91">
      <w:pPr>
        <w:shd w:val="clear" w:color="auto" w:fill="FFFFFF"/>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14:paraId="21E92336">
      <w:pPr>
        <w:spacing w:line="240" w:lineRule="auto"/>
        <w:ind w:firstLine="450" w:firstLineChars="250"/>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b/>
          <w:color w:val="auto"/>
          <w:spacing w:val="6"/>
          <w:sz w:val="18"/>
          <w:szCs w:val="18"/>
          <w:vertAlign w:val="superscript"/>
        </w:rPr>
        <w:t>*</w:t>
      </w:r>
      <w:r>
        <w:rPr>
          <w:rFonts w:hint="eastAsia" w:ascii="宋体" w:hAnsi="宋体" w:eastAsia="宋体" w:cs="宋体"/>
          <w:color w:val="auto"/>
          <w:sz w:val="18"/>
          <w:szCs w:val="18"/>
        </w:rPr>
        <w:t>本格式在残疾人福利性单位申请报价格扣除时填写，未填写不享受小微价格扣除，但不作为无效投标。</w:t>
      </w:r>
    </w:p>
    <w:p w14:paraId="552BF388">
      <w:pPr>
        <w:spacing w:line="240" w:lineRule="auto"/>
        <w:ind w:firstLine="450" w:firstLineChars="250"/>
        <w:rPr>
          <w:rFonts w:hint="eastAsia" w:ascii="宋体" w:hAnsi="宋体" w:eastAsia="宋体" w:cs="宋体"/>
          <w:color w:val="auto"/>
          <w:sz w:val="18"/>
          <w:szCs w:val="18"/>
        </w:rPr>
      </w:pPr>
      <w:r>
        <w:rPr>
          <w:rFonts w:hint="eastAsia" w:ascii="宋体" w:hAnsi="宋体" w:eastAsia="宋体" w:cs="宋体"/>
          <w:color w:val="auto"/>
          <w:sz w:val="18"/>
          <w:szCs w:val="18"/>
        </w:rPr>
        <w:t>残疾人福利性单位属于小型、微型企业的，可只填写“ 中小企业声明函”，不再填写“残疾人福利性单位声明函”。</w:t>
      </w:r>
    </w:p>
    <w:p w14:paraId="6339ED99">
      <w:pPr>
        <w:spacing w:line="240" w:lineRule="auto"/>
        <w:ind w:firstLine="450" w:firstLineChars="250"/>
        <w:rPr>
          <w:rFonts w:hint="eastAsia" w:ascii="宋体" w:hAnsi="宋体" w:eastAsia="宋体" w:cs="宋体"/>
          <w:color w:val="auto"/>
          <w:sz w:val="18"/>
          <w:szCs w:val="18"/>
        </w:rPr>
      </w:pPr>
      <w:r>
        <w:rPr>
          <w:rFonts w:hint="eastAsia" w:ascii="宋体" w:hAnsi="宋体" w:eastAsia="宋体" w:cs="宋体"/>
          <w:color w:val="auto"/>
          <w:sz w:val="18"/>
          <w:szCs w:val="18"/>
        </w:rPr>
        <w:t>3、残疾人福利性单位填写“残疾人福利性单位声明函”后，仍需同时填写“中小企业声明函”、可在“中小企业声明函”注明“属于符合条件的残疾人福利性单位、视同小型、微型企业”。</w:t>
      </w:r>
    </w:p>
    <w:p w14:paraId="229780F0">
      <w:pPr>
        <w:widowControl w:val="0"/>
        <w:tabs>
          <w:tab w:val="left" w:pos="9365"/>
        </w:tabs>
        <w:snapToGrid w:val="0"/>
        <w:spacing w:after="56" w:line="560" w:lineRule="exact"/>
        <w:ind w:right="85"/>
        <w:jc w:val="center"/>
        <w:textAlignment w:val="top"/>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rPr>
        <w:t>《政府采购法》第二十二条第一款规定的</w:t>
      </w:r>
      <w:r>
        <w:rPr>
          <w:rFonts w:hint="eastAsia" w:cs="宋体"/>
          <w:b/>
          <w:color w:val="auto"/>
          <w:sz w:val="30"/>
          <w:szCs w:val="30"/>
          <w:lang w:eastAsia="zh-CN"/>
        </w:rPr>
        <w:t>投标人</w:t>
      </w:r>
      <w:r>
        <w:rPr>
          <w:rFonts w:hint="eastAsia" w:ascii="宋体" w:hAnsi="宋体" w:eastAsia="宋体" w:cs="宋体"/>
          <w:b/>
          <w:color w:val="auto"/>
          <w:sz w:val="30"/>
          <w:szCs w:val="30"/>
        </w:rPr>
        <w:t>基础性资格的</w:t>
      </w:r>
    </w:p>
    <w:p w14:paraId="61CEA539">
      <w:pPr>
        <w:widowControl w:val="0"/>
        <w:tabs>
          <w:tab w:val="left" w:pos="9365"/>
        </w:tabs>
        <w:snapToGrid w:val="0"/>
        <w:spacing w:after="56" w:line="560" w:lineRule="exact"/>
        <w:ind w:right="85"/>
        <w:jc w:val="center"/>
        <w:textAlignment w:val="top"/>
        <w:rPr>
          <w:rFonts w:hint="eastAsia" w:ascii="宋体" w:hAnsi="宋体" w:eastAsia="宋体" w:cs="宋体"/>
          <w:b/>
          <w:color w:val="auto"/>
          <w:sz w:val="30"/>
          <w:szCs w:val="30"/>
        </w:rPr>
      </w:pPr>
      <w:r>
        <w:rPr>
          <w:rFonts w:hint="eastAsia" w:ascii="宋体" w:hAnsi="宋体" w:eastAsia="宋体" w:cs="宋体"/>
          <w:b/>
          <w:color w:val="auto"/>
          <w:sz w:val="30"/>
          <w:szCs w:val="30"/>
        </w:rPr>
        <w:t>承诺函</w:t>
      </w:r>
    </w:p>
    <w:p w14:paraId="1951F8AD">
      <w:pPr>
        <w:widowControl w:val="0"/>
        <w:tabs>
          <w:tab w:val="left" w:pos="9365"/>
        </w:tabs>
        <w:snapToGrid w:val="0"/>
        <w:spacing w:after="56" w:line="560" w:lineRule="exact"/>
        <w:ind w:right="85"/>
        <w:jc w:val="center"/>
        <w:textAlignment w:val="top"/>
        <w:rPr>
          <w:rFonts w:hint="eastAsia" w:ascii="宋体" w:hAnsi="宋体" w:eastAsia="宋体" w:cs="宋体"/>
          <w:b/>
          <w:color w:val="auto"/>
          <w:sz w:val="30"/>
          <w:szCs w:val="30"/>
        </w:rPr>
      </w:pPr>
    </w:p>
    <w:p w14:paraId="5592852B">
      <w:pPr>
        <w:keepNext w:val="0"/>
        <w:keepLines w:val="0"/>
        <w:pageBreakBefore w:val="0"/>
        <w:tabs>
          <w:tab w:val="left" w:pos="9365"/>
        </w:tabs>
        <w:kinsoku/>
        <w:wordWrap/>
        <w:overflowPunct/>
        <w:topLinePunct w:val="0"/>
        <w:autoSpaceDE/>
        <w:autoSpaceDN/>
        <w:bidi w:val="0"/>
        <w:adjustRightInd/>
        <w:spacing w:before="57" w:after="57" w:line="460" w:lineRule="exact"/>
        <w:ind w:right="85" w:firstLine="480" w:firstLineChars="200"/>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一、我公司郑重承诺，我公司符合《政府采购法》第二十二条第一款规定的</w:t>
      </w:r>
      <w:r>
        <w:rPr>
          <w:rFonts w:hint="eastAsia" w:cs="宋体"/>
          <w:color w:val="auto"/>
          <w:sz w:val="24"/>
          <w:szCs w:val="24"/>
          <w:lang w:eastAsia="zh-CN"/>
        </w:rPr>
        <w:t>投标人</w:t>
      </w:r>
      <w:r>
        <w:rPr>
          <w:rFonts w:hint="eastAsia" w:ascii="宋体" w:hAnsi="宋体" w:eastAsia="宋体" w:cs="宋体"/>
          <w:color w:val="auto"/>
          <w:sz w:val="24"/>
          <w:szCs w:val="24"/>
        </w:rPr>
        <w:t>基础性资格条件，具体如下：</w:t>
      </w:r>
    </w:p>
    <w:p w14:paraId="21639A97">
      <w:pPr>
        <w:keepNext w:val="0"/>
        <w:keepLines w:val="0"/>
        <w:pageBreakBefore w:val="0"/>
        <w:tabs>
          <w:tab w:val="left" w:pos="9365"/>
        </w:tabs>
        <w:kinsoku/>
        <w:wordWrap/>
        <w:overflowPunct/>
        <w:topLinePunct w:val="0"/>
        <w:autoSpaceDE/>
        <w:autoSpaceDN/>
        <w:bidi w:val="0"/>
        <w:adjustRightInd/>
        <w:spacing w:before="57" w:after="57" w:line="460" w:lineRule="exact"/>
        <w:ind w:right="85" w:firstLine="424" w:firstLineChars="177"/>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1、我公司承诺具有独立承担民事责任能力；</w:t>
      </w:r>
    </w:p>
    <w:p w14:paraId="650D6EF8">
      <w:pPr>
        <w:keepNext w:val="0"/>
        <w:keepLines w:val="0"/>
        <w:pageBreakBefore w:val="0"/>
        <w:tabs>
          <w:tab w:val="left" w:pos="9365"/>
        </w:tabs>
        <w:kinsoku/>
        <w:wordWrap/>
        <w:overflowPunct/>
        <w:topLinePunct w:val="0"/>
        <w:autoSpaceDE/>
        <w:autoSpaceDN/>
        <w:bidi w:val="0"/>
        <w:adjustRightInd/>
        <w:spacing w:before="57" w:after="57" w:line="460" w:lineRule="exact"/>
        <w:ind w:right="85" w:firstLine="424" w:firstLineChars="177"/>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2、我公司承诺具有良好的商业信誉和健全的财务会计制度；</w:t>
      </w:r>
    </w:p>
    <w:p w14:paraId="0BB4D021">
      <w:pPr>
        <w:keepNext w:val="0"/>
        <w:keepLines w:val="0"/>
        <w:pageBreakBefore w:val="0"/>
        <w:tabs>
          <w:tab w:val="left" w:pos="9365"/>
        </w:tabs>
        <w:kinsoku/>
        <w:wordWrap/>
        <w:overflowPunct/>
        <w:topLinePunct w:val="0"/>
        <w:autoSpaceDE/>
        <w:autoSpaceDN/>
        <w:bidi w:val="0"/>
        <w:adjustRightInd/>
        <w:spacing w:before="57" w:after="57" w:line="460" w:lineRule="exact"/>
        <w:ind w:right="85" w:firstLine="424" w:firstLineChars="177"/>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3、我公司承诺具备履行合同所必需的设备和专业技术能力；</w:t>
      </w:r>
    </w:p>
    <w:p w14:paraId="0AF4AAD4">
      <w:pPr>
        <w:keepNext w:val="0"/>
        <w:keepLines w:val="0"/>
        <w:pageBreakBefore w:val="0"/>
        <w:tabs>
          <w:tab w:val="left" w:pos="9365"/>
        </w:tabs>
        <w:kinsoku/>
        <w:wordWrap/>
        <w:overflowPunct/>
        <w:topLinePunct w:val="0"/>
        <w:autoSpaceDE/>
        <w:autoSpaceDN/>
        <w:bidi w:val="0"/>
        <w:adjustRightInd/>
        <w:spacing w:before="57" w:after="57" w:line="460" w:lineRule="exact"/>
        <w:ind w:right="85" w:firstLine="424" w:firstLineChars="177"/>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4、我公司承诺具有依法缴纳税收和社会保障资金的良好记录；</w:t>
      </w:r>
    </w:p>
    <w:p w14:paraId="3A347B52">
      <w:pPr>
        <w:keepNext w:val="0"/>
        <w:keepLines w:val="0"/>
        <w:pageBreakBefore w:val="0"/>
        <w:tabs>
          <w:tab w:val="left" w:pos="9365"/>
        </w:tabs>
        <w:kinsoku/>
        <w:wordWrap/>
        <w:overflowPunct/>
        <w:topLinePunct w:val="0"/>
        <w:autoSpaceDE/>
        <w:autoSpaceDN/>
        <w:bidi w:val="0"/>
        <w:adjustRightInd/>
        <w:spacing w:before="57" w:after="57" w:line="460" w:lineRule="exact"/>
        <w:ind w:right="85" w:firstLine="424" w:firstLineChars="177"/>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5、我公司承诺在参加政府采购活动前三年内，在经营活动中没有重大违法记录。</w:t>
      </w:r>
    </w:p>
    <w:p w14:paraId="0BFA68C4">
      <w:pPr>
        <w:keepNext w:val="0"/>
        <w:keepLines w:val="0"/>
        <w:pageBreakBefore w:val="0"/>
        <w:tabs>
          <w:tab w:val="left" w:pos="9365"/>
        </w:tabs>
        <w:kinsoku/>
        <w:wordWrap/>
        <w:overflowPunct/>
        <w:topLinePunct w:val="0"/>
        <w:autoSpaceDE/>
        <w:autoSpaceDN/>
        <w:bidi w:val="0"/>
        <w:adjustRightInd/>
        <w:spacing w:before="156" w:beforeLines="50" w:line="4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二、我公司保证上述承诺事项的真实性，如有虚假或其他违规违法行为，我公司愿意按《政府采购法》提供虚假材料的有关规定承担法律责任，并承担因此造成的一切损失。</w:t>
      </w:r>
    </w:p>
    <w:p w14:paraId="3A3755AD">
      <w:pPr>
        <w:keepNext w:val="0"/>
        <w:keepLines w:val="0"/>
        <w:pageBreakBefore w:val="0"/>
        <w:widowControl w:val="0"/>
        <w:tabs>
          <w:tab w:val="left" w:pos="9365"/>
        </w:tabs>
        <w:kinsoku/>
        <w:wordWrap/>
        <w:overflowPunct/>
        <w:topLinePunct w:val="0"/>
        <w:autoSpaceDE/>
        <w:autoSpaceDN/>
        <w:bidi w:val="0"/>
        <w:adjustRightInd/>
        <w:snapToGrid w:val="0"/>
        <w:spacing w:before="156" w:beforeLines="50" w:line="4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 xml:space="preserve">   三、我公司认同按照《招标文件》“《政府采购法》第二十二条第一款规定的</w:t>
      </w:r>
      <w:r>
        <w:rPr>
          <w:rFonts w:hint="eastAsia" w:cs="宋体"/>
          <w:color w:val="auto"/>
          <w:sz w:val="24"/>
          <w:szCs w:val="24"/>
          <w:lang w:eastAsia="zh-CN"/>
        </w:rPr>
        <w:t>投标人</w:t>
      </w:r>
      <w:r>
        <w:rPr>
          <w:rFonts w:hint="eastAsia" w:ascii="宋体" w:hAnsi="宋体" w:eastAsia="宋体" w:cs="宋体"/>
          <w:color w:val="auto"/>
          <w:sz w:val="24"/>
          <w:szCs w:val="24"/>
        </w:rPr>
        <w:t>基础性资格的承诺认定标准”对我公司或其他公司进行的</w:t>
      </w:r>
      <w:r>
        <w:rPr>
          <w:rFonts w:hint="eastAsia" w:cs="宋体"/>
          <w:color w:val="auto"/>
          <w:sz w:val="24"/>
          <w:szCs w:val="24"/>
          <w:lang w:eastAsia="zh-CN"/>
        </w:rPr>
        <w:t>投标人</w:t>
      </w:r>
      <w:r>
        <w:rPr>
          <w:rFonts w:hint="eastAsia" w:ascii="宋体" w:hAnsi="宋体" w:eastAsia="宋体" w:cs="宋体"/>
          <w:color w:val="auto"/>
          <w:sz w:val="24"/>
          <w:szCs w:val="24"/>
        </w:rPr>
        <w:t>基础性资格的审查，对按照认定标准得出的审查结果无异议。</w:t>
      </w:r>
    </w:p>
    <w:p w14:paraId="6697A01D">
      <w:pPr>
        <w:keepNext w:val="0"/>
        <w:keepLines w:val="0"/>
        <w:pageBreakBefore w:val="0"/>
        <w:widowControl w:val="0"/>
        <w:tabs>
          <w:tab w:val="left" w:pos="9365"/>
        </w:tabs>
        <w:kinsoku/>
        <w:wordWrap/>
        <w:overflowPunct/>
        <w:topLinePunct w:val="0"/>
        <w:autoSpaceDE/>
        <w:autoSpaceDN/>
        <w:bidi w:val="0"/>
        <w:adjustRightInd/>
        <w:snapToGrid w:val="0"/>
        <w:spacing w:before="156" w:beforeLines="50" w:line="460" w:lineRule="exact"/>
        <w:ind w:right="85"/>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四、我公司投标文件或公开资料或备案资料中，有不符合《招标文件》“《政府采购法》第二十二条第一款规定的</w:t>
      </w:r>
      <w:r>
        <w:rPr>
          <w:rFonts w:hint="eastAsia" w:cs="宋体"/>
          <w:color w:val="auto"/>
          <w:sz w:val="24"/>
          <w:szCs w:val="24"/>
          <w:lang w:eastAsia="zh-CN"/>
        </w:rPr>
        <w:t>投标人</w:t>
      </w:r>
      <w:r>
        <w:rPr>
          <w:rFonts w:hint="eastAsia" w:ascii="宋体" w:hAnsi="宋体" w:eastAsia="宋体" w:cs="宋体"/>
          <w:color w:val="auto"/>
          <w:sz w:val="24"/>
          <w:szCs w:val="24"/>
        </w:rPr>
        <w:t>基础性资格的承诺认定标准”的，我公司认同判定为无效投标、承担虚假承诺责任。</w:t>
      </w:r>
    </w:p>
    <w:p w14:paraId="6586102F">
      <w:pPr>
        <w:keepNext w:val="0"/>
        <w:keepLines w:val="0"/>
        <w:pageBreakBefore w:val="0"/>
        <w:tabs>
          <w:tab w:val="left" w:pos="9365"/>
        </w:tabs>
        <w:kinsoku/>
        <w:wordWrap/>
        <w:overflowPunct/>
        <w:topLinePunct w:val="0"/>
        <w:autoSpaceDE/>
        <w:autoSpaceDN/>
        <w:bidi w:val="0"/>
        <w:adjustRightInd/>
        <w:spacing w:before="156" w:beforeLines="50" w:line="460" w:lineRule="exact"/>
        <w:ind w:right="85" w:firstLine="480"/>
        <w:jc w:val="left"/>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五、我公司在没有有效的证明材料，以证明其他投标人不符合《招标文件》“《政府采购法》第二十二条第一款规定的</w:t>
      </w:r>
      <w:r>
        <w:rPr>
          <w:rFonts w:hint="eastAsia" w:cs="宋体"/>
          <w:color w:val="auto"/>
          <w:sz w:val="24"/>
          <w:szCs w:val="24"/>
          <w:lang w:eastAsia="zh-CN"/>
        </w:rPr>
        <w:t>投标人</w:t>
      </w:r>
      <w:r>
        <w:rPr>
          <w:rFonts w:hint="eastAsia" w:ascii="宋体" w:hAnsi="宋体" w:eastAsia="宋体" w:cs="宋体"/>
          <w:color w:val="auto"/>
          <w:sz w:val="24"/>
          <w:szCs w:val="24"/>
        </w:rPr>
        <w:t>基础性资格的承诺认定标准”时，我公司承诺不对其他投标人的承诺函提起质疑投诉，同意对已提起的质疑投诉按缺乏事实依据、按无效质疑投诉处理。</w:t>
      </w:r>
    </w:p>
    <w:p w14:paraId="2B206A12">
      <w:pPr>
        <w:widowControl w:val="0"/>
        <w:tabs>
          <w:tab w:val="left" w:pos="9365"/>
        </w:tabs>
        <w:snapToGrid w:val="0"/>
        <w:spacing w:after="56" w:line="560" w:lineRule="exact"/>
        <w:ind w:right="85"/>
        <w:jc w:val="center"/>
        <w:textAlignment w:val="top"/>
        <w:rPr>
          <w:rFonts w:hint="eastAsia" w:ascii="宋体" w:hAnsi="宋体" w:eastAsia="宋体" w:cs="宋体"/>
          <w:color w:val="auto"/>
          <w:sz w:val="24"/>
          <w:szCs w:val="24"/>
        </w:rPr>
      </w:pPr>
    </w:p>
    <w:p w14:paraId="3811ACF1">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574614C9">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1B1227D5">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639ACA75">
      <w:pPr>
        <w:widowControl w:val="0"/>
        <w:tabs>
          <w:tab w:val="left" w:pos="9365"/>
        </w:tabs>
        <w:snapToGrid w:val="0"/>
        <w:spacing w:after="56" w:line="560" w:lineRule="exact"/>
        <w:ind w:right="85"/>
        <w:textAlignment w:val="top"/>
        <w:rPr>
          <w:rFonts w:hint="eastAsia" w:ascii="宋体" w:hAnsi="宋体" w:eastAsia="宋体" w:cs="宋体"/>
          <w:b/>
          <w:color w:val="auto"/>
          <w:sz w:val="30"/>
          <w:szCs w:val="30"/>
        </w:rPr>
      </w:pPr>
    </w:p>
    <w:p w14:paraId="334653AE">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515AF6A2">
      <w:pPr>
        <w:widowControl w:val="0"/>
        <w:tabs>
          <w:tab w:val="left" w:pos="9365"/>
        </w:tabs>
        <w:snapToGrid w:val="0"/>
        <w:spacing w:after="56" w:line="560" w:lineRule="exact"/>
        <w:ind w:right="85"/>
        <w:jc w:val="center"/>
        <w:textAlignment w:val="top"/>
        <w:rPr>
          <w:rFonts w:hint="eastAsia" w:ascii="宋体" w:hAnsi="宋体" w:eastAsia="宋体" w:cs="宋体"/>
          <w:color w:val="auto"/>
          <w:sz w:val="24"/>
        </w:rPr>
      </w:pPr>
      <w:r>
        <w:rPr>
          <w:rFonts w:hint="eastAsia" w:ascii="宋体" w:hAnsi="宋体" w:eastAsia="宋体" w:cs="宋体"/>
          <w:b/>
          <w:color w:val="auto"/>
          <w:sz w:val="30"/>
          <w:szCs w:val="30"/>
        </w:rPr>
        <w:t>《政府采购法》第二十二条第一款规定的</w:t>
      </w:r>
      <w:r>
        <w:rPr>
          <w:rFonts w:hint="eastAsia" w:cs="宋体"/>
          <w:b/>
          <w:color w:val="auto"/>
          <w:sz w:val="30"/>
          <w:szCs w:val="30"/>
          <w:lang w:eastAsia="zh-CN"/>
        </w:rPr>
        <w:t>投标人</w:t>
      </w:r>
      <w:r>
        <w:rPr>
          <w:rFonts w:hint="eastAsia" w:ascii="宋体" w:hAnsi="宋体" w:eastAsia="宋体" w:cs="宋体"/>
          <w:b/>
          <w:color w:val="auto"/>
          <w:sz w:val="30"/>
          <w:szCs w:val="30"/>
        </w:rPr>
        <w:t>基础性资格的</w:t>
      </w:r>
    </w:p>
    <w:p w14:paraId="40DB50FC">
      <w:pPr>
        <w:widowControl w:val="0"/>
        <w:tabs>
          <w:tab w:val="left" w:pos="9365"/>
        </w:tabs>
        <w:snapToGrid w:val="0"/>
        <w:spacing w:after="56" w:line="560" w:lineRule="exact"/>
        <w:ind w:right="85"/>
        <w:jc w:val="center"/>
        <w:textAlignment w:val="top"/>
        <w:rPr>
          <w:rFonts w:hint="eastAsia" w:ascii="宋体" w:hAnsi="宋体" w:eastAsia="宋体" w:cs="宋体"/>
          <w:b/>
          <w:color w:val="auto"/>
          <w:sz w:val="30"/>
          <w:szCs w:val="30"/>
        </w:rPr>
      </w:pPr>
      <w:r>
        <w:rPr>
          <w:rFonts w:hint="eastAsia" w:ascii="宋体" w:hAnsi="宋体" w:eastAsia="宋体" w:cs="宋体"/>
          <w:b/>
          <w:color w:val="auto"/>
          <w:sz w:val="30"/>
          <w:szCs w:val="30"/>
        </w:rPr>
        <w:t>承诺事项的认定标准</w:t>
      </w:r>
    </w:p>
    <w:p w14:paraId="75D9810F">
      <w:pPr>
        <w:widowControl w:val="0"/>
        <w:tabs>
          <w:tab w:val="left" w:pos="9365"/>
        </w:tabs>
        <w:snapToGrid w:val="0"/>
        <w:spacing w:after="56" w:line="560" w:lineRule="exact"/>
        <w:ind w:right="85"/>
        <w:jc w:val="center"/>
        <w:textAlignment w:val="top"/>
        <w:rPr>
          <w:rFonts w:hint="eastAsia" w:ascii="宋体" w:hAnsi="宋体" w:eastAsia="宋体" w:cs="宋体"/>
          <w:b/>
          <w:color w:val="auto"/>
          <w:sz w:val="30"/>
          <w:szCs w:val="30"/>
        </w:rPr>
      </w:pPr>
    </w:p>
    <w:p w14:paraId="2F0F3109">
      <w:pPr>
        <w:widowControl w:val="0"/>
        <w:adjustRightInd w:val="0"/>
        <w:snapToGrid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政府采购监督检查、质疑投诉及政府采购行政处罚等情形中，需要对资格承诺的</w:t>
      </w:r>
      <w:r>
        <w:rPr>
          <w:rFonts w:hint="eastAsia" w:cs="宋体"/>
          <w:color w:val="auto"/>
          <w:sz w:val="24"/>
          <w:szCs w:val="24"/>
          <w:lang w:eastAsia="zh-CN"/>
        </w:rPr>
        <w:t>真实性</w:t>
      </w:r>
      <w:r>
        <w:rPr>
          <w:rFonts w:hint="eastAsia" w:ascii="宋体" w:hAnsi="宋体" w:eastAsia="宋体" w:cs="宋体"/>
          <w:color w:val="auto"/>
          <w:sz w:val="24"/>
          <w:szCs w:val="24"/>
        </w:rPr>
        <w:t>进行认定时，相关</w:t>
      </w:r>
      <w:r>
        <w:rPr>
          <w:rFonts w:hint="eastAsia" w:cs="宋体"/>
          <w:color w:val="auto"/>
          <w:sz w:val="24"/>
          <w:szCs w:val="24"/>
          <w:lang w:eastAsia="zh-CN"/>
        </w:rPr>
        <w:t>投标人</w:t>
      </w:r>
      <w:r>
        <w:rPr>
          <w:rFonts w:hint="eastAsia" w:ascii="宋体" w:hAnsi="宋体" w:eastAsia="宋体" w:cs="宋体"/>
          <w:color w:val="auto"/>
          <w:sz w:val="24"/>
          <w:szCs w:val="24"/>
        </w:rPr>
        <w:t>应提供如下关于基础性资格的证明材料：</w:t>
      </w:r>
    </w:p>
    <w:p w14:paraId="49C62445">
      <w:pPr>
        <w:widowControl w:val="0"/>
        <w:snapToGrid w:val="0"/>
        <w:spacing w:line="360" w:lineRule="auto"/>
        <w:ind w:firstLine="540" w:firstLineChars="225"/>
        <w:rPr>
          <w:rFonts w:hint="eastAsia" w:ascii="宋体" w:hAnsi="宋体" w:eastAsia="宋体" w:cs="宋体"/>
          <w:color w:val="auto"/>
          <w:szCs w:val="21"/>
        </w:rPr>
      </w:pPr>
      <w:r>
        <w:rPr>
          <w:rFonts w:hint="eastAsia" w:ascii="宋体" w:hAnsi="宋体" w:eastAsia="宋体" w:cs="宋体"/>
          <w:color w:val="auto"/>
          <w:sz w:val="24"/>
          <w:szCs w:val="24"/>
        </w:rPr>
        <w:t>（一）具有独立承担民事责任的能力。■提供营业执照或事业单位法人证书，■提供税务登记证（三证合一的只需提供三证合一的营业执照）</w:t>
      </w:r>
      <w:r>
        <w:rPr>
          <w:rFonts w:hint="eastAsia" w:ascii="宋体" w:hAnsi="宋体" w:eastAsia="宋体" w:cs="宋体"/>
          <w:color w:val="auto"/>
          <w:szCs w:val="21"/>
          <w:shd w:val="clear" w:color="auto" w:fill="FFFFFF"/>
        </w:rPr>
        <w:t>。</w:t>
      </w:r>
    </w:p>
    <w:p w14:paraId="5EADC61B">
      <w:pPr>
        <w:widowControl w:val="0"/>
        <w:snapToGrid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（二）具有良好的商业信誉和健全的财务会计制度。■提供银行出具的近1年内资信证明（法人为基本开户行）</w:t>
      </w:r>
      <w:r>
        <w:rPr>
          <w:rFonts w:hint="eastAsia" w:cs="宋体"/>
          <w:color w:val="auto"/>
          <w:sz w:val="24"/>
          <w:szCs w:val="24"/>
          <w:lang w:eastAsia="zh-CN"/>
        </w:rPr>
        <w:t>或</w:t>
      </w:r>
      <w:r>
        <w:rPr>
          <w:rFonts w:hint="eastAsia" w:ascii="宋体" w:hAnsi="宋体" w:eastAsia="宋体" w:cs="宋体"/>
          <w:color w:val="auto"/>
          <w:sz w:val="24"/>
          <w:szCs w:val="24"/>
        </w:rPr>
        <w:t>上一年度经审计的财务报告</w:t>
      </w:r>
      <w:r>
        <w:rPr>
          <w:rFonts w:hint="eastAsia" w:cs="宋体"/>
          <w:color w:val="auto"/>
          <w:sz w:val="24"/>
          <w:szCs w:val="24"/>
          <w:lang w:eastAsia="zh-CN"/>
        </w:rPr>
        <w:t>或</w:t>
      </w:r>
      <w:r>
        <w:rPr>
          <w:rFonts w:hint="eastAsia" w:ascii="宋体" w:hAnsi="宋体" w:eastAsia="宋体" w:cs="宋体"/>
          <w:color w:val="auto"/>
          <w:sz w:val="24"/>
          <w:szCs w:val="24"/>
        </w:rPr>
        <w:t>银行（保险公司）出具的投标担保函。</w:t>
      </w:r>
    </w:p>
    <w:p w14:paraId="347B1329">
      <w:pPr>
        <w:widowControl w:val="0"/>
        <w:snapToGrid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6BE65045">
      <w:pPr>
        <w:widowControl w:val="0"/>
        <w:snapToGrid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（四）有依法缴纳税收和社会保障资金的良好记录。■提供近12个月内（任意1个月）已依法缴纳税收的凭据；■提供近12个月内（任意1个月）已依法缴纳社会保险的凭据。依法免税或不需要缴纳社会保障资金的</w:t>
      </w:r>
      <w:r>
        <w:rPr>
          <w:rFonts w:hint="eastAsia" w:cs="宋体"/>
          <w:color w:val="auto"/>
          <w:sz w:val="24"/>
          <w:szCs w:val="24"/>
          <w:lang w:eastAsia="zh-CN"/>
        </w:rPr>
        <w:t>投标人</w:t>
      </w:r>
      <w:r>
        <w:rPr>
          <w:rFonts w:hint="eastAsia" w:ascii="宋体" w:hAnsi="宋体" w:eastAsia="宋体" w:cs="宋体"/>
          <w:color w:val="auto"/>
          <w:sz w:val="24"/>
          <w:szCs w:val="24"/>
        </w:rPr>
        <w:t>，应提供相应证明文件。</w:t>
      </w:r>
    </w:p>
    <w:p w14:paraId="57CE9910">
      <w:pPr>
        <w:widowControl w:val="0"/>
        <w:snapToGrid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（五）参加政府采购活动前3年内在经营活动中没有重大违法记录。</w:t>
      </w:r>
    </w:p>
    <w:p w14:paraId="37DBEA0A">
      <w:pPr>
        <w:widowControl w:val="0"/>
        <w:snapToGrid w:val="0"/>
        <w:spacing w:line="360" w:lineRule="auto"/>
        <w:ind w:firstLine="540" w:firstLineChars="225"/>
        <w:rPr>
          <w:rFonts w:hint="eastAsia" w:ascii="宋体" w:hAnsi="宋体" w:eastAsia="宋体" w:cs="宋体"/>
          <w:color w:val="auto"/>
          <w:sz w:val="24"/>
          <w:szCs w:val="24"/>
        </w:rPr>
      </w:pPr>
    </w:p>
    <w:p w14:paraId="08886D5A">
      <w:pPr>
        <w:widowControl w:val="0"/>
        <w:snapToGrid w:val="0"/>
        <w:spacing w:line="360" w:lineRule="auto"/>
        <w:ind w:firstLine="540" w:firstLineChars="225"/>
        <w:rPr>
          <w:rFonts w:hint="eastAsia" w:ascii="宋体" w:hAnsi="宋体" w:eastAsia="宋体" w:cs="宋体"/>
          <w:color w:val="auto"/>
          <w:sz w:val="24"/>
          <w:szCs w:val="24"/>
        </w:rPr>
      </w:pPr>
      <w:r>
        <w:rPr>
          <w:rFonts w:hint="eastAsia" w:cs="宋体"/>
          <w:color w:val="auto"/>
          <w:sz w:val="24"/>
          <w:szCs w:val="24"/>
          <w:lang w:eastAsia="zh-CN"/>
        </w:rPr>
        <w:t>投标人</w:t>
      </w:r>
      <w:r>
        <w:rPr>
          <w:rFonts w:hint="eastAsia" w:ascii="宋体" w:hAnsi="宋体" w:eastAsia="宋体" w:cs="宋体"/>
          <w:color w:val="auto"/>
          <w:sz w:val="24"/>
          <w:szCs w:val="24"/>
        </w:rPr>
        <w:t>提供的证明材料不符合上述认定标准的，评定该投标人不满足《政府采购法》投标人资格要求，为提供虚假承诺，投标、中标无效，并上报财政部门对其违规违法行为作进一步处理。</w:t>
      </w:r>
    </w:p>
    <w:p w14:paraId="036BA9BD">
      <w:pPr>
        <w:tabs>
          <w:tab w:val="left" w:pos="540"/>
        </w:tabs>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B49CA92">
      <w:pPr>
        <w:tabs>
          <w:tab w:val="left" w:pos="540"/>
        </w:tabs>
        <w:spacing w:line="440" w:lineRule="exact"/>
        <w:rPr>
          <w:rFonts w:hint="eastAsia" w:ascii="宋体" w:hAnsi="宋体" w:eastAsia="宋体" w:cs="宋体"/>
          <w:color w:val="auto"/>
          <w:sz w:val="24"/>
          <w:szCs w:val="24"/>
        </w:rPr>
      </w:pPr>
    </w:p>
    <w:p w14:paraId="0908AFAF">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投标人（电子签章）：</w:t>
      </w:r>
    </w:p>
    <w:p w14:paraId="3DAE6F49">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法定代表人（电子签名）：</w:t>
      </w:r>
    </w:p>
    <w:p w14:paraId="6289F149">
      <w:pPr>
        <w:widowControl w:val="0"/>
        <w:snapToGrid w:val="0"/>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4C44E371">
      <w:pPr>
        <w:widowControl w:val="0"/>
        <w:snapToGrid w:val="0"/>
        <w:spacing w:line="360" w:lineRule="auto"/>
        <w:textAlignment w:val="top"/>
        <w:rPr>
          <w:rFonts w:ascii="宋体" w:hAnsi="宋体" w:cs="宋体"/>
          <w:color w:val="auto"/>
          <w:sz w:val="24"/>
          <w:szCs w:val="24"/>
        </w:rPr>
      </w:pPr>
    </w:p>
    <w:p w14:paraId="2CE0E904">
      <w:pPr>
        <w:rPr>
          <w:rFonts w:hint="eastAsia" w:ascii="宋体" w:hAnsi="宋体" w:eastAsia="宋体" w:cs="宋体"/>
          <w:b/>
          <w:color w:val="auto"/>
          <w:sz w:val="30"/>
          <w:szCs w:val="30"/>
        </w:rPr>
      </w:pPr>
    </w:p>
    <w:p w14:paraId="49DE97BD">
      <w:pPr>
        <w:rPr>
          <w:rFonts w:hint="eastAsia"/>
          <w:color w:val="auto"/>
        </w:rPr>
      </w:pPr>
      <w:r>
        <w:rPr>
          <w:rFonts w:hint="eastAsia"/>
          <w:color w:val="auto"/>
        </w:rPr>
        <w:br w:type="page"/>
      </w:r>
    </w:p>
    <w:p w14:paraId="208B1962">
      <w:pPr>
        <w:snapToGrid w:val="0"/>
        <w:spacing w:line="560" w:lineRule="atLeast"/>
        <w:jc w:val="center"/>
        <w:rPr>
          <w:rFonts w:ascii="宋体" w:hAnsi="宋体" w:cs="宋体"/>
          <w:b/>
          <w:color w:val="auto"/>
          <w:sz w:val="30"/>
          <w:szCs w:val="30"/>
        </w:rPr>
      </w:pPr>
      <w:r>
        <w:rPr>
          <w:rFonts w:hint="eastAsia" w:cs="宋体"/>
          <w:b/>
          <w:color w:val="auto"/>
          <w:sz w:val="30"/>
          <w:szCs w:val="30"/>
          <w:lang w:val="en-US" w:eastAsia="zh-CN"/>
        </w:rPr>
        <w:t>供应商</w:t>
      </w:r>
      <w:r>
        <w:rPr>
          <w:rFonts w:hint="eastAsia" w:ascii="宋体" w:hAnsi="宋体" w:cs="宋体"/>
          <w:b/>
          <w:color w:val="auto"/>
          <w:sz w:val="30"/>
          <w:szCs w:val="30"/>
        </w:rPr>
        <w:t>负责人控股、设计等相关承诺书</w:t>
      </w:r>
    </w:p>
    <w:p w14:paraId="02CA8C90">
      <w:pPr>
        <w:tabs>
          <w:tab w:val="left" w:pos="9365"/>
        </w:tabs>
        <w:spacing w:before="360" w:after="360" w:line="586" w:lineRule="atLeast"/>
        <w:ind w:right="85"/>
        <w:jc w:val="left"/>
        <w:textAlignment w:val="top"/>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pacing w:val="11"/>
          <w:sz w:val="24"/>
          <w:szCs w:val="24"/>
          <w:u w:val="single"/>
        </w:rPr>
        <w:t xml:space="preserve">(采购人名称）    </w:t>
      </w:r>
    </w:p>
    <w:p w14:paraId="0E0D6BA1">
      <w:pPr>
        <w:tabs>
          <w:tab w:val="left" w:pos="65"/>
        </w:tabs>
        <w:spacing w:line="740" w:lineRule="exact"/>
        <w:ind w:firstLine="480" w:firstLineChars="200"/>
        <w:rPr>
          <w:rFonts w:ascii="宋体" w:hAnsi="宋体" w:cs="宋体"/>
          <w:color w:val="auto"/>
          <w:sz w:val="24"/>
          <w:szCs w:val="24"/>
        </w:rPr>
      </w:pPr>
      <w:r>
        <w:rPr>
          <w:rFonts w:hint="eastAsia" w:ascii="宋体" w:hAnsi="宋体" w:cs="宋体"/>
          <w:color w:val="auto"/>
          <w:sz w:val="24"/>
          <w:szCs w:val="24"/>
        </w:rPr>
        <w:t>在项目编号为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的</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采购活动中，我单位承诺满足以下要求：</w:t>
      </w:r>
    </w:p>
    <w:p w14:paraId="68FC6742">
      <w:pPr>
        <w:tabs>
          <w:tab w:val="left" w:pos="65"/>
        </w:tabs>
        <w:spacing w:line="740" w:lineRule="exact"/>
        <w:ind w:firstLine="480" w:firstLineChars="20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一、单位负责人为同一人或者存在直接控股、管理关系的不同供应商，不参加同一合同项下的政府采购活动。</w:t>
      </w:r>
    </w:p>
    <w:p w14:paraId="421C758D">
      <w:pPr>
        <w:tabs>
          <w:tab w:val="left" w:pos="65"/>
        </w:tabs>
        <w:spacing w:line="740" w:lineRule="exact"/>
        <w:ind w:firstLine="480" w:firstLineChars="200"/>
        <w:rPr>
          <w:rFonts w:ascii="宋体" w:hAnsi="宋体" w:cs="宋体"/>
          <w:color w:val="auto"/>
          <w:sz w:val="24"/>
          <w:szCs w:val="24"/>
        </w:rPr>
      </w:pPr>
      <w:r>
        <w:rPr>
          <w:rFonts w:hint="eastAsia" w:ascii="宋体" w:hAnsi="宋体" w:cs="宋体"/>
          <w:color w:val="auto"/>
          <w:sz w:val="24"/>
          <w:szCs w:val="24"/>
        </w:rPr>
        <w:t>二、没有为本项目提供整体设计、规范编制或者项目管理、监理、检测等服务。</w:t>
      </w:r>
    </w:p>
    <w:p w14:paraId="08E01F03">
      <w:pPr>
        <w:tabs>
          <w:tab w:val="left" w:pos="9365"/>
        </w:tabs>
        <w:spacing w:before="57" w:after="57" w:line="586" w:lineRule="atLeas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三、若出现上述行为，我单位确认投标无效、承诺书虚假，接受相关部门按照国家法律法规等有关规定对我单位虚假承诺所给予的处理。</w:t>
      </w:r>
    </w:p>
    <w:p w14:paraId="51897FEF">
      <w:pPr>
        <w:tabs>
          <w:tab w:val="left" w:pos="9365"/>
        </w:tabs>
        <w:spacing w:before="57" w:after="57" w:line="586" w:lineRule="atLeast"/>
        <w:ind w:right="85"/>
        <w:jc w:val="left"/>
        <w:textAlignment w:val="top"/>
        <w:rPr>
          <w:rFonts w:ascii="宋体" w:hAnsi="宋体" w:cs="宋体"/>
          <w:color w:val="auto"/>
          <w:sz w:val="24"/>
          <w:szCs w:val="24"/>
        </w:rPr>
      </w:pPr>
      <w:r>
        <w:rPr>
          <w:rFonts w:hint="eastAsia" w:ascii="宋体" w:hAnsi="宋体" w:cs="宋体"/>
          <w:color w:val="auto"/>
          <w:sz w:val="24"/>
          <w:szCs w:val="24"/>
        </w:rPr>
        <w:t> </w:t>
      </w:r>
    </w:p>
    <w:p w14:paraId="25B765E2">
      <w:pPr>
        <w:snapToGrid w:val="0"/>
        <w:spacing w:before="100" w:beforeAutospacing="1" w:after="100" w:afterAutospacing="1" w:line="700" w:lineRule="exact"/>
        <w:ind w:right="641"/>
        <w:rPr>
          <w:rFonts w:ascii="宋体" w:hAnsi="宋体" w:cs="宋体"/>
          <w:color w:val="auto"/>
          <w:sz w:val="24"/>
          <w:szCs w:val="24"/>
        </w:rPr>
      </w:pPr>
      <w:r>
        <w:rPr>
          <w:rFonts w:hint="eastAsia" w:cs="宋体"/>
          <w:color w:val="auto"/>
          <w:sz w:val="24"/>
          <w:lang w:val="en-US" w:eastAsia="zh-CN"/>
        </w:rPr>
        <w:t>投标人</w:t>
      </w:r>
      <w:r>
        <w:rPr>
          <w:rFonts w:hint="eastAsia" w:ascii="宋体" w:hAnsi="宋体" w:cs="宋体"/>
          <w:color w:val="auto"/>
          <w:sz w:val="24"/>
          <w:szCs w:val="24"/>
        </w:rPr>
        <w:t>（电子签章）：</w:t>
      </w:r>
    </w:p>
    <w:p w14:paraId="4323021A">
      <w:pPr>
        <w:snapToGrid w:val="0"/>
        <w:spacing w:before="100" w:beforeAutospacing="1" w:after="100" w:afterAutospacing="1" w:line="700" w:lineRule="exact"/>
        <w:ind w:right="641"/>
        <w:rPr>
          <w:rFonts w:ascii="宋体" w:hAnsi="宋体" w:cs="宋体"/>
          <w:color w:val="auto"/>
          <w:sz w:val="24"/>
          <w:szCs w:val="24"/>
        </w:rPr>
      </w:pPr>
      <w:r>
        <w:rPr>
          <w:rFonts w:hint="eastAsia" w:ascii="宋体" w:hAnsi="宋体" w:cs="宋体"/>
          <w:color w:val="auto"/>
          <w:sz w:val="24"/>
          <w:szCs w:val="24"/>
        </w:rPr>
        <w:t>法定代表人（电子签名）：</w:t>
      </w:r>
    </w:p>
    <w:p w14:paraId="4DA026B0">
      <w:pPr>
        <w:widowControl w:val="0"/>
        <w:tabs>
          <w:tab w:val="left" w:pos="9365"/>
        </w:tabs>
        <w:snapToGrid w:val="0"/>
        <w:spacing w:after="56" w:line="560" w:lineRule="exact"/>
        <w:ind w:right="85"/>
        <w:jc w:val="left"/>
        <w:textAlignment w:val="top"/>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lang w:val="zh-CN"/>
        </w:rPr>
        <w:t xml:space="preserve">  年   月   日</w:t>
      </w:r>
    </w:p>
    <w:p w14:paraId="6D960565">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223A1A7C">
      <w:pPr>
        <w:autoSpaceDE w:val="0"/>
        <w:autoSpaceDN w:val="0"/>
        <w:adjustRightInd w:val="0"/>
        <w:spacing w:line="360" w:lineRule="auto"/>
        <w:jc w:val="center"/>
        <w:rPr>
          <w:rFonts w:ascii="宋体" w:hAnsi="宋体" w:cs="宋体"/>
          <w:b/>
          <w:color w:val="auto"/>
          <w:sz w:val="30"/>
          <w:szCs w:val="30"/>
        </w:rPr>
      </w:pPr>
      <w:r>
        <w:rPr>
          <w:rFonts w:hint="eastAsia" w:ascii="宋体" w:hAnsi="宋体" w:cs="宋体"/>
          <w:b/>
          <w:color w:val="auto"/>
          <w:sz w:val="30"/>
          <w:szCs w:val="30"/>
          <w:lang w:val="en-US" w:eastAsia="zh-CN"/>
        </w:rPr>
        <w:t>12</w:t>
      </w:r>
      <w:r>
        <w:rPr>
          <w:rFonts w:hint="eastAsia" w:ascii="宋体" w:hAnsi="宋体" w:cs="宋体"/>
          <w:b/>
          <w:color w:val="auto"/>
          <w:sz w:val="30"/>
          <w:szCs w:val="30"/>
        </w:rPr>
        <w:t>、投标承诺函</w:t>
      </w:r>
    </w:p>
    <w:p w14:paraId="7AE5CCAC">
      <w:pPr>
        <w:widowControl w:val="0"/>
        <w:autoSpaceDE w:val="0"/>
        <w:autoSpaceDN w:val="0"/>
        <w:adjustRightInd w:val="0"/>
        <w:spacing w:line="240" w:lineRule="auto"/>
        <w:jc w:val="center"/>
        <w:textAlignment w:val="auto"/>
        <w:rPr>
          <w:rFonts w:ascii="宋体" w:hAnsi="宋体" w:cs="宋体"/>
          <w:b/>
          <w:color w:val="auto"/>
          <w:sz w:val="30"/>
          <w:szCs w:val="30"/>
        </w:rPr>
      </w:pPr>
      <w:r>
        <w:rPr>
          <w:rFonts w:hint="eastAsia" w:ascii="宋体" w:hAnsi="宋体" w:cs="宋体"/>
          <w:b/>
          <w:color w:val="auto"/>
          <w:sz w:val="30"/>
          <w:szCs w:val="30"/>
        </w:rPr>
        <w:t>（以投标承诺函形式，替代投标保证金的相关承诺事项）</w:t>
      </w:r>
    </w:p>
    <w:p w14:paraId="370CB3E0">
      <w:pPr>
        <w:widowControl w:val="0"/>
        <w:tabs>
          <w:tab w:val="left" w:pos="9365"/>
        </w:tabs>
        <w:spacing w:before="360" w:after="360" w:line="360" w:lineRule="auto"/>
        <w:ind w:right="85"/>
        <w:jc w:val="left"/>
        <w:textAlignment w:val="top"/>
        <w:rPr>
          <w:rFonts w:ascii="宋体" w:hAnsi="宋体" w:cs="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pacing w:val="11"/>
          <w:sz w:val="24"/>
          <w:szCs w:val="24"/>
          <w:u w:val="single"/>
        </w:rPr>
        <w:t xml:space="preserve">(采购人名称） </w:t>
      </w:r>
      <w:r>
        <w:rPr>
          <w:rFonts w:hint="eastAsia" w:ascii="宋体" w:hAnsi="宋体" w:cs="宋体"/>
          <w:color w:val="auto"/>
          <w:spacing w:val="11"/>
          <w:sz w:val="24"/>
          <w:szCs w:val="24"/>
        </w:rPr>
        <w:t>、</w:t>
      </w:r>
      <w:r>
        <w:rPr>
          <w:rFonts w:hint="eastAsia" w:ascii="宋体" w:hAnsi="宋体" w:cs="宋体"/>
          <w:color w:val="auto"/>
          <w:sz w:val="24"/>
          <w:szCs w:val="24"/>
          <w:u w:val="single"/>
        </w:rPr>
        <w:t>河南众鼎招标代理有限公司</w:t>
      </w:r>
    </w:p>
    <w:p w14:paraId="7B48394C">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在项目编号为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的</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采购活动中，我</w:t>
      </w:r>
      <w:r>
        <w:rPr>
          <w:rFonts w:hint="eastAsia" w:ascii="宋体" w:hAnsi="宋体" w:cs="宋体"/>
          <w:color w:val="auto"/>
          <w:sz w:val="24"/>
        </w:rPr>
        <w:t>单位</w:t>
      </w:r>
      <w:r>
        <w:rPr>
          <w:rFonts w:hint="eastAsia" w:ascii="宋体" w:hAnsi="宋体" w:cs="宋体"/>
          <w:color w:val="auto"/>
          <w:sz w:val="24"/>
          <w:szCs w:val="24"/>
        </w:rPr>
        <w:t>承诺：</w:t>
      </w:r>
    </w:p>
    <w:p w14:paraId="057ABC78">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一、遵循公开、公平、公正和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s="宋体"/>
          <w:color w:val="auto"/>
          <w:sz w:val="24"/>
          <w:szCs w:val="24"/>
        </w:rPr>
        <w:t>诚实信用</w:t>
      </w:r>
      <w:r>
        <w:rPr>
          <w:rFonts w:hint="eastAsia" w:ascii="宋体" w:hAnsi="宋体" w:cs="宋体"/>
          <w:color w:val="auto"/>
          <w:sz w:val="24"/>
          <w:szCs w:val="24"/>
        </w:rPr>
        <w:fldChar w:fldCharType="end"/>
      </w:r>
      <w:r>
        <w:rPr>
          <w:rFonts w:hint="eastAsia" w:ascii="宋体" w:hAnsi="宋体" w:cs="宋体"/>
          <w:color w:val="auto"/>
          <w:sz w:val="24"/>
          <w:szCs w:val="24"/>
        </w:rPr>
        <w:t>的原则自愿参加本项目投标；</w:t>
      </w:r>
      <w:r>
        <w:rPr>
          <w:rFonts w:hint="eastAsia" w:ascii="宋体" w:hAnsi="宋体" w:cs="宋体"/>
          <w:color w:val="auto"/>
          <w:sz w:val="24"/>
          <w:szCs w:val="24"/>
        </w:rPr>
        <w:br w:type="textWrapping"/>
      </w:r>
      <w:r>
        <w:rPr>
          <w:rFonts w:hint="eastAsia" w:ascii="宋体" w:hAnsi="宋体" w:cs="宋体"/>
          <w:color w:val="auto"/>
          <w:sz w:val="24"/>
          <w:szCs w:val="24"/>
        </w:rPr>
        <w:t xml:space="preserve">    二、在政府采购活动中提供真实、准确、有效、合法的材料，不</w:t>
      </w:r>
      <w:r>
        <w:rPr>
          <w:rFonts w:hint="eastAsia" w:ascii="宋体" w:hAnsi="宋体" w:cs="宋体"/>
          <w:color w:val="auto"/>
          <w:sz w:val="24"/>
          <w:szCs w:val="24"/>
          <w:lang w:val="zh-CN"/>
        </w:rPr>
        <w:t>提供虚假材料；</w:t>
      </w:r>
    </w:p>
    <w:p w14:paraId="29473208">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三、</w:t>
      </w:r>
      <w:r>
        <w:rPr>
          <w:rFonts w:hint="eastAsia" w:ascii="宋体" w:hAnsi="宋体" w:cs="宋体"/>
          <w:color w:val="auto"/>
          <w:sz w:val="24"/>
          <w:szCs w:val="24"/>
          <w:lang w:val="zh-CN"/>
        </w:rPr>
        <w:t>按照</w:t>
      </w:r>
      <w:r>
        <w:rPr>
          <w:rFonts w:hint="eastAsia" w:ascii="宋体" w:hAnsi="宋体" w:cs="宋体"/>
          <w:color w:val="auto"/>
          <w:sz w:val="24"/>
          <w:szCs w:val="24"/>
        </w:rPr>
        <w:t>招标</w:t>
      </w:r>
      <w:r>
        <w:rPr>
          <w:rFonts w:hint="eastAsia" w:ascii="宋体" w:hAnsi="宋体" w:cs="宋体"/>
          <w:color w:val="auto"/>
          <w:sz w:val="24"/>
          <w:szCs w:val="24"/>
          <w:lang w:val="zh-CN"/>
        </w:rPr>
        <w:t>文件规定，在提交投标文件截止时间后，在</w:t>
      </w:r>
      <w:r>
        <w:rPr>
          <w:rFonts w:hint="eastAsia" w:ascii="宋体" w:hAnsi="宋体" w:cs="宋体"/>
          <w:color w:val="auto"/>
          <w:sz w:val="24"/>
          <w:szCs w:val="24"/>
        </w:rPr>
        <w:t>招标</w:t>
      </w:r>
      <w:r>
        <w:rPr>
          <w:rFonts w:hint="eastAsia" w:ascii="宋体" w:hAnsi="宋体" w:cs="宋体"/>
          <w:color w:val="auto"/>
          <w:sz w:val="24"/>
          <w:szCs w:val="24"/>
          <w:lang w:val="zh-CN"/>
        </w:rPr>
        <w:t>文件规定的投标有效期限内不撤回投标文件；</w:t>
      </w:r>
    </w:p>
    <w:p w14:paraId="19B47451">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四、不</w:t>
      </w:r>
      <w:r>
        <w:rPr>
          <w:rFonts w:hint="eastAsia" w:ascii="宋体" w:hAnsi="宋体" w:cs="宋体"/>
          <w:color w:val="auto"/>
          <w:sz w:val="24"/>
          <w:szCs w:val="24"/>
          <w:lang w:val="zh-CN"/>
        </w:rPr>
        <w:t>与其他供应商、采购人或采购代理机构串通或恶意串通。</w:t>
      </w:r>
    </w:p>
    <w:p w14:paraId="02260C75">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五、如我单位中标，</w:t>
      </w:r>
      <w:r>
        <w:rPr>
          <w:rFonts w:hint="eastAsia" w:ascii="宋体" w:hAnsi="宋体" w:cs="宋体"/>
          <w:color w:val="auto"/>
          <w:sz w:val="24"/>
          <w:szCs w:val="24"/>
          <w:lang w:val="zh-CN"/>
        </w:rPr>
        <w:t>除不可抗拒力或</w:t>
      </w:r>
      <w:r>
        <w:rPr>
          <w:rFonts w:hint="eastAsia" w:ascii="宋体" w:hAnsi="宋体" w:cs="宋体"/>
          <w:color w:val="auto"/>
          <w:sz w:val="24"/>
          <w:szCs w:val="24"/>
        </w:rPr>
        <w:t>招标</w:t>
      </w:r>
      <w:r>
        <w:rPr>
          <w:rFonts w:hint="eastAsia" w:ascii="宋体" w:hAnsi="宋体" w:cs="宋体"/>
          <w:color w:val="auto"/>
          <w:sz w:val="24"/>
          <w:szCs w:val="24"/>
          <w:lang w:val="zh-CN"/>
        </w:rPr>
        <w:t>文件认可的情形外</w:t>
      </w:r>
      <w:r>
        <w:rPr>
          <w:rFonts w:hint="eastAsia" w:ascii="宋体" w:hAnsi="宋体" w:cs="宋体"/>
          <w:color w:val="auto"/>
          <w:sz w:val="24"/>
          <w:szCs w:val="24"/>
        </w:rPr>
        <w:t>，我单位承诺及时领取中标通知书，</w:t>
      </w:r>
      <w:r>
        <w:rPr>
          <w:rFonts w:hint="eastAsia" w:ascii="宋体" w:hAnsi="宋体" w:cs="宋体"/>
          <w:color w:val="auto"/>
          <w:sz w:val="24"/>
          <w:szCs w:val="24"/>
          <w:lang w:val="zh-CN"/>
        </w:rPr>
        <w:t>在成交通知书规定时间、地点与采购人签订合同；</w:t>
      </w:r>
      <w:r>
        <w:rPr>
          <w:rFonts w:hint="eastAsia" w:ascii="宋体" w:hAnsi="宋体" w:cs="宋体"/>
          <w:color w:val="auto"/>
          <w:sz w:val="24"/>
          <w:szCs w:val="24"/>
        </w:rPr>
        <w:br w:type="textWrapping"/>
      </w:r>
      <w:r>
        <w:rPr>
          <w:rFonts w:hint="eastAsia" w:ascii="宋体" w:hAnsi="宋体" w:cs="宋体"/>
          <w:color w:val="auto"/>
          <w:sz w:val="24"/>
          <w:szCs w:val="24"/>
        </w:rPr>
        <w:t xml:space="preserve">    六、</w:t>
      </w:r>
      <w:r>
        <w:rPr>
          <w:rFonts w:hint="eastAsia" w:ascii="宋体" w:hAnsi="宋体" w:cs="宋体"/>
          <w:color w:val="auto"/>
          <w:sz w:val="24"/>
          <w:szCs w:val="24"/>
          <w:lang w:val="zh-CN"/>
        </w:rPr>
        <w:t>遵守法律法规及</w:t>
      </w:r>
      <w:r>
        <w:rPr>
          <w:rFonts w:hint="eastAsia" w:ascii="宋体" w:hAnsi="宋体" w:cs="宋体"/>
          <w:color w:val="auto"/>
          <w:sz w:val="24"/>
          <w:szCs w:val="24"/>
        </w:rPr>
        <w:t>招标</w:t>
      </w:r>
      <w:r>
        <w:rPr>
          <w:rFonts w:hint="eastAsia" w:ascii="宋体" w:hAnsi="宋体" w:cs="宋体"/>
          <w:color w:val="auto"/>
          <w:sz w:val="24"/>
          <w:szCs w:val="24"/>
          <w:lang w:val="zh-CN"/>
        </w:rPr>
        <w:t>文件规定的其他情况；</w:t>
      </w:r>
    </w:p>
    <w:p w14:paraId="02122670">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七、按招标文件规定及时缴纳中标服务费。</w:t>
      </w:r>
    </w:p>
    <w:p w14:paraId="047B30CF">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八、违背上述承诺事项的，我单位无条件接受以下责任追究：</w:t>
      </w:r>
    </w:p>
    <w:p w14:paraId="0F56A9C4">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（一）法定责任：</w:t>
      </w:r>
      <w:r>
        <w:rPr>
          <w:rFonts w:hint="eastAsia" w:ascii="宋体" w:hAnsi="宋体" w:cs="宋体"/>
          <w:color w:val="auto"/>
          <w:sz w:val="24"/>
          <w:szCs w:val="24"/>
        </w:rPr>
        <w:t>按照政府采购相关法规，</w:t>
      </w:r>
      <w:r>
        <w:rPr>
          <w:rFonts w:hint="eastAsia" w:ascii="宋体" w:hAnsi="宋体" w:cs="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0528E96">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给采购人及他人造成损失的，愿承担相应的赔偿责任。</w:t>
      </w:r>
    </w:p>
    <w:p w14:paraId="39CD57E8">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lang w:val="zh-CN"/>
        </w:rPr>
        <w:t>（二）违约责任：</w:t>
      </w:r>
      <w:r>
        <w:rPr>
          <w:rFonts w:hint="eastAsia" w:ascii="宋体" w:hAnsi="宋体" w:cs="宋体"/>
          <w:color w:val="auto"/>
          <w:sz w:val="24"/>
          <w:szCs w:val="24"/>
        </w:rPr>
        <w:t xml:space="preserve"> </w:t>
      </w:r>
    </w:p>
    <w:p w14:paraId="29F3ADAB">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1、已中标的，中标（成交）无效；</w:t>
      </w:r>
    </w:p>
    <w:p w14:paraId="5130DDD7">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2、支付采购人违约标的预算金额2%的</w:t>
      </w:r>
      <w:r>
        <w:rPr>
          <w:rFonts w:hint="eastAsia" w:ascii="宋体" w:hAnsi="宋体" w:cs="宋体"/>
          <w:color w:val="auto"/>
          <w:sz w:val="24"/>
          <w:szCs w:val="24"/>
          <w:lang w:val="zh-CN"/>
        </w:rPr>
        <w:t>违约金</w:t>
      </w:r>
      <w:r>
        <w:rPr>
          <w:rFonts w:hint="eastAsia" w:ascii="宋体" w:hAnsi="宋体" w:cs="宋体"/>
          <w:color w:val="auto"/>
          <w:sz w:val="24"/>
          <w:szCs w:val="24"/>
        </w:rPr>
        <w:t>；</w:t>
      </w:r>
    </w:p>
    <w:p w14:paraId="4B8BBAE7">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3、中标后未缴中标服务费的，作为违约及违背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s="宋体"/>
          <w:color w:val="auto"/>
          <w:sz w:val="24"/>
          <w:szCs w:val="24"/>
        </w:rPr>
        <w:t>诚实信用</w:t>
      </w:r>
      <w:r>
        <w:rPr>
          <w:rFonts w:hint="eastAsia" w:ascii="宋体" w:hAnsi="宋体" w:cs="宋体"/>
          <w:color w:val="auto"/>
          <w:sz w:val="24"/>
          <w:szCs w:val="24"/>
        </w:rPr>
        <w:fldChar w:fldCharType="end"/>
      </w:r>
      <w:r>
        <w:rPr>
          <w:rFonts w:hint="eastAsia" w:ascii="宋体" w:hAnsi="宋体" w:cs="宋体"/>
          <w:color w:val="auto"/>
          <w:sz w:val="24"/>
          <w:szCs w:val="24"/>
        </w:rPr>
        <w:t>原则，在履行承诺前，代理机构将视我单位为失信企业、不予办理其后相关业务。</w:t>
      </w:r>
    </w:p>
    <w:p w14:paraId="311A1A40">
      <w:pPr>
        <w:widowControl w:val="0"/>
        <w:autoSpaceDE w:val="0"/>
        <w:autoSpaceDN w:val="0"/>
        <w:adjustRightInd w:val="0"/>
        <w:spacing w:line="460" w:lineRule="atLeast"/>
        <w:ind w:left="-2" w:right="-817" w:hanging="149"/>
        <w:textAlignment w:val="auto"/>
        <w:rPr>
          <w:rFonts w:ascii="宋体" w:hAnsi="宋体" w:cs="宋体"/>
          <w:color w:val="auto"/>
          <w:sz w:val="24"/>
          <w:lang w:val="zh-CN"/>
        </w:rPr>
      </w:pPr>
    </w:p>
    <w:p w14:paraId="756C423D">
      <w:pPr>
        <w:widowControl w:val="0"/>
        <w:tabs>
          <w:tab w:val="left" w:pos="9365"/>
        </w:tabs>
        <w:snapToGrid w:val="0"/>
        <w:spacing w:after="56" w:line="560" w:lineRule="exact"/>
        <w:ind w:right="85"/>
        <w:jc w:val="left"/>
        <w:textAlignment w:val="top"/>
        <w:rPr>
          <w:rFonts w:ascii="宋体" w:hAnsi="宋体" w:cs="宋体"/>
          <w:color w:val="auto"/>
          <w:sz w:val="24"/>
          <w:szCs w:val="24"/>
        </w:rPr>
      </w:pPr>
      <w:r>
        <w:rPr>
          <w:rFonts w:hint="eastAsia" w:cs="宋体"/>
          <w:color w:val="auto"/>
          <w:sz w:val="24"/>
          <w:lang w:val="en-US" w:eastAsia="zh-CN"/>
        </w:rPr>
        <w:t>投标人</w:t>
      </w:r>
      <w:r>
        <w:rPr>
          <w:rFonts w:hint="eastAsia" w:ascii="宋体" w:hAnsi="宋体" w:cs="宋体"/>
          <w:color w:val="auto"/>
          <w:sz w:val="24"/>
          <w:szCs w:val="24"/>
        </w:rPr>
        <w:t>（电子签章）：</w:t>
      </w:r>
    </w:p>
    <w:p w14:paraId="7F19963D">
      <w:pPr>
        <w:widowControl w:val="0"/>
        <w:tabs>
          <w:tab w:val="left" w:pos="9365"/>
        </w:tabs>
        <w:snapToGrid w:val="0"/>
        <w:spacing w:after="56" w:line="560" w:lineRule="exact"/>
        <w:ind w:right="85"/>
        <w:jc w:val="left"/>
        <w:textAlignment w:val="top"/>
        <w:rPr>
          <w:rFonts w:ascii="宋体" w:hAnsi="宋体" w:cs="宋体"/>
          <w:color w:val="auto"/>
          <w:sz w:val="24"/>
          <w:szCs w:val="24"/>
        </w:rPr>
      </w:pPr>
      <w:r>
        <w:rPr>
          <w:rFonts w:hint="eastAsia" w:ascii="宋体" w:hAnsi="宋体" w:cs="宋体"/>
          <w:color w:val="auto"/>
          <w:sz w:val="24"/>
          <w:szCs w:val="24"/>
        </w:rPr>
        <w:t>法定代表人（电子签名）：</w:t>
      </w:r>
    </w:p>
    <w:p w14:paraId="21467C4B">
      <w:pPr>
        <w:widowControl w:val="0"/>
        <w:autoSpaceDE w:val="0"/>
        <w:autoSpaceDN w:val="0"/>
        <w:adjustRightInd w:val="0"/>
        <w:spacing w:line="240" w:lineRule="auto"/>
        <w:ind w:right="-816"/>
        <w:textAlignment w:val="auto"/>
        <w:rPr>
          <w:rFonts w:ascii="宋体" w:hAnsi="宋体" w:cs="宋体"/>
          <w:color w:val="auto"/>
          <w:sz w:val="24"/>
          <w:szCs w:val="24"/>
          <w:lang w:val="zh-CN"/>
        </w:rPr>
      </w:pPr>
      <w:r>
        <w:rPr>
          <w:rFonts w:hint="eastAsia" w:ascii="宋体" w:hAnsi="宋体" w:cs="宋体"/>
          <w:color w:val="auto"/>
          <w:sz w:val="24"/>
          <w:lang w:val="zh-CN"/>
        </w:rPr>
        <w:t>日期：   年   月   日</w:t>
      </w:r>
    </w:p>
    <w:p w14:paraId="60ADB7ED">
      <w:pPr>
        <w:autoSpaceDE w:val="0"/>
        <w:autoSpaceDN w:val="0"/>
        <w:adjustRightInd w:val="0"/>
        <w:spacing w:line="360" w:lineRule="auto"/>
        <w:jc w:val="center"/>
        <w:rPr>
          <w:rFonts w:ascii="宋体" w:hAnsi="宋体" w:cs="宋体"/>
          <w:color w:val="auto"/>
          <w:sz w:val="24"/>
          <w:szCs w:val="24"/>
        </w:rPr>
      </w:pPr>
    </w:p>
    <w:p w14:paraId="493AB6A6">
      <w:pPr>
        <w:rPr>
          <w:rFonts w:hint="eastAsia" w:ascii="宋体" w:hAnsi="宋体" w:cs="宋体"/>
          <w:b/>
          <w:color w:val="auto"/>
          <w:sz w:val="30"/>
          <w:szCs w:val="30"/>
        </w:rPr>
      </w:pPr>
      <w:r>
        <w:rPr>
          <w:rFonts w:hint="eastAsia" w:ascii="宋体" w:hAnsi="宋体" w:cs="宋体"/>
          <w:b/>
          <w:color w:val="auto"/>
          <w:sz w:val="30"/>
          <w:szCs w:val="30"/>
        </w:rPr>
        <w:br w:type="page"/>
      </w:r>
    </w:p>
    <w:p w14:paraId="580FF56B">
      <w:pPr>
        <w:autoSpaceDE w:val="0"/>
        <w:autoSpaceDN w:val="0"/>
        <w:adjustRightInd w:val="0"/>
        <w:spacing w:line="360" w:lineRule="auto"/>
        <w:rPr>
          <w:rFonts w:ascii="宋体" w:hAnsi="宋体" w:cs="宋体"/>
          <w:b/>
          <w:color w:val="auto"/>
          <w:sz w:val="30"/>
          <w:szCs w:val="30"/>
        </w:rPr>
      </w:pPr>
      <w:r>
        <w:rPr>
          <w:rFonts w:hint="eastAsia" w:ascii="宋体" w:hAnsi="宋体" w:cs="宋体"/>
          <w:b/>
          <w:color w:val="auto"/>
          <w:sz w:val="30"/>
          <w:szCs w:val="30"/>
          <w:lang w:val="en-US" w:eastAsia="zh-CN"/>
        </w:rPr>
        <w:t>13</w:t>
      </w:r>
      <w:r>
        <w:rPr>
          <w:rFonts w:hint="eastAsia" w:ascii="宋体" w:hAnsi="宋体" w:cs="宋体"/>
          <w:b/>
          <w:color w:val="auto"/>
          <w:sz w:val="30"/>
          <w:szCs w:val="30"/>
        </w:rPr>
        <w:t>、采购项目及服务要求所需的其他材料</w:t>
      </w:r>
    </w:p>
    <w:p w14:paraId="7545FA21">
      <w:pPr>
        <w:widowControl w:val="0"/>
        <w:snapToGrid w:val="0"/>
        <w:spacing w:line="560" w:lineRule="exact"/>
        <w:ind w:firstLine="555"/>
        <w:rPr>
          <w:rFonts w:ascii="宋体" w:hAnsi="宋体" w:cs="宋体"/>
          <w:color w:val="auto"/>
          <w:sz w:val="24"/>
          <w:szCs w:val="24"/>
        </w:rPr>
      </w:pPr>
      <w:r>
        <w:rPr>
          <w:rFonts w:hint="eastAsia" w:ascii="宋体" w:hAnsi="宋体" w:cs="宋体"/>
          <w:color w:val="auto"/>
          <w:sz w:val="24"/>
          <w:szCs w:val="24"/>
        </w:rPr>
        <w:t>（按条款需要填列；并按条款要求</w:t>
      </w:r>
      <w:r>
        <w:rPr>
          <w:rFonts w:hint="eastAsia" w:ascii="宋体" w:hAnsi="宋体" w:cs="宋体"/>
          <w:color w:val="auto"/>
          <w:sz w:val="24"/>
          <w:lang w:val="zh-CN"/>
        </w:rPr>
        <w:t>电子签名&lt;签</w:t>
      </w:r>
      <w:r>
        <w:rPr>
          <w:rFonts w:hint="eastAsia" w:ascii="宋体" w:hAnsi="宋体" w:cs="宋体"/>
          <w:color w:val="auto"/>
          <w:sz w:val="24"/>
          <w:szCs w:val="24"/>
        </w:rPr>
        <w:t>章</w:t>
      </w:r>
      <w:r>
        <w:rPr>
          <w:rFonts w:hint="eastAsia" w:cs="宋体"/>
          <w:color w:val="auto"/>
          <w:sz w:val="24"/>
          <w:szCs w:val="24"/>
          <w:lang w:eastAsia="zh-CN"/>
        </w:rPr>
        <w:t>&gt;</w:t>
      </w:r>
      <w:r>
        <w:rPr>
          <w:rFonts w:hint="eastAsia" w:ascii="宋体" w:hAnsi="宋体" w:cs="宋体"/>
          <w:color w:val="auto"/>
          <w:sz w:val="24"/>
          <w:szCs w:val="24"/>
        </w:rPr>
        <w:t>条款中对</w:t>
      </w:r>
      <w:r>
        <w:rPr>
          <w:rFonts w:hint="eastAsia" w:ascii="宋体" w:hAnsi="宋体" w:cs="宋体"/>
          <w:color w:val="auto"/>
          <w:sz w:val="24"/>
          <w:lang w:val="zh-CN"/>
        </w:rPr>
        <w:t>电子签名&lt;签</w:t>
      </w:r>
      <w:r>
        <w:rPr>
          <w:rFonts w:hint="eastAsia" w:ascii="宋体" w:hAnsi="宋体" w:cs="宋体"/>
          <w:color w:val="auto"/>
          <w:sz w:val="24"/>
          <w:szCs w:val="24"/>
        </w:rPr>
        <w:t>章&gt;未作明确要求的，由法定代表人</w:t>
      </w:r>
      <w:r>
        <w:rPr>
          <w:rFonts w:hint="eastAsia" w:ascii="宋体" w:hAnsi="宋体" w:cs="宋体"/>
          <w:color w:val="auto"/>
          <w:sz w:val="24"/>
          <w:lang w:val="zh-CN"/>
        </w:rPr>
        <w:t>电子签名</w:t>
      </w:r>
      <w:r>
        <w:rPr>
          <w:rFonts w:hint="eastAsia" w:ascii="宋体" w:hAnsi="宋体" w:cs="宋体"/>
          <w:color w:val="auto"/>
          <w:sz w:val="24"/>
          <w:szCs w:val="24"/>
        </w:rPr>
        <w:t>或</w:t>
      </w:r>
      <w:r>
        <w:rPr>
          <w:rFonts w:hint="eastAsia" w:cs="宋体"/>
          <w:color w:val="auto"/>
          <w:sz w:val="24"/>
          <w:szCs w:val="24"/>
          <w:lang w:val="en-US" w:eastAsia="zh-CN"/>
        </w:rPr>
        <w:t>投标人</w:t>
      </w:r>
      <w:r>
        <w:rPr>
          <w:rFonts w:hint="eastAsia" w:ascii="宋体" w:hAnsi="宋体" w:cs="宋体"/>
          <w:color w:val="auto"/>
          <w:sz w:val="24"/>
          <w:lang w:val="zh-CN"/>
        </w:rPr>
        <w:t>电子签</w:t>
      </w:r>
      <w:r>
        <w:rPr>
          <w:rFonts w:hint="eastAsia" w:ascii="宋体" w:hAnsi="宋体" w:cs="宋体"/>
          <w:color w:val="auto"/>
          <w:sz w:val="24"/>
          <w:szCs w:val="24"/>
        </w:rPr>
        <w:t>章）</w:t>
      </w:r>
    </w:p>
    <w:p w14:paraId="6017ECF8">
      <w:pPr>
        <w:widowControl w:val="0"/>
        <w:snapToGrid w:val="0"/>
        <w:spacing w:line="560" w:lineRule="exact"/>
        <w:ind w:firstLine="555"/>
        <w:rPr>
          <w:rFonts w:ascii="宋体" w:hAnsi="宋体" w:cs="宋体"/>
          <w:color w:val="auto"/>
          <w:sz w:val="24"/>
          <w:szCs w:val="24"/>
        </w:rPr>
      </w:pPr>
    </w:p>
    <w:p w14:paraId="60892B54">
      <w:pPr>
        <w:autoSpaceDE w:val="0"/>
        <w:autoSpaceDN w:val="0"/>
        <w:adjustRightInd w:val="0"/>
        <w:spacing w:line="360" w:lineRule="auto"/>
        <w:jc w:val="center"/>
        <w:rPr>
          <w:rFonts w:ascii="宋体" w:hAnsi="宋体" w:cs="宋体"/>
          <w:b/>
          <w:color w:val="auto"/>
          <w:sz w:val="30"/>
          <w:szCs w:val="30"/>
        </w:rPr>
      </w:pPr>
    </w:p>
    <w:p w14:paraId="05135F20">
      <w:pPr>
        <w:autoSpaceDE w:val="0"/>
        <w:autoSpaceDN w:val="0"/>
        <w:adjustRightInd w:val="0"/>
        <w:spacing w:line="360" w:lineRule="auto"/>
        <w:rPr>
          <w:rFonts w:ascii="宋体" w:hAnsi="宋体" w:cs="宋体"/>
          <w:b/>
          <w:color w:val="auto"/>
          <w:sz w:val="30"/>
          <w:szCs w:val="30"/>
        </w:rPr>
      </w:pPr>
      <w:r>
        <w:rPr>
          <w:rFonts w:hint="eastAsia" w:ascii="宋体" w:hAnsi="宋体" w:cs="宋体"/>
          <w:b/>
          <w:color w:val="auto"/>
          <w:sz w:val="30"/>
          <w:szCs w:val="30"/>
          <w:lang w:val="en-US" w:eastAsia="zh-CN"/>
        </w:rPr>
        <w:t>14</w:t>
      </w:r>
      <w:r>
        <w:rPr>
          <w:rFonts w:hint="eastAsia" w:ascii="宋体" w:hAnsi="宋体" w:cs="宋体"/>
          <w:b/>
          <w:color w:val="auto"/>
          <w:sz w:val="30"/>
          <w:szCs w:val="30"/>
        </w:rPr>
        <w:t>、</w:t>
      </w:r>
      <w:r>
        <w:rPr>
          <w:rFonts w:hint="eastAsia" w:cs="宋体"/>
          <w:b/>
          <w:color w:val="auto"/>
          <w:sz w:val="30"/>
          <w:szCs w:val="30"/>
          <w:lang w:val="en-US" w:eastAsia="zh-CN"/>
        </w:rPr>
        <w:t>投标人</w:t>
      </w:r>
      <w:r>
        <w:rPr>
          <w:rFonts w:hint="eastAsia" w:ascii="宋体" w:hAnsi="宋体" w:cs="宋体"/>
          <w:b/>
          <w:color w:val="auto"/>
          <w:sz w:val="30"/>
          <w:szCs w:val="30"/>
        </w:rPr>
        <w:t>须知所需的其他材料</w:t>
      </w:r>
    </w:p>
    <w:p w14:paraId="4230C3EA">
      <w:pPr>
        <w:widowControl w:val="0"/>
        <w:snapToGrid w:val="0"/>
        <w:spacing w:line="560" w:lineRule="exact"/>
        <w:ind w:firstLine="555"/>
        <w:rPr>
          <w:rFonts w:ascii="宋体" w:hAnsi="宋体" w:cs="宋体"/>
          <w:color w:val="auto"/>
          <w:sz w:val="24"/>
          <w:szCs w:val="24"/>
        </w:rPr>
      </w:pPr>
      <w:r>
        <w:rPr>
          <w:rFonts w:hint="eastAsia" w:ascii="宋体" w:hAnsi="宋体" w:cs="宋体"/>
          <w:color w:val="auto"/>
          <w:sz w:val="24"/>
          <w:szCs w:val="24"/>
        </w:rPr>
        <w:t>（按条款需要填列；并按条款要求</w:t>
      </w:r>
      <w:r>
        <w:rPr>
          <w:rFonts w:hint="eastAsia" w:ascii="宋体" w:hAnsi="宋体" w:cs="宋体"/>
          <w:color w:val="auto"/>
          <w:sz w:val="24"/>
          <w:lang w:val="zh-CN"/>
        </w:rPr>
        <w:t>电子签名&lt;签</w:t>
      </w:r>
      <w:r>
        <w:rPr>
          <w:rFonts w:hint="eastAsia" w:ascii="宋体" w:hAnsi="宋体" w:cs="宋体"/>
          <w:color w:val="auto"/>
          <w:sz w:val="24"/>
          <w:szCs w:val="24"/>
        </w:rPr>
        <w:t>章</w:t>
      </w:r>
      <w:r>
        <w:rPr>
          <w:rFonts w:hint="eastAsia" w:cs="宋体"/>
          <w:color w:val="auto"/>
          <w:sz w:val="24"/>
          <w:szCs w:val="24"/>
          <w:lang w:eastAsia="zh-CN"/>
        </w:rPr>
        <w:t>&gt;</w:t>
      </w:r>
      <w:r>
        <w:rPr>
          <w:rFonts w:hint="eastAsia" w:ascii="宋体" w:hAnsi="宋体" w:cs="宋体"/>
          <w:color w:val="auto"/>
          <w:sz w:val="24"/>
          <w:szCs w:val="24"/>
        </w:rPr>
        <w:t>条款中对</w:t>
      </w:r>
      <w:r>
        <w:rPr>
          <w:rFonts w:hint="eastAsia" w:ascii="宋体" w:hAnsi="宋体" w:cs="宋体"/>
          <w:color w:val="auto"/>
          <w:sz w:val="24"/>
          <w:lang w:val="zh-CN"/>
        </w:rPr>
        <w:t>电子签名&lt;签</w:t>
      </w:r>
      <w:r>
        <w:rPr>
          <w:rFonts w:hint="eastAsia" w:ascii="宋体" w:hAnsi="宋体" w:cs="宋体"/>
          <w:color w:val="auto"/>
          <w:sz w:val="24"/>
          <w:szCs w:val="24"/>
        </w:rPr>
        <w:t>章&gt;未作明确要求的，由法定代表人</w:t>
      </w:r>
      <w:r>
        <w:rPr>
          <w:rFonts w:hint="eastAsia" w:ascii="宋体" w:hAnsi="宋体" w:cs="宋体"/>
          <w:color w:val="auto"/>
          <w:sz w:val="24"/>
          <w:lang w:val="zh-CN"/>
        </w:rPr>
        <w:t>电子签名</w:t>
      </w:r>
      <w:r>
        <w:rPr>
          <w:rFonts w:hint="eastAsia" w:ascii="宋体" w:hAnsi="宋体" w:cs="宋体"/>
          <w:color w:val="auto"/>
          <w:sz w:val="24"/>
          <w:szCs w:val="24"/>
        </w:rPr>
        <w:t>或供应商</w:t>
      </w:r>
      <w:r>
        <w:rPr>
          <w:rFonts w:hint="eastAsia" w:ascii="宋体" w:hAnsi="宋体" w:cs="宋体"/>
          <w:color w:val="auto"/>
          <w:sz w:val="24"/>
          <w:lang w:val="zh-CN"/>
        </w:rPr>
        <w:t>电子签</w:t>
      </w:r>
      <w:r>
        <w:rPr>
          <w:rFonts w:hint="eastAsia" w:ascii="宋体" w:hAnsi="宋体" w:cs="宋体"/>
          <w:color w:val="auto"/>
          <w:sz w:val="24"/>
          <w:szCs w:val="24"/>
        </w:rPr>
        <w:t>章）</w:t>
      </w:r>
    </w:p>
    <w:p w14:paraId="3300AF54">
      <w:pPr>
        <w:autoSpaceDE w:val="0"/>
        <w:autoSpaceDN w:val="0"/>
        <w:adjustRightInd w:val="0"/>
        <w:spacing w:line="360" w:lineRule="auto"/>
        <w:jc w:val="center"/>
        <w:rPr>
          <w:rFonts w:ascii="宋体" w:hAnsi="宋体" w:cs="宋体"/>
          <w:color w:val="auto"/>
          <w:sz w:val="24"/>
          <w:szCs w:val="24"/>
        </w:rPr>
      </w:pPr>
    </w:p>
    <w:p w14:paraId="473F04B2">
      <w:pPr>
        <w:autoSpaceDE w:val="0"/>
        <w:autoSpaceDN w:val="0"/>
        <w:adjustRightInd w:val="0"/>
        <w:spacing w:line="360" w:lineRule="auto"/>
        <w:jc w:val="center"/>
        <w:rPr>
          <w:rFonts w:ascii="宋体" w:hAnsi="宋体" w:cs="宋体"/>
          <w:color w:val="auto"/>
          <w:sz w:val="24"/>
          <w:szCs w:val="24"/>
        </w:rPr>
      </w:pPr>
    </w:p>
    <w:p w14:paraId="209595B3">
      <w:pPr>
        <w:autoSpaceDE w:val="0"/>
        <w:autoSpaceDN w:val="0"/>
        <w:adjustRightInd w:val="0"/>
        <w:spacing w:line="360" w:lineRule="auto"/>
        <w:jc w:val="center"/>
        <w:rPr>
          <w:rFonts w:ascii="宋体" w:hAnsi="宋体" w:cs="宋体"/>
          <w:color w:val="auto"/>
          <w:sz w:val="24"/>
          <w:szCs w:val="24"/>
        </w:rPr>
      </w:pPr>
    </w:p>
    <w:p w14:paraId="40D3E088">
      <w:pPr>
        <w:autoSpaceDE w:val="0"/>
        <w:autoSpaceDN w:val="0"/>
        <w:adjustRightInd w:val="0"/>
        <w:spacing w:line="360" w:lineRule="auto"/>
        <w:jc w:val="center"/>
        <w:rPr>
          <w:rFonts w:ascii="宋体" w:hAnsi="宋体" w:cs="宋体"/>
          <w:b/>
          <w:color w:val="auto"/>
          <w:sz w:val="30"/>
          <w:szCs w:val="30"/>
        </w:rPr>
      </w:pPr>
    </w:p>
    <w:p w14:paraId="7B6F3677">
      <w:pPr>
        <w:autoSpaceDE w:val="0"/>
        <w:autoSpaceDN w:val="0"/>
        <w:adjustRightInd w:val="0"/>
        <w:spacing w:line="360" w:lineRule="auto"/>
        <w:rPr>
          <w:rFonts w:ascii="宋体" w:hAnsi="宋体" w:cs="宋体"/>
          <w:b/>
          <w:color w:val="auto"/>
          <w:sz w:val="30"/>
          <w:szCs w:val="30"/>
        </w:rPr>
      </w:pPr>
      <w:r>
        <w:rPr>
          <w:rFonts w:hint="eastAsia" w:ascii="宋体" w:hAnsi="宋体" w:cs="宋体"/>
          <w:b/>
          <w:color w:val="auto"/>
          <w:sz w:val="30"/>
          <w:szCs w:val="30"/>
          <w:lang w:val="en-US" w:eastAsia="zh-CN"/>
        </w:rPr>
        <w:t>15</w:t>
      </w:r>
      <w:r>
        <w:rPr>
          <w:rFonts w:hint="eastAsia" w:ascii="宋体" w:hAnsi="宋体" w:cs="宋体"/>
          <w:b/>
          <w:color w:val="auto"/>
          <w:sz w:val="30"/>
          <w:szCs w:val="30"/>
        </w:rPr>
        <w:t>、评审办法所需材料</w:t>
      </w:r>
    </w:p>
    <w:p w14:paraId="0EE3207A">
      <w:pPr>
        <w:widowControl w:val="0"/>
        <w:snapToGrid w:val="0"/>
        <w:spacing w:line="560" w:lineRule="exact"/>
        <w:ind w:firstLine="555"/>
        <w:rPr>
          <w:rFonts w:ascii="宋体" w:hAnsi="宋体" w:cs="宋体"/>
          <w:color w:val="auto"/>
          <w:sz w:val="24"/>
          <w:szCs w:val="24"/>
        </w:rPr>
      </w:pPr>
      <w:r>
        <w:rPr>
          <w:rFonts w:hint="eastAsia" w:ascii="宋体" w:hAnsi="宋体" w:cs="宋体"/>
          <w:color w:val="auto"/>
          <w:sz w:val="24"/>
          <w:szCs w:val="24"/>
        </w:rPr>
        <w:t>（按条款需要填列；并按条款要求</w:t>
      </w:r>
      <w:r>
        <w:rPr>
          <w:rFonts w:hint="eastAsia" w:ascii="宋体" w:hAnsi="宋体" w:cs="宋体"/>
          <w:color w:val="auto"/>
          <w:sz w:val="24"/>
          <w:lang w:val="zh-CN"/>
        </w:rPr>
        <w:t>电子签名&lt;签</w:t>
      </w:r>
      <w:r>
        <w:rPr>
          <w:rFonts w:hint="eastAsia" w:ascii="宋体" w:hAnsi="宋体" w:cs="宋体"/>
          <w:color w:val="auto"/>
          <w:sz w:val="24"/>
          <w:szCs w:val="24"/>
        </w:rPr>
        <w:t>章</w:t>
      </w:r>
      <w:r>
        <w:rPr>
          <w:rFonts w:hint="eastAsia" w:cs="宋体"/>
          <w:color w:val="auto"/>
          <w:sz w:val="24"/>
          <w:szCs w:val="24"/>
          <w:lang w:eastAsia="zh-CN"/>
        </w:rPr>
        <w:t>&gt;</w:t>
      </w:r>
      <w:r>
        <w:rPr>
          <w:rFonts w:hint="eastAsia" w:ascii="宋体" w:hAnsi="宋体" w:cs="宋体"/>
          <w:color w:val="auto"/>
          <w:sz w:val="24"/>
          <w:szCs w:val="24"/>
        </w:rPr>
        <w:t>条款中对</w:t>
      </w:r>
      <w:r>
        <w:rPr>
          <w:rFonts w:hint="eastAsia" w:ascii="宋体" w:hAnsi="宋体" w:cs="宋体"/>
          <w:color w:val="auto"/>
          <w:sz w:val="24"/>
          <w:lang w:val="zh-CN"/>
        </w:rPr>
        <w:t>电子签名&lt;签</w:t>
      </w:r>
      <w:r>
        <w:rPr>
          <w:rFonts w:hint="eastAsia" w:ascii="宋体" w:hAnsi="宋体" w:cs="宋体"/>
          <w:color w:val="auto"/>
          <w:sz w:val="24"/>
          <w:szCs w:val="24"/>
        </w:rPr>
        <w:t>章&gt;未作明确要求的，由法定代表人</w:t>
      </w:r>
      <w:r>
        <w:rPr>
          <w:rFonts w:hint="eastAsia" w:ascii="宋体" w:hAnsi="宋体" w:cs="宋体"/>
          <w:color w:val="auto"/>
          <w:sz w:val="24"/>
          <w:lang w:val="zh-CN"/>
        </w:rPr>
        <w:t>电子签名</w:t>
      </w:r>
      <w:r>
        <w:rPr>
          <w:rFonts w:hint="eastAsia" w:ascii="宋体" w:hAnsi="宋体" w:cs="宋体"/>
          <w:color w:val="auto"/>
          <w:sz w:val="24"/>
          <w:szCs w:val="24"/>
        </w:rPr>
        <w:t>或</w:t>
      </w:r>
      <w:r>
        <w:rPr>
          <w:rFonts w:hint="eastAsia" w:cs="宋体"/>
          <w:color w:val="auto"/>
          <w:sz w:val="24"/>
          <w:szCs w:val="24"/>
          <w:lang w:val="en-US" w:eastAsia="zh-CN"/>
        </w:rPr>
        <w:t>投标人</w:t>
      </w:r>
      <w:r>
        <w:rPr>
          <w:rFonts w:hint="eastAsia" w:ascii="宋体" w:hAnsi="宋体" w:cs="宋体"/>
          <w:color w:val="auto"/>
          <w:sz w:val="24"/>
          <w:lang w:val="zh-CN"/>
        </w:rPr>
        <w:t>电子签</w:t>
      </w:r>
      <w:r>
        <w:rPr>
          <w:rFonts w:hint="eastAsia" w:ascii="宋体" w:hAnsi="宋体" w:cs="宋体"/>
          <w:color w:val="auto"/>
          <w:sz w:val="24"/>
          <w:szCs w:val="24"/>
        </w:rPr>
        <w:t>章）</w:t>
      </w:r>
    </w:p>
    <w:p w14:paraId="082F86B2">
      <w:pPr>
        <w:autoSpaceDE w:val="0"/>
        <w:autoSpaceDN w:val="0"/>
        <w:adjustRightInd w:val="0"/>
        <w:spacing w:line="360" w:lineRule="auto"/>
        <w:jc w:val="center"/>
        <w:rPr>
          <w:rFonts w:ascii="宋体" w:hAnsi="宋体" w:cs="宋体"/>
          <w:color w:val="auto"/>
          <w:sz w:val="24"/>
          <w:szCs w:val="24"/>
        </w:rPr>
      </w:pPr>
    </w:p>
    <w:p w14:paraId="71E75D33">
      <w:pPr>
        <w:widowControl w:val="0"/>
        <w:snapToGrid w:val="0"/>
        <w:spacing w:line="560" w:lineRule="exact"/>
        <w:rPr>
          <w:rFonts w:ascii="宋体" w:hAnsi="宋体" w:cs="宋体"/>
          <w:b/>
          <w:color w:val="auto"/>
          <w:sz w:val="30"/>
          <w:szCs w:val="30"/>
        </w:rPr>
      </w:pPr>
    </w:p>
    <w:p w14:paraId="213C8C11">
      <w:pPr>
        <w:widowControl w:val="0"/>
        <w:snapToGrid w:val="0"/>
        <w:spacing w:line="560" w:lineRule="exact"/>
        <w:rPr>
          <w:rFonts w:ascii="宋体" w:hAnsi="宋体" w:cs="宋体"/>
          <w:b/>
          <w:color w:val="auto"/>
          <w:sz w:val="30"/>
          <w:szCs w:val="30"/>
        </w:rPr>
      </w:pPr>
      <w:r>
        <w:rPr>
          <w:rFonts w:hint="eastAsia" w:ascii="宋体" w:hAnsi="宋体" w:cs="宋体"/>
          <w:b/>
          <w:color w:val="auto"/>
          <w:sz w:val="30"/>
          <w:szCs w:val="30"/>
          <w:lang w:val="en-US" w:eastAsia="zh-CN"/>
        </w:rPr>
        <w:t>16</w:t>
      </w:r>
      <w:r>
        <w:rPr>
          <w:rFonts w:hint="eastAsia" w:ascii="宋体" w:hAnsi="宋体" w:cs="宋体"/>
          <w:b/>
          <w:color w:val="auto"/>
          <w:sz w:val="30"/>
          <w:szCs w:val="30"/>
        </w:rPr>
        <w:t>、</w:t>
      </w:r>
      <w:r>
        <w:rPr>
          <w:rFonts w:hint="eastAsia" w:cs="宋体"/>
          <w:b/>
          <w:color w:val="auto"/>
          <w:sz w:val="30"/>
          <w:szCs w:val="30"/>
          <w:lang w:val="en-US" w:eastAsia="zh-CN"/>
        </w:rPr>
        <w:t>投标人</w:t>
      </w:r>
      <w:r>
        <w:rPr>
          <w:rFonts w:hint="eastAsia" w:ascii="宋体" w:hAnsi="宋体" w:cs="宋体"/>
          <w:b/>
          <w:color w:val="auto"/>
          <w:sz w:val="30"/>
          <w:szCs w:val="30"/>
        </w:rPr>
        <w:t>认为有必要提交的</w:t>
      </w:r>
      <w:r>
        <w:rPr>
          <w:rFonts w:hint="eastAsia" w:cs="宋体"/>
          <w:b/>
          <w:color w:val="auto"/>
          <w:sz w:val="30"/>
          <w:szCs w:val="30"/>
          <w:lang w:eastAsia="zh-CN"/>
        </w:rPr>
        <w:t>其他</w:t>
      </w:r>
      <w:r>
        <w:rPr>
          <w:rFonts w:hint="eastAsia" w:ascii="宋体" w:hAnsi="宋体" w:cs="宋体"/>
          <w:b/>
          <w:color w:val="auto"/>
          <w:sz w:val="30"/>
          <w:szCs w:val="30"/>
        </w:rPr>
        <w:t>材料</w:t>
      </w:r>
    </w:p>
    <w:p w14:paraId="02BE4190">
      <w:pPr>
        <w:autoSpaceDE w:val="0"/>
        <w:autoSpaceDN w:val="0"/>
        <w:adjustRightIn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（由法定代表人</w:t>
      </w:r>
      <w:r>
        <w:rPr>
          <w:rFonts w:hint="eastAsia" w:ascii="宋体" w:hAnsi="宋体" w:cs="宋体"/>
          <w:color w:val="auto"/>
          <w:sz w:val="24"/>
          <w:lang w:val="zh-CN"/>
        </w:rPr>
        <w:t>电子签名</w:t>
      </w:r>
      <w:r>
        <w:rPr>
          <w:rFonts w:hint="eastAsia" w:ascii="宋体" w:hAnsi="宋体" w:cs="宋体"/>
          <w:color w:val="auto"/>
          <w:sz w:val="24"/>
          <w:szCs w:val="24"/>
        </w:rPr>
        <w:t>或</w:t>
      </w:r>
      <w:r>
        <w:rPr>
          <w:rFonts w:hint="eastAsia" w:cs="宋体"/>
          <w:color w:val="auto"/>
          <w:sz w:val="24"/>
          <w:szCs w:val="24"/>
          <w:lang w:val="en-US" w:eastAsia="zh-CN"/>
        </w:rPr>
        <w:t>投标人</w:t>
      </w:r>
      <w:r>
        <w:rPr>
          <w:rFonts w:hint="eastAsia" w:ascii="宋体" w:hAnsi="宋体" w:cs="宋体"/>
          <w:color w:val="auto"/>
          <w:sz w:val="24"/>
          <w:lang w:val="zh-CN"/>
        </w:rPr>
        <w:t>电子签</w:t>
      </w:r>
      <w:r>
        <w:rPr>
          <w:rFonts w:hint="eastAsia" w:ascii="宋体" w:hAnsi="宋体" w:cs="宋体"/>
          <w:color w:val="auto"/>
          <w:sz w:val="24"/>
          <w:szCs w:val="24"/>
        </w:rPr>
        <w:t>章）</w:t>
      </w:r>
    </w:p>
    <w:p w14:paraId="56B2B88F">
      <w:pPr>
        <w:pStyle w:val="10"/>
        <w:rPr>
          <w:rFonts w:hint="eastAsia"/>
          <w:color w:val="auto"/>
        </w:rPr>
      </w:pPr>
    </w:p>
    <w:p w14:paraId="6E0D3388">
      <w:pPr>
        <w:autoSpaceDE w:val="0"/>
        <w:autoSpaceDN w:val="0"/>
        <w:adjustRightInd w:val="0"/>
        <w:spacing w:line="360" w:lineRule="auto"/>
        <w:jc w:val="center"/>
        <w:rPr>
          <w:rFonts w:hint="eastAsia" w:ascii="宋体" w:hAnsi="宋体" w:eastAsia="宋体" w:cs="宋体"/>
          <w:b/>
          <w:color w:val="auto"/>
          <w:sz w:val="30"/>
          <w:szCs w:val="30"/>
        </w:rPr>
      </w:pPr>
      <w:r>
        <w:rPr>
          <w:rFonts w:hint="eastAsia" w:cs="宋体"/>
          <w:b/>
          <w:color w:val="auto"/>
          <w:sz w:val="30"/>
          <w:szCs w:val="30"/>
          <w:lang w:val="en-US" w:eastAsia="zh-CN"/>
        </w:rPr>
        <w:t>17</w:t>
      </w:r>
      <w:r>
        <w:rPr>
          <w:rFonts w:hint="eastAsia" w:ascii="宋体" w:hAnsi="宋体" w:eastAsia="宋体" w:cs="宋体"/>
          <w:b/>
          <w:color w:val="auto"/>
          <w:sz w:val="30"/>
          <w:szCs w:val="30"/>
        </w:rPr>
        <w:t>、投标人如果申报小微企业产品价格扣除的，需在“安阳市政府采购投标文件编制系统”填列。</w:t>
      </w:r>
    </w:p>
    <w:p w14:paraId="01A2FEC1">
      <w:pPr>
        <w:rPr>
          <w:rFonts w:hint="default" w:hAnsi="宋体" w:cs="宋体"/>
          <w:color w:val="auto"/>
          <w:sz w:val="24"/>
          <w:szCs w:val="24"/>
          <w:lang w:val="en-US" w:eastAsia="zh-CN"/>
        </w:rPr>
      </w:pPr>
    </w:p>
    <w:sectPr>
      <w:pgSz w:w="11905" w:h="16837"/>
      <w:pgMar w:top="1091" w:right="1106" w:bottom="993" w:left="1418" w:header="1020" w:footer="1191"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94D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D4B5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1B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1B01B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1"/>
    <w:multiLevelType w:val="multilevel"/>
    <w:tmpl w:val="00000001"/>
    <w:lvl w:ilvl="0" w:tentative="0">
      <w:start w:val="1"/>
      <w:numFmt w:val="decimal"/>
      <w:lvlText w:val="%1"/>
      <w:lvlJc w:val="left"/>
      <w:pPr>
        <w:ind w:left="425" w:hanging="425"/>
      </w:pPr>
      <w:rPr>
        <w:rFonts w:hint="default"/>
      </w:rPr>
    </w:lvl>
    <w:lvl w:ilvl="1" w:tentative="0">
      <w:start w:val="1"/>
      <w:numFmt w:val="decimal"/>
      <w:pStyle w:val="32"/>
      <w:lvlText w:val="%1.%2"/>
      <w:lvlJc w:val="left"/>
      <w:pPr>
        <w:ind w:left="992" w:hanging="567"/>
      </w:pPr>
      <w:rPr>
        <w:rFonts w:hint="default"/>
        <w:b w:val="0"/>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
    <w:nsid w:val="1ED12418"/>
    <w:multiLevelType w:val="singleLevel"/>
    <w:tmpl w:val="1ED12418"/>
    <w:lvl w:ilvl="0" w:tentative="0">
      <w:start w:val="1"/>
      <w:numFmt w:val="chineseCounting"/>
      <w:suff w:val="nothing"/>
      <w:lvlText w:val="%1、"/>
      <w:lvlJc w:val="left"/>
      <w:rPr>
        <w:rFonts w:hint="eastAsia"/>
      </w:rPr>
    </w:lvl>
  </w:abstractNum>
  <w:abstractNum w:abstractNumId="8">
    <w:nsid w:val="5CF5EE4F"/>
    <w:multiLevelType w:val="singleLevel"/>
    <w:tmpl w:val="5CF5EE4F"/>
    <w:lvl w:ilvl="0" w:tentative="0">
      <w:start w:val="5"/>
      <w:numFmt w:val="decimal"/>
      <w:lvlText w:val="%1."/>
      <w:lvlJc w:val="left"/>
      <w:pPr>
        <w:tabs>
          <w:tab w:val="left" w:pos="312"/>
        </w:tabs>
      </w:pPr>
    </w:lvl>
  </w:abstractNum>
  <w:abstractNum w:abstractNumId="9">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7"/>
  </w:num>
  <w:num w:numId="4">
    <w:abstractNumId w:val="9"/>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NzYxOTlhNzQyZDhmM2I2Nzk0MWJiOGQ4ODYyYWQifQ=="/>
  </w:docVars>
  <w:rsids>
    <w:rsidRoot w:val="00172A27"/>
    <w:rsid w:val="00001AFE"/>
    <w:rsid w:val="00001D7A"/>
    <w:rsid w:val="00004FEA"/>
    <w:rsid w:val="00006184"/>
    <w:rsid w:val="00010A0D"/>
    <w:rsid w:val="000118FF"/>
    <w:rsid w:val="00011F9D"/>
    <w:rsid w:val="000129C4"/>
    <w:rsid w:val="00013814"/>
    <w:rsid w:val="00013DB2"/>
    <w:rsid w:val="00014CB5"/>
    <w:rsid w:val="00014FA0"/>
    <w:rsid w:val="00015C36"/>
    <w:rsid w:val="00016334"/>
    <w:rsid w:val="00017560"/>
    <w:rsid w:val="0001783F"/>
    <w:rsid w:val="00017E1E"/>
    <w:rsid w:val="00020336"/>
    <w:rsid w:val="00023676"/>
    <w:rsid w:val="000241D3"/>
    <w:rsid w:val="00024608"/>
    <w:rsid w:val="00025438"/>
    <w:rsid w:val="00025F1E"/>
    <w:rsid w:val="0002701F"/>
    <w:rsid w:val="0002737B"/>
    <w:rsid w:val="0003123D"/>
    <w:rsid w:val="0003321D"/>
    <w:rsid w:val="000339BC"/>
    <w:rsid w:val="000339BD"/>
    <w:rsid w:val="00035408"/>
    <w:rsid w:val="0003567F"/>
    <w:rsid w:val="00035A32"/>
    <w:rsid w:val="00036AA4"/>
    <w:rsid w:val="00040523"/>
    <w:rsid w:val="0004137D"/>
    <w:rsid w:val="00041891"/>
    <w:rsid w:val="00042CA8"/>
    <w:rsid w:val="00042F27"/>
    <w:rsid w:val="000435E8"/>
    <w:rsid w:val="000437D6"/>
    <w:rsid w:val="00043821"/>
    <w:rsid w:val="00043CBA"/>
    <w:rsid w:val="00043D90"/>
    <w:rsid w:val="000441FD"/>
    <w:rsid w:val="00045899"/>
    <w:rsid w:val="000458E7"/>
    <w:rsid w:val="00047D2A"/>
    <w:rsid w:val="00050832"/>
    <w:rsid w:val="00050E05"/>
    <w:rsid w:val="00052D79"/>
    <w:rsid w:val="00053112"/>
    <w:rsid w:val="000532EB"/>
    <w:rsid w:val="000552FA"/>
    <w:rsid w:val="00056986"/>
    <w:rsid w:val="00056C7E"/>
    <w:rsid w:val="00057BA0"/>
    <w:rsid w:val="00057F78"/>
    <w:rsid w:val="0006134B"/>
    <w:rsid w:val="000622B5"/>
    <w:rsid w:val="00062784"/>
    <w:rsid w:val="00062821"/>
    <w:rsid w:val="00065301"/>
    <w:rsid w:val="00067F66"/>
    <w:rsid w:val="00070DCC"/>
    <w:rsid w:val="00071C34"/>
    <w:rsid w:val="00072834"/>
    <w:rsid w:val="00072ABE"/>
    <w:rsid w:val="00072E8B"/>
    <w:rsid w:val="000732AB"/>
    <w:rsid w:val="0007358E"/>
    <w:rsid w:val="0007390E"/>
    <w:rsid w:val="00073A45"/>
    <w:rsid w:val="00074985"/>
    <w:rsid w:val="00077629"/>
    <w:rsid w:val="00080AE9"/>
    <w:rsid w:val="0008112C"/>
    <w:rsid w:val="00081801"/>
    <w:rsid w:val="00081C6C"/>
    <w:rsid w:val="000823AD"/>
    <w:rsid w:val="0008258F"/>
    <w:rsid w:val="000829A8"/>
    <w:rsid w:val="000829DB"/>
    <w:rsid w:val="00083869"/>
    <w:rsid w:val="00084C56"/>
    <w:rsid w:val="0008534F"/>
    <w:rsid w:val="00085435"/>
    <w:rsid w:val="00086B70"/>
    <w:rsid w:val="000872DA"/>
    <w:rsid w:val="000906F2"/>
    <w:rsid w:val="00090D6B"/>
    <w:rsid w:val="00090EB6"/>
    <w:rsid w:val="00091C5E"/>
    <w:rsid w:val="0009268E"/>
    <w:rsid w:val="000929AC"/>
    <w:rsid w:val="00093A6B"/>
    <w:rsid w:val="000956CE"/>
    <w:rsid w:val="000962DF"/>
    <w:rsid w:val="000A0D45"/>
    <w:rsid w:val="000A1EF0"/>
    <w:rsid w:val="000A2F4F"/>
    <w:rsid w:val="000A3FE8"/>
    <w:rsid w:val="000A4640"/>
    <w:rsid w:val="000A4A99"/>
    <w:rsid w:val="000A55EE"/>
    <w:rsid w:val="000A61F5"/>
    <w:rsid w:val="000A688B"/>
    <w:rsid w:val="000A70A2"/>
    <w:rsid w:val="000A7A3C"/>
    <w:rsid w:val="000B1334"/>
    <w:rsid w:val="000B2559"/>
    <w:rsid w:val="000B3DD8"/>
    <w:rsid w:val="000B4150"/>
    <w:rsid w:val="000B4758"/>
    <w:rsid w:val="000B535A"/>
    <w:rsid w:val="000B5412"/>
    <w:rsid w:val="000B6571"/>
    <w:rsid w:val="000C0072"/>
    <w:rsid w:val="000C0358"/>
    <w:rsid w:val="000C17C5"/>
    <w:rsid w:val="000C1BB9"/>
    <w:rsid w:val="000C2AA6"/>
    <w:rsid w:val="000C418B"/>
    <w:rsid w:val="000C5E57"/>
    <w:rsid w:val="000D1898"/>
    <w:rsid w:val="000D2631"/>
    <w:rsid w:val="000E02FC"/>
    <w:rsid w:val="000E127A"/>
    <w:rsid w:val="000E3874"/>
    <w:rsid w:val="000E41D5"/>
    <w:rsid w:val="000E54A0"/>
    <w:rsid w:val="000E6E96"/>
    <w:rsid w:val="000F0906"/>
    <w:rsid w:val="000F108C"/>
    <w:rsid w:val="000F3188"/>
    <w:rsid w:val="000F3282"/>
    <w:rsid w:val="000F3D46"/>
    <w:rsid w:val="000F3E7E"/>
    <w:rsid w:val="000F4146"/>
    <w:rsid w:val="000F49BD"/>
    <w:rsid w:val="000F4C91"/>
    <w:rsid w:val="000F71A3"/>
    <w:rsid w:val="000F756B"/>
    <w:rsid w:val="000F7917"/>
    <w:rsid w:val="000F79CB"/>
    <w:rsid w:val="000F7BE8"/>
    <w:rsid w:val="0010005D"/>
    <w:rsid w:val="00103B89"/>
    <w:rsid w:val="00104212"/>
    <w:rsid w:val="001056D3"/>
    <w:rsid w:val="00107435"/>
    <w:rsid w:val="0010797B"/>
    <w:rsid w:val="00110434"/>
    <w:rsid w:val="001106D7"/>
    <w:rsid w:val="00110916"/>
    <w:rsid w:val="00110E80"/>
    <w:rsid w:val="00111476"/>
    <w:rsid w:val="001118D4"/>
    <w:rsid w:val="00112AEB"/>
    <w:rsid w:val="00113D0A"/>
    <w:rsid w:val="00115075"/>
    <w:rsid w:val="001163D8"/>
    <w:rsid w:val="00117724"/>
    <w:rsid w:val="00117C79"/>
    <w:rsid w:val="00120466"/>
    <w:rsid w:val="00123128"/>
    <w:rsid w:val="00124C33"/>
    <w:rsid w:val="00124FA8"/>
    <w:rsid w:val="0012536B"/>
    <w:rsid w:val="00126132"/>
    <w:rsid w:val="00126944"/>
    <w:rsid w:val="00126947"/>
    <w:rsid w:val="00126CF1"/>
    <w:rsid w:val="001301F8"/>
    <w:rsid w:val="00131B13"/>
    <w:rsid w:val="00131CCB"/>
    <w:rsid w:val="00131D4E"/>
    <w:rsid w:val="00132364"/>
    <w:rsid w:val="001331D2"/>
    <w:rsid w:val="001336BC"/>
    <w:rsid w:val="001342A5"/>
    <w:rsid w:val="00135227"/>
    <w:rsid w:val="0013534D"/>
    <w:rsid w:val="001364C3"/>
    <w:rsid w:val="001373F3"/>
    <w:rsid w:val="001376B5"/>
    <w:rsid w:val="001378C9"/>
    <w:rsid w:val="001401E4"/>
    <w:rsid w:val="001403FB"/>
    <w:rsid w:val="001409F2"/>
    <w:rsid w:val="00142AE3"/>
    <w:rsid w:val="00143774"/>
    <w:rsid w:val="00144530"/>
    <w:rsid w:val="001531FB"/>
    <w:rsid w:val="001532B2"/>
    <w:rsid w:val="001537D5"/>
    <w:rsid w:val="0015450A"/>
    <w:rsid w:val="00157A88"/>
    <w:rsid w:val="00157DA4"/>
    <w:rsid w:val="00161EAD"/>
    <w:rsid w:val="00164338"/>
    <w:rsid w:val="00166938"/>
    <w:rsid w:val="0016693E"/>
    <w:rsid w:val="00167109"/>
    <w:rsid w:val="0016783C"/>
    <w:rsid w:val="001708C3"/>
    <w:rsid w:val="00170AE1"/>
    <w:rsid w:val="00171587"/>
    <w:rsid w:val="0017176A"/>
    <w:rsid w:val="001717B5"/>
    <w:rsid w:val="001719D7"/>
    <w:rsid w:val="00172A27"/>
    <w:rsid w:val="00172A7E"/>
    <w:rsid w:val="0017328C"/>
    <w:rsid w:val="00174A16"/>
    <w:rsid w:val="00175E3A"/>
    <w:rsid w:val="00180421"/>
    <w:rsid w:val="00182CA9"/>
    <w:rsid w:val="00184C5A"/>
    <w:rsid w:val="00186884"/>
    <w:rsid w:val="00187C84"/>
    <w:rsid w:val="001918A1"/>
    <w:rsid w:val="00191971"/>
    <w:rsid w:val="00192DD9"/>
    <w:rsid w:val="00194451"/>
    <w:rsid w:val="001965DC"/>
    <w:rsid w:val="0019697C"/>
    <w:rsid w:val="00196E5D"/>
    <w:rsid w:val="001A01A7"/>
    <w:rsid w:val="001A02B0"/>
    <w:rsid w:val="001A1BB5"/>
    <w:rsid w:val="001A1D5B"/>
    <w:rsid w:val="001A2564"/>
    <w:rsid w:val="001A2827"/>
    <w:rsid w:val="001A46D0"/>
    <w:rsid w:val="001A5D00"/>
    <w:rsid w:val="001A733E"/>
    <w:rsid w:val="001B113A"/>
    <w:rsid w:val="001B31C5"/>
    <w:rsid w:val="001B3387"/>
    <w:rsid w:val="001B353D"/>
    <w:rsid w:val="001B4202"/>
    <w:rsid w:val="001B5626"/>
    <w:rsid w:val="001B598B"/>
    <w:rsid w:val="001B6072"/>
    <w:rsid w:val="001B7085"/>
    <w:rsid w:val="001B7B35"/>
    <w:rsid w:val="001C015C"/>
    <w:rsid w:val="001C050D"/>
    <w:rsid w:val="001C078C"/>
    <w:rsid w:val="001C219F"/>
    <w:rsid w:val="001C2389"/>
    <w:rsid w:val="001C2D34"/>
    <w:rsid w:val="001C397C"/>
    <w:rsid w:val="001C4B92"/>
    <w:rsid w:val="001C56BF"/>
    <w:rsid w:val="001C58DB"/>
    <w:rsid w:val="001C6505"/>
    <w:rsid w:val="001C6FC8"/>
    <w:rsid w:val="001D14A1"/>
    <w:rsid w:val="001D17A7"/>
    <w:rsid w:val="001D292F"/>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979"/>
    <w:rsid w:val="001E2ED6"/>
    <w:rsid w:val="001E30AE"/>
    <w:rsid w:val="001E364B"/>
    <w:rsid w:val="001E45BE"/>
    <w:rsid w:val="001F6921"/>
    <w:rsid w:val="001F7D39"/>
    <w:rsid w:val="001F7ECB"/>
    <w:rsid w:val="00201557"/>
    <w:rsid w:val="00202D93"/>
    <w:rsid w:val="00202E2A"/>
    <w:rsid w:val="00203933"/>
    <w:rsid w:val="00204C09"/>
    <w:rsid w:val="002052BF"/>
    <w:rsid w:val="0020536F"/>
    <w:rsid w:val="002053E8"/>
    <w:rsid w:val="00205670"/>
    <w:rsid w:val="002057B6"/>
    <w:rsid w:val="00205DC9"/>
    <w:rsid w:val="0020635B"/>
    <w:rsid w:val="002064E1"/>
    <w:rsid w:val="00207968"/>
    <w:rsid w:val="00207B50"/>
    <w:rsid w:val="00212022"/>
    <w:rsid w:val="00214144"/>
    <w:rsid w:val="00214228"/>
    <w:rsid w:val="0021493D"/>
    <w:rsid w:val="00214DD7"/>
    <w:rsid w:val="00214F54"/>
    <w:rsid w:val="002155C5"/>
    <w:rsid w:val="0021708F"/>
    <w:rsid w:val="002228C6"/>
    <w:rsid w:val="002238AE"/>
    <w:rsid w:val="002238BD"/>
    <w:rsid w:val="002247B5"/>
    <w:rsid w:val="00225E50"/>
    <w:rsid w:val="0022623B"/>
    <w:rsid w:val="0022680B"/>
    <w:rsid w:val="00227CB1"/>
    <w:rsid w:val="0023012A"/>
    <w:rsid w:val="00231D21"/>
    <w:rsid w:val="0023225F"/>
    <w:rsid w:val="0023255F"/>
    <w:rsid w:val="00233A21"/>
    <w:rsid w:val="00235797"/>
    <w:rsid w:val="0023589D"/>
    <w:rsid w:val="00235F2B"/>
    <w:rsid w:val="00235F6E"/>
    <w:rsid w:val="00236EE2"/>
    <w:rsid w:val="00237A15"/>
    <w:rsid w:val="00240733"/>
    <w:rsid w:val="00241D3A"/>
    <w:rsid w:val="002423AD"/>
    <w:rsid w:val="0024269B"/>
    <w:rsid w:val="002441A6"/>
    <w:rsid w:val="00244532"/>
    <w:rsid w:val="00244845"/>
    <w:rsid w:val="00244B40"/>
    <w:rsid w:val="00246A36"/>
    <w:rsid w:val="00247523"/>
    <w:rsid w:val="002475F4"/>
    <w:rsid w:val="00247993"/>
    <w:rsid w:val="00247F59"/>
    <w:rsid w:val="0025043E"/>
    <w:rsid w:val="00250D5C"/>
    <w:rsid w:val="0025169E"/>
    <w:rsid w:val="00253446"/>
    <w:rsid w:val="00253701"/>
    <w:rsid w:val="00253A7C"/>
    <w:rsid w:val="00254149"/>
    <w:rsid w:val="00254F6E"/>
    <w:rsid w:val="0025656F"/>
    <w:rsid w:val="002574D7"/>
    <w:rsid w:val="00257B22"/>
    <w:rsid w:val="00262FD4"/>
    <w:rsid w:val="002665E4"/>
    <w:rsid w:val="002673AF"/>
    <w:rsid w:val="00270437"/>
    <w:rsid w:val="0027067C"/>
    <w:rsid w:val="00270D09"/>
    <w:rsid w:val="00270FE1"/>
    <w:rsid w:val="00271ABB"/>
    <w:rsid w:val="0027281A"/>
    <w:rsid w:val="00272DEC"/>
    <w:rsid w:val="002759A2"/>
    <w:rsid w:val="00275EA8"/>
    <w:rsid w:val="00276204"/>
    <w:rsid w:val="0027648D"/>
    <w:rsid w:val="00276C58"/>
    <w:rsid w:val="00280E45"/>
    <w:rsid w:val="002810F8"/>
    <w:rsid w:val="00282504"/>
    <w:rsid w:val="00283767"/>
    <w:rsid w:val="00287D26"/>
    <w:rsid w:val="002901A4"/>
    <w:rsid w:val="00290D50"/>
    <w:rsid w:val="00291105"/>
    <w:rsid w:val="002936B7"/>
    <w:rsid w:val="0029442F"/>
    <w:rsid w:val="00294F22"/>
    <w:rsid w:val="0029595B"/>
    <w:rsid w:val="00295A34"/>
    <w:rsid w:val="0029638B"/>
    <w:rsid w:val="00296501"/>
    <w:rsid w:val="00297034"/>
    <w:rsid w:val="002975BF"/>
    <w:rsid w:val="0029799B"/>
    <w:rsid w:val="002A0906"/>
    <w:rsid w:val="002A1CD2"/>
    <w:rsid w:val="002A2B5C"/>
    <w:rsid w:val="002A2B93"/>
    <w:rsid w:val="002A4898"/>
    <w:rsid w:val="002A4F6F"/>
    <w:rsid w:val="002A5411"/>
    <w:rsid w:val="002A5D4C"/>
    <w:rsid w:val="002A6206"/>
    <w:rsid w:val="002B01D6"/>
    <w:rsid w:val="002B2CE9"/>
    <w:rsid w:val="002B2F3A"/>
    <w:rsid w:val="002B5E0D"/>
    <w:rsid w:val="002B6471"/>
    <w:rsid w:val="002B7A62"/>
    <w:rsid w:val="002C00FF"/>
    <w:rsid w:val="002C30F7"/>
    <w:rsid w:val="002C4340"/>
    <w:rsid w:val="002C4F66"/>
    <w:rsid w:val="002C61E4"/>
    <w:rsid w:val="002C65FF"/>
    <w:rsid w:val="002C698C"/>
    <w:rsid w:val="002C75BE"/>
    <w:rsid w:val="002D157C"/>
    <w:rsid w:val="002D3A86"/>
    <w:rsid w:val="002D40BF"/>
    <w:rsid w:val="002D6B6F"/>
    <w:rsid w:val="002D7A77"/>
    <w:rsid w:val="002D7BE8"/>
    <w:rsid w:val="002E098C"/>
    <w:rsid w:val="002E22C8"/>
    <w:rsid w:val="002E3E40"/>
    <w:rsid w:val="002E474B"/>
    <w:rsid w:val="002E76EF"/>
    <w:rsid w:val="002E7E70"/>
    <w:rsid w:val="002F08C6"/>
    <w:rsid w:val="002F14E3"/>
    <w:rsid w:val="002F24F3"/>
    <w:rsid w:val="002F2754"/>
    <w:rsid w:val="002F27B6"/>
    <w:rsid w:val="002F2CD7"/>
    <w:rsid w:val="002F37CB"/>
    <w:rsid w:val="002F4ADA"/>
    <w:rsid w:val="002F4FA3"/>
    <w:rsid w:val="002F5465"/>
    <w:rsid w:val="002F7AD0"/>
    <w:rsid w:val="002F7EF3"/>
    <w:rsid w:val="0030169A"/>
    <w:rsid w:val="003018BC"/>
    <w:rsid w:val="0030198D"/>
    <w:rsid w:val="00303A7C"/>
    <w:rsid w:val="003053FE"/>
    <w:rsid w:val="00306123"/>
    <w:rsid w:val="00307CF1"/>
    <w:rsid w:val="0031007D"/>
    <w:rsid w:val="003107DD"/>
    <w:rsid w:val="00311B9B"/>
    <w:rsid w:val="00311CDC"/>
    <w:rsid w:val="0031279C"/>
    <w:rsid w:val="00313380"/>
    <w:rsid w:val="00313E93"/>
    <w:rsid w:val="003142BE"/>
    <w:rsid w:val="0031536A"/>
    <w:rsid w:val="003157D1"/>
    <w:rsid w:val="00317222"/>
    <w:rsid w:val="0031763C"/>
    <w:rsid w:val="00321555"/>
    <w:rsid w:val="00322799"/>
    <w:rsid w:val="003241F1"/>
    <w:rsid w:val="00324777"/>
    <w:rsid w:val="00324984"/>
    <w:rsid w:val="00325EB2"/>
    <w:rsid w:val="00327C51"/>
    <w:rsid w:val="003301E5"/>
    <w:rsid w:val="00333BB7"/>
    <w:rsid w:val="00334CC7"/>
    <w:rsid w:val="003355B7"/>
    <w:rsid w:val="00335844"/>
    <w:rsid w:val="00336333"/>
    <w:rsid w:val="00336C72"/>
    <w:rsid w:val="0034044F"/>
    <w:rsid w:val="00343634"/>
    <w:rsid w:val="00343A1D"/>
    <w:rsid w:val="00343D9C"/>
    <w:rsid w:val="00344987"/>
    <w:rsid w:val="003459A8"/>
    <w:rsid w:val="003463EF"/>
    <w:rsid w:val="00346AF1"/>
    <w:rsid w:val="00347CFE"/>
    <w:rsid w:val="0035121B"/>
    <w:rsid w:val="003527A5"/>
    <w:rsid w:val="00352A69"/>
    <w:rsid w:val="00352D4E"/>
    <w:rsid w:val="00353D74"/>
    <w:rsid w:val="0035556C"/>
    <w:rsid w:val="0035574A"/>
    <w:rsid w:val="00356466"/>
    <w:rsid w:val="00357CF3"/>
    <w:rsid w:val="00360A1D"/>
    <w:rsid w:val="00360ACB"/>
    <w:rsid w:val="00361670"/>
    <w:rsid w:val="00361811"/>
    <w:rsid w:val="00363155"/>
    <w:rsid w:val="00363B02"/>
    <w:rsid w:val="00364024"/>
    <w:rsid w:val="003642B6"/>
    <w:rsid w:val="003649C7"/>
    <w:rsid w:val="00365BD8"/>
    <w:rsid w:val="0036763F"/>
    <w:rsid w:val="003676C5"/>
    <w:rsid w:val="0037102A"/>
    <w:rsid w:val="003716BF"/>
    <w:rsid w:val="00371760"/>
    <w:rsid w:val="00372E14"/>
    <w:rsid w:val="00372FB1"/>
    <w:rsid w:val="003758BE"/>
    <w:rsid w:val="00375BC2"/>
    <w:rsid w:val="00376869"/>
    <w:rsid w:val="003768B2"/>
    <w:rsid w:val="003778E8"/>
    <w:rsid w:val="00380598"/>
    <w:rsid w:val="00380ED1"/>
    <w:rsid w:val="00381B01"/>
    <w:rsid w:val="00382099"/>
    <w:rsid w:val="00382317"/>
    <w:rsid w:val="003829D9"/>
    <w:rsid w:val="00383B17"/>
    <w:rsid w:val="00384A92"/>
    <w:rsid w:val="003854F3"/>
    <w:rsid w:val="00385956"/>
    <w:rsid w:val="00386518"/>
    <w:rsid w:val="00387309"/>
    <w:rsid w:val="00391A61"/>
    <w:rsid w:val="00396DDA"/>
    <w:rsid w:val="00397B1C"/>
    <w:rsid w:val="00397E86"/>
    <w:rsid w:val="003A01CC"/>
    <w:rsid w:val="003A027C"/>
    <w:rsid w:val="003A0ECA"/>
    <w:rsid w:val="003A1388"/>
    <w:rsid w:val="003A14BA"/>
    <w:rsid w:val="003A1D20"/>
    <w:rsid w:val="003A258C"/>
    <w:rsid w:val="003A40E7"/>
    <w:rsid w:val="003A4472"/>
    <w:rsid w:val="003A5DC1"/>
    <w:rsid w:val="003A66AB"/>
    <w:rsid w:val="003A78B7"/>
    <w:rsid w:val="003B06A2"/>
    <w:rsid w:val="003B0EA2"/>
    <w:rsid w:val="003B13BE"/>
    <w:rsid w:val="003B24AF"/>
    <w:rsid w:val="003B5B12"/>
    <w:rsid w:val="003B5BD6"/>
    <w:rsid w:val="003B5D7B"/>
    <w:rsid w:val="003B5F19"/>
    <w:rsid w:val="003B6A79"/>
    <w:rsid w:val="003B72E5"/>
    <w:rsid w:val="003C0E0B"/>
    <w:rsid w:val="003C1220"/>
    <w:rsid w:val="003C2C2C"/>
    <w:rsid w:val="003C3A7B"/>
    <w:rsid w:val="003C5333"/>
    <w:rsid w:val="003C5626"/>
    <w:rsid w:val="003C6339"/>
    <w:rsid w:val="003C6B76"/>
    <w:rsid w:val="003C6D3A"/>
    <w:rsid w:val="003D0DB0"/>
    <w:rsid w:val="003D3B92"/>
    <w:rsid w:val="003D4056"/>
    <w:rsid w:val="003D415D"/>
    <w:rsid w:val="003D46D1"/>
    <w:rsid w:val="003E1356"/>
    <w:rsid w:val="003E2196"/>
    <w:rsid w:val="003E4925"/>
    <w:rsid w:val="003E58E5"/>
    <w:rsid w:val="003E67CA"/>
    <w:rsid w:val="003E7C9B"/>
    <w:rsid w:val="003E7D25"/>
    <w:rsid w:val="003F0417"/>
    <w:rsid w:val="003F19AA"/>
    <w:rsid w:val="003F36ED"/>
    <w:rsid w:val="003F428A"/>
    <w:rsid w:val="003F5AB0"/>
    <w:rsid w:val="003F5BC2"/>
    <w:rsid w:val="003F6324"/>
    <w:rsid w:val="00400F91"/>
    <w:rsid w:val="00402338"/>
    <w:rsid w:val="00403958"/>
    <w:rsid w:val="00404C6D"/>
    <w:rsid w:val="00405A9D"/>
    <w:rsid w:val="00406843"/>
    <w:rsid w:val="00406CCB"/>
    <w:rsid w:val="00406E3F"/>
    <w:rsid w:val="00406E48"/>
    <w:rsid w:val="004120D9"/>
    <w:rsid w:val="004137F3"/>
    <w:rsid w:val="00415470"/>
    <w:rsid w:val="00416388"/>
    <w:rsid w:val="0041692D"/>
    <w:rsid w:val="00417D4F"/>
    <w:rsid w:val="004207AF"/>
    <w:rsid w:val="004208A8"/>
    <w:rsid w:val="00420D65"/>
    <w:rsid w:val="004223F4"/>
    <w:rsid w:val="004224DB"/>
    <w:rsid w:val="00424E3C"/>
    <w:rsid w:val="00427087"/>
    <w:rsid w:val="004278A9"/>
    <w:rsid w:val="004300B5"/>
    <w:rsid w:val="00430E6B"/>
    <w:rsid w:val="0043103D"/>
    <w:rsid w:val="00431912"/>
    <w:rsid w:val="004342C9"/>
    <w:rsid w:val="00435B06"/>
    <w:rsid w:val="00436A49"/>
    <w:rsid w:val="00436DE1"/>
    <w:rsid w:val="00440412"/>
    <w:rsid w:val="00443674"/>
    <w:rsid w:val="00443769"/>
    <w:rsid w:val="00443935"/>
    <w:rsid w:val="004442B3"/>
    <w:rsid w:val="00444A73"/>
    <w:rsid w:val="00445986"/>
    <w:rsid w:val="00446613"/>
    <w:rsid w:val="0044662E"/>
    <w:rsid w:val="00447654"/>
    <w:rsid w:val="004476BD"/>
    <w:rsid w:val="004476E6"/>
    <w:rsid w:val="004513F9"/>
    <w:rsid w:val="004529F7"/>
    <w:rsid w:val="00452F36"/>
    <w:rsid w:val="00453130"/>
    <w:rsid w:val="0045394E"/>
    <w:rsid w:val="00453C73"/>
    <w:rsid w:val="00454B5D"/>
    <w:rsid w:val="00455B44"/>
    <w:rsid w:val="00456FA3"/>
    <w:rsid w:val="0045754E"/>
    <w:rsid w:val="0046086D"/>
    <w:rsid w:val="00461466"/>
    <w:rsid w:val="004621FC"/>
    <w:rsid w:val="004624DE"/>
    <w:rsid w:val="00462CC5"/>
    <w:rsid w:val="004640E1"/>
    <w:rsid w:val="00464491"/>
    <w:rsid w:val="00465DE3"/>
    <w:rsid w:val="004668C7"/>
    <w:rsid w:val="0047305B"/>
    <w:rsid w:val="004755C3"/>
    <w:rsid w:val="00475A0F"/>
    <w:rsid w:val="00475FF7"/>
    <w:rsid w:val="004766C8"/>
    <w:rsid w:val="00476B16"/>
    <w:rsid w:val="004771A7"/>
    <w:rsid w:val="00477DF1"/>
    <w:rsid w:val="004805E1"/>
    <w:rsid w:val="0048088F"/>
    <w:rsid w:val="0048194E"/>
    <w:rsid w:val="00481A4B"/>
    <w:rsid w:val="004852F8"/>
    <w:rsid w:val="004857C6"/>
    <w:rsid w:val="004864A7"/>
    <w:rsid w:val="00486D4E"/>
    <w:rsid w:val="00492B91"/>
    <w:rsid w:val="0049352F"/>
    <w:rsid w:val="0049372E"/>
    <w:rsid w:val="00493D28"/>
    <w:rsid w:val="00495099"/>
    <w:rsid w:val="00495EF0"/>
    <w:rsid w:val="004964CB"/>
    <w:rsid w:val="004A1557"/>
    <w:rsid w:val="004A40B9"/>
    <w:rsid w:val="004A465C"/>
    <w:rsid w:val="004A6204"/>
    <w:rsid w:val="004A67AF"/>
    <w:rsid w:val="004A73CD"/>
    <w:rsid w:val="004A791C"/>
    <w:rsid w:val="004B0C70"/>
    <w:rsid w:val="004B10CD"/>
    <w:rsid w:val="004B2765"/>
    <w:rsid w:val="004B2A37"/>
    <w:rsid w:val="004B30E9"/>
    <w:rsid w:val="004B3309"/>
    <w:rsid w:val="004B362E"/>
    <w:rsid w:val="004B3835"/>
    <w:rsid w:val="004B3A6B"/>
    <w:rsid w:val="004B43B7"/>
    <w:rsid w:val="004B5220"/>
    <w:rsid w:val="004B6984"/>
    <w:rsid w:val="004C01CB"/>
    <w:rsid w:val="004C05F2"/>
    <w:rsid w:val="004C223F"/>
    <w:rsid w:val="004C2689"/>
    <w:rsid w:val="004C2B0F"/>
    <w:rsid w:val="004C407E"/>
    <w:rsid w:val="004C4AB1"/>
    <w:rsid w:val="004C7A15"/>
    <w:rsid w:val="004D11B7"/>
    <w:rsid w:val="004D3F97"/>
    <w:rsid w:val="004D52E2"/>
    <w:rsid w:val="004D55CE"/>
    <w:rsid w:val="004D57A0"/>
    <w:rsid w:val="004D61D0"/>
    <w:rsid w:val="004D69B9"/>
    <w:rsid w:val="004E0448"/>
    <w:rsid w:val="004E0508"/>
    <w:rsid w:val="004E0791"/>
    <w:rsid w:val="004E0DB8"/>
    <w:rsid w:val="004E1C15"/>
    <w:rsid w:val="004E44CC"/>
    <w:rsid w:val="004E4850"/>
    <w:rsid w:val="004E5CA5"/>
    <w:rsid w:val="004E60AA"/>
    <w:rsid w:val="004E635C"/>
    <w:rsid w:val="004E640D"/>
    <w:rsid w:val="004E7D70"/>
    <w:rsid w:val="004F0E19"/>
    <w:rsid w:val="004F0FA1"/>
    <w:rsid w:val="004F176F"/>
    <w:rsid w:val="004F2CA3"/>
    <w:rsid w:val="004F345D"/>
    <w:rsid w:val="004F354D"/>
    <w:rsid w:val="004F6977"/>
    <w:rsid w:val="004F7B32"/>
    <w:rsid w:val="00500F3C"/>
    <w:rsid w:val="00501FA2"/>
    <w:rsid w:val="005034FC"/>
    <w:rsid w:val="00503F67"/>
    <w:rsid w:val="005045FB"/>
    <w:rsid w:val="005055E2"/>
    <w:rsid w:val="00506448"/>
    <w:rsid w:val="005106D5"/>
    <w:rsid w:val="00510994"/>
    <w:rsid w:val="005112F3"/>
    <w:rsid w:val="005126E8"/>
    <w:rsid w:val="0051591D"/>
    <w:rsid w:val="005171DA"/>
    <w:rsid w:val="00517BF1"/>
    <w:rsid w:val="00520645"/>
    <w:rsid w:val="00520920"/>
    <w:rsid w:val="0052107B"/>
    <w:rsid w:val="00521372"/>
    <w:rsid w:val="00523184"/>
    <w:rsid w:val="0052357A"/>
    <w:rsid w:val="00523AEC"/>
    <w:rsid w:val="00530CE7"/>
    <w:rsid w:val="005316A8"/>
    <w:rsid w:val="00531DBF"/>
    <w:rsid w:val="00535C65"/>
    <w:rsid w:val="005366E1"/>
    <w:rsid w:val="00536DF1"/>
    <w:rsid w:val="00540FEC"/>
    <w:rsid w:val="005414D6"/>
    <w:rsid w:val="00541F83"/>
    <w:rsid w:val="00542867"/>
    <w:rsid w:val="00542E00"/>
    <w:rsid w:val="005430C7"/>
    <w:rsid w:val="00543809"/>
    <w:rsid w:val="00543CB6"/>
    <w:rsid w:val="005446B0"/>
    <w:rsid w:val="005465AC"/>
    <w:rsid w:val="0054690E"/>
    <w:rsid w:val="00546B8F"/>
    <w:rsid w:val="005475A9"/>
    <w:rsid w:val="00547E4F"/>
    <w:rsid w:val="00550074"/>
    <w:rsid w:val="00551DFC"/>
    <w:rsid w:val="0055211A"/>
    <w:rsid w:val="005526CA"/>
    <w:rsid w:val="00552F55"/>
    <w:rsid w:val="0055455F"/>
    <w:rsid w:val="00555BCD"/>
    <w:rsid w:val="005605F8"/>
    <w:rsid w:val="005633D7"/>
    <w:rsid w:val="0056343B"/>
    <w:rsid w:val="00563DD5"/>
    <w:rsid w:val="005650C2"/>
    <w:rsid w:val="00565484"/>
    <w:rsid w:val="00565A8C"/>
    <w:rsid w:val="00565EF8"/>
    <w:rsid w:val="005727B7"/>
    <w:rsid w:val="00574068"/>
    <w:rsid w:val="00574682"/>
    <w:rsid w:val="0057682D"/>
    <w:rsid w:val="005807B2"/>
    <w:rsid w:val="00580954"/>
    <w:rsid w:val="00581DAF"/>
    <w:rsid w:val="00582FCA"/>
    <w:rsid w:val="00583A5C"/>
    <w:rsid w:val="00583C23"/>
    <w:rsid w:val="00584238"/>
    <w:rsid w:val="00584A06"/>
    <w:rsid w:val="005850D6"/>
    <w:rsid w:val="0058565E"/>
    <w:rsid w:val="0058643C"/>
    <w:rsid w:val="00586EDA"/>
    <w:rsid w:val="0058757D"/>
    <w:rsid w:val="005927CD"/>
    <w:rsid w:val="00592F0D"/>
    <w:rsid w:val="0059343A"/>
    <w:rsid w:val="005946B8"/>
    <w:rsid w:val="00595F94"/>
    <w:rsid w:val="00596297"/>
    <w:rsid w:val="005964EC"/>
    <w:rsid w:val="00596E98"/>
    <w:rsid w:val="005971FD"/>
    <w:rsid w:val="0059746C"/>
    <w:rsid w:val="005A0661"/>
    <w:rsid w:val="005A129B"/>
    <w:rsid w:val="005A1DA9"/>
    <w:rsid w:val="005A1FDF"/>
    <w:rsid w:val="005A4F1F"/>
    <w:rsid w:val="005A5411"/>
    <w:rsid w:val="005A6732"/>
    <w:rsid w:val="005A6BD9"/>
    <w:rsid w:val="005A6F0F"/>
    <w:rsid w:val="005B0458"/>
    <w:rsid w:val="005B143F"/>
    <w:rsid w:val="005B1DF6"/>
    <w:rsid w:val="005B213E"/>
    <w:rsid w:val="005B216A"/>
    <w:rsid w:val="005B2AC3"/>
    <w:rsid w:val="005B49EB"/>
    <w:rsid w:val="005B6992"/>
    <w:rsid w:val="005B7AC1"/>
    <w:rsid w:val="005B7FA4"/>
    <w:rsid w:val="005C043C"/>
    <w:rsid w:val="005C3296"/>
    <w:rsid w:val="005C528B"/>
    <w:rsid w:val="005C70CC"/>
    <w:rsid w:val="005D2CB5"/>
    <w:rsid w:val="005D37A8"/>
    <w:rsid w:val="005D386F"/>
    <w:rsid w:val="005D3969"/>
    <w:rsid w:val="005D72C1"/>
    <w:rsid w:val="005E1AFA"/>
    <w:rsid w:val="005E28E6"/>
    <w:rsid w:val="005E4813"/>
    <w:rsid w:val="005E6E82"/>
    <w:rsid w:val="005E7DDA"/>
    <w:rsid w:val="005F0A97"/>
    <w:rsid w:val="005F1051"/>
    <w:rsid w:val="005F6167"/>
    <w:rsid w:val="005F6D0D"/>
    <w:rsid w:val="005F7150"/>
    <w:rsid w:val="005F7CCD"/>
    <w:rsid w:val="00601855"/>
    <w:rsid w:val="006026FD"/>
    <w:rsid w:val="006031DC"/>
    <w:rsid w:val="00604425"/>
    <w:rsid w:val="00604F6E"/>
    <w:rsid w:val="0060535C"/>
    <w:rsid w:val="0060542A"/>
    <w:rsid w:val="006061C8"/>
    <w:rsid w:val="00607010"/>
    <w:rsid w:val="00607538"/>
    <w:rsid w:val="006102B7"/>
    <w:rsid w:val="00613D71"/>
    <w:rsid w:val="0061459D"/>
    <w:rsid w:val="00615101"/>
    <w:rsid w:val="006243E7"/>
    <w:rsid w:val="006254F3"/>
    <w:rsid w:val="00625C51"/>
    <w:rsid w:val="00625F00"/>
    <w:rsid w:val="006266EB"/>
    <w:rsid w:val="00627144"/>
    <w:rsid w:val="00627321"/>
    <w:rsid w:val="00627D30"/>
    <w:rsid w:val="006313EC"/>
    <w:rsid w:val="006326CB"/>
    <w:rsid w:val="0063507E"/>
    <w:rsid w:val="00635319"/>
    <w:rsid w:val="0063603C"/>
    <w:rsid w:val="00636176"/>
    <w:rsid w:val="0063697C"/>
    <w:rsid w:val="006369CC"/>
    <w:rsid w:val="006374EF"/>
    <w:rsid w:val="00640E45"/>
    <w:rsid w:val="006428C7"/>
    <w:rsid w:val="00642EAE"/>
    <w:rsid w:val="00643275"/>
    <w:rsid w:val="00643E16"/>
    <w:rsid w:val="00645391"/>
    <w:rsid w:val="00646631"/>
    <w:rsid w:val="00646BFA"/>
    <w:rsid w:val="00646F06"/>
    <w:rsid w:val="00647F26"/>
    <w:rsid w:val="00651697"/>
    <w:rsid w:val="00652737"/>
    <w:rsid w:val="006536D6"/>
    <w:rsid w:val="00654653"/>
    <w:rsid w:val="006555AD"/>
    <w:rsid w:val="006560FF"/>
    <w:rsid w:val="00657569"/>
    <w:rsid w:val="00661118"/>
    <w:rsid w:val="00662875"/>
    <w:rsid w:val="00663399"/>
    <w:rsid w:val="00663870"/>
    <w:rsid w:val="00663C71"/>
    <w:rsid w:val="006640F9"/>
    <w:rsid w:val="006641C6"/>
    <w:rsid w:val="006647CF"/>
    <w:rsid w:val="00664E25"/>
    <w:rsid w:val="006656A2"/>
    <w:rsid w:val="00665738"/>
    <w:rsid w:val="00666247"/>
    <w:rsid w:val="006679EB"/>
    <w:rsid w:val="00672A26"/>
    <w:rsid w:val="00674C5F"/>
    <w:rsid w:val="00674F5E"/>
    <w:rsid w:val="00675866"/>
    <w:rsid w:val="00675A9A"/>
    <w:rsid w:val="006763B3"/>
    <w:rsid w:val="006765BB"/>
    <w:rsid w:val="006778A5"/>
    <w:rsid w:val="00677A19"/>
    <w:rsid w:val="00680491"/>
    <w:rsid w:val="00682F0F"/>
    <w:rsid w:val="006830A1"/>
    <w:rsid w:val="00683222"/>
    <w:rsid w:val="00683387"/>
    <w:rsid w:val="00686A7A"/>
    <w:rsid w:val="00686F46"/>
    <w:rsid w:val="00687B51"/>
    <w:rsid w:val="006900BC"/>
    <w:rsid w:val="006907CD"/>
    <w:rsid w:val="00690B47"/>
    <w:rsid w:val="006919C3"/>
    <w:rsid w:val="00692A43"/>
    <w:rsid w:val="00692DDF"/>
    <w:rsid w:val="0069376A"/>
    <w:rsid w:val="00694AAB"/>
    <w:rsid w:val="00694BF0"/>
    <w:rsid w:val="00697F32"/>
    <w:rsid w:val="006A14CE"/>
    <w:rsid w:val="006A1725"/>
    <w:rsid w:val="006A1854"/>
    <w:rsid w:val="006A5EAE"/>
    <w:rsid w:val="006A61E5"/>
    <w:rsid w:val="006A7616"/>
    <w:rsid w:val="006A76FE"/>
    <w:rsid w:val="006B46DC"/>
    <w:rsid w:val="006B666A"/>
    <w:rsid w:val="006B74E9"/>
    <w:rsid w:val="006B755E"/>
    <w:rsid w:val="006B7F89"/>
    <w:rsid w:val="006C05F3"/>
    <w:rsid w:val="006C0C8E"/>
    <w:rsid w:val="006C2A54"/>
    <w:rsid w:val="006C3846"/>
    <w:rsid w:val="006C4725"/>
    <w:rsid w:val="006D13F5"/>
    <w:rsid w:val="006D1FA6"/>
    <w:rsid w:val="006D21F0"/>
    <w:rsid w:val="006D2952"/>
    <w:rsid w:val="006D3090"/>
    <w:rsid w:val="006D386C"/>
    <w:rsid w:val="006D3EDC"/>
    <w:rsid w:val="006D4845"/>
    <w:rsid w:val="006D5CDB"/>
    <w:rsid w:val="006D6ADF"/>
    <w:rsid w:val="006D6BD7"/>
    <w:rsid w:val="006D7839"/>
    <w:rsid w:val="006E02B1"/>
    <w:rsid w:val="006E0414"/>
    <w:rsid w:val="006E06C4"/>
    <w:rsid w:val="006E1084"/>
    <w:rsid w:val="006E157D"/>
    <w:rsid w:val="006E34FF"/>
    <w:rsid w:val="006E60D0"/>
    <w:rsid w:val="006E66C7"/>
    <w:rsid w:val="006E6DDB"/>
    <w:rsid w:val="006F0AC4"/>
    <w:rsid w:val="006F2128"/>
    <w:rsid w:val="006F2CEE"/>
    <w:rsid w:val="006F4297"/>
    <w:rsid w:val="006F5195"/>
    <w:rsid w:val="006F61C3"/>
    <w:rsid w:val="006F730A"/>
    <w:rsid w:val="006F7546"/>
    <w:rsid w:val="00700495"/>
    <w:rsid w:val="00701907"/>
    <w:rsid w:val="0070375B"/>
    <w:rsid w:val="00704686"/>
    <w:rsid w:val="007064D1"/>
    <w:rsid w:val="00706C75"/>
    <w:rsid w:val="00707EEA"/>
    <w:rsid w:val="007106FF"/>
    <w:rsid w:val="00710932"/>
    <w:rsid w:val="00711522"/>
    <w:rsid w:val="00711C46"/>
    <w:rsid w:val="0071220C"/>
    <w:rsid w:val="00714BDB"/>
    <w:rsid w:val="00714E63"/>
    <w:rsid w:val="0071751C"/>
    <w:rsid w:val="007178AF"/>
    <w:rsid w:val="007259AE"/>
    <w:rsid w:val="00725BFA"/>
    <w:rsid w:val="00726131"/>
    <w:rsid w:val="007269A4"/>
    <w:rsid w:val="00732632"/>
    <w:rsid w:val="00732BD2"/>
    <w:rsid w:val="00733AA3"/>
    <w:rsid w:val="00733D68"/>
    <w:rsid w:val="00733E60"/>
    <w:rsid w:val="00734BF0"/>
    <w:rsid w:val="0073550C"/>
    <w:rsid w:val="007358D4"/>
    <w:rsid w:val="007372BA"/>
    <w:rsid w:val="00737B33"/>
    <w:rsid w:val="00737D3F"/>
    <w:rsid w:val="0074025C"/>
    <w:rsid w:val="00742808"/>
    <w:rsid w:val="0074297D"/>
    <w:rsid w:val="00743951"/>
    <w:rsid w:val="0074407F"/>
    <w:rsid w:val="007453C6"/>
    <w:rsid w:val="00745C40"/>
    <w:rsid w:val="00746488"/>
    <w:rsid w:val="00746653"/>
    <w:rsid w:val="0074680B"/>
    <w:rsid w:val="007475D7"/>
    <w:rsid w:val="00750CFD"/>
    <w:rsid w:val="007532C7"/>
    <w:rsid w:val="00753442"/>
    <w:rsid w:val="00754000"/>
    <w:rsid w:val="0075534B"/>
    <w:rsid w:val="0075586C"/>
    <w:rsid w:val="007561EF"/>
    <w:rsid w:val="0075646B"/>
    <w:rsid w:val="00757C0C"/>
    <w:rsid w:val="00760447"/>
    <w:rsid w:val="00760C76"/>
    <w:rsid w:val="0076115B"/>
    <w:rsid w:val="007623A6"/>
    <w:rsid w:val="007644D4"/>
    <w:rsid w:val="007676D8"/>
    <w:rsid w:val="00767D70"/>
    <w:rsid w:val="00767E50"/>
    <w:rsid w:val="00770BE0"/>
    <w:rsid w:val="00771BDB"/>
    <w:rsid w:val="00774DD6"/>
    <w:rsid w:val="007773D4"/>
    <w:rsid w:val="0077782A"/>
    <w:rsid w:val="007806EF"/>
    <w:rsid w:val="007830DD"/>
    <w:rsid w:val="0078437C"/>
    <w:rsid w:val="00784AE6"/>
    <w:rsid w:val="00784CA4"/>
    <w:rsid w:val="00784D51"/>
    <w:rsid w:val="0078521D"/>
    <w:rsid w:val="0078535A"/>
    <w:rsid w:val="007859D4"/>
    <w:rsid w:val="007864CA"/>
    <w:rsid w:val="007870AC"/>
    <w:rsid w:val="00787769"/>
    <w:rsid w:val="007909DF"/>
    <w:rsid w:val="00794040"/>
    <w:rsid w:val="0079507F"/>
    <w:rsid w:val="00797162"/>
    <w:rsid w:val="007A030A"/>
    <w:rsid w:val="007A0608"/>
    <w:rsid w:val="007A1A61"/>
    <w:rsid w:val="007A2172"/>
    <w:rsid w:val="007A2E2A"/>
    <w:rsid w:val="007A31E6"/>
    <w:rsid w:val="007A3201"/>
    <w:rsid w:val="007A4296"/>
    <w:rsid w:val="007A4477"/>
    <w:rsid w:val="007A4951"/>
    <w:rsid w:val="007A69E3"/>
    <w:rsid w:val="007A7D92"/>
    <w:rsid w:val="007B1D8C"/>
    <w:rsid w:val="007B2424"/>
    <w:rsid w:val="007B39B5"/>
    <w:rsid w:val="007B44B7"/>
    <w:rsid w:val="007B47F3"/>
    <w:rsid w:val="007B76CF"/>
    <w:rsid w:val="007C06DB"/>
    <w:rsid w:val="007C07F2"/>
    <w:rsid w:val="007C1F9B"/>
    <w:rsid w:val="007C442F"/>
    <w:rsid w:val="007C7F1C"/>
    <w:rsid w:val="007D194E"/>
    <w:rsid w:val="007D19D1"/>
    <w:rsid w:val="007D26D0"/>
    <w:rsid w:val="007D2F6E"/>
    <w:rsid w:val="007D31FD"/>
    <w:rsid w:val="007D4096"/>
    <w:rsid w:val="007D47F1"/>
    <w:rsid w:val="007D502C"/>
    <w:rsid w:val="007D5FE6"/>
    <w:rsid w:val="007D71B9"/>
    <w:rsid w:val="007D79F3"/>
    <w:rsid w:val="007E03DA"/>
    <w:rsid w:val="007E21C1"/>
    <w:rsid w:val="007E37B6"/>
    <w:rsid w:val="007E7CC7"/>
    <w:rsid w:val="007F0892"/>
    <w:rsid w:val="007F12B7"/>
    <w:rsid w:val="007F1647"/>
    <w:rsid w:val="007F1AEC"/>
    <w:rsid w:val="007F1EC8"/>
    <w:rsid w:val="007F25A9"/>
    <w:rsid w:val="007F33A7"/>
    <w:rsid w:val="007F40D3"/>
    <w:rsid w:val="007F539D"/>
    <w:rsid w:val="007F5717"/>
    <w:rsid w:val="007F5EF2"/>
    <w:rsid w:val="00800944"/>
    <w:rsid w:val="00801036"/>
    <w:rsid w:val="00801575"/>
    <w:rsid w:val="00804AE3"/>
    <w:rsid w:val="00804B83"/>
    <w:rsid w:val="00804F81"/>
    <w:rsid w:val="0080562F"/>
    <w:rsid w:val="00805853"/>
    <w:rsid w:val="00807AA6"/>
    <w:rsid w:val="00810FF6"/>
    <w:rsid w:val="0081368C"/>
    <w:rsid w:val="00813C37"/>
    <w:rsid w:val="00813D5B"/>
    <w:rsid w:val="008147EC"/>
    <w:rsid w:val="00815D71"/>
    <w:rsid w:val="008164DC"/>
    <w:rsid w:val="00817DF4"/>
    <w:rsid w:val="00820836"/>
    <w:rsid w:val="008231BA"/>
    <w:rsid w:val="00824E2B"/>
    <w:rsid w:val="00826980"/>
    <w:rsid w:val="00826D2F"/>
    <w:rsid w:val="008306DE"/>
    <w:rsid w:val="008313B2"/>
    <w:rsid w:val="00832276"/>
    <w:rsid w:val="00832B98"/>
    <w:rsid w:val="00833512"/>
    <w:rsid w:val="00834549"/>
    <w:rsid w:val="00835309"/>
    <w:rsid w:val="00837F0A"/>
    <w:rsid w:val="00840112"/>
    <w:rsid w:val="00840140"/>
    <w:rsid w:val="00840199"/>
    <w:rsid w:val="008405A7"/>
    <w:rsid w:val="00841134"/>
    <w:rsid w:val="0084151A"/>
    <w:rsid w:val="00842423"/>
    <w:rsid w:val="00843DEE"/>
    <w:rsid w:val="00845419"/>
    <w:rsid w:val="00846055"/>
    <w:rsid w:val="00847405"/>
    <w:rsid w:val="00850132"/>
    <w:rsid w:val="008516FA"/>
    <w:rsid w:val="00853B1B"/>
    <w:rsid w:val="00855A00"/>
    <w:rsid w:val="00856495"/>
    <w:rsid w:val="0085721D"/>
    <w:rsid w:val="008577D4"/>
    <w:rsid w:val="0086059E"/>
    <w:rsid w:val="00860DDC"/>
    <w:rsid w:val="00862065"/>
    <w:rsid w:val="00863DB6"/>
    <w:rsid w:val="00863FD0"/>
    <w:rsid w:val="008644A7"/>
    <w:rsid w:val="008657F9"/>
    <w:rsid w:val="00865B14"/>
    <w:rsid w:val="00866479"/>
    <w:rsid w:val="00866FAD"/>
    <w:rsid w:val="0087018F"/>
    <w:rsid w:val="00871667"/>
    <w:rsid w:val="008720D8"/>
    <w:rsid w:val="0087367F"/>
    <w:rsid w:val="00873A06"/>
    <w:rsid w:val="00874D70"/>
    <w:rsid w:val="00875555"/>
    <w:rsid w:val="00876C5D"/>
    <w:rsid w:val="00880915"/>
    <w:rsid w:val="00881282"/>
    <w:rsid w:val="00883E6C"/>
    <w:rsid w:val="00885AD4"/>
    <w:rsid w:val="008862B5"/>
    <w:rsid w:val="0088721E"/>
    <w:rsid w:val="0088740B"/>
    <w:rsid w:val="00887544"/>
    <w:rsid w:val="008902EA"/>
    <w:rsid w:val="0089060D"/>
    <w:rsid w:val="008908F5"/>
    <w:rsid w:val="00890A4C"/>
    <w:rsid w:val="00890DDA"/>
    <w:rsid w:val="00891513"/>
    <w:rsid w:val="00891914"/>
    <w:rsid w:val="008945FD"/>
    <w:rsid w:val="008951AC"/>
    <w:rsid w:val="00895402"/>
    <w:rsid w:val="008961B7"/>
    <w:rsid w:val="0089654C"/>
    <w:rsid w:val="00896708"/>
    <w:rsid w:val="0089677E"/>
    <w:rsid w:val="008978CC"/>
    <w:rsid w:val="00897E6F"/>
    <w:rsid w:val="008A0D16"/>
    <w:rsid w:val="008A1673"/>
    <w:rsid w:val="008A1F71"/>
    <w:rsid w:val="008A226B"/>
    <w:rsid w:val="008A2808"/>
    <w:rsid w:val="008A3186"/>
    <w:rsid w:val="008A694E"/>
    <w:rsid w:val="008B354A"/>
    <w:rsid w:val="008B5987"/>
    <w:rsid w:val="008B6B10"/>
    <w:rsid w:val="008C2E65"/>
    <w:rsid w:val="008C34DE"/>
    <w:rsid w:val="008C37C8"/>
    <w:rsid w:val="008C4DFD"/>
    <w:rsid w:val="008C5BD8"/>
    <w:rsid w:val="008C5C8C"/>
    <w:rsid w:val="008D0BF5"/>
    <w:rsid w:val="008D114B"/>
    <w:rsid w:val="008D34FE"/>
    <w:rsid w:val="008D4E68"/>
    <w:rsid w:val="008D52D6"/>
    <w:rsid w:val="008D6987"/>
    <w:rsid w:val="008D791E"/>
    <w:rsid w:val="008D7DDB"/>
    <w:rsid w:val="008E08F8"/>
    <w:rsid w:val="008E1F19"/>
    <w:rsid w:val="008E5912"/>
    <w:rsid w:val="008F075C"/>
    <w:rsid w:val="008F0AF1"/>
    <w:rsid w:val="008F0B32"/>
    <w:rsid w:val="008F11E2"/>
    <w:rsid w:val="008F208A"/>
    <w:rsid w:val="008F3660"/>
    <w:rsid w:val="008F3B03"/>
    <w:rsid w:val="008F3F09"/>
    <w:rsid w:val="008F436E"/>
    <w:rsid w:val="008F7180"/>
    <w:rsid w:val="008F7B87"/>
    <w:rsid w:val="009005F8"/>
    <w:rsid w:val="00901F97"/>
    <w:rsid w:val="009025A6"/>
    <w:rsid w:val="009027DA"/>
    <w:rsid w:val="00902C55"/>
    <w:rsid w:val="00904F5A"/>
    <w:rsid w:val="00906098"/>
    <w:rsid w:val="00907206"/>
    <w:rsid w:val="00907611"/>
    <w:rsid w:val="00910BF0"/>
    <w:rsid w:val="00911C69"/>
    <w:rsid w:val="009121CD"/>
    <w:rsid w:val="009129DD"/>
    <w:rsid w:val="00912DEC"/>
    <w:rsid w:val="0091364C"/>
    <w:rsid w:val="009149A9"/>
    <w:rsid w:val="009152A2"/>
    <w:rsid w:val="00915D80"/>
    <w:rsid w:val="0092040D"/>
    <w:rsid w:val="009205BD"/>
    <w:rsid w:val="00924E28"/>
    <w:rsid w:val="00925384"/>
    <w:rsid w:val="00926348"/>
    <w:rsid w:val="00926F34"/>
    <w:rsid w:val="0092735E"/>
    <w:rsid w:val="009301F1"/>
    <w:rsid w:val="00930D8F"/>
    <w:rsid w:val="00933311"/>
    <w:rsid w:val="0093472B"/>
    <w:rsid w:val="00934A69"/>
    <w:rsid w:val="00935197"/>
    <w:rsid w:val="009353BF"/>
    <w:rsid w:val="009356A4"/>
    <w:rsid w:val="00936722"/>
    <w:rsid w:val="009376A3"/>
    <w:rsid w:val="00937A0D"/>
    <w:rsid w:val="009405F0"/>
    <w:rsid w:val="00940F46"/>
    <w:rsid w:val="00943584"/>
    <w:rsid w:val="009443BC"/>
    <w:rsid w:val="009451C2"/>
    <w:rsid w:val="0095018E"/>
    <w:rsid w:val="00950C28"/>
    <w:rsid w:val="00951019"/>
    <w:rsid w:val="009528ED"/>
    <w:rsid w:val="00952920"/>
    <w:rsid w:val="00954212"/>
    <w:rsid w:val="009546D8"/>
    <w:rsid w:val="009548FE"/>
    <w:rsid w:val="00954B36"/>
    <w:rsid w:val="009558F0"/>
    <w:rsid w:val="00962BA0"/>
    <w:rsid w:val="009632D7"/>
    <w:rsid w:val="00963962"/>
    <w:rsid w:val="00964509"/>
    <w:rsid w:val="00965A62"/>
    <w:rsid w:val="00965A8D"/>
    <w:rsid w:val="00966C54"/>
    <w:rsid w:val="009678FD"/>
    <w:rsid w:val="0097123A"/>
    <w:rsid w:val="00972789"/>
    <w:rsid w:val="00972CB3"/>
    <w:rsid w:val="0097416F"/>
    <w:rsid w:val="009751AB"/>
    <w:rsid w:val="0097541B"/>
    <w:rsid w:val="00975828"/>
    <w:rsid w:val="00975DA4"/>
    <w:rsid w:val="0097649D"/>
    <w:rsid w:val="00976B02"/>
    <w:rsid w:val="00977987"/>
    <w:rsid w:val="00984598"/>
    <w:rsid w:val="00984C44"/>
    <w:rsid w:val="00984F86"/>
    <w:rsid w:val="009853EE"/>
    <w:rsid w:val="00987B06"/>
    <w:rsid w:val="00987D47"/>
    <w:rsid w:val="00990AAA"/>
    <w:rsid w:val="00990D29"/>
    <w:rsid w:val="009916C7"/>
    <w:rsid w:val="00991914"/>
    <w:rsid w:val="00992DFF"/>
    <w:rsid w:val="0099417E"/>
    <w:rsid w:val="009944E0"/>
    <w:rsid w:val="00994E8C"/>
    <w:rsid w:val="00995613"/>
    <w:rsid w:val="00995CE5"/>
    <w:rsid w:val="009969FD"/>
    <w:rsid w:val="009A23E0"/>
    <w:rsid w:val="009A32F5"/>
    <w:rsid w:val="009A42A8"/>
    <w:rsid w:val="009A4397"/>
    <w:rsid w:val="009A4FA2"/>
    <w:rsid w:val="009A5462"/>
    <w:rsid w:val="009A58EC"/>
    <w:rsid w:val="009A5BBB"/>
    <w:rsid w:val="009A5EF9"/>
    <w:rsid w:val="009A6073"/>
    <w:rsid w:val="009A70D7"/>
    <w:rsid w:val="009A7DF7"/>
    <w:rsid w:val="009B09C6"/>
    <w:rsid w:val="009B1ACA"/>
    <w:rsid w:val="009B4A2A"/>
    <w:rsid w:val="009B5B0A"/>
    <w:rsid w:val="009B717A"/>
    <w:rsid w:val="009C0A02"/>
    <w:rsid w:val="009C0FC8"/>
    <w:rsid w:val="009C149E"/>
    <w:rsid w:val="009C2256"/>
    <w:rsid w:val="009C345E"/>
    <w:rsid w:val="009C3479"/>
    <w:rsid w:val="009C3782"/>
    <w:rsid w:val="009C3E2A"/>
    <w:rsid w:val="009C4B02"/>
    <w:rsid w:val="009C53AF"/>
    <w:rsid w:val="009C5A69"/>
    <w:rsid w:val="009C69FD"/>
    <w:rsid w:val="009D0BFE"/>
    <w:rsid w:val="009D182C"/>
    <w:rsid w:val="009D41CA"/>
    <w:rsid w:val="009D4C29"/>
    <w:rsid w:val="009D4ED5"/>
    <w:rsid w:val="009D5001"/>
    <w:rsid w:val="009D5869"/>
    <w:rsid w:val="009D5EBB"/>
    <w:rsid w:val="009D6688"/>
    <w:rsid w:val="009D6FC4"/>
    <w:rsid w:val="009E09B5"/>
    <w:rsid w:val="009E1151"/>
    <w:rsid w:val="009E26B9"/>
    <w:rsid w:val="009E3018"/>
    <w:rsid w:val="009E3502"/>
    <w:rsid w:val="009E3B58"/>
    <w:rsid w:val="009E40DD"/>
    <w:rsid w:val="009E45C9"/>
    <w:rsid w:val="009E56B5"/>
    <w:rsid w:val="009E56F4"/>
    <w:rsid w:val="009E662A"/>
    <w:rsid w:val="009E6BFC"/>
    <w:rsid w:val="009E74C5"/>
    <w:rsid w:val="009E776F"/>
    <w:rsid w:val="009F08BA"/>
    <w:rsid w:val="009F0DB1"/>
    <w:rsid w:val="009F1936"/>
    <w:rsid w:val="009F2040"/>
    <w:rsid w:val="009F2104"/>
    <w:rsid w:val="009F2584"/>
    <w:rsid w:val="009F278F"/>
    <w:rsid w:val="009F2800"/>
    <w:rsid w:val="009F412B"/>
    <w:rsid w:val="009F4407"/>
    <w:rsid w:val="009F47A2"/>
    <w:rsid w:val="009F6808"/>
    <w:rsid w:val="009F6A0B"/>
    <w:rsid w:val="009F7BBD"/>
    <w:rsid w:val="009F7BF9"/>
    <w:rsid w:val="00A00951"/>
    <w:rsid w:val="00A009A2"/>
    <w:rsid w:val="00A01FBE"/>
    <w:rsid w:val="00A02E8A"/>
    <w:rsid w:val="00A03446"/>
    <w:rsid w:val="00A03AF5"/>
    <w:rsid w:val="00A03BF8"/>
    <w:rsid w:val="00A049F9"/>
    <w:rsid w:val="00A051C8"/>
    <w:rsid w:val="00A061F5"/>
    <w:rsid w:val="00A06B44"/>
    <w:rsid w:val="00A0755F"/>
    <w:rsid w:val="00A10960"/>
    <w:rsid w:val="00A141B7"/>
    <w:rsid w:val="00A14D5E"/>
    <w:rsid w:val="00A17418"/>
    <w:rsid w:val="00A2594E"/>
    <w:rsid w:val="00A26BE5"/>
    <w:rsid w:val="00A26C1C"/>
    <w:rsid w:val="00A30F8F"/>
    <w:rsid w:val="00A31EB5"/>
    <w:rsid w:val="00A323CC"/>
    <w:rsid w:val="00A32C0E"/>
    <w:rsid w:val="00A32EFD"/>
    <w:rsid w:val="00A33522"/>
    <w:rsid w:val="00A3358B"/>
    <w:rsid w:val="00A3382D"/>
    <w:rsid w:val="00A34916"/>
    <w:rsid w:val="00A34F62"/>
    <w:rsid w:val="00A35B95"/>
    <w:rsid w:val="00A35F40"/>
    <w:rsid w:val="00A360FE"/>
    <w:rsid w:val="00A363CB"/>
    <w:rsid w:val="00A37D99"/>
    <w:rsid w:val="00A37E06"/>
    <w:rsid w:val="00A4131F"/>
    <w:rsid w:val="00A4203C"/>
    <w:rsid w:val="00A42C6D"/>
    <w:rsid w:val="00A44252"/>
    <w:rsid w:val="00A4766A"/>
    <w:rsid w:val="00A50F48"/>
    <w:rsid w:val="00A527BC"/>
    <w:rsid w:val="00A52A90"/>
    <w:rsid w:val="00A52E90"/>
    <w:rsid w:val="00A53099"/>
    <w:rsid w:val="00A562C0"/>
    <w:rsid w:val="00A56A6A"/>
    <w:rsid w:val="00A60D25"/>
    <w:rsid w:val="00A61370"/>
    <w:rsid w:val="00A61F5D"/>
    <w:rsid w:val="00A6310F"/>
    <w:rsid w:val="00A636CF"/>
    <w:rsid w:val="00A6575E"/>
    <w:rsid w:val="00A65D09"/>
    <w:rsid w:val="00A65E12"/>
    <w:rsid w:val="00A66C80"/>
    <w:rsid w:val="00A66FC6"/>
    <w:rsid w:val="00A67467"/>
    <w:rsid w:val="00A712E2"/>
    <w:rsid w:val="00A722B9"/>
    <w:rsid w:val="00A74655"/>
    <w:rsid w:val="00A74B2E"/>
    <w:rsid w:val="00A74F6E"/>
    <w:rsid w:val="00A758F4"/>
    <w:rsid w:val="00A75E9A"/>
    <w:rsid w:val="00A80392"/>
    <w:rsid w:val="00A8086D"/>
    <w:rsid w:val="00A80C48"/>
    <w:rsid w:val="00A81916"/>
    <w:rsid w:val="00A82897"/>
    <w:rsid w:val="00A8399D"/>
    <w:rsid w:val="00A919AE"/>
    <w:rsid w:val="00A9310B"/>
    <w:rsid w:val="00A9411B"/>
    <w:rsid w:val="00A94213"/>
    <w:rsid w:val="00A94A12"/>
    <w:rsid w:val="00A96FC8"/>
    <w:rsid w:val="00A975AF"/>
    <w:rsid w:val="00AA0467"/>
    <w:rsid w:val="00AA0A0E"/>
    <w:rsid w:val="00AA19AA"/>
    <w:rsid w:val="00AA2110"/>
    <w:rsid w:val="00AA236A"/>
    <w:rsid w:val="00AA2E8C"/>
    <w:rsid w:val="00AA2EB8"/>
    <w:rsid w:val="00AA33E7"/>
    <w:rsid w:val="00AA347C"/>
    <w:rsid w:val="00AA4AFD"/>
    <w:rsid w:val="00AA51FF"/>
    <w:rsid w:val="00AA5D90"/>
    <w:rsid w:val="00AA66A4"/>
    <w:rsid w:val="00AA6CAA"/>
    <w:rsid w:val="00AA7C31"/>
    <w:rsid w:val="00AB03EF"/>
    <w:rsid w:val="00AB0BFA"/>
    <w:rsid w:val="00AB3041"/>
    <w:rsid w:val="00AB3D2E"/>
    <w:rsid w:val="00AB4415"/>
    <w:rsid w:val="00AB6C79"/>
    <w:rsid w:val="00AB6CF7"/>
    <w:rsid w:val="00AC01EA"/>
    <w:rsid w:val="00AC09DC"/>
    <w:rsid w:val="00AC0C3C"/>
    <w:rsid w:val="00AC298F"/>
    <w:rsid w:val="00AC5D36"/>
    <w:rsid w:val="00AC6D00"/>
    <w:rsid w:val="00AD067A"/>
    <w:rsid w:val="00AD50CA"/>
    <w:rsid w:val="00AD5870"/>
    <w:rsid w:val="00AD5C4D"/>
    <w:rsid w:val="00AD643C"/>
    <w:rsid w:val="00AD74CF"/>
    <w:rsid w:val="00AE0A58"/>
    <w:rsid w:val="00AE1BD0"/>
    <w:rsid w:val="00AE2A04"/>
    <w:rsid w:val="00AE317D"/>
    <w:rsid w:val="00AE35E2"/>
    <w:rsid w:val="00AE3BA1"/>
    <w:rsid w:val="00AE42DB"/>
    <w:rsid w:val="00AE4B00"/>
    <w:rsid w:val="00AE5250"/>
    <w:rsid w:val="00AE5259"/>
    <w:rsid w:val="00AE5C8E"/>
    <w:rsid w:val="00AE6B15"/>
    <w:rsid w:val="00AE6FD6"/>
    <w:rsid w:val="00AE7253"/>
    <w:rsid w:val="00AF08D6"/>
    <w:rsid w:val="00AF0B6C"/>
    <w:rsid w:val="00AF0C2B"/>
    <w:rsid w:val="00AF2763"/>
    <w:rsid w:val="00AF2881"/>
    <w:rsid w:val="00AF384E"/>
    <w:rsid w:val="00AF5B5B"/>
    <w:rsid w:val="00AF6CDF"/>
    <w:rsid w:val="00B029B7"/>
    <w:rsid w:val="00B0328B"/>
    <w:rsid w:val="00B03E26"/>
    <w:rsid w:val="00B04199"/>
    <w:rsid w:val="00B0583F"/>
    <w:rsid w:val="00B05932"/>
    <w:rsid w:val="00B0669C"/>
    <w:rsid w:val="00B11780"/>
    <w:rsid w:val="00B11E69"/>
    <w:rsid w:val="00B120D1"/>
    <w:rsid w:val="00B125E0"/>
    <w:rsid w:val="00B12E1D"/>
    <w:rsid w:val="00B134AB"/>
    <w:rsid w:val="00B14377"/>
    <w:rsid w:val="00B14C3D"/>
    <w:rsid w:val="00B15AE4"/>
    <w:rsid w:val="00B1771D"/>
    <w:rsid w:val="00B20054"/>
    <w:rsid w:val="00B25C02"/>
    <w:rsid w:val="00B275F1"/>
    <w:rsid w:val="00B30674"/>
    <w:rsid w:val="00B308A3"/>
    <w:rsid w:val="00B316E4"/>
    <w:rsid w:val="00B31F02"/>
    <w:rsid w:val="00B32E6F"/>
    <w:rsid w:val="00B33002"/>
    <w:rsid w:val="00B33815"/>
    <w:rsid w:val="00B342C1"/>
    <w:rsid w:val="00B35E7F"/>
    <w:rsid w:val="00B36561"/>
    <w:rsid w:val="00B400EA"/>
    <w:rsid w:val="00B40A75"/>
    <w:rsid w:val="00B40D41"/>
    <w:rsid w:val="00B41904"/>
    <w:rsid w:val="00B434EE"/>
    <w:rsid w:val="00B46129"/>
    <w:rsid w:val="00B46A8B"/>
    <w:rsid w:val="00B46ADD"/>
    <w:rsid w:val="00B46C85"/>
    <w:rsid w:val="00B46CD8"/>
    <w:rsid w:val="00B535E8"/>
    <w:rsid w:val="00B547C8"/>
    <w:rsid w:val="00B55839"/>
    <w:rsid w:val="00B57631"/>
    <w:rsid w:val="00B57C55"/>
    <w:rsid w:val="00B6146A"/>
    <w:rsid w:val="00B62F25"/>
    <w:rsid w:val="00B630CF"/>
    <w:rsid w:val="00B635EB"/>
    <w:rsid w:val="00B65358"/>
    <w:rsid w:val="00B65ACE"/>
    <w:rsid w:val="00B65C97"/>
    <w:rsid w:val="00B65EC2"/>
    <w:rsid w:val="00B66FE1"/>
    <w:rsid w:val="00B7007B"/>
    <w:rsid w:val="00B70732"/>
    <w:rsid w:val="00B71476"/>
    <w:rsid w:val="00B728F3"/>
    <w:rsid w:val="00B73982"/>
    <w:rsid w:val="00B73ECE"/>
    <w:rsid w:val="00B75424"/>
    <w:rsid w:val="00B764F7"/>
    <w:rsid w:val="00B77029"/>
    <w:rsid w:val="00B77183"/>
    <w:rsid w:val="00B77648"/>
    <w:rsid w:val="00B817E0"/>
    <w:rsid w:val="00B83416"/>
    <w:rsid w:val="00B83455"/>
    <w:rsid w:val="00B83578"/>
    <w:rsid w:val="00B843CD"/>
    <w:rsid w:val="00B84BD5"/>
    <w:rsid w:val="00B85057"/>
    <w:rsid w:val="00B853C2"/>
    <w:rsid w:val="00B86B05"/>
    <w:rsid w:val="00B86B09"/>
    <w:rsid w:val="00B86B7A"/>
    <w:rsid w:val="00B87698"/>
    <w:rsid w:val="00B876EF"/>
    <w:rsid w:val="00B877C1"/>
    <w:rsid w:val="00B92014"/>
    <w:rsid w:val="00B93713"/>
    <w:rsid w:val="00B94616"/>
    <w:rsid w:val="00B96979"/>
    <w:rsid w:val="00B96A9D"/>
    <w:rsid w:val="00BA19EC"/>
    <w:rsid w:val="00BA2225"/>
    <w:rsid w:val="00BA39C4"/>
    <w:rsid w:val="00BA3BB4"/>
    <w:rsid w:val="00BA474B"/>
    <w:rsid w:val="00BA799B"/>
    <w:rsid w:val="00BB3AEE"/>
    <w:rsid w:val="00BB417F"/>
    <w:rsid w:val="00BB444A"/>
    <w:rsid w:val="00BB455E"/>
    <w:rsid w:val="00BB6334"/>
    <w:rsid w:val="00BB64EA"/>
    <w:rsid w:val="00BB6C2F"/>
    <w:rsid w:val="00BB79F9"/>
    <w:rsid w:val="00BB7DFD"/>
    <w:rsid w:val="00BC1E7E"/>
    <w:rsid w:val="00BC2AA4"/>
    <w:rsid w:val="00BC2C37"/>
    <w:rsid w:val="00BC3593"/>
    <w:rsid w:val="00BC375A"/>
    <w:rsid w:val="00BC4B4D"/>
    <w:rsid w:val="00BC55A1"/>
    <w:rsid w:val="00BC5D1E"/>
    <w:rsid w:val="00BC680C"/>
    <w:rsid w:val="00BC7D96"/>
    <w:rsid w:val="00BC7EF5"/>
    <w:rsid w:val="00BD2099"/>
    <w:rsid w:val="00BD25BF"/>
    <w:rsid w:val="00BD32FA"/>
    <w:rsid w:val="00BD4FAA"/>
    <w:rsid w:val="00BD79D8"/>
    <w:rsid w:val="00BE0054"/>
    <w:rsid w:val="00BE0F2C"/>
    <w:rsid w:val="00BE0F82"/>
    <w:rsid w:val="00BE309E"/>
    <w:rsid w:val="00BE312A"/>
    <w:rsid w:val="00BE4694"/>
    <w:rsid w:val="00BE51FD"/>
    <w:rsid w:val="00BE5CD8"/>
    <w:rsid w:val="00BE5D49"/>
    <w:rsid w:val="00BE73F0"/>
    <w:rsid w:val="00BF00E3"/>
    <w:rsid w:val="00BF0778"/>
    <w:rsid w:val="00BF13A5"/>
    <w:rsid w:val="00BF16D5"/>
    <w:rsid w:val="00BF2689"/>
    <w:rsid w:val="00BF3213"/>
    <w:rsid w:val="00BF3DEE"/>
    <w:rsid w:val="00BF44BF"/>
    <w:rsid w:val="00BF64E4"/>
    <w:rsid w:val="00BF760E"/>
    <w:rsid w:val="00BF7F71"/>
    <w:rsid w:val="00C00872"/>
    <w:rsid w:val="00C00F07"/>
    <w:rsid w:val="00C02817"/>
    <w:rsid w:val="00C029DF"/>
    <w:rsid w:val="00C04198"/>
    <w:rsid w:val="00C0489E"/>
    <w:rsid w:val="00C04E48"/>
    <w:rsid w:val="00C055C3"/>
    <w:rsid w:val="00C066DE"/>
    <w:rsid w:val="00C0725D"/>
    <w:rsid w:val="00C0742D"/>
    <w:rsid w:val="00C116D2"/>
    <w:rsid w:val="00C126FA"/>
    <w:rsid w:val="00C12952"/>
    <w:rsid w:val="00C14230"/>
    <w:rsid w:val="00C149E5"/>
    <w:rsid w:val="00C15A1F"/>
    <w:rsid w:val="00C167AC"/>
    <w:rsid w:val="00C169E4"/>
    <w:rsid w:val="00C16B96"/>
    <w:rsid w:val="00C17BF6"/>
    <w:rsid w:val="00C20E2F"/>
    <w:rsid w:val="00C20F53"/>
    <w:rsid w:val="00C21346"/>
    <w:rsid w:val="00C22776"/>
    <w:rsid w:val="00C2476B"/>
    <w:rsid w:val="00C250DA"/>
    <w:rsid w:val="00C25E5D"/>
    <w:rsid w:val="00C3000A"/>
    <w:rsid w:val="00C307C0"/>
    <w:rsid w:val="00C31CCC"/>
    <w:rsid w:val="00C322D5"/>
    <w:rsid w:val="00C32997"/>
    <w:rsid w:val="00C32FDE"/>
    <w:rsid w:val="00C335EC"/>
    <w:rsid w:val="00C33918"/>
    <w:rsid w:val="00C34C50"/>
    <w:rsid w:val="00C35819"/>
    <w:rsid w:val="00C374B1"/>
    <w:rsid w:val="00C37A1C"/>
    <w:rsid w:val="00C45049"/>
    <w:rsid w:val="00C45F57"/>
    <w:rsid w:val="00C46500"/>
    <w:rsid w:val="00C47957"/>
    <w:rsid w:val="00C50250"/>
    <w:rsid w:val="00C51A8A"/>
    <w:rsid w:val="00C51EDF"/>
    <w:rsid w:val="00C52165"/>
    <w:rsid w:val="00C5250C"/>
    <w:rsid w:val="00C529FC"/>
    <w:rsid w:val="00C54CF4"/>
    <w:rsid w:val="00C55879"/>
    <w:rsid w:val="00C56001"/>
    <w:rsid w:val="00C57D0B"/>
    <w:rsid w:val="00C60395"/>
    <w:rsid w:val="00C62CB0"/>
    <w:rsid w:val="00C63D24"/>
    <w:rsid w:val="00C640CD"/>
    <w:rsid w:val="00C65CD9"/>
    <w:rsid w:val="00C65E89"/>
    <w:rsid w:val="00C65F32"/>
    <w:rsid w:val="00C671F1"/>
    <w:rsid w:val="00C700AE"/>
    <w:rsid w:val="00C712D1"/>
    <w:rsid w:val="00C729BA"/>
    <w:rsid w:val="00C72A14"/>
    <w:rsid w:val="00C72DC4"/>
    <w:rsid w:val="00C72E5F"/>
    <w:rsid w:val="00C73520"/>
    <w:rsid w:val="00C73CA6"/>
    <w:rsid w:val="00C743D6"/>
    <w:rsid w:val="00C77745"/>
    <w:rsid w:val="00C8002B"/>
    <w:rsid w:val="00C80DF8"/>
    <w:rsid w:val="00C8142C"/>
    <w:rsid w:val="00C8145D"/>
    <w:rsid w:val="00C81498"/>
    <w:rsid w:val="00C82F40"/>
    <w:rsid w:val="00C839B4"/>
    <w:rsid w:val="00C8592B"/>
    <w:rsid w:val="00C8660A"/>
    <w:rsid w:val="00C90D17"/>
    <w:rsid w:val="00C91DD7"/>
    <w:rsid w:val="00C92DFF"/>
    <w:rsid w:val="00C92F61"/>
    <w:rsid w:val="00C96F31"/>
    <w:rsid w:val="00C978AA"/>
    <w:rsid w:val="00CA0D24"/>
    <w:rsid w:val="00CA2033"/>
    <w:rsid w:val="00CA279F"/>
    <w:rsid w:val="00CA49C2"/>
    <w:rsid w:val="00CA4B22"/>
    <w:rsid w:val="00CA569B"/>
    <w:rsid w:val="00CA652B"/>
    <w:rsid w:val="00CA6FFD"/>
    <w:rsid w:val="00CA7199"/>
    <w:rsid w:val="00CB3BE0"/>
    <w:rsid w:val="00CB407E"/>
    <w:rsid w:val="00CB43E4"/>
    <w:rsid w:val="00CB5FD7"/>
    <w:rsid w:val="00CB68AF"/>
    <w:rsid w:val="00CB74C4"/>
    <w:rsid w:val="00CB7BB9"/>
    <w:rsid w:val="00CB7F74"/>
    <w:rsid w:val="00CC14C1"/>
    <w:rsid w:val="00CC157B"/>
    <w:rsid w:val="00CC1804"/>
    <w:rsid w:val="00CC25EB"/>
    <w:rsid w:val="00CC4269"/>
    <w:rsid w:val="00CC5A42"/>
    <w:rsid w:val="00CC6ED1"/>
    <w:rsid w:val="00CC7CE2"/>
    <w:rsid w:val="00CD05FD"/>
    <w:rsid w:val="00CD12D7"/>
    <w:rsid w:val="00CD160A"/>
    <w:rsid w:val="00CD1819"/>
    <w:rsid w:val="00CD1B8D"/>
    <w:rsid w:val="00CD2730"/>
    <w:rsid w:val="00CD2896"/>
    <w:rsid w:val="00CD2BB2"/>
    <w:rsid w:val="00CD413A"/>
    <w:rsid w:val="00CD44A9"/>
    <w:rsid w:val="00CD57D3"/>
    <w:rsid w:val="00CD6149"/>
    <w:rsid w:val="00CD69B2"/>
    <w:rsid w:val="00CD6FD1"/>
    <w:rsid w:val="00CD7D98"/>
    <w:rsid w:val="00CE3598"/>
    <w:rsid w:val="00CE4865"/>
    <w:rsid w:val="00CE5B3A"/>
    <w:rsid w:val="00CE6A45"/>
    <w:rsid w:val="00CE73E6"/>
    <w:rsid w:val="00CE79BB"/>
    <w:rsid w:val="00CF0A0F"/>
    <w:rsid w:val="00CF23E3"/>
    <w:rsid w:val="00CF2623"/>
    <w:rsid w:val="00CF2968"/>
    <w:rsid w:val="00CF328E"/>
    <w:rsid w:val="00CF42A0"/>
    <w:rsid w:val="00CF605E"/>
    <w:rsid w:val="00D01398"/>
    <w:rsid w:val="00D032D8"/>
    <w:rsid w:val="00D034F3"/>
    <w:rsid w:val="00D03688"/>
    <w:rsid w:val="00D067CA"/>
    <w:rsid w:val="00D06DA1"/>
    <w:rsid w:val="00D06FA6"/>
    <w:rsid w:val="00D070C2"/>
    <w:rsid w:val="00D136A9"/>
    <w:rsid w:val="00D14E9B"/>
    <w:rsid w:val="00D166F3"/>
    <w:rsid w:val="00D17DC1"/>
    <w:rsid w:val="00D20263"/>
    <w:rsid w:val="00D21F09"/>
    <w:rsid w:val="00D22BD0"/>
    <w:rsid w:val="00D22EDD"/>
    <w:rsid w:val="00D24305"/>
    <w:rsid w:val="00D2454F"/>
    <w:rsid w:val="00D30C94"/>
    <w:rsid w:val="00D3146C"/>
    <w:rsid w:val="00D31AD2"/>
    <w:rsid w:val="00D32503"/>
    <w:rsid w:val="00D32A20"/>
    <w:rsid w:val="00D32F52"/>
    <w:rsid w:val="00D343A6"/>
    <w:rsid w:val="00D34909"/>
    <w:rsid w:val="00D34B0E"/>
    <w:rsid w:val="00D363F6"/>
    <w:rsid w:val="00D36D1E"/>
    <w:rsid w:val="00D37296"/>
    <w:rsid w:val="00D37B8E"/>
    <w:rsid w:val="00D4118C"/>
    <w:rsid w:val="00D43C1D"/>
    <w:rsid w:val="00D43D85"/>
    <w:rsid w:val="00D44FF9"/>
    <w:rsid w:val="00D4654C"/>
    <w:rsid w:val="00D46CDB"/>
    <w:rsid w:val="00D46DF1"/>
    <w:rsid w:val="00D46E7E"/>
    <w:rsid w:val="00D4786B"/>
    <w:rsid w:val="00D50964"/>
    <w:rsid w:val="00D50FE7"/>
    <w:rsid w:val="00D51C9A"/>
    <w:rsid w:val="00D5414D"/>
    <w:rsid w:val="00D541DC"/>
    <w:rsid w:val="00D55412"/>
    <w:rsid w:val="00D55508"/>
    <w:rsid w:val="00D56AFD"/>
    <w:rsid w:val="00D571D9"/>
    <w:rsid w:val="00D6227C"/>
    <w:rsid w:val="00D62645"/>
    <w:rsid w:val="00D631BC"/>
    <w:rsid w:val="00D63C60"/>
    <w:rsid w:val="00D64231"/>
    <w:rsid w:val="00D651DD"/>
    <w:rsid w:val="00D65269"/>
    <w:rsid w:val="00D70BC5"/>
    <w:rsid w:val="00D714C3"/>
    <w:rsid w:val="00D72021"/>
    <w:rsid w:val="00D72099"/>
    <w:rsid w:val="00D749BA"/>
    <w:rsid w:val="00D7649C"/>
    <w:rsid w:val="00D77666"/>
    <w:rsid w:val="00D810E8"/>
    <w:rsid w:val="00D82AD9"/>
    <w:rsid w:val="00D82E7A"/>
    <w:rsid w:val="00D83165"/>
    <w:rsid w:val="00D8376F"/>
    <w:rsid w:val="00D86C21"/>
    <w:rsid w:val="00D87E6F"/>
    <w:rsid w:val="00D9008A"/>
    <w:rsid w:val="00D9014E"/>
    <w:rsid w:val="00D9279B"/>
    <w:rsid w:val="00D94630"/>
    <w:rsid w:val="00D94E6E"/>
    <w:rsid w:val="00D96227"/>
    <w:rsid w:val="00D96679"/>
    <w:rsid w:val="00D97347"/>
    <w:rsid w:val="00DA1BEE"/>
    <w:rsid w:val="00DA42EF"/>
    <w:rsid w:val="00DA43B9"/>
    <w:rsid w:val="00DA4B0E"/>
    <w:rsid w:val="00DA5D17"/>
    <w:rsid w:val="00DA6ACF"/>
    <w:rsid w:val="00DA7DED"/>
    <w:rsid w:val="00DA7E96"/>
    <w:rsid w:val="00DB026F"/>
    <w:rsid w:val="00DB0C79"/>
    <w:rsid w:val="00DB11F4"/>
    <w:rsid w:val="00DB2DC1"/>
    <w:rsid w:val="00DB45ED"/>
    <w:rsid w:val="00DB6685"/>
    <w:rsid w:val="00DB6C15"/>
    <w:rsid w:val="00DB74DE"/>
    <w:rsid w:val="00DC13B7"/>
    <w:rsid w:val="00DC1CA3"/>
    <w:rsid w:val="00DC1FAF"/>
    <w:rsid w:val="00DC25CB"/>
    <w:rsid w:val="00DC393D"/>
    <w:rsid w:val="00DC4987"/>
    <w:rsid w:val="00DC4E08"/>
    <w:rsid w:val="00DC511E"/>
    <w:rsid w:val="00DC59C7"/>
    <w:rsid w:val="00DC6790"/>
    <w:rsid w:val="00DC7436"/>
    <w:rsid w:val="00DD091C"/>
    <w:rsid w:val="00DD427D"/>
    <w:rsid w:val="00DD45DA"/>
    <w:rsid w:val="00DD5A53"/>
    <w:rsid w:val="00DD72A0"/>
    <w:rsid w:val="00DE1263"/>
    <w:rsid w:val="00DE1A0A"/>
    <w:rsid w:val="00DE2088"/>
    <w:rsid w:val="00DE2698"/>
    <w:rsid w:val="00DE396D"/>
    <w:rsid w:val="00DE3DFD"/>
    <w:rsid w:val="00DE471B"/>
    <w:rsid w:val="00DE4A6B"/>
    <w:rsid w:val="00DE517F"/>
    <w:rsid w:val="00DE584B"/>
    <w:rsid w:val="00DE6A2A"/>
    <w:rsid w:val="00DF1BCB"/>
    <w:rsid w:val="00DF3462"/>
    <w:rsid w:val="00DF4A45"/>
    <w:rsid w:val="00DF4D6C"/>
    <w:rsid w:val="00DF5387"/>
    <w:rsid w:val="00DF57ED"/>
    <w:rsid w:val="00DF57F6"/>
    <w:rsid w:val="00DF6A98"/>
    <w:rsid w:val="00E002FF"/>
    <w:rsid w:val="00E03DFC"/>
    <w:rsid w:val="00E054BB"/>
    <w:rsid w:val="00E05876"/>
    <w:rsid w:val="00E05DE6"/>
    <w:rsid w:val="00E06B35"/>
    <w:rsid w:val="00E06CC8"/>
    <w:rsid w:val="00E071CC"/>
    <w:rsid w:val="00E107B3"/>
    <w:rsid w:val="00E10F19"/>
    <w:rsid w:val="00E1181B"/>
    <w:rsid w:val="00E11826"/>
    <w:rsid w:val="00E11AB5"/>
    <w:rsid w:val="00E11E49"/>
    <w:rsid w:val="00E14D21"/>
    <w:rsid w:val="00E15791"/>
    <w:rsid w:val="00E17330"/>
    <w:rsid w:val="00E1750C"/>
    <w:rsid w:val="00E200B1"/>
    <w:rsid w:val="00E20CA3"/>
    <w:rsid w:val="00E215AD"/>
    <w:rsid w:val="00E228EA"/>
    <w:rsid w:val="00E23A35"/>
    <w:rsid w:val="00E23D18"/>
    <w:rsid w:val="00E240A5"/>
    <w:rsid w:val="00E247F0"/>
    <w:rsid w:val="00E25817"/>
    <w:rsid w:val="00E25E60"/>
    <w:rsid w:val="00E266D4"/>
    <w:rsid w:val="00E27F56"/>
    <w:rsid w:val="00E300EC"/>
    <w:rsid w:val="00E367D4"/>
    <w:rsid w:val="00E36F26"/>
    <w:rsid w:val="00E37B70"/>
    <w:rsid w:val="00E4038B"/>
    <w:rsid w:val="00E435C6"/>
    <w:rsid w:val="00E449A7"/>
    <w:rsid w:val="00E44BD5"/>
    <w:rsid w:val="00E454D5"/>
    <w:rsid w:val="00E459F7"/>
    <w:rsid w:val="00E45C76"/>
    <w:rsid w:val="00E465EC"/>
    <w:rsid w:val="00E46900"/>
    <w:rsid w:val="00E504E7"/>
    <w:rsid w:val="00E5153C"/>
    <w:rsid w:val="00E523E4"/>
    <w:rsid w:val="00E523EB"/>
    <w:rsid w:val="00E530DB"/>
    <w:rsid w:val="00E57728"/>
    <w:rsid w:val="00E57A7F"/>
    <w:rsid w:val="00E602CC"/>
    <w:rsid w:val="00E63CFB"/>
    <w:rsid w:val="00E644E0"/>
    <w:rsid w:val="00E6519A"/>
    <w:rsid w:val="00E655B9"/>
    <w:rsid w:val="00E65E72"/>
    <w:rsid w:val="00E66159"/>
    <w:rsid w:val="00E677EB"/>
    <w:rsid w:val="00E679D7"/>
    <w:rsid w:val="00E70AF7"/>
    <w:rsid w:val="00E70F72"/>
    <w:rsid w:val="00E71F55"/>
    <w:rsid w:val="00E722B9"/>
    <w:rsid w:val="00E72EFB"/>
    <w:rsid w:val="00E77002"/>
    <w:rsid w:val="00E770A3"/>
    <w:rsid w:val="00E77246"/>
    <w:rsid w:val="00E80091"/>
    <w:rsid w:val="00E80344"/>
    <w:rsid w:val="00E80773"/>
    <w:rsid w:val="00E80B46"/>
    <w:rsid w:val="00E818AD"/>
    <w:rsid w:val="00E84974"/>
    <w:rsid w:val="00E85EB4"/>
    <w:rsid w:val="00E86344"/>
    <w:rsid w:val="00E86CC2"/>
    <w:rsid w:val="00E917E6"/>
    <w:rsid w:val="00E91CB8"/>
    <w:rsid w:val="00E95B75"/>
    <w:rsid w:val="00E968CB"/>
    <w:rsid w:val="00EA1510"/>
    <w:rsid w:val="00EA2D92"/>
    <w:rsid w:val="00EA3B54"/>
    <w:rsid w:val="00EA499B"/>
    <w:rsid w:val="00EA4F20"/>
    <w:rsid w:val="00EA5100"/>
    <w:rsid w:val="00EA58BF"/>
    <w:rsid w:val="00EA6050"/>
    <w:rsid w:val="00EA6552"/>
    <w:rsid w:val="00EA73DB"/>
    <w:rsid w:val="00EA77E5"/>
    <w:rsid w:val="00EB0C2C"/>
    <w:rsid w:val="00EB0E5E"/>
    <w:rsid w:val="00EB0E68"/>
    <w:rsid w:val="00EB119F"/>
    <w:rsid w:val="00EB23AB"/>
    <w:rsid w:val="00EB52B2"/>
    <w:rsid w:val="00EB61DC"/>
    <w:rsid w:val="00EB6D1C"/>
    <w:rsid w:val="00EB7072"/>
    <w:rsid w:val="00EB7C31"/>
    <w:rsid w:val="00EC2B31"/>
    <w:rsid w:val="00EC5B6B"/>
    <w:rsid w:val="00EC5BB3"/>
    <w:rsid w:val="00EC7846"/>
    <w:rsid w:val="00ED10F6"/>
    <w:rsid w:val="00ED1122"/>
    <w:rsid w:val="00ED11C2"/>
    <w:rsid w:val="00ED1498"/>
    <w:rsid w:val="00ED1EFC"/>
    <w:rsid w:val="00ED1FF5"/>
    <w:rsid w:val="00ED2770"/>
    <w:rsid w:val="00ED4032"/>
    <w:rsid w:val="00ED4DC8"/>
    <w:rsid w:val="00ED567D"/>
    <w:rsid w:val="00ED61F8"/>
    <w:rsid w:val="00ED64DE"/>
    <w:rsid w:val="00ED6BB4"/>
    <w:rsid w:val="00EE0013"/>
    <w:rsid w:val="00EE01E6"/>
    <w:rsid w:val="00EE3505"/>
    <w:rsid w:val="00EE43F3"/>
    <w:rsid w:val="00EE5CB2"/>
    <w:rsid w:val="00EE6E75"/>
    <w:rsid w:val="00EE749F"/>
    <w:rsid w:val="00EF1E03"/>
    <w:rsid w:val="00EF21EC"/>
    <w:rsid w:val="00EF38B4"/>
    <w:rsid w:val="00EF4C51"/>
    <w:rsid w:val="00EF57D8"/>
    <w:rsid w:val="00EF7D5A"/>
    <w:rsid w:val="00EF7F19"/>
    <w:rsid w:val="00F03617"/>
    <w:rsid w:val="00F043E1"/>
    <w:rsid w:val="00F04AA0"/>
    <w:rsid w:val="00F04EF2"/>
    <w:rsid w:val="00F05110"/>
    <w:rsid w:val="00F05FA7"/>
    <w:rsid w:val="00F06EAB"/>
    <w:rsid w:val="00F0733C"/>
    <w:rsid w:val="00F112EA"/>
    <w:rsid w:val="00F114C9"/>
    <w:rsid w:val="00F11D35"/>
    <w:rsid w:val="00F13519"/>
    <w:rsid w:val="00F16C66"/>
    <w:rsid w:val="00F2010B"/>
    <w:rsid w:val="00F201B3"/>
    <w:rsid w:val="00F20320"/>
    <w:rsid w:val="00F2061F"/>
    <w:rsid w:val="00F20C89"/>
    <w:rsid w:val="00F225DC"/>
    <w:rsid w:val="00F22D7F"/>
    <w:rsid w:val="00F25C21"/>
    <w:rsid w:val="00F260BB"/>
    <w:rsid w:val="00F2626E"/>
    <w:rsid w:val="00F26B4C"/>
    <w:rsid w:val="00F275C1"/>
    <w:rsid w:val="00F31C39"/>
    <w:rsid w:val="00F33581"/>
    <w:rsid w:val="00F34DA5"/>
    <w:rsid w:val="00F34EF1"/>
    <w:rsid w:val="00F35EC8"/>
    <w:rsid w:val="00F3763D"/>
    <w:rsid w:val="00F3777C"/>
    <w:rsid w:val="00F377A4"/>
    <w:rsid w:val="00F409AF"/>
    <w:rsid w:val="00F41368"/>
    <w:rsid w:val="00F41834"/>
    <w:rsid w:val="00F41A16"/>
    <w:rsid w:val="00F425F4"/>
    <w:rsid w:val="00F44420"/>
    <w:rsid w:val="00F45A2E"/>
    <w:rsid w:val="00F45CFC"/>
    <w:rsid w:val="00F469BA"/>
    <w:rsid w:val="00F50BFB"/>
    <w:rsid w:val="00F52628"/>
    <w:rsid w:val="00F55FA6"/>
    <w:rsid w:val="00F56462"/>
    <w:rsid w:val="00F57307"/>
    <w:rsid w:val="00F5774B"/>
    <w:rsid w:val="00F60480"/>
    <w:rsid w:val="00F635CC"/>
    <w:rsid w:val="00F646CF"/>
    <w:rsid w:val="00F64A08"/>
    <w:rsid w:val="00F64A51"/>
    <w:rsid w:val="00F672B8"/>
    <w:rsid w:val="00F678E0"/>
    <w:rsid w:val="00F703CA"/>
    <w:rsid w:val="00F715E6"/>
    <w:rsid w:val="00F71A6D"/>
    <w:rsid w:val="00F7263B"/>
    <w:rsid w:val="00F72C37"/>
    <w:rsid w:val="00F741D6"/>
    <w:rsid w:val="00F76B51"/>
    <w:rsid w:val="00F774B6"/>
    <w:rsid w:val="00F779CD"/>
    <w:rsid w:val="00F80A6A"/>
    <w:rsid w:val="00F8129F"/>
    <w:rsid w:val="00F81ED3"/>
    <w:rsid w:val="00F82D21"/>
    <w:rsid w:val="00F837B8"/>
    <w:rsid w:val="00F84D96"/>
    <w:rsid w:val="00F85108"/>
    <w:rsid w:val="00F86002"/>
    <w:rsid w:val="00F87808"/>
    <w:rsid w:val="00F9007D"/>
    <w:rsid w:val="00F91422"/>
    <w:rsid w:val="00F9159D"/>
    <w:rsid w:val="00F9167A"/>
    <w:rsid w:val="00F91D1F"/>
    <w:rsid w:val="00F91DBB"/>
    <w:rsid w:val="00F92EFE"/>
    <w:rsid w:val="00F9344F"/>
    <w:rsid w:val="00F9559D"/>
    <w:rsid w:val="00F961B9"/>
    <w:rsid w:val="00F97856"/>
    <w:rsid w:val="00FA1514"/>
    <w:rsid w:val="00FA207E"/>
    <w:rsid w:val="00FA3066"/>
    <w:rsid w:val="00FA347E"/>
    <w:rsid w:val="00FA3EAA"/>
    <w:rsid w:val="00FA5195"/>
    <w:rsid w:val="00FA7568"/>
    <w:rsid w:val="00FB2B62"/>
    <w:rsid w:val="00FB3398"/>
    <w:rsid w:val="00FB38B9"/>
    <w:rsid w:val="00FB3EF3"/>
    <w:rsid w:val="00FB4C77"/>
    <w:rsid w:val="00FB4FC4"/>
    <w:rsid w:val="00FB50D6"/>
    <w:rsid w:val="00FB65FC"/>
    <w:rsid w:val="00FB665C"/>
    <w:rsid w:val="00FB668B"/>
    <w:rsid w:val="00FB69A4"/>
    <w:rsid w:val="00FB71F7"/>
    <w:rsid w:val="00FC072E"/>
    <w:rsid w:val="00FC16C3"/>
    <w:rsid w:val="00FC22C3"/>
    <w:rsid w:val="00FC368D"/>
    <w:rsid w:val="00FC6962"/>
    <w:rsid w:val="00FD094D"/>
    <w:rsid w:val="00FD1533"/>
    <w:rsid w:val="00FD258F"/>
    <w:rsid w:val="00FD423D"/>
    <w:rsid w:val="00FD4348"/>
    <w:rsid w:val="00FD50B3"/>
    <w:rsid w:val="00FD56A3"/>
    <w:rsid w:val="00FD5E24"/>
    <w:rsid w:val="00FD721C"/>
    <w:rsid w:val="00FD7735"/>
    <w:rsid w:val="00FD7D5C"/>
    <w:rsid w:val="00FE0D99"/>
    <w:rsid w:val="00FE1080"/>
    <w:rsid w:val="00FE133D"/>
    <w:rsid w:val="00FE2E92"/>
    <w:rsid w:val="00FE4D17"/>
    <w:rsid w:val="00FE4F73"/>
    <w:rsid w:val="00FE5427"/>
    <w:rsid w:val="00FE63A1"/>
    <w:rsid w:val="00FE65B0"/>
    <w:rsid w:val="00FE6A29"/>
    <w:rsid w:val="00FF23BD"/>
    <w:rsid w:val="00FF2B7F"/>
    <w:rsid w:val="00FF536D"/>
    <w:rsid w:val="00FF623A"/>
    <w:rsid w:val="00FF6240"/>
    <w:rsid w:val="00FF680E"/>
    <w:rsid w:val="011A24F4"/>
    <w:rsid w:val="014D0B1B"/>
    <w:rsid w:val="026818F8"/>
    <w:rsid w:val="02DC2156"/>
    <w:rsid w:val="02E1447E"/>
    <w:rsid w:val="033E5719"/>
    <w:rsid w:val="03B83858"/>
    <w:rsid w:val="041B280B"/>
    <w:rsid w:val="04463021"/>
    <w:rsid w:val="045A2047"/>
    <w:rsid w:val="04E35692"/>
    <w:rsid w:val="04F328C1"/>
    <w:rsid w:val="05360233"/>
    <w:rsid w:val="06BD404D"/>
    <w:rsid w:val="0701218C"/>
    <w:rsid w:val="0825615E"/>
    <w:rsid w:val="09726AFE"/>
    <w:rsid w:val="09932D90"/>
    <w:rsid w:val="09E0254E"/>
    <w:rsid w:val="0A310FDA"/>
    <w:rsid w:val="0AAF1EFF"/>
    <w:rsid w:val="0B39796A"/>
    <w:rsid w:val="0B5E5DFE"/>
    <w:rsid w:val="0BF76487"/>
    <w:rsid w:val="0C17084F"/>
    <w:rsid w:val="0CCA5018"/>
    <w:rsid w:val="0E082052"/>
    <w:rsid w:val="0E3222B3"/>
    <w:rsid w:val="0E6B10C2"/>
    <w:rsid w:val="0E7E14A6"/>
    <w:rsid w:val="0E8557AC"/>
    <w:rsid w:val="0E993273"/>
    <w:rsid w:val="0E9D2339"/>
    <w:rsid w:val="0EAE09A3"/>
    <w:rsid w:val="0F662081"/>
    <w:rsid w:val="0FA87BB9"/>
    <w:rsid w:val="103E7990"/>
    <w:rsid w:val="105921EF"/>
    <w:rsid w:val="10AD136B"/>
    <w:rsid w:val="11695F0A"/>
    <w:rsid w:val="11DA2C27"/>
    <w:rsid w:val="122D54FE"/>
    <w:rsid w:val="126F7A13"/>
    <w:rsid w:val="132711CC"/>
    <w:rsid w:val="135B1634"/>
    <w:rsid w:val="14A72759"/>
    <w:rsid w:val="1555360C"/>
    <w:rsid w:val="169801F5"/>
    <w:rsid w:val="17C430CD"/>
    <w:rsid w:val="193667F5"/>
    <w:rsid w:val="194A2DBC"/>
    <w:rsid w:val="1A023852"/>
    <w:rsid w:val="1AB62538"/>
    <w:rsid w:val="1AC13E11"/>
    <w:rsid w:val="1B807468"/>
    <w:rsid w:val="1C6D03F4"/>
    <w:rsid w:val="1D553EAB"/>
    <w:rsid w:val="1DC27C73"/>
    <w:rsid w:val="1DD459E8"/>
    <w:rsid w:val="1E1D74CF"/>
    <w:rsid w:val="1E461CD1"/>
    <w:rsid w:val="1F742828"/>
    <w:rsid w:val="1F792DAF"/>
    <w:rsid w:val="1F9532D4"/>
    <w:rsid w:val="202E544D"/>
    <w:rsid w:val="20DC553B"/>
    <w:rsid w:val="218C499A"/>
    <w:rsid w:val="21A25E38"/>
    <w:rsid w:val="2313090B"/>
    <w:rsid w:val="24187101"/>
    <w:rsid w:val="2475605F"/>
    <w:rsid w:val="251E737B"/>
    <w:rsid w:val="256B60B3"/>
    <w:rsid w:val="26307F40"/>
    <w:rsid w:val="2698203F"/>
    <w:rsid w:val="26A93F54"/>
    <w:rsid w:val="26C30961"/>
    <w:rsid w:val="270A0474"/>
    <w:rsid w:val="28382C3A"/>
    <w:rsid w:val="297C1823"/>
    <w:rsid w:val="2ADC1861"/>
    <w:rsid w:val="2AF354CD"/>
    <w:rsid w:val="2C461082"/>
    <w:rsid w:val="2C7A5334"/>
    <w:rsid w:val="2D0210EE"/>
    <w:rsid w:val="2EBE32F0"/>
    <w:rsid w:val="2ECB3AD2"/>
    <w:rsid w:val="2F1F78A0"/>
    <w:rsid w:val="2FD72036"/>
    <w:rsid w:val="2FD93C26"/>
    <w:rsid w:val="304F7A3C"/>
    <w:rsid w:val="312F0F54"/>
    <w:rsid w:val="3316122C"/>
    <w:rsid w:val="334178AA"/>
    <w:rsid w:val="34005760"/>
    <w:rsid w:val="34111F00"/>
    <w:rsid w:val="341F29F9"/>
    <w:rsid w:val="3467530F"/>
    <w:rsid w:val="350E58F0"/>
    <w:rsid w:val="354C0D4B"/>
    <w:rsid w:val="35737531"/>
    <w:rsid w:val="35944047"/>
    <w:rsid w:val="35E10098"/>
    <w:rsid w:val="35F90A8B"/>
    <w:rsid w:val="3623352B"/>
    <w:rsid w:val="36804E6D"/>
    <w:rsid w:val="36905067"/>
    <w:rsid w:val="36A30C1B"/>
    <w:rsid w:val="36AE7A5B"/>
    <w:rsid w:val="37180CA8"/>
    <w:rsid w:val="385B5E69"/>
    <w:rsid w:val="388E5946"/>
    <w:rsid w:val="396F3A83"/>
    <w:rsid w:val="3984743C"/>
    <w:rsid w:val="3A241712"/>
    <w:rsid w:val="3B4F290D"/>
    <w:rsid w:val="3BE13E6D"/>
    <w:rsid w:val="3BEE2461"/>
    <w:rsid w:val="3E113AC7"/>
    <w:rsid w:val="3E364680"/>
    <w:rsid w:val="3F7C275B"/>
    <w:rsid w:val="3FEF6270"/>
    <w:rsid w:val="413F5A2A"/>
    <w:rsid w:val="42B21FBD"/>
    <w:rsid w:val="43D30430"/>
    <w:rsid w:val="44271CFD"/>
    <w:rsid w:val="453827AF"/>
    <w:rsid w:val="453F312A"/>
    <w:rsid w:val="455C27B4"/>
    <w:rsid w:val="45904888"/>
    <w:rsid w:val="45C95889"/>
    <w:rsid w:val="46706389"/>
    <w:rsid w:val="46BC465C"/>
    <w:rsid w:val="47B3762B"/>
    <w:rsid w:val="48194922"/>
    <w:rsid w:val="482C43E7"/>
    <w:rsid w:val="483671E0"/>
    <w:rsid w:val="485E16ED"/>
    <w:rsid w:val="489741D8"/>
    <w:rsid w:val="49032789"/>
    <w:rsid w:val="4A104DDA"/>
    <w:rsid w:val="4B2E4FE6"/>
    <w:rsid w:val="4B893782"/>
    <w:rsid w:val="4BBD7B35"/>
    <w:rsid w:val="4BCC28C2"/>
    <w:rsid w:val="4BDD1FF5"/>
    <w:rsid w:val="4C87303B"/>
    <w:rsid w:val="4D2D65EB"/>
    <w:rsid w:val="4D730EE3"/>
    <w:rsid w:val="4E0929FA"/>
    <w:rsid w:val="4E144FD0"/>
    <w:rsid w:val="50856B78"/>
    <w:rsid w:val="50DE50F1"/>
    <w:rsid w:val="519B19CC"/>
    <w:rsid w:val="519C6BC5"/>
    <w:rsid w:val="52036CE2"/>
    <w:rsid w:val="525C37D5"/>
    <w:rsid w:val="527D2780"/>
    <w:rsid w:val="53420512"/>
    <w:rsid w:val="534C5B09"/>
    <w:rsid w:val="53C75190"/>
    <w:rsid w:val="53FF2067"/>
    <w:rsid w:val="550C60AB"/>
    <w:rsid w:val="550F232E"/>
    <w:rsid w:val="55172ED9"/>
    <w:rsid w:val="5551010A"/>
    <w:rsid w:val="56EF1FE3"/>
    <w:rsid w:val="56F225F5"/>
    <w:rsid w:val="578D2F64"/>
    <w:rsid w:val="58B006B2"/>
    <w:rsid w:val="59786EF1"/>
    <w:rsid w:val="59A31EA9"/>
    <w:rsid w:val="5AA664F1"/>
    <w:rsid w:val="5AB67F96"/>
    <w:rsid w:val="5B3D4E7B"/>
    <w:rsid w:val="5BD8483D"/>
    <w:rsid w:val="5C8C51C9"/>
    <w:rsid w:val="5CA57FD9"/>
    <w:rsid w:val="5D3B794E"/>
    <w:rsid w:val="5D9E1657"/>
    <w:rsid w:val="5E4A533B"/>
    <w:rsid w:val="5E7E075D"/>
    <w:rsid w:val="5EC93A80"/>
    <w:rsid w:val="5F211CB8"/>
    <w:rsid w:val="5F213DCC"/>
    <w:rsid w:val="5F3574F1"/>
    <w:rsid w:val="5F8C4929"/>
    <w:rsid w:val="5FAE7F15"/>
    <w:rsid w:val="62083431"/>
    <w:rsid w:val="620F17D0"/>
    <w:rsid w:val="629F4182"/>
    <w:rsid w:val="62DB7F23"/>
    <w:rsid w:val="636D0703"/>
    <w:rsid w:val="64730056"/>
    <w:rsid w:val="651C0FAE"/>
    <w:rsid w:val="66126DD3"/>
    <w:rsid w:val="663D263D"/>
    <w:rsid w:val="669E3607"/>
    <w:rsid w:val="66C85460"/>
    <w:rsid w:val="68055DA9"/>
    <w:rsid w:val="68636B44"/>
    <w:rsid w:val="68646F1F"/>
    <w:rsid w:val="688F501A"/>
    <w:rsid w:val="68B46862"/>
    <w:rsid w:val="694809E7"/>
    <w:rsid w:val="697056B2"/>
    <w:rsid w:val="69F71A8E"/>
    <w:rsid w:val="6AE54422"/>
    <w:rsid w:val="6AF04EE5"/>
    <w:rsid w:val="6BC95BB7"/>
    <w:rsid w:val="6BE63396"/>
    <w:rsid w:val="6CA4039A"/>
    <w:rsid w:val="6D15021A"/>
    <w:rsid w:val="6D1E1E6D"/>
    <w:rsid w:val="6DA15FCF"/>
    <w:rsid w:val="6E825BB4"/>
    <w:rsid w:val="6EE252F2"/>
    <w:rsid w:val="710A3346"/>
    <w:rsid w:val="71373F12"/>
    <w:rsid w:val="714D6344"/>
    <w:rsid w:val="71936BE2"/>
    <w:rsid w:val="721530FE"/>
    <w:rsid w:val="72C2450D"/>
    <w:rsid w:val="739B6B24"/>
    <w:rsid w:val="73E0732B"/>
    <w:rsid w:val="745368A0"/>
    <w:rsid w:val="747D59A8"/>
    <w:rsid w:val="74D21AE3"/>
    <w:rsid w:val="75B63FA6"/>
    <w:rsid w:val="75D422CD"/>
    <w:rsid w:val="75D601D8"/>
    <w:rsid w:val="75E57149"/>
    <w:rsid w:val="77FA4C7A"/>
    <w:rsid w:val="78865139"/>
    <w:rsid w:val="78F56158"/>
    <w:rsid w:val="79092423"/>
    <w:rsid w:val="791A3431"/>
    <w:rsid w:val="79731B38"/>
    <w:rsid w:val="79823482"/>
    <w:rsid w:val="7A321FA6"/>
    <w:rsid w:val="7AF21CDD"/>
    <w:rsid w:val="7AF313DB"/>
    <w:rsid w:val="7B191A7C"/>
    <w:rsid w:val="7BAE401F"/>
    <w:rsid w:val="7BCC44AF"/>
    <w:rsid w:val="7CFF388C"/>
    <w:rsid w:val="7E07350F"/>
    <w:rsid w:val="7E0B6632"/>
    <w:rsid w:val="7E8A04A8"/>
    <w:rsid w:val="7E93358B"/>
    <w:rsid w:val="7F2E23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宋体" w:hAnsi="宋体" w:eastAsia="宋体" w:cs="宋体"/>
      <w:color w:val="000000"/>
      <w:sz w:val="24"/>
      <w:szCs w:val="24"/>
      <w:u w:color="000000"/>
      <w:lang w:val="en-US" w:eastAsia="zh-CN" w:bidi="ar-SA"/>
    </w:rPr>
  </w:style>
  <w:style w:type="paragraph" w:styleId="2">
    <w:name w:val="heading 1"/>
    <w:basedOn w:val="1"/>
    <w:next w:val="1"/>
    <w:link w:val="34"/>
    <w:qFormat/>
    <w:uiPriority w:val="99"/>
    <w:pPr>
      <w:keepNext/>
      <w:keepLines/>
      <w:widowControl w:val="0"/>
      <w:spacing w:line="360" w:lineRule="auto"/>
      <w:jc w:val="center"/>
      <w:textAlignment w:val="auto"/>
      <w:outlineLvl w:val="0"/>
    </w:pPr>
    <w:rPr>
      <w:rFonts w:ascii="宋体" w:hAnsi="宋体" w:eastAsia="宋体" w:cs="宋体"/>
      <w:b/>
      <w:bCs/>
      <w:kern w:val="44"/>
      <w:sz w:val="32"/>
      <w:szCs w:val="32"/>
    </w:rPr>
  </w:style>
  <w:style w:type="paragraph" w:styleId="3">
    <w:name w:val="heading 2"/>
    <w:basedOn w:val="1"/>
    <w:next w:val="1"/>
    <w:link w:val="74"/>
    <w:unhideWhenUsed/>
    <w:qFormat/>
    <w:uiPriority w:val="0"/>
    <w:pPr>
      <w:keepNext/>
      <w:keepLines/>
      <w:spacing w:line="360" w:lineRule="auto"/>
      <w:jc w:val="left"/>
      <w:outlineLvl w:val="1"/>
    </w:pPr>
    <w:rPr>
      <w:rFonts w:ascii="宋体" w:hAnsi="宋体" w:eastAsia="宋体" w:cs="宋体"/>
      <w:b/>
      <w:bCs/>
      <w:sz w:val="30"/>
      <w:szCs w:val="30"/>
    </w:rPr>
  </w:style>
  <w:style w:type="paragraph" w:styleId="4">
    <w:name w:val="heading 3"/>
    <w:basedOn w:val="1"/>
    <w:next w:val="1"/>
    <w:link w:val="35"/>
    <w:qFormat/>
    <w:uiPriority w:val="99"/>
    <w:pPr>
      <w:keepNext/>
      <w:keepLines/>
      <w:spacing w:before="260" w:after="260" w:line="416" w:lineRule="atLeast"/>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locked/>
    <w:uiPriority w:val="0"/>
    <w:pPr>
      <w:ind w:firstLine="420" w:firstLineChars="200"/>
    </w:pPr>
  </w:style>
  <w:style w:type="paragraph" w:styleId="7">
    <w:name w:val="annotation text"/>
    <w:basedOn w:val="1"/>
    <w:link w:val="36"/>
    <w:semiHidden/>
    <w:qFormat/>
    <w:locked/>
    <w:uiPriority w:val="99"/>
    <w:pPr>
      <w:jc w:val="left"/>
    </w:pPr>
  </w:style>
  <w:style w:type="paragraph" w:styleId="8">
    <w:name w:val="Body Text"/>
    <w:basedOn w:val="1"/>
    <w:link w:val="72"/>
    <w:semiHidden/>
    <w:unhideWhenUsed/>
    <w:qFormat/>
    <w:locked/>
    <w:uiPriority w:val="99"/>
    <w:pPr>
      <w:spacing w:after="120"/>
    </w:pPr>
  </w:style>
  <w:style w:type="paragraph" w:styleId="9">
    <w:name w:val="Body Text Indent"/>
    <w:basedOn w:val="1"/>
    <w:link w:val="38"/>
    <w:qFormat/>
    <w:uiPriority w:val="99"/>
    <w:pPr>
      <w:widowControl w:val="0"/>
      <w:snapToGrid w:val="0"/>
      <w:spacing w:before="283" w:line="560" w:lineRule="exact"/>
      <w:ind w:firstLine="510"/>
    </w:pPr>
    <w:rPr>
      <w:sz w:val="20"/>
    </w:rPr>
  </w:style>
  <w:style w:type="paragraph" w:styleId="10">
    <w:name w:val="Plain Text"/>
    <w:basedOn w:val="1"/>
    <w:link w:val="67"/>
    <w:qFormat/>
    <w:uiPriority w:val="0"/>
    <w:pPr>
      <w:widowControl w:val="0"/>
      <w:spacing w:line="240" w:lineRule="auto"/>
      <w:textAlignment w:val="auto"/>
    </w:pPr>
    <w:rPr>
      <w:rFonts w:ascii="宋体" w:hAnsi="Courier New"/>
    </w:rPr>
  </w:style>
  <w:style w:type="paragraph" w:styleId="11">
    <w:name w:val="Date"/>
    <w:basedOn w:val="1"/>
    <w:next w:val="1"/>
    <w:link w:val="40"/>
    <w:qFormat/>
    <w:uiPriority w:val="99"/>
    <w:pPr>
      <w:ind w:left="100" w:leftChars="2500"/>
    </w:pPr>
  </w:style>
  <w:style w:type="paragraph" w:styleId="12">
    <w:name w:val="Balloon Text"/>
    <w:basedOn w:val="1"/>
    <w:link w:val="41"/>
    <w:qFormat/>
    <w:uiPriority w:val="99"/>
    <w:pPr>
      <w:spacing w:line="240" w:lineRule="auto"/>
    </w:pPr>
    <w:rPr>
      <w:sz w:val="18"/>
      <w:szCs w:val="18"/>
    </w:rPr>
  </w:style>
  <w:style w:type="paragraph" w:styleId="13">
    <w:name w:val="footer"/>
    <w:basedOn w:val="1"/>
    <w:link w:val="42"/>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43"/>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2"/>
    <w:basedOn w:val="1"/>
    <w:link w:val="44"/>
    <w:qFormat/>
    <w:uiPriority w:val="99"/>
    <w:pPr>
      <w:spacing w:after="120" w:line="480" w:lineRule="auto"/>
    </w:pPr>
    <w:rPr>
      <w:sz w:val="20"/>
    </w:rPr>
  </w:style>
  <w:style w:type="paragraph" w:styleId="18">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0">
    <w:name w:val="annotation subject"/>
    <w:basedOn w:val="7"/>
    <w:next w:val="7"/>
    <w:link w:val="37"/>
    <w:semiHidden/>
    <w:qFormat/>
    <w:locked/>
    <w:uiPriority w:val="99"/>
    <w:rPr>
      <w:b/>
      <w:bCs/>
    </w:rPr>
  </w:style>
  <w:style w:type="paragraph" w:styleId="21">
    <w:name w:val="Body Text First Indent"/>
    <w:basedOn w:val="8"/>
    <w:next w:val="1"/>
    <w:link w:val="73"/>
    <w:semiHidden/>
    <w:unhideWhenUsed/>
    <w:qFormat/>
    <w:locked/>
    <w:uiPriority w:val="99"/>
    <w:pPr>
      <w:ind w:firstLine="420" w:firstLineChars="100"/>
    </w:pPr>
  </w:style>
  <w:style w:type="paragraph" w:styleId="22">
    <w:name w:val="Body Text First Indent 2"/>
    <w:basedOn w:val="9"/>
    <w:next w:val="11"/>
    <w:link w:val="80"/>
    <w:qFormat/>
    <w:locked/>
    <w:uiPriority w:val="0"/>
    <w:pPr>
      <w:snapToGrid/>
      <w:spacing w:before="0" w:after="120" w:line="240" w:lineRule="auto"/>
      <w:ind w:left="420" w:leftChars="200" w:firstLine="420" w:firstLineChars="200"/>
      <w:textAlignment w:val="auto"/>
    </w:pPr>
    <w:rPr>
      <w:rFonts w:hint="eastAsia" w:ascii="Calibri" w:hAnsi="Calibri"/>
      <w:color w:val="auto"/>
      <w:sz w:val="24"/>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368A8"/>
      <w:u w:val="none"/>
    </w:rPr>
  </w:style>
  <w:style w:type="character" w:styleId="29">
    <w:name w:val="annotation reference"/>
    <w:basedOn w:val="25"/>
    <w:semiHidden/>
    <w:qFormat/>
    <w:locked/>
    <w:uiPriority w:val="99"/>
    <w:rPr>
      <w:rFonts w:cs="Times New Roman"/>
      <w:sz w:val="21"/>
      <w:szCs w:val="21"/>
    </w:rPr>
  </w:style>
  <w:style w:type="paragraph" w:customStyle="1" w:styleId="30">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1">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标题 1 字符"/>
    <w:basedOn w:val="25"/>
    <w:link w:val="2"/>
    <w:qFormat/>
    <w:locked/>
    <w:uiPriority w:val="99"/>
    <w:rPr>
      <w:rFonts w:ascii="宋体" w:hAnsi="宋体" w:eastAsia="宋体" w:cs="宋体"/>
      <w:b/>
      <w:color w:val="000000"/>
      <w:kern w:val="44"/>
      <w:sz w:val="32"/>
      <w:szCs w:val="32"/>
      <w:u w:val="none" w:color="000000"/>
    </w:rPr>
  </w:style>
  <w:style w:type="character" w:customStyle="1" w:styleId="35">
    <w:name w:val="标题 3 字符"/>
    <w:basedOn w:val="25"/>
    <w:link w:val="4"/>
    <w:semiHidden/>
    <w:qFormat/>
    <w:locked/>
    <w:uiPriority w:val="99"/>
    <w:rPr>
      <w:rFonts w:cs="Times New Roman"/>
      <w:b/>
      <w:color w:val="000000"/>
      <w:sz w:val="32"/>
      <w:u w:val="none" w:color="000000"/>
    </w:rPr>
  </w:style>
  <w:style w:type="character" w:customStyle="1" w:styleId="36">
    <w:name w:val="批注文字 字符"/>
    <w:basedOn w:val="25"/>
    <w:link w:val="7"/>
    <w:semiHidden/>
    <w:qFormat/>
    <w:locked/>
    <w:uiPriority w:val="99"/>
    <w:rPr>
      <w:rFonts w:cs="Times New Roman"/>
      <w:color w:val="000000"/>
      <w:sz w:val="21"/>
      <w:u w:color="000000"/>
    </w:rPr>
  </w:style>
  <w:style w:type="character" w:customStyle="1" w:styleId="37">
    <w:name w:val="批注主题 字符"/>
    <w:basedOn w:val="36"/>
    <w:link w:val="20"/>
    <w:semiHidden/>
    <w:qFormat/>
    <w:locked/>
    <w:uiPriority w:val="99"/>
    <w:rPr>
      <w:rFonts w:cs="Times New Roman"/>
      <w:b/>
      <w:bCs/>
      <w:color w:val="000000"/>
      <w:sz w:val="21"/>
      <w:u w:color="000000"/>
    </w:rPr>
  </w:style>
  <w:style w:type="character" w:customStyle="1" w:styleId="38">
    <w:name w:val="正文文本缩进 字符"/>
    <w:basedOn w:val="25"/>
    <w:link w:val="9"/>
    <w:semiHidden/>
    <w:qFormat/>
    <w:locked/>
    <w:uiPriority w:val="99"/>
    <w:rPr>
      <w:rFonts w:cs="Times New Roman"/>
      <w:color w:val="000000"/>
      <w:kern w:val="0"/>
      <w:sz w:val="20"/>
      <w:u w:val="none" w:color="000000"/>
    </w:rPr>
  </w:style>
  <w:style w:type="character" w:customStyle="1" w:styleId="39">
    <w:name w:val="Plain Text Char"/>
    <w:basedOn w:val="25"/>
    <w:qFormat/>
    <w:locked/>
    <w:uiPriority w:val="99"/>
    <w:rPr>
      <w:rFonts w:ascii="宋体" w:hAnsi="Courier New" w:eastAsia="宋体" w:cs="Times New Roman"/>
      <w:kern w:val="2"/>
      <w:sz w:val="21"/>
      <w:lang w:val="en-US" w:eastAsia="zh-CN"/>
    </w:rPr>
  </w:style>
  <w:style w:type="character" w:customStyle="1" w:styleId="40">
    <w:name w:val="日期 字符"/>
    <w:basedOn w:val="25"/>
    <w:link w:val="11"/>
    <w:qFormat/>
    <w:locked/>
    <w:uiPriority w:val="99"/>
    <w:rPr>
      <w:rFonts w:cs="Times New Roman"/>
      <w:color w:val="000000"/>
      <w:sz w:val="21"/>
      <w:u w:val="none" w:color="000000"/>
    </w:rPr>
  </w:style>
  <w:style w:type="character" w:customStyle="1" w:styleId="41">
    <w:name w:val="批注框文本 字符"/>
    <w:basedOn w:val="25"/>
    <w:link w:val="12"/>
    <w:qFormat/>
    <w:locked/>
    <w:uiPriority w:val="99"/>
    <w:rPr>
      <w:rFonts w:cs="Times New Roman"/>
      <w:color w:val="000000"/>
      <w:sz w:val="18"/>
      <w:u w:val="none" w:color="000000"/>
    </w:rPr>
  </w:style>
  <w:style w:type="character" w:customStyle="1" w:styleId="42">
    <w:name w:val="页脚 字符"/>
    <w:basedOn w:val="25"/>
    <w:link w:val="13"/>
    <w:semiHidden/>
    <w:qFormat/>
    <w:locked/>
    <w:uiPriority w:val="99"/>
    <w:rPr>
      <w:rFonts w:cs="Times New Roman"/>
      <w:color w:val="000000"/>
      <w:kern w:val="0"/>
      <w:sz w:val="18"/>
      <w:u w:val="none" w:color="000000"/>
    </w:rPr>
  </w:style>
  <w:style w:type="character" w:customStyle="1" w:styleId="43">
    <w:name w:val="页眉 字符"/>
    <w:basedOn w:val="25"/>
    <w:link w:val="14"/>
    <w:semiHidden/>
    <w:qFormat/>
    <w:locked/>
    <w:uiPriority w:val="99"/>
    <w:rPr>
      <w:rFonts w:cs="Times New Roman"/>
      <w:color w:val="000000"/>
      <w:kern w:val="0"/>
      <w:sz w:val="18"/>
      <w:u w:val="none" w:color="000000"/>
    </w:rPr>
  </w:style>
  <w:style w:type="character" w:customStyle="1" w:styleId="44">
    <w:name w:val="正文文本 2 字符"/>
    <w:basedOn w:val="25"/>
    <w:link w:val="17"/>
    <w:semiHidden/>
    <w:qFormat/>
    <w:locked/>
    <w:uiPriority w:val="99"/>
    <w:rPr>
      <w:rFonts w:cs="Times New Roman"/>
      <w:color w:val="000000"/>
      <w:kern w:val="0"/>
      <w:sz w:val="20"/>
      <w:u w:val="none" w:color="000000"/>
    </w:rPr>
  </w:style>
  <w:style w:type="paragraph" w:customStyle="1" w:styleId="45">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6">
    <w:name w:val="章标题"/>
    <w:basedOn w:val="1"/>
    <w:next w:val="47"/>
    <w:qFormat/>
    <w:uiPriority w:val="99"/>
    <w:pPr>
      <w:spacing w:before="158" w:after="153" w:line="323" w:lineRule="atLeast"/>
      <w:jc w:val="center"/>
    </w:pPr>
    <w:rPr>
      <w:rFonts w:ascii="Arial" w:eastAsia="黑体"/>
      <w:sz w:val="31"/>
    </w:rPr>
  </w:style>
  <w:style w:type="paragraph" w:customStyle="1" w:styleId="47">
    <w:name w:val="节标题"/>
    <w:basedOn w:val="1"/>
    <w:next w:val="48"/>
    <w:qFormat/>
    <w:uiPriority w:val="99"/>
    <w:pPr>
      <w:spacing w:line="289" w:lineRule="atLeast"/>
      <w:jc w:val="center"/>
    </w:pPr>
    <w:rPr>
      <w:sz w:val="28"/>
    </w:rPr>
  </w:style>
  <w:style w:type="paragraph" w:customStyle="1" w:styleId="48">
    <w:name w:val="小节标题"/>
    <w:basedOn w:val="1"/>
    <w:next w:val="1"/>
    <w:qFormat/>
    <w:uiPriority w:val="99"/>
    <w:pPr>
      <w:spacing w:before="175" w:after="102" w:line="351" w:lineRule="atLeast"/>
    </w:pPr>
    <w:rPr>
      <w:rFonts w:eastAsia="黑体"/>
    </w:rPr>
  </w:style>
  <w:style w:type="paragraph" w:customStyle="1" w:styleId="49">
    <w:name w:val="目录2"/>
    <w:basedOn w:val="1"/>
    <w:next w:val="1"/>
    <w:qFormat/>
    <w:uiPriority w:val="99"/>
    <w:pPr>
      <w:tabs>
        <w:tab w:val="left" w:leader="dot" w:pos="8503"/>
      </w:tabs>
      <w:spacing w:line="317" w:lineRule="atLeast"/>
      <w:ind w:firstLine="209"/>
    </w:pPr>
  </w:style>
  <w:style w:type="paragraph" w:customStyle="1" w:styleId="50">
    <w:name w:val="目录4"/>
    <w:basedOn w:val="1"/>
    <w:next w:val="1"/>
    <w:qFormat/>
    <w:uiPriority w:val="99"/>
    <w:pPr>
      <w:tabs>
        <w:tab w:val="left" w:leader="dot" w:pos="8503"/>
      </w:tabs>
      <w:spacing w:line="317" w:lineRule="atLeast"/>
      <w:ind w:firstLine="629"/>
    </w:pPr>
  </w:style>
  <w:style w:type="paragraph" w:customStyle="1" w:styleId="51">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2">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3">
    <w:name w:val="目录3"/>
    <w:basedOn w:val="1"/>
    <w:next w:val="1"/>
    <w:qFormat/>
    <w:uiPriority w:val="99"/>
    <w:pPr>
      <w:tabs>
        <w:tab w:val="left" w:leader="dot" w:pos="8503"/>
      </w:tabs>
      <w:spacing w:line="317" w:lineRule="atLeast"/>
      <w:ind w:firstLine="419"/>
    </w:pPr>
  </w:style>
  <w:style w:type="paragraph" w:customStyle="1" w:styleId="54">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5">
    <w:name w:val="文章总标题"/>
    <w:basedOn w:val="1"/>
    <w:next w:val="56"/>
    <w:qFormat/>
    <w:uiPriority w:val="99"/>
    <w:pPr>
      <w:spacing w:before="566" w:after="544" w:line="566" w:lineRule="atLeast"/>
      <w:jc w:val="center"/>
    </w:pPr>
    <w:rPr>
      <w:rFonts w:ascii="Arial" w:eastAsia="黑体"/>
      <w:sz w:val="54"/>
    </w:rPr>
  </w:style>
  <w:style w:type="paragraph" w:customStyle="1" w:styleId="56">
    <w:name w:val="文章附标题"/>
    <w:basedOn w:val="1"/>
    <w:next w:val="46"/>
    <w:qFormat/>
    <w:uiPriority w:val="99"/>
    <w:pPr>
      <w:spacing w:before="187" w:after="175" w:line="374" w:lineRule="atLeast"/>
      <w:jc w:val="center"/>
    </w:pPr>
    <w:rPr>
      <w:sz w:val="36"/>
    </w:rPr>
  </w:style>
  <w:style w:type="paragraph" w:customStyle="1" w:styleId="57">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8">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9">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60">
    <w:name w:val="WPS Plain"/>
    <w:qFormat/>
    <w:uiPriority w:val="99"/>
    <w:rPr>
      <w:rFonts w:ascii="Times New Roman" w:hAnsi="Times New Roman" w:eastAsia="宋体" w:cs="Times New Roman"/>
      <w:lang w:val="en-US" w:eastAsia="zh-CN" w:bidi="ar-SA"/>
    </w:rPr>
  </w:style>
  <w:style w:type="paragraph" w:customStyle="1" w:styleId="61">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2">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3">
    <w:name w:val="List Paragraph1"/>
    <w:basedOn w:val="1"/>
    <w:qFormat/>
    <w:uiPriority w:val="99"/>
    <w:pPr>
      <w:ind w:firstLine="420" w:firstLineChars="200"/>
    </w:pPr>
  </w:style>
  <w:style w:type="character" w:customStyle="1" w:styleId="64">
    <w:name w:val="链接"/>
    <w:qFormat/>
    <w:uiPriority w:val="99"/>
    <w:rPr>
      <w:rFonts w:ascii="Times New Roman" w:eastAsia="宋体"/>
      <w:color w:val="0000FF"/>
      <w:sz w:val="21"/>
      <w:u w:val="single" w:color="0000FF"/>
      <w:lang w:val="en-US" w:eastAsia="zh-CN"/>
    </w:rPr>
  </w:style>
  <w:style w:type="character" w:customStyle="1" w:styleId="65">
    <w:name w:val="超级链接"/>
    <w:qFormat/>
    <w:uiPriority w:val="99"/>
    <w:rPr>
      <w:rFonts w:ascii="Times New Roman" w:eastAsia="宋体"/>
      <w:color w:val="0000FF"/>
      <w:sz w:val="21"/>
      <w:u w:val="single" w:color="0000FF"/>
      <w:lang w:val="en-US" w:eastAsia="zh-CN"/>
    </w:rPr>
  </w:style>
  <w:style w:type="character" w:customStyle="1" w:styleId="66">
    <w:name w:val="param_td12"/>
    <w:qFormat/>
    <w:uiPriority w:val="99"/>
  </w:style>
  <w:style w:type="character" w:customStyle="1" w:styleId="67">
    <w:name w:val="纯文本 字符"/>
    <w:link w:val="10"/>
    <w:qFormat/>
    <w:locked/>
    <w:uiPriority w:val="0"/>
    <w:rPr>
      <w:rFonts w:ascii="宋体" w:hAnsi="Courier New"/>
      <w:color w:val="000000"/>
      <w:kern w:val="0"/>
      <w:sz w:val="21"/>
      <w:u w:val="none" w:color="000000"/>
    </w:rPr>
  </w:style>
  <w:style w:type="character" w:customStyle="1" w:styleId="68">
    <w:name w:val="纯文本 Char Char"/>
    <w:qFormat/>
    <w:uiPriority w:val="99"/>
    <w:rPr>
      <w:rFonts w:ascii="宋体" w:hAnsi="Courier New" w:eastAsia="宋体"/>
      <w:kern w:val="2"/>
      <w:sz w:val="21"/>
      <w:lang w:val="en-US" w:eastAsia="zh-CN"/>
    </w:rPr>
  </w:style>
  <w:style w:type="character" w:customStyle="1" w:styleId="69">
    <w:name w:val="Char Char4"/>
    <w:qFormat/>
    <w:uiPriority w:val="99"/>
    <w:rPr>
      <w:rFonts w:ascii="宋体" w:eastAsia="宋体"/>
      <w:kern w:val="2"/>
      <w:sz w:val="28"/>
    </w:rPr>
  </w:style>
  <w:style w:type="character" w:customStyle="1" w:styleId="70">
    <w:name w:val="纯文本 Char1"/>
    <w:qFormat/>
    <w:locked/>
    <w:uiPriority w:val="99"/>
    <w:rPr>
      <w:rFonts w:ascii="宋体" w:hAnsi="Courier New"/>
      <w:kern w:val="2"/>
      <w:sz w:val="21"/>
      <w:u w:color="000000"/>
    </w:rPr>
  </w:style>
  <w:style w:type="character" w:customStyle="1" w:styleId="71">
    <w:name w:val="15"/>
    <w:basedOn w:val="25"/>
    <w:qFormat/>
    <w:uiPriority w:val="99"/>
    <w:rPr>
      <w:rFonts w:cs="Times New Roman"/>
    </w:rPr>
  </w:style>
  <w:style w:type="character" w:customStyle="1" w:styleId="72">
    <w:name w:val="正文文本 字符"/>
    <w:basedOn w:val="25"/>
    <w:link w:val="8"/>
    <w:semiHidden/>
    <w:qFormat/>
    <w:uiPriority w:val="99"/>
    <w:rPr>
      <w:color w:val="000000"/>
      <w:sz w:val="21"/>
      <w:u w:color="000000"/>
    </w:rPr>
  </w:style>
  <w:style w:type="character" w:customStyle="1" w:styleId="73">
    <w:name w:val="正文首行缩进 字符"/>
    <w:basedOn w:val="72"/>
    <w:link w:val="21"/>
    <w:semiHidden/>
    <w:qFormat/>
    <w:uiPriority w:val="99"/>
    <w:rPr>
      <w:color w:val="000000"/>
      <w:sz w:val="21"/>
      <w:u w:color="000000"/>
    </w:rPr>
  </w:style>
  <w:style w:type="character" w:customStyle="1" w:styleId="74">
    <w:name w:val="标题 2 字符"/>
    <w:basedOn w:val="25"/>
    <w:link w:val="3"/>
    <w:semiHidden/>
    <w:qFormat/>
    <w:uiPriority w:val="0"/>
    <w:rPr>
      <w:rFonts w:ascii="宋体" w:hAnsi="宋体" w:eastAsia="宋体" w:cs="宋体"/>
      <w:b/>
      <w:bCs/>
      <w:color w:val="000000"/>
      <w:sz w:val="30"/>
      <w:szCs w:val="30"/>
      <w:u w:color="000000"/>
    </w:rPr>
  </w:style>
  <w:style w:type="paragraph" w:styleId="75">
    <w:name w:val="List Paragraph"/>
    <w:basedOn w:val="1"/>
    <w:unhideWhenUsed/>
    <w:qFormat/>
    <w:uiPriority w:val="99"/>
    <w:pPr>
      <w:ind w:firstLine="420" w:firstLineChars="200"/>
    </w:pPr>
  </w:style>
  <w:style w:type="character" w:customStyle="1" w:styleId="76">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7">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8">
    <w:name w:val="正文文本 (2)"/>
    <w:basedOn w:val="1"/>
    <w:link w:val="79"/>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9">
    <w:name w:val="正文文本 (2)_"/>
    <w:link w:val="78"/>
    <w:qFormat/>
    <w:uiPriority w:val="0"/>
    <w:rPr>
      <w:rFonts w:ascii="MingLiU" w:hAnsi="MingLiU" w:eastAsia="MingLiU" w:cs="MingLiU"/>
      <w:spacing w:val="30"/>
      <w:sz w:val="30"/>
      <w:szCs w:val="30"/>
      <w:u w:color="000000"/>
      <w:shd w:val="clear" w:color="auto" w:fill="FFFFFF"/>
    </w:rPr>
  </w:style>
  <w:style w:type="character" w:customStyle="1" w:styleId="80">
    <w:name w:val="正文首行缩进 2 字符"/>
    <w:basedOn w:val="38"/>
    <w:link w:val="22"/>
    <w:qFormat/>
    <w:uiPriority w:val="0"/>
    <w:rPr>
      <w:rFonts w:ascii="Calibri" w:hAnsi="Calibri" w:cs="Times New Roman"/>
      <w:color w:val="000000"/>
      <w:kern w:val="0"/>
      <w:sz w:val="24"/>
      <w:szCs w:val="24"/>
      <w:u w:val="none" w:color="000000"/>
    </w:rPr>
  </w:style>
  <w:style w:type="paragraph" w:customStyle="1" w:styleId="81">
    <w:name w:val="列出段落1"/>
    <w:basedOn w:val="1"/>
    <w:qFormat/>
    <w:uiPriority w:val="0"/>
    <w:pPr>
      <w:ind w:firstLine="420" w:firstLineChars="200"/>
    </w:pPr>
    <w:rPr>
      <w:szCs w:val="21"/>
    </w:rPr>
  </w:style>
  <w:style w:type="character" w:customStyle="1" w:styleId="82">
    <w:name w:val="font21"/>
    <w:basedOn w:val="25"/>
    <w:qFormat/>
    <w:uiPriority w:val="0"/>
    <w:rPr>
      <w:rFonts w:hint="default" w:ascii="Times New Roman" w:hAnsi="Times New Roman" w:cs="Times New Roman"/>
      <w:color w:val="000000"/>
      <w:sz w:val="24"/>
      <w:szCs w:val="24"/>
      <w:u w:val="none"/>
    </w:rPr>
  </w:style>
  <w:style w:type="character" w:customStyle="1" w:styleId="83">
    <w:name w:val="font0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93D21-C4D1-451E-8E8C-D2089F8A29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503</Words>
  <Characters>561</Characters>
  <Lines>356</Lines>
  <Paragraphs>100</Paragraphs>
  <TotalTime>2</TotalTime>
  <ScaleCrop>false</ScaleCrop>
  <LinksUpToDate>false</LinksUpToDate>
  <CharactersWithSpaces>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2021-07-05T09:31:00Z</dcterms:created>
  <dc:creator>ZM</dc:creator>
  <cp:lastModifiedBy>Administrator</cp:lastModifiedBy>
  <cp:lastPrinted>2025-07-18T09:17:00Z</cp:lastPrinted>
  <dcterms:modified xsi:type="dcterms:W3CDTF">2025-12-10T09:11:15Z</dcterms:modified>
  <dc:title>内黄县第一高级中学所需多媒体教室设备项目</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06E97A13A3C94F219EC0DB1762CE5E95_13</vt:lpwstr>
  </property>
  <property fmtid="{D5CDD505-2E9C-101B-9397-08002B2CF9AE}" pid="4" name="KSOTemplateDocerSaveRecord">
    <vt:lpwstr>eyJoZGlkIjoiYTQ0M2E1MjMxYTY0N2IyNzdkN2U5MTBlNDA2NTQwOTAiLCJ1c2VySWQiOiI2NzMzNzMwNjEifQ==</vt:lpwstr>
  </property>
</Properties>
</file>