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60" w:lineRule="exact"/>
        <w:ind w:firstLine="241" w:firstLineChars="50"/>
        <w:rPr>
          <w:rFonts w:eastAsia="黑体"/>
          <w:b/>
          <w:color w:val="auto"/>
          <w:spacing w:val="40"/>
          <w:sz w:val="40"/>
          <w:szCs w:val="40"/>
          <w:highlight w:val="none"/>
        </w:rPr>
      </w:pPr>
      <w:bookmarkStart w:id="74" w:name="_GoBack"/>
      <w:bookmarkEnd w:id="74"/>
    </w:p>
    <w:p>
      <w:pPr>
        <w:widowControl w:val="0"/>
        <w:snapToGrid w:val="0"/>
        <w:spacing w:line="560" w:lineRule="exact"/>
        <w:ind w:firstLine="241" w:firstLineChars="50"/>
        <w:jc w:val="center"/>
        <w:rPr>
          <w:rFonts w:eastAsia="黑体"/>
          <w:b/>
          <w:color w:val="auto"/>
          <w:spacing w:val="40"/>
          <w:sz w:val="40"/>
          <w:szCs w:val="40"/>
          <w:highlight w:val="none"/>
        </w:rPr>
      </w:pPr>
    </w:p>
    <w:p>
      <w:pPr>
        <w:widowControl w:val="0"/>
        <w:snapToGrid w:val="0"/>
        <w:spacing w:line="560" w:lineRule="exact"/>
        <w:ind w:firstLine="241" w:firstLineChars="50"/>
        <w:jc w:val="center"/>
        <w:rPr>
          <w:rFonts w:eastAsia="黑体"/>
          <w:b/>
          <w:color w:val="auto"/>
          <w:spacing w:val="40"/>
          <w:sz w:val="40"/>
          <w:szCs w:val="40"/>
          <w:highlight w:val="none"/>
        </w:rPr>
      </w:pPr>
    </w:p>
    <w:p>
      <w:pPr>
        <w:widowControl w:val="0"/>
        <w:snapToGrid w:val="0"/>
        <w:spacing w:line="560" w:lineRule="exact"/>
        <w:ind w:firstLine="221" w:firstLineChars="50"/>
        <w:jc w:val="center"/>
        <w:rPr>
          <w:rFonts w:hint="eastAsia" w:ascii="黑体" w:eastAsia="黑体"/>
          <w:b/>
          <w:color w:val="auto"/>
          <w:spacing w:val="40"/>
          <w:sz w:val="44"/>
          <w:szCs w:val="44"/>
          <w:highlight w:val="none"/>
          <w:lang w:eastAsia="zh-CN"/>
        </w:rPr>
      </w:pPr>
      <w:r>
        <w:rPr>
          <w:rFonts w:hint="eastAsia" w:ascii="黑体" w:eastAsia="黑体"/>
          <w:b/>
          <w:color w:val="auto"/>
          <w:sz w:val="44"/>
          <w:szCs w:val="44"/>
          <w:highlight w:val="none"/>
        </w:rPr>
        <w:t>安阳市住房和城乡建设局安阳市东区污水处理厂初沉淀池改造工程项目</w:t>
      </w:r>
      <w:r>
        <w:rPr>
          <w:rFonts w:hint="eastAsia" w:ascii="黑体" w:eastAsia="黑体"/>
          <w:b/>
          <w:color w:val="auto"/>
          <w:sz w:val="44"/>
          <w:szCs w:val="44"/>
          <w:highlight w:val="none"/>
          <w:lang w:eastAsia="zh-CN"/>
        </w:rPr>
        <w:t>（二次）</w:t>
      </w:r>
    </w:p>
    <w:p>
      <w:pPr>
        <w:widowControl w:val="0"/>
        <w:snapToGrid w:val="0"/>
        <w:spacing w:line="560" w:lineRule="exact"/>
        <w:ind w:firstLine="261" w:firstLineChars="50"/>
        <w:jc w:val="center"/>
        <w:rPr>
          <w:rFonts w:ascii="黑体" w:eastAsia="黑体"/>
          <w:b/>
          <w:color w:val="auto"/>
          <w:spacing w:val="40"/>
          <w:sz w:val="44"/>
          <w:szCs w:val="44"/>
          <w:highlight w:val="none"/>
        </w:rPr>
      </w:pPr>
    </w:p>
    <w:p>
      <w:pPr>
        <w:widowControl w:val="0"/>
        <w:snapToGrid w:val="0"/>
        <w:spacing w:before="240" w:beforeLines="100" w:line="560" w:lineRule="exact"/>
        <w:jc w:val="center"/>
        <w:rPr>
          <w:rFonts w:eastAsia="黑体"/>
          <w:b/>
          <w:color w:val="auto"/>
          <w:sz w:val="44"/>
          <w:highlight w:val="none"/>
        </w:rPr>
      </w:pPr>
    </w:p>
    <w:p>
      <w:pPr>
        <w:widowControl w:val="0"/>
        <w:snapToGrid w:val="0"/>
        <w:spacing w:before="240" w:beforeLines="100" w:line="240" w:lineRule="auto"/>
        <w:jc w:val="center"/>
        <w:rPr>
          <w:rFonts w:eastAsia="黑体"/>
          <w:b/>
          <w:color w:val="auto"/>
          <w:sz w:val="44"/>
          <w:highlight w:val="none"/>
        </w:rPr>
      </w:pPr>
    </w:p>
    <w:p>
      <w:pPr>
        <w:widowControl w:val="0"/>
        <w:snapToGrid w:val="0"/>
        <w:spacing w:before="240" w:beforeLines="100" w:line="240" w:lineRule="auto"/>
        <w:jc w:val="center"/>
        <w:rPr>
          <w:rFonts w:eastAsia="黑体"/>
          <w:b/>
          <w:color w:val="auto"/>
          <w:sz w:val="44"/>
          <w:highlight w:val="none"/>
        </w:rPr>
      </w:pPr>
    </w:p>
    <w:p>
      <w:pPr>
        <w:widowControl w:val="0"/>
        <w:snapToGrid w:val="0"/>
        <w:spacing w:before="240" w:beforeLines="100" w:line="240" w:lineRule="auto"/>
        <w:jc w:val="center"/>
        <w:rPr>
          <w:rFonts w:ascii="华文新魏" w:hAnsi="微软雅黑" w:eastAsia="华文新魏"/>
          <w:b/>
          <w:color w:val="auto"/>
          <w:sz w:val="116"/>
          <w:szCs w:val="116"/>
          <w:highlight w:val="none"/>
        </w:rPr>
      </w:pPr>
      <w:r>
        <w:rPr>
          <w:rFonts w:hint="eastAsia" w:ascii="华文新魏" w:hAnsi="微软雅黑" w:eastAsia="华文新魏"/>
          <w:b/>
          <w:color w:val="auto"/>
          <w:sz w:val="116"/>
          <w:szCs w:val="116"/>
          <w:highlight w:val="none"/>
        </w:rPr>
        <w:t>招</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标</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文</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件</w:t>
      </w:r>
    </w:p>
    <w:p>
      <w:pPr>
        <w:widowControl w:val="0"/>
        <w:snapToGrid w:val="0"/>
        <w:spacing w:before="240" w:beforeLines="100" w:line="560" w:lineRule="exact"/>
        <w:jc w:val="center"/>
        <w:rPr>
          <w:rFonts w:ascii="宋体" w:hAnsi="宋体"/>
          <w:color w:val="auto"/>
          <w:sz w:val="32"/>
          <w:szCs w:val="32"/>
          <w:highlight w:val="none"/>
        </w:rPr>
      </w:pPr>
      <w:r>
        <w:rPr>
          <w:rFonts w:hint="eastAsia" w:ascii="宋体" w:hAnsi="宋体"/>
          <w:color w:val="auto"/>
          <w:sz w:val="32"/>
          <w:szCs w:val="32"/>
          <w:highlight w:val="none"/>
        </w:rPr>
        <w:t>项目编号：安财招标采购-2024-19</w:t>
      </w:r>
    </w:p>
    <w:p>
      <w:pPr>
        <w:widowControl w:val="0"/>
        <w:snapToGrid w:val="0"/>
        <w:spacing w:before="240" w:beforeLines="100" w:line="560" w:lineRule="exact"/>
        <w:jc w:val="center"/>
        <w:rPr>
          <w:rFonts w:eastAsia="黑体"/>
          <w:b/>
          <w:color w:val="auto"/>
          <w:sz w:val="44"/>
          <w:highlight w:val="none"/>
        </w:rPr>
      </w:pPr>
    </w:p>
    <w:p>
      <w:pPr>
        <w:widowControl w:val="0"/>
        <w:snapToGrid w:val="0"/>
        <w:spacing w:before="240" w:beforeLines="100" w:line="560" w:lineRule="exact"/>
        <w:jc w:val="center"/>
        <w:rPr>
          <w:rFonts w:eastAsia="黑体"/>
          <w:b/>
          <w:color w:val="auto"/>
          <w:sz w:val="44"/>
          <w:highlight w:val="none"/>
        </w:rPr>
      </w:pPr>
    </w:p>
    <w:p>
      <w:pPr>
        <w:widowControl w:val="0"/>
        <w:snapToGrid w:val="0"/>
        <w:spacing w:before="240" w:beforeLines="100" w:line="560" w:lineRule="exact"/>
        <w:jc w:val="center"/>
        <w:rPr>
          <w:rFonts w:eastAsia="黑体"/>
          <w:b/>
          <w:color w:val="auto"/>
          <w:sz w:val="44"/>
          <w:highlight w:val="none"/>
        </w:rPr>
      </w:pPr>
    </w:p>
    <w:p>
      <w:pPr>
        <w:widowControl w:val="0"/>
        <w:snapToGrid w:val="0"/>
        <w:spacing w:before="240" w:beforeLines="100" w:line="560" w:lineRule="exact"/>
        <w:rPr>
          <w:rFonts w:eastAsia="黑体"/>
          <w:b/>
          <w:color w:val="auto"/>
          <w:sz w:val="44"/>
          <w:highlight w:val="none"/>
        </w:rPr>
      </w:pPr>
    </w:p>
    <w:p>
      <w:pPr>
        <w:widowControl w:val="0"/>
        <w:snapToGrid w:val="0"/>
        <w:spacing w:line="660" w:lineRule="exact"/>
        <w:ind w:firstLine="540" w:firstLineChars="168"/>
        <w:rPr>
          <w:rFonts w:ascii="黑体" w:hAnsi="黑体" w:eastAsia="黑体"/>
          <w:b/>
          <w:color w:val="auto"/>
          <w:sz w:val="32"/>
          <w:szCs w:val="32"/>
          <w:highlight w:val="none"/>
        </w:rPr>
      </w:pPr>
      <w:r>
        <w:rPr>
          <w:rFonts w:hint="eastAsia" w:ascii="黑体" w:hAnsi="黑体" w:eastAsia="黑体"/>
          <w:b/>
          <w:color w:val="auto"/>
          <w:sz w:val="32"/>
          <w:szCs w:val="32"/>
          <w:highlight w:val="none"/>
        </w:rPr>
        <w:t>采购人：安阳市住房和城乡建设局</w:t>
      </w:r>
    </w:p>
    <w:p>
      <w:pPr>
        <w:widowControl w:val="0"/>
        <w:snapToGrid w:val="0"/>
        <w:spacing w:line="660" w:lineRule="exact"/>
        <w:ind w:firstLine="540" w:firstLineChars="168"/>
        <w:rPr>
          <w:rFonts w:ascii="黑体" w:hAnsi="黑体" w:eastAsia="黑体"/>
          <w:b/>
          <w:color w:val="auto"/>
          <w:sz w:val="32"/>
          <w:szCs w:val="32"/>
          <w:highlight w:val="none"/>
        </w:rPr>
      </w:pPr>
      <w:r>
        <w:rPr>
          <w:rFonts w:hint="eastAsia" w:ascii="黑体" w:hAnsi="黑体" w:eastAsia="黑体"/>
          <w:b/>
          <w:color w:val="auto"/>
          <w:sz w:val="32"/>
          <w:szCs w:val="32"/>
          <w:highlight w:val="none"/>
        </w:rPr>
        <w:t>代理机构：安阳市方正招标采购服务有限责任公司</w:t>
      </w:r>
    </w:p>
    <w:p>
      <w:pPr>
        <w:widowControl w:val="0"/>
        <w:snapToGrid w:val="0"/>
        <w:spacing w:line="660" w:lineRule="exact"/>
        <w:rPr>
          <w:rFonts w:ascii="黑体" w:hAnsi="黑体" w:eastAsia="黑体"/>
          <w:b/>
          <w:color w:val="auto"/>
          <w:sz w:val="36"/>
          <w:szCs w:val="36"/>
          <w:highlight w:val="none"/>
        </w:rPr>
        <w:sectPr>
          <w:headerReference r:id="rId5" w:type="default"/>
          <w:footerReference r:id="rId7" w:type="default"/>
          <w:headerReference r:id="rId6" w:type="even"/>
          <w:footerReference r:id="rId8" w:type="even"/>
          <w:pgSz w:w="11905" w:h="16837"/>
          <w:pgMar w:top="1418" w:right="1106" w:bottom="1418" w:left="1418" w:header="567" w:footer="567" w:gutter="0"/>
          <w:pgNumType w:fmt="numberInDash" w:start="1"/>
          <w:cols w:space="720" w:num="1"/>
          <w:titlePg/>
        </w:sectPr>
      </w:pPr>
    </w:p>
    <w:p>
      <w:pPr>
        <w:widowControl w:val="0"/>
        <w:snapToGrid w:val="0"/>
        <w:spacing w:line="660" w:lineRule="exact"/>
        <w:rPr>
          <w:rFonts w:ascii="黑体" w:hAnsi="黑体" w:eastAsia="黑体"/>
          <w:b/>
          <w:color w:val="auto"/>
          <w:sz w:val="36"/>
          <w:szCs w:val="36"/>
          <w:highlight w:val="none"/>
        </w:rPr>
      </w:pPr>
    </w:p>
    <w:p>
      <w:pPr>
        <w:pStyle w:val="56"/>
        <w:jc w:val="center"/>
        <w:rPr>
          <w:color w:val="auto"/>
          <w:highlight w:val="none"/>
        </w:rPr>
      </w:pPr>
      <w:r>
        <w:rPr>
          <w:rFonts w:hint="eastAsia" w:ascii="黑体" w:hAnsi="黑体" w:eastAsia="黑体"/>
          <w:color w:val="auto"/>
          <w:sz w:val="36"/>
          <w:szCs w:val="36"/>
          <w:highlight w:val="none"/>
          <w:lang w:val="zh-CN"/>
        </w:rPr>
        <w:t>目</w:t>
      </w:r>
      <w:r>
        <w:rPr>
          <w:rFonts w:ascii="黑体" w:hAnsi="黑体" w:eastAsia="黑体"/>
          <w:color w:val="auto"/>
          <w:sz w:val="36"/>
          <w:szCs w:val="36"/>
          <w:highlight w:val="none"/>
          <w:lang w:val="zh-CN"/>
        </w:rPr>
        <w:t xml:space="preserve"> </w:t>
      </w:r>
      <w:r>
        <w:rPr>
          <w:rFonts w:hint="eastAsia" w:ascii="黑体" w:hAnsi="黑体" w:eastAsia="黑体"/>
          <w:color w:val="auto"/>
          <w:sz w:val="36"/>
          <w:szCs w:val="36"/>
          <w:highlight w:val="none"/>
          <w:lang w:val="zh-CN"/>
        </w:rPr>
        <w:t>录</w:t>
      </w:r>
      <w:r>
        <w:rPr>
          <w:color w:val="auto"/>
          <w:highlight w:val="none"/>
        </w:rPr>
        <w:fldChar w:fldCharType="begin"/>
      </w:r>
      <w:r>
        <w:rPr>
          <w:color w:val="auto"/>
          <w:highlight w:val="none"/>
        </w:rPr>
        <w:instrText xml:space="preserve"> TOC \o "1-3" \h \z \u </w:instrText>
      </w:r>
      <w:r>
        <w:rPr>
          <w:color w:val="auto"/>
          <w:highlight w:val="none"/>
        </w:rPr>
        <w:fldChar w:fldCharType="separate"/>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"_Toc165383922" </w:instrText>
      </w:r>
      <w:r>
        <w:rPr>
          <w:color w:val="auto"/>
          <w:highlight w:val="none"/>
        </w:rPr>
        <w:fldChar w:fldCharType="separate"/>
      </w:r>
      <w:r>
        <w:rPr>
          <w:rStyle w:val="25"/>
          <w:rFonts w:hint="eastAsia" w:eastAsia="黑体"/>
          <w:b/>
          <w:color w:val="auto"/>
          <w:highlight w:val="none"/>
        </w:rPr>
        <w:t>第一章</w:t>
      </w:r>
      <w:r>
        <w:rPr>
          <w:rStyle w:val="25"/>
          <w:rFonts w:eastAsia="黑体"/>
          <w:b/>
          <w:color w:val="auto"/>
          <w:highlight w:val="none"/>
        </w:rPr>
        <w:t xml:space="preserve">  </w:t>
      </w:r>
      <w:r>
        <w:rPr>
          <w:rStyle w:val="25"/>
          <w:rFonts w:hint="eastAsia" w:eastAsia="黑体"/>
          <w:b/>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_Toc165383922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"_Toc165383923" </w:instrText>
      </w:r>
      <w:r>
        <w:rPr>
          <w:color w:val="auto"/>
          <w:highlight w:val="none"/>
        </w:rPr>
        <w:fldChar w:fldCharType="separate"/>
      </w:r>
      <w:r>
        <w:rPr>
          <w:rStyle w:val="25"/>
          <w:rFonts w:hint="eastAsia" w:eastAsia="黑体"/>
          <w:b/>
          <w:color w:val="auto"/>
          <w:highlight w:val="none"/>
        </w:rPr>
        <w:t>第二章</w:t>
      </w:r>
      <w:r>
        <w:rPr>
          <w:rStyle w:val="25"/>
          <w:rFonts w:eastAsia="黑体"/>
          <w:b/>
          <w:color w:val="auto"/>
          <w:highlight w:val="none"/>
        </w:rPr>
        <w:t xml:space="preserve">  </w:t>
      </w:r>
      <w:r>
        <w:rPr>
          <w:rStyle w:val="25"/>
          <w:rFonts w:hint="eastAsia" w:eastAsia="黑体"/>
          <w:b/>
          <w:color w:val="auto"/>
          <w:highlight w:val="none"/>
        </w:rPr>
        <w:t>招标项目要求及采购需求</w:t>
      </w:r>
      <w:r>
        <w:rPr>
          <w:color w:val="auto"/>
          <w:highlight w:val="none"/>
        </w:rPr>
        <w:tab/>
      </w:r>
      <w:r>
        <w:rPr>
          <w:color w:val="auto"/>
          <w:highlight w:val="none"/>
        </w:rPr>
        <w:fldChar w:fldCharType="begin"/>
      </w:r>
      <w:r>
        <w:rPr>
          <w:color w:val="auto"/>
          <w:highlight w:val="none"/>
        </w:rPr>
        <w:instrText xml:space="preserve"> PAGEREF _Toc165383923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pPr>
        <w:pStyle w:val="15"/>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"_Toc165383924" </w:instrText>
      </w:r>
      <w:r>
        <w:rPr>
          <w:color w:val="auto"/>
          <w:highlight w:val="none"/>
        </w:rPr>
        <w:fldChar w:fldCharType="separate"/>
      </w:r>
      <w:r>
        <w:rPr>
          <w:rStyle w:val="25"/>
          <w:rFonts w:ascii="黑体" w:hAnsi="黑体" w:eastAsia="黑体"/>
          <w:b/>
          <w:color w:val="auto"/>
          <w:highlight w:val="none"/>
        </w:rPr>
        <w:t xml:space="preserve">1. </w:t>
      </w:r>
      <w:r>
        <w:rPr>
          <w:rStyle w:val="25"/>
          <w:rFonts w:hint="eastAsia" w:ascii="黑体" w:hAnsi="黑体" w:eastAsia="黑体"/>
          <w:b/>
          <w:color w:val="auto"/>
          <w:highlight w:val="none"/>
        </w:rPr>
        <w:t>招标项目、标段（包）划分、投标报价</w:t>
      </w:r>
      <w:r>
        <w:rPr>
          <w:color w:val="auto"/>
          <w:highlight w:val="none"/>
        </w:rPr>
        <w:tab/>
      </w:r>
      <w:r>
        <w:rPr>
          <w:color w:val="auto"/>
          <w:highlight w:val="none"/>
        </w:rPr>
        <w:fldChar w:fldCharType="begin"/>
      </w:r>
      <w:r>
        <w:rPr>
          <w:color w:val="auto"/>
          <w:highlight w:val="none"/>
        </w:rPr>
        <w:instrText xml:space="preserve"> PAGEREF _Toc165383924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pPr>
        <w:pStyle w:val="15"/>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"_Toc165383925" </w:instrText>
      </w:r>
      <w:r>
        <w:rPr>
          <w:color w:val="auto"/>
          <w:highlight w:val="none"/>
        </w:rPr>
        <w:fldChar w:fldCharType="separate"/>
      </w:r>
      <w:r>
        <w:rPr>
          <w:rStyle w:val="25"/>
          <w:rFonts w:ascii="黑体" w:hAnsi="黑体" w:eastAsia="黑体"/>
          <w:b/>
          <w:color w:val="auto"/>
          <w:highlight w:val="none"/>
        </w:rPr>
        <w:t xml:space="preserve">2. </w:t>
      </w:r>
      <w:r>
        <w:rPr>
          <w:rStyle w:val="25"/>
          <w:rFonts w:hint="eastAsia" w:ascii="黑体" w:hAnsi="黑体" w:eastAsia="黑体"/>
          <w:b/>
          <w:color w:val="auto"/>
          <w:highlight w:val="none"/>
        </w:rPr>
        <w:t>标段（包）内容（范围）及具体采购需求</w:t>
      </w:r>
      <w:r>
        <w:rPr>
          <w:color w:val="auto"/>
          <w:highlight w:val="none"/>
        </w:rPr>
        <w:tab/>
      </w:r>
      <w:r>
        <w:rPr>
          <w:color w:val="auto"/>
          <w:highlight w:val="none"/>
        </w:rPr>
        <w:fldChar w:fldCharType="begin"/>
      </w:r>
      <w:r>
        <w:rPr>
          <w:color w:val="auto"/>
          <w:highlight w:val="none"/>
        </w:rPr>
        <w:instrText xml:space="preserve"> PAGEREF _Toc165383925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pPr>
        <w:pStyle w:val="15"/>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"_Toc165383926" </w:instrText>
      </w:r>
      <w:r>
        <w:rPr>
          <w:color w:val="auto"/>
          <w:highlight w:val="none"/>
        </w:rPr>
        <w:fldChar w:fldCharType="separate"/>
      </w:r>
      <w:r>
        <w:rPr>
          <w:rStyle w:val="25"/>
          <w:rFonts w:ascii="黑体" w:hAnsi="黑体" w:eastAsia="黑体"/>
          <w:b/>
          <w:color w:val="auto"/>
          <w:highlight w:val="none"/>
        </w:rPr>
        <w:t xml:space="preserve">3. </w:t>
      </w:r>
      <w:r>
        <w:rPr>
          <w:rStyle w:val="25"/>
          <w:rFonts w:hint="eastAsia" w:ascii="黑体" w:hAnsi="黑体" w:eastAsia="黑体"/>
          <w:b/>
          <w:color w:val="auto"/>
          <w:highlight w:val="none"/>
        </w:rPr>
        <w:t>项目其他要求</w:t>
      </w:r>
      <w:r>
        <w:rPr>
          <w:color w:val="auto"/>
          <w:highlight w:val="none"/>
        </w:rPr>
        <w:tab/>
      </w:r>
      <w:r>
        <w:rPr>
          <w:color w:val="auto"/>
          <w:highlight w:val="none"/>
        </w:rPr>
        <w:fldChar w:fldCharType="begin"/>
      </w:r>
      <w:r>
        <w:rPr>
          <w:color w:val="auto"/>
          <w:highlight w:val="none"/>
        </w:rPr>
        <w:instrText xml:space="preserve"> PAGEREF _Toc165383926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"_Toc165383927" </w:instrText>
      </w:r>
      <w:r>
        <w:rPr>
          <w:color w:val="auto"/>
          <w:highlight w:val="none"/>
        </w:rPr>
        <w:fldChar w:fldCharType="separate"/>
      </w:r>
      <w:r>
        <w:rPr>
          <w:rStyle w:val="25"/>
          <w:rFonts w:hint="eastAsia" w:eastAsia="黑体"/>
          <w:b/>
          <w:color w:val="auto"/>
          <w:highlight w:val="none"/>
        </w:rPr>
        <w:t>第三章</w:t>
      </w:r>
      <w:r>
        <w:rPr>
          <w:rStyle w:val="25"/>
          <w:rFonts w:eastAsia="黑体"/>
          <w:b/>
          <w:color w:val="auto"/>
          <w:highlight w:val="none"/>
        </w:rPr>
        <w:t xml:space="preserve">  </w:t>
      </w:r>
      <w:r>
        <w:rPr>
          <w:rStyle w:val="25"/>
          <w:rFonts w:hint="eastAsia" w:eastAsia="黑体"/>
          <w:b/>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_Toc165383927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pPr>
        <w:pStyle w:val="15"/>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"_Toc165383928" </w:instrText>
      </w:r>
      <w:r>
        <w:rPr>
          <w:color w:val="auto"/>
          <w:highlight w:val="none"/>
        </w:rPr>
        <w:fldChar w:fldCharType="separate"/>
      </w:r>
      <w:r>
        <w:rPr>
          <w:rStyle w:val="25"/>
          <w:rFonts w:hint="eastAsia" w:eastAsia="黑体"/>
          <w:b/>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_Toc165383928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pPr>
        <w:pStyle w:val="15"/>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"_Toc165383929" </w:instrText>
      </w:r>
      <w:r>
        <w:rPr>
          <w:color w:val="auto"/>
          <w:highlight w:val="none"/>
        </w:rPr>
        <w:fldChar w:fldCharType="separate"/>
      </w:r>
      <w:r>
        <w:rPr>
          <w:rStyle w:val="25"/>
          <w:rFonts w:ascii="黑体" w:hAnsi="黑体" w:eastAsia="黑体" w:cs="楷体_GB2312"/>
          <w:b/>
          <w:bCs/>
          <w:color w:val="auto"/>
          <w:highlight w:val="none"/>
          <w:lang w:val="zh-CN"/>
        </w:rPr>
        <w:t xml:space="preserve">1 </w:t>
      </w:r>
      <w:r>
        <w:rPr>
          <w:rStyle w:val="25"/>
          <w:rFonts w:hint="eastAsia" w:ascii="黑体" w:hAnsi="黑体" w:eastAsia="黑体" w:cs="楷体_GB2312"/>
          <w:b/>
          <w:bCs/>
          <w:color w:val="auto"/>
          <w:highlight w:val="none"/>
          <w:lang w:val="zh-CN"/>
        </w:rPr>
        <w:t>总则</w:t>
      </w:r>
      <w:r>
        <w:rPr>
          <w:color w:val="auto"/>
          <w:highlight w:val="none"/>
        </w:rPr>
        <w:tab/>
      </w:r>
      <w:r>
        <w:rPr>
          <w:color w:val="auto"/>
          <w:highlight w:val="none"/>
        </w:rPr>
        <w:fldChar w:fldCharType="begin"/>
      </w:r>
      <w:r>
        <w:rPr>
          <w:color w:val="auto"/>
          <w:highlight w:val="none"/>
        </w:rPr>
        <w:instrText xml:space="preserve"> PAGEREF _Toc165383929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pPr>
        <w:pStyle w:val="15"/>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"_Toc165383930" </w:instrText>
      </w:r>
      <w:r>
        <w:rPr>
          <w:color w:val="auto"/>
          <w:highlight w:val="none"/>
        </w:rPr>
        <w:fldChar w:fldCharType="separate"/>
      </w:r>
      <w:r>
        <w:rPr>
          <w:rStyle w:val="25"/>
          <w:rFonts w:ascii="黑体" w:hAnsi="黑体" w:eastAsia="黑体" w:cs="楷体_GB2312"/>
          <w:b/>
          <w:bCs/>
          <w:color w:val="auto"/>
          <w:highlight w:val="none"/>
          <w:lang w:val="zh-CN"/>
        </w:rPr>
        <w:t xml:space="preserve">2 </w:t>
      </w:r>
      <w:r>
        <w:rPr>
          <w:rStyle w:val="25"/>
          <w:rFonts w:hint="eastAsia" w:ascii="黑体" w:hAnsi="黑体" w:eastAsia="黑体" w:cs="楷体_GB2312"/>
          <w:b/>
          <w:bCs/>
          <w:color w:val="auto"/>
          <w:highlight w:val="none"/>
          <w:lang w:val="zh-CN"/>
        </w:rPr>
        <w:t>招标文件</w:t>
      </w:r>
      <w:r>
        <w:rPr>
          <w:color w:val="auto"/>
          <w:highlight w:val="none"/>
        </w:rPr>
        <w:tab/>
      </w:r>
      <w:r>
        <w:rPr>
          <w:color w:val="auto"/>
          <w:highlight w:val="none"/>
        </w:rPr>
        <w:fldChar w:fldCharType="begin"/>
      </w:r>
      <w:r>
        <w:rPr>
          <w:color w:val="auto"/>
          <w:highlight w:val="none"/>
        </w:rPr>
        <w:instrText xml:space="preserve"> PAGEREF _Toc165383930 \h </w:instrText>
      </w:r>
      <w:r>
        <w:rPr>
          <w:color w:val="auto"/>
          <w:highlight w:val="none"/>
        </w:rPr>
        <w:fldChar w:fldCharType="separate"/>
      </w:r>
      <w:r>
        <w:rPr>
          <w:color w:val="auto"/>
          <w:highlight w:val="none"/>
        </w:rPr>
        <w:t>- 24 -</w:t>
      </w:r>
      <w:r>
        <w:rPr>
          <w:color w:val="auto"/>
          <w:highlight w:val="none"/>
        </w:rPr>
        <w:fldChar w:fldCharType="end"/>
      </w:r>
      <w:r>
        <w:rPr>
          <w:color w:val="auto"/>
          <w:highlight w:val="none"/>
        </w:rPr>
        <w:fldChar w:fldCharType="end"/>
      </w:r>
    </w:p>
    <w:p>
      <w:pPr>
        <w:pStyle w:val="15"/>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"_Toc165383931" </w:instrText>
      </w:r>
      <w:r>
        <w:rPr>
          <w:color w:val="auto"/>
          <w:highlight w:val="none"/>
        </w:rPr>
        <w:fldChar w:fldCharType="separate"/>
      </w:r>
      <w:r>
        <w:rPr>
          <w:rStyle w:val="25"/>
          <w:rFonts w:ascii="黑体" w:hAnsi="黑体" w:eastAsia="黑体" w:cs="楷体_GB2312"/>
          <w:b/>
          <w:bCs/>
          <w:color w:val="auto"/>
          <w:highlight w:val="none"/>
          <w:lang w:val="zh-CN"/>
        </w:rPr>
        <w:t xml:space="preserve">3 </w:t>
      </w:r>
      <w:r>
        <w:rPr>
          <w:rStyle w:val="25"/>
          <w:rFonts w:hint="eastAsia" w:ascii="黑体" w:hAnsi="黑体" w:eastAsia="黑体" w:cs="楷体_GB2312"/>
          <w:b/>
          <w:bCs/>
          <w:color w:val="auto"/>
          <w:highlight w:val="none"/>
          <w:lang w:val="zh-CN"/>
        </w:rPr>
        <w:t>投标文件</w:t>
      </w:r>
      <w:r>
        <w:rPr>
          <w:color w:val="auto"/>
          <w:highlight w:val="none"/>
        </w:rPr>
        <w:tab/>
      </w:r>
      <w:r>
        <w:rPr>
          <w:color w:val="auto"/>
          <w:highlight w:val="none"/>
        </w:rPr>
        <w:fldChar w:fldCharType="begin"/>
      </w:r>
      <w:r>
        <w:rPr>
          <w:color w:val="auto"/>
          <w:highlight w:val="none"/>
        </w:rPr>
        <w:instrText xml:space="preserve"> PAGEREF _Toc165383931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pPr>
        <w:pStyle w:val="15"/>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"_Toc165383932" </w:instrText>
      </w:r>
      <w:r>
        <w:rPr>
          <w:color w:val="auto"/>
          <w:highlight w:val="none"/>
        </w:rPr>
        <w:fldChar w:fldCharType="separate"/>
      </w:r>
      <w:r>
        <w:rPr>
          <w:rStyle w:val="25"/>
          <w:rFonts w:ascii="黑体" w:hAnsi="黑体" w:eastAsia="黑体" w:cs="楷体_GB2312"/>
          <w:b/>
          <w:bCs/>
          <w:color w:val="auto"/>
          <w:highlight w:val="none"/>
          <w:lang w:val="zh-CN"/>
        </w:rPr>
        <w:t xml:space="preserve">4 </w:t>
      </w:r>
      <w:r>
        <w:rPr>
          <w:rStyle w:val="25"/>
          <w:rFonts w:hint="eastAsia" w:ascii="黑体" w:hAnsi="黑体" w:eastAsia="黑体" w:cs="楷体_GB2312"/>
          <w:b/>
          <w:bCs/>
          <w:color w:val="auto"/>
          <w:highlight w:val="none"/>
          <w:lang w:val="zh-CN"/>
        </w:rPr>
        <w:t>投标</w:t>
      </w:r>
      <w:r>
        <w:rPr>
          <w:color w:val="auto"/>
          <w:highlight w:val="none"/>
        </w:rPr>
        <w:tab/>
      </w:r>
      <w:r>
        <w:rPr>
          <w:color w:val="auto"/>
          <w:highlight w:val="none"/>
        </w:rPr>
        <w:fldChar w:fldCharType="begin"/>
      </w:r>
      <w:r>
        <w:rPr>
          <w:color w:val="auto"/>
          <w:highlight w:val="none"/>
        </w:rPr>
        <w:instrText xml:space="preserve"> PAGEREF _Toc165383932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pPr>
        <w:pStyle w:val="15"/>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"_Toc165383933" </w:instrText>
      </w:r>
      <w:r>
        <w:rPr>
          <w:color w:val="auto"/>
          <w:highlight w:val="none"/>
        </w:rPr>
        <w:fldChar w:fldCharType="separate"/>
      </w:r>
      <w:r>
        <w:rPr>
          <w:rStyle w:val="25"/>
          <w:rFonts w:ascii="黑体" w:hAnsi="黑体" w:eastAsia="黑体" w:cs="楷体_GB2312"/>
          <w:b/>
          <w:bCs/>
          <w:color w:val="auto"/>
          <w:highlight w:val="none"/>
          <w:lang w:val="zh-CN"/>
        </w:rPr>
        <w:t xml:space="preserve">5 </w:t>
      </w:r>
      <w:r>
        <w:rPr>
          <w:rStyle w:val="25"/>
          <w:rFonts w:hint="eastAsia" w:ascii="黑体" w:hAnsi="黑体" w:eastAsia="黑体" w:cs="楷体_GB2312"/>
          <w:b/>
          <w:bCs/>
          <w:color w:val="auto"/>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_Toc165383933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pPr>
        <w:pStyle w:val="15"/>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"_Toc165383934" </w:instrText>
      </w:r>
      <w:r>
        <w:rPr>
          <w:color w:val="auto"/>
          <w:highlight w:val="none"/>
        </w:rPr>
        <w:fldChar w:fldCharType="separate"/>
      </w:r>
      <w:r>
        <w:rPr>
          <w:rStyle w:val="25"/>
          <w:rFonts w:ascii="黑体" w:hAnsi="黑体" w:eastAsia="黑体" w:cs="楷体_GB2312"/>
          <w:b/>
          <w:bCs/>
          <w:color w:val="auto"/>
          <w:highlight w:val="none"/>
          <w:lang w:val="zh-CN"/>
        </w:rPr>
        <w:t xml:space="preserve">6 </w:t>
      </w:r>
      <w:r>
        <w:rPr>
          <w:rStyle w:val="25"/>
          <w:rFonts w:hint="eastAsia" w:ascii="黑体" w:hAnsi="黑体" w:eastAsia="黑体" w:cs="楷体_GB2312"/>
          <w:b/>
          <w:bCs/>
          <w:color w:val="auto"/>
          <w:highlight w:val="none"/>
          <w:lang w:val="zh-CN"/>
        </w:rPr>
        <w:t>资格性审查</w:t>
      </w:r>
      <w:r>
        <w:rPr>
          <w:color w:val="auto"/>
          <w:highlight w:val="none"/>
        </w:rPr>
        <w:tab/>
      </w:r>
      <w:r>
        <w:rPr>
          <w:color w:val="auto"/>
          <w:highlight w:val="none"/>
        </w:rPr>
        <w:fldChar w:fldCharType="begin"/>
      </w:r>
      <w:r>
        <w:rPr>
          <w:color w:val="auto"/>
          <w:highlight w:val="none"/>
        </w:rPr>
        <w:instrText xml:space="preserve"> PAGEREF _Toc165383934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pPr>
        <w:pStyle w:val="15"/>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"_Toc165383935" </w:instrText>
      </w:r>
      <w:r>
        <w:rPr>
          <w:color w:val="auto"/>
          <w:highlight w:val="none"/>
        </w:rPr>
        <w:fldChar w:fldCharType="separate"/>
      </w:r>
      <w:r>
        <w:rPr>
          <w:rStyle w:val="25"/>
          <w:rFonts w:ascii="黑体" w:hAnsi="黑体" w:eastAsia="黑体" w:cs="楷体_GB2312"/>
          <w:b/>
          <w:bCs/>
          <w:color w:val="auto"/>
          <w:highlight w:val="none"/>
          <w:lang w:val="zh-CN"/>
        </w:rPr>
        <w:t xml:space="preserve">7 </w:t>
      </w:r>
      <w:r>
        <w:rPr>
          <w:rStyle w:val="25"/>
          <w:rFonts w:hint="eastAsia" w:ascii="黑体" w:hAnsi="黑体" w:eastAsia="黑体" w:cs="楷体_GB2312"/>
          <w:b/>
          <w:bCs/>
          <w:color w:val="auto"/>
          <w:highlight w:val="none"/>
          <w:lang w:val="zh-CN"/>
        </w:rPr>
        <w:t>评审</w:t>
      </w:r>
      <w:r>
        <w:rPr>
          <w:color w:val="auto"/>
          <w:highlight w:val="none"/>
        </w:rPr>
        <w:tab/>
      </w:r>
      <w:r>
        <w:rPr>
          <w:color w:val="auto"/>
          <w:highlight w:val="none"/>
        </w:rPr>
        <w:fldChar w:fldCharType="begin"/>
      </w:r>
      <w:r>
        <w:rPr>
          <w:color w:val="auto"/>
          <w:highlight w:val="none"/>
        </w:rPr>
        <w:instrText xml:space="preserve"> PAGEREF _Toc165383935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pPr>
        <w:pStyle w:val="15"/>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"_Toc165383936" </w:instrText>
      </w:r>
      <w:r>
        <w:rPr>
          <w:color w:val="auto"/>
          <w:highlight w:val="none"/>
        </w:rPr>
        <w:fldChar w:fldCharType="separate"/>
      </w:r>
      <w:r>
        <w:rPr>
          <w:rStyle w:val="25"/>
          <w:rFonts w:ascii="黑体" w:hAnsi="黑体" w:eastAsia="黑体" w:cs="楷体_GB2312"/>
          <w:b/>
          <w:bCs/>
          <w:color w:val="auto"/>
          <w:highlight w:val="none"/>
          <w:lang w:val="zh-CN"/>
        </w:rPr>
        <w:t xml:space="preserve">8 </w:t>
      </w:r>
      <w:r>
        <w:rPr>
          <w:rStyle w:val="25"/>
          <w:rFonts w:hint="eastAsia" w:ascii="黑体" w:hAnsi="黑体" w:eastAsia="黑体" w:cs="楷体_GB2312"/>
          <w:b/>
          <w:bCs/>
          <w:color w:val="auto"/>
          <w:highlight w:val="none"/>
          <w:lang w:val="zh-CN"/>
        </w:rPr>
        <w:t>授予合同</w:t>
      </w:r>
      <w:r>
        <w:rPr>
          <w:color w:val="auto"/>
          <w:highlight w:val="none"/>
        </w:rPr>
        <w:tab/>
      </w:r>
      <w:r>
        <w:rPr>
          <w:color w:val="auto"/>
          <w:highlight w:val="none"/>
        </w:rPr>
        <w:fldChar w:fldCharType="begin"/>
      </w:r>
      <w:r>
        <w:rPr>
          <w:color w:val="auto"/>
          <w:highlight w:val="none"/>
        </w:rPr>
        <w:instrText xml:space="preserve"> PAGEREF _Toc165383936 \h </w:instrText>
      </w:r>
      <w:r>
        <w:rPr>
          <w:color w:val="auto"/>
          <w:highlight w:val="none"/>
        </w:rPr>
        <w:fldChar w:fldCharType="separate"/>
      </w:r>
      <w:r>
        <w:rPr>
          <w:color w:val="auto"/>
          <w:highlight w:val="none"/>
        </w:rPr>
        <w:t>- 32 -</w:t>
      </w:r>
      <w:r>
        <w:rPr>
          <w:color w:val="auto"/>
          <w:highlight w:val="none"/>
        </w:rPr>
        <w:fldChar w:fldCharType="end"/>
      </w:r>
      <w:r>
        <w:rPr>
          <w:color w:val="auto"/>
          <w:highlight w:val="none"/>
        </w:rPr>
        <w:fldChar w:fldCharType="end"/>
      </w:r>
    </w:p>
    <w:p>
      <w:pPr>
        <w:pStyle w:val="15"/>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"_Toc165383937" </w:instrText>
      </w:r>
      <w:r>
        <w:rPr>
          <w:color w:val="auto"/>
          <w:highlight w:val="none"/>
        </w:rPr>
        <w:fldChar w:fldCharType="separate"/>
      </w:r>
      <w:r>
        <w:rPr>
          <w:rStyle w:val="25"/>
          <w:rFonts w:ascii="黑体" w:hAnsi="黑体" w:eastAsia="黑体" w:cs="楷体_GB2312"/>
          <w:b/>
          <w:bCs/>
          <w:color w:val="auto"/>
          <w:highlight w:val="none"/>
          <w:lang w:val="zh-CN"/>
        </w:rPr>
        <w:t xml:space="preserve">9 </w:t>
      </w:r>
      <w:r>
        <w:rPr>
          <w:rStyle w:val="25"/>
          <w:rFonts w:hint="eastAsia" w:ascii="黑体" w:hAnsi="黑体" w:eastAsia="黑体" w:cs="楷体_GB2312"/>
          <w:b/>
          <w:bCs/>
          <w:color w:val="auto"/>
          <w:highlight w:val="none"/>
          <w:lang w:val="zh-CN"/>
        </w:rPr>
        <w:t>验收</w:t>
      </w:r>
      <w:r>
        <w:rPr>
          <w:color w:val="auto"/>
          <w:highlight w:val="none"/>
        </w:rPr>
        <w:tab/>
      </w:r>
      <w:r>
        <w:rPr>
          <w:color w:val="auto"/>
          <w:highlight w:val="none"/>
        </w:rPr>
        <w:fldChar w:fldCharType="begin"/>
      </w:r>
      <w:r>
        <w:rPr>
          <w:color w:val="auto"/>
          <w:highlight w:val="none"/>
        </w:rPr>
        <w:instrText xml:space="preserve"> PAGEREF _Toc165383937 \h </w:instrText>
      </w:r>
      <w:r>
        <w:rPr>
          <w:color w:val="auto"/>
          <w:highlight w:val="none"/>
        </w:rPr>
        <w:fldChar w:fldCharType="separate"/>
      </w:r>
      <w:r>
        <w:rPr>
          <w:color w:val="auto"/>
          <w:highlight w:val="none"/>
        </w:rPr>
        <w:t>- 34 -</w:t>
      </w:r>
      <w:r>
        <w:rPr>
          <w:color w:val="auto"/>
          <w:highlight w:val="none"/>
        </w:rPr>
        <w:fldChar w:fldCharType="end"/>
      </w:r>
      <w:r>
        <w:rPr>
          <w:color w:val="auto"/>
          <w:highlight w:val="none"/>
        </w:rPr>
        <w:fldChar w:fldCharType="end"/>
      </w:r>
    </w:p>
    <w:p>
      <w:pPr>
        <w:pStyle w:val="15"/>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"_Toc165383938" </w:instrText>
      </w:r>
      <w:r>
        <w:rPr>
          <w:color w:val="auto"/>
          <w:highlight w:val="none"/>
        </w:rPr>
        <w:fldChar w:fldCharType="separate"/>
      </w:r>
      <w:r>
        <w:rPr>
          <w:rStyle w:val="25"/>
          <w:rFonts w:ascii="黑体" w:hAnsi="黑体" w:eastAsia="黑体" w:cs="楷体_GB2312"/>
          <w:b/>
          <w:bCs/>
          <w:color w:val="auto"/>
          <w:highlight w:val="none"/>
          <w:lang w:val="zh-CN"/>
        </w:rPr>
        <w:t xml:space="preserve">10 </w:t>
      </w:r>
      <w:r>
        <w:rPr>
          <w:rStyle w:val="25"/>
          <w:rFonts w:hint="eastAsia" w:ascii="黑体" w:hAnsi="黑体" w:eastAsia="黑体" w:cs="楷体_GB2312"/>
          <w:b/>
          <w:bCs/>
          <w:color w:val="auto"/>
          <w:highlight w:val="none"/>
          <w:lang w:val="zh-CN"/>
        </w:rPr>
        <w:t>付款</w:t>
      </w:r>
      <w:r>
        <w:rPr>
          <w:color w:val="auto"/>
          <w:highlight w:val="none"/>
        </w:rPr>
        <w:tab/>
      </w:r>
      <w:r>
        <w:rPr>
          <w:color w:val="auto"/>
          <w:highlight w:val="none"/>
        </w:rPr>
        <w:fldChar w:fldCharType="begin"/>
      </w:r>
      <w:r>
        <w:rPr>
          <w:color w:val="auto"/>
          <w:highlight w:val="none"/>
        </w:rPr>
        <w:instrText xml:space="preserve"> PAGEREF _Toc165383938 \h </w:instrText>
      </w:r>
      <w:r>
        <w:rPr>
          <w:color w:val="auto"/>
          <w:highlight w:val="none"/>
        </w:rPr>
        <w:fldChar w:fldCharType="separate"/>
      </w:r>
      <w:r>
        <w:rPr>
          <w:color w:val="auto"/>
          <w:highlight w:val="none"/>
        </w:rPr>
        <w:t>- 35 -</w:t>
      </w:r>
      <w:r>
        <w:rPr>
          <w:color w:val="auto"/>
          <w:highlight w:val="none"/>
        </w:rPr>
        <w:fldChar w:fldCharType="end"/>
      </w:r>
      <w:r>
        <w:rPr>
          <w:color w:val="auto"/>
          <w:highlight w:val="none"/>
        </w:rPr>
        <w:fldChar w:fldCharType="end"/>
      </w:r>
    </w:p>
    <w:p>
      <w:pPr>
        <w:pStyle w:val="15"/>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"_Toc165383939" </w:instrText>
      </w:r>
      <w:r>
        <w:rPr>
          <w:color w:val="auto"/>
          <w:highlight w:val="none"/>
        </w:rPr>
        <w:fldChar w:fldCharType="separate"/>
      </w:r>
      <w:r>
        <w:rPr>
          <w:rStyle w:val="25"/>
          <w:rFonts w:ascii="黑体" w:hAnsi="黑体" w:eastAsia="黑体" w:cs="楷体_GB2312"/>
          <w:b/>
          <w:bCs/>
          <w:color w:val="auto"/>
          <w:highlight w:val="none"/>
          <w:lang w:val="zh-CN"/>
        </w:rPr>
        <w:t xml:space="preserve">11 </w:t>
      </w:r>
      <w:r>
        <w:rPr>
          <w:rStyle w:val="25"/>
          <w:rFonts w:hint="eastAsia" w:ascii="黑体" w:hAnsi="黑体" w:eastAsia="黑体" w:cs="楷体_GB2312"/>
          <w:b/>
          <w:bCs/>
          <w:color w:val="auto"/>
          <w:highlight w:val="none"/>
          <w:lang w:val="zh-CN"/>
        </w:rPr>
        <w:t>其他</w:t>
      </w:r>
      <w:r>
        <w:rPr>
          <w:color w:val="auto"/>
          <w:highlight w:val="none"/>
        </w:rPr>
        <w:tab/>
      </w:r>
      <w:r>
        <w:rPr>
          <w:color w:val="auto"/>
          <w:highlight w:val="none"/>
        </w:rPr>
        <w:fldChar w:fldCharType="begin"/>
      </w:r>
      <w:r>
        <w:rPr>
          <w:color w:val="auto"/>
          <w:highlight w:val="none"/>
        </w:rPr>
        <w:instrText xml:space="preserve"> PAGEREF _Toc165383939 \h </w:instrText>
      </w:r>
      <w:r>
        <w:rPr>
          <w:color w:val="auto"/>
          <w:highlight w:val="none"/>
        </w:rPr>
        <w:fldChar w:fldCharType="separate"/>
      </w:r>
      <w:r>
        <w:rPr>
          <w:color w:val="auto"/>
          <w:highlight w:val="none"/>
        </w:rPr>
        <w:t>- 35 -</w:t>
      </w:r>
      <w:r>
        <w:rPr>
          <w:color w:val="auto"/>
          <w:highlight w:val="none"/>
        </w:rPr>
        <w:fldChar w:fldCharType="end"/>
      </w:r>
      <w:r>
        <w:rPr>
          <w:color w:val="auto"/>
          <w:highlight w:val="none"/>
        </w:rPr>
        <w:fldChar w:fldCharType="end"/>
      </w:r>
    </w:p>
    <w:p>
      <w:pPr>
        <w:pStyle w:val="15"/>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"_Toc165383940" </w:instrText>
      </w:r>
      <w:r>
        <w:rPr>
          <w:color w:val="auto"/>
          <w:highlight w:val="none"/>
        </w:rPr>
        <w:fldChar w:fldCharType="separate"/>
      </w:r>
      <w:r>
        <w:rPr>
          <w:rStyle w:val="25"/>
          <w:rFonts w:ascii="黑体" w:hAnsi="黑体" w:eastAsia="黑体" w:cs="楷体_GB2312"/>
          <w:b/>
          <w:bCs/>
          <w:color w:val="auto"/>
          <w:highlight w:val="none"/>
          <w:lang w:val="zh-CN"/>
        </w:rPr>
        <w:t xml:space="preserve">12 </w:t>
      </w:r>
      <w:r>
        <w:rPr>
          <w:rStyle w:val="25"/>
          <w:rFonts w:hint="eastAsia" w:ascii="黑体" w:hAnsi="黑体" w:eastAsia="黑体" w:cs="楷体_GB2312"/>
          <w:b/>
          <w:bCs/>
          <w:color w:val="auto"/>
          <w:highlight w:val="none"/>
          <w:lang w:val="zh-CN"/>
        </w:rPr>
        <w:t>河南省政府采购合同融资政策告知函</w:t>
      </w:r>
      <w:r>
        <w:rPr>
          <w:color w:val="auto"/>
          <w:highlight w:val="none"/>
        </w:rPr>
        <w:tab/>
      </w:r>
      <w:r>
        <w:rPr>
          <w:color w:val="auto"/>
          <w:highlight w:val="none"/>
        </w:rPr>
        <w:fldChar w:fldCharType="begin"/>
      </w:r>
      <w:r>
        <w:rPr>
          <w:color w:val="auto"/>
          <w:highlight w:val="none"/>
        </w:rPr>
        <w:instrText xml:space="preserve"> PAGEREF _Toc165383940 \h </w:instrText>
      </w:r>
      <w:r>
        <w:rPr>
          <w:color w:val="auto"/>
          <w:highlight w:val="none"/>
        </w:rPr>
        <w:fldChar w:fldCharType="separate"/>
      </w:r>
      <w:r>
        <w:rPr>
          <w:color w:val="auto"/>
          <w:highlight w:val="none"/>
        </w:rPr>
        <w:t>- 35 -</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"_Toc165383941" </w:instrText>
      </w:r>
      <w:r>
        <w:rPr>
          <w:color w:val="auto"/>
          <w:highlight w:val="none"/>
        </w:rPr>
        <w:fldChar w:fldCharType="separate"/>
      </w:r>
      <w:r>
        <w:rPr>
          <w:rStyle w:val="25"/>
          <w:rFonts w:hint="eastAsia" w:ascii="黑体" w:hAnsi="黑体" w:eastAsia="黑体"/>
          <w:b/>
          <w:bCs/>
          <w:color w:val="auto"/>
          <w:kern w:val="44"/>
          <w:highlight w:val="none"/>
          <w:lang w:val="zh-CN"/>
        </w:rPr>
        <w:t>第四章</w:t>
      </w:r>
      <w:r>
        <w:rPr>
          <w:rStyle w:val="25"/>
          <w:rFonts w:ascii="黑体" w:hAnsi="黑体" w:eastAsia="黑体"/>
          <w:b/>
          <w:bCs/>
          <w:color w:val="auto"/>
          <w:kern w:val="44"/>
          <w:highlight w:val="none"/>
          <w:lang w:val="zh-CN"/>
        </w:rPr>
        <w:t xml:space="preserve">  </w:t>
      </w:r>
      <w:r>
        <w:rPr>
          <w:rStyle w:val="25"/>
          <w:rFonts w:hint="eastAsia" w:ascii="黑体" w:hAnsi="黑体" w:eastAsia="黑体"/>
          <w:b/>
          <w:bCs/>
          <w:color w:val="auto"/>
          <w:kern w:val="44"/>
          <w:highlight w:val="none"/>
          <w:lang w:val="zh-CN"/>
        </w:rPr>
        <w:t>评标办法（综合评分法）</w:t>
      </w:r>
      <w:r>
        <w:rPr>
          <w:color w:val="auto"/>
          <w:highlight w:val="none"/>
        </w:rPr>
        <w:tab/>
      </w:r>
      <w:r>
        <w:rPr>
          <w:color w:val="auto"/>
          <w:highlight w:val="none"/>
        </w:rPr>
        <w:fldChar w:fldCharType="begin"/>
      </w:r>
      <w:r>
        <w:rPr>
          <w:color w:val="auto"/>
          <w:highlight w:val="none"/>
        </w:rPr>
        <w:instrText xml:space="preserve"> PAGEREF _Toc165383941 \h </w:instrText>
      </w:r>
      <w:r>
        <w:rPr>
          <w:color w:val="auto"/>
          <w:highlight w:val="none"/>
        </w:rPr>
        <w:fldChar w:fldCharType="separate"/>
      </w:r>
      <w:r>
        <w:rPr>
          <w:color w:val="auto"/>
          <w:highlight w:val="none"/>
        </w:rPr>
        <w:t>- 36 -</w:t>
      </w:r>
      <w:r>
        <w:rPr>
          <w:color w:val="auto"/>
          <w:highlight w:val="none"/>
        </w:rPr>
        <w:fldChar w:fldCharType="end"/>
      </w:r>
      <w:r>
        <w:rPr>
          <w:color w:val="auto"/>
          <w:highlight w:val="none"/>
        </w:rPr>
        <w:fldChar w:fldCharType="end"/>
      </w:r>
    </w:p>
    <w:p>
      <w:pPr>
        <w:pStyle w:val="15"/>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"_Toc165383942" </w:instrText>
      </w:r>
      <w:r>
        <w:rPr>
          <w:color w:val="auto"/>
          <w:highlight w:val="none"/>
        </w:rPr>
        <w:fldChar w:fldCharType="separate"/>
      </w:r>
      <w:r>
        <w:rPr>
          <w:rStyle w:val="25"/>
          <w:rFonts w:hint="eastAsia" w:ascii="黑体" w:hAnsi="黑体" w:eastAsia="黑体"/>
          <w:b/>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_Toc165383942 \h </w:instrText>
      </w:r>
      <w:r>
        <w:rPr>
          <w:color w:val="auto"/>
          <w:highlight w:val="none"/>
        </w:rPr>
        <w:fldChar w:fldCharType="separate"/>
      </w:r>
      <w:r>
        <w:rPr>
          <w:color w:val="auto"/>
          <w:highlight w:val="none"/>
        </w:rPr>
        <w:t>- 36 -</w:t>
      </w:r>
      <w:r>
        <w:rPr>
          <w:color w:val="auto"/>
          <w:highlight w:val="none"/>
        </w:rPr>
        <w:fldChar w:fldCharType="end"/>
      </w:r>
      <w:r>
        <w:rPr>
          <w:color w:val="auto"/>
          <w:highlight w:val="none"/>
        </w:rPr>
        <w:fldChar w:fldCharType="end"/>
      </w:r>
    </w:p>
    <w:p>
      <w:pPr>
        <w:pStyle w:val="15"/>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"_Toc165383943" </w:instrText>
      </w:r>
      <w:r>
        <w:rPr>
          <w:color w:val="auto"/>
          <w:highlight w:val="none"/>
        </w:rPr>
        <w:fldChar w:fldCharType="separate"/>
      </w:r>
      <w:r>
        <w:rPr>
          <w:rStyle w:val="25"/>
          <w:rFonts w:ascii="黑体" w:hAnsi="黑体" w:eastAsia="黑体" w:cs="楷体_GB2312"/>
          <w:b/>
          <w:bCs/>
          <w:color w:val="auto"/>
          <w:highlight w:val="none"/>
          <w:lang w:val="zh-CN"/>
        </w:rPr>
        <w:t xml:space="preserve">1. </w:t>
      </w:r>
      <w:r>
        <w:rPr>
          <w:rStyle w:val="25"/>
          <w:rFonts w:hint="eastAsia" w:ascii="黑体" w:hAnsi="黑体" w:eastAsia="黑体" w:cs="楷体_GB2312"/>
          <w:b/>
          <w:bCs/>
          <w:color w:val="auto"/>
          <w:highlight w:val="none"/>
          <w:lang w:val="zh-CN"/>
        </w:rPr>
        <w:t>评标方法</w:t>
      </w:r>
      <w:r>
        <w:rPr>
          <w:color w:val="auto"/>
          <w:highlight w:val="none"/>
        </w:rPr>
        <w:tab/>
      </w:r>
      <w:r>
        <w:rPr>
          <w:color w:val="auto"/>
          <w:highlight w:val="none"/>
        </w:rPr>
        <w:fldChar w:fldCharType="begin"/>
      </w:r>
      <w:r>
        <w:rPr>
          <w:color w:val="auto"/>
          <w:highlight w:val="none"/>
        </w:rPr>
        <w:instrText xml:space="preserve"> PAGEREF _Toc165383943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15"/>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"_Toc165383944" </w:instrText>
      </w:r>
      <w:r>
        <w:rPr>
          <w:color w:val="auto"/>
          <w:highlight w:val="none"/>
        </w:rPr>
        <w:fldChar w:fldCharType="separate"/>
      </w:r>
      <w:r>
        <w:rPr>
          <w:rStyle w:val="25"/>
          <w:rFonts w:ascii="黑体" w:hAnsi="黑体" w:eastAsia="黑体" w:cs="楷体_GB2312"/>
          <w:b/>
          <w:bCs/>
          <w:color w:val="auto"/>
          <w:highlight w:val="none"/>
          <w:lang w:val="zh-CN"/>
        </w:rPr>
        <w:t xml:space="preserve">2. </w:t>
      </w:r>
      <w:r>
        <w:rPr>
          <w:rStyle w:val="25"/>
          <w:rFonts w:hint="eastAsia" w:ascii="黑体" w:hAnsi="黑体" w:eastAsia="黑体" w:cs="楷体_GB2312"/>
          <w:b/>
          <w:bCs/>
          <w:color w:val="auto"/>
          <w:highlight w:val="none"/>
          <w:lang w:val="zh-CN"/>
        </w:rPr>
        <w:t>评标标准</w:t>
      </w:r>
      <w:r>
        <w:rPr>
          <w:color w:val="auto"/>
          <w:highlight w:val="none"/>
        </w:rPr>
        <w:tab/>
      </w:r>
      <w:r>
        <w:rPr>
          <w:color w:val="auto"/>
          <w:highlight w:val="none"/>
        </w:rPr>
        <w:fldChar w:fldCharType="begin"/>
      </w:r>
      <w:r>
        <w:rPr>
          <w:color w:val="auto"/>
          <w:highlight w:val="none"/>
        </w:rPr>
        <w:instrText xml:space="preserve"> PAGEREF _Toc165383944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15"/>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"_Toc165383945" </w:instrText>
      </w:r>
      <w:r>
        <w:rPr>
          <w:color w:val="auto"/>
          <w:highlight w:val="none"/>
        </w:rPr>
        <w:fldChar w:fldCharType="separate"/>
      </w:r>
      <w:r>
        <w:rPr>
          <w:rStyle w:val="25"/>
          <w:rFonts w:ascii="黑体" w:hAnsi="黑体" w:eastAsia="黑体" w:cs="楷体_GB2312"/>
          <w:b/>
          <w:bCs/>
          <w:color w:val="auto"/>
          <w:highlight w:val="none"/>
          <w:lang w:val="zh-CN"/>
        </w:rPr>
        <w:t xml:space="preserve">3. </w:t>
      </w:r>
      <w:r>
        <w:rPr>
          <w:rStyle w:val="25"/>
          <w:rFonts w:hint="eastAsia" w:ascii="黑体" w:hAnsi="黑体" w:eastAsia="黑体" w:cs="楷体_GB2312"/>
          <w:b/>
          <w:bCs/>
          <w:color w:val="auto"/>
          <w:highlight w:val="none"/>
          <w:lang w:val="zh-CN"/>
        </w:rPr>
        <w:t>评标程序</w:t>
      </w:r>
      <w:r>
        <w:rPr>
          <w:color w:val="auto"/>
          <w:highlight w:val="none"/>
        </w:rPr>
        <w:tab/>
      </w:r>
      <w:r>
        <w:rPr>
          <w:color w:val="auto"/>
          <w:highlight w:val="none"/>
        </w:rPr>
        <w:fldChar w:fldCharType="begin"/>
      </w:r>
      <w:r>
        <w:rPr>
          <w:color w:val="auto"/>
          <w:highlight w:val="none"/>
        </w:rPr>
        <w:instrText xml:space="preserve"> PAGEREF _Toc165383945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15"/>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"_Toc165383946" </w:instrText>
      </w:r>
      <w:r>
        <w:rPr>
          <w:color w:val="auto"/>
          <w:highlight w:val="none"/>
        </w:rPr>
        <w:fldChar w:fldCharType="separate"/>
      </w:r>
      <w:r>
        <w:rPr>
          <w:rStyle w:val="25"/>
          <w:rFonts w:ascii="黑体" w:hAnsi="黑体" w:eastAsia="黑体" w:cs="楷体_GB2312"/>
          <w:b/>
          <w:bCs/>
          <w:color w:val="auto"/>
          <w:highlight w:val="none"/>
          <w:lang w:val="zh-CN"/>
        </w:rPr>
        <w:t xml:space="preserve">4. </w:t>
      </w:r>
      <w:r>
        <w:rPr>
          <w:rStyle w:val="25"/>
          <w:rFonts w:hint="eastAsia" w:ascii="黑体" w:hAnsi="黑体" w:eastAsia="黑体" w:cs="楷体_GB2312"/>
          <w:b/>
          <w:bCs/>
          <w:color w:val="auto"/>
          <w:highlight w:val="none"/>
          <w:lang w:val="zh-CN"/>
        </w:rPr>
        <w:t>政府采购促进中小企业发展扶持政策</w:t>
      </w:r>
      <w:r>
        <w:rPr>
          <w:color w:val="auto"/>
          <w:highlight w:val="none"/>
        </w:rPr>
        <w:tab/>
      </w:r>
      <w:r>
        <w:rPr>
          <w:color w:val="auto"/>
          <w:highlight w:val="none"/>
        </w:rPr>
        <w:fldChar w:fldCharType="begin"/>
      </w:r>
      <w:r>
        <w:rPr>
          <w:color w:val="auto"/>
          <w:highlight w:val="none"/>
        </w:rPr>
        <w:instrText xml:space="preserve"> PAGEREF _Toc165383946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"_Toc165383947" </w:instrText>
      </w:r>
      <w:r>
        <w:rPr>
          <w:color w:val="auto"/>
          <w:highlight w:val="none"/>
        </w:rPr>
        <w:fldChar w:fldCharType="separate"/>
      </w:r>
      <w:r>
        <w:rPr>
          <w:rStyle w:val="25"/>
          <w:rFonts w:hint="eastAsia" w:ascii="黑体" w:eastAsia="黑体"/>
          <w:b/>
          <w:color w:val="auto"/>
          <w:highlight w:val="none"/>
        </w:rPr>
        <w:t>第五章</w:t>
      </w:r>
      <w:r>
        <w:rPr>
          <w:rStyle w:val="25"/>
          <w:rFonts w:ascii="黑体" w:eastAsia="黑体"/>
          <w:b/>
          <w:color w:val="auto"/>
          <w:highlight w:val="none"/>
        </w:rPr>
        <w:t xml:space="preserve">  </w:t>
      </w:r>
      <w:r>
        <w:rPr>
          <w:rStyle w:val="25"/>
          <w:rFonts w:hint="eastAsia" w:ascii="黑体" w:eastAsia="黑体"/>
          <w:b/>
          <w:color w:val="auto"/>
          <w:highlight w:val="none"/>
        </w:rPr>
        <w:t>合同主要条款</w:t>
      </w:r>
      <w:r>
        <w:rPr>
          <w:color w:val="auto"/>
          <w:highlight w:val="none"/>
        </w:rPr>
        <w:tab/>
      </w:r>
      <w:r>
        <w:rPr>
          <w:color w:val="auto"/>
          <w:highlight w:val="none"/>
        </w:rPr>
        <w:fldChar w:fldCharType="begin"/>
      </w:r>
      <w:r>
        <w:rPr>
          <w:color w:val="auto"/>
          <w:highlight w:val="none"/>
        </w:rPr>
        <w:instrText xml:space="preserve"> PAGEREF _Toc165383947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"_Toc165383948" </w:instrText>
      </w:r>
      <w:r>
        <w:rPr>
          <w:color w:val="auto"/>
          <w:highlight w:val="none"/>
        </w:rPr>
        <w:fldChar w:fldCharType="separate"/>
      </w:r>
      <w:r>
        <w:rPr>
          <w:rStyle w:val="25"/>
          <w:rFonts w:hint="eastAsia" w:ascii="黑体" w:hAnsi="黑体" w:eastAsia="黑体"/>
          <w:b/>
          <w:color w:val="auto"/>
          <w:highlight w:val="none"/>
          <w:lang w:val="zh-CN"/>
        </w:rPr>
        <w:t>第六章</w:t>
      </w:r>
      <w:r>
        <w:rPr>
          <w:rStyle w:val="25"/>
          <w:rFonts w:ascii="黑体" w:hAnsi="黑体" w:eastAsia="黑体"/>
          <w:b/>
          <w:color w:val="auto"/>
          <w:highlight w:val="none"/>
          <w:lang w:val="zh-CN"/>
        </w:rPr>
        <w:t xml:space="preserve">  </w:t>
      </w:r>
      <w:r>
        <w:rPr>
          <w:rStyle w:val="25"/>
          <w:rFonts w:hint="eastAsia" w:ascii="黑体" w:hAnsi="黑体" w:eastAsia="黑体"/>
          <w:b/>
          <w:color w:val="auto"/>
          <w:highlight w:val="none"/>
          <w:lang w:val="zh-CN"/>
        </w:rPr>
        <w:t>投标文件格式</w:t>
      </w:r>
      <w:r>
        <w:rPr>
          <w:color w:val="auto"/>
          <w:highlight w:val="none"/>
        </w:rPr>
        <w:tab/>
      </w:r>
      <w:r>
        <w:rPr>
          <w:color w:val="auto"/>
          <w:highlight w:val="none"/>
        </w:rPr>
        <w:fldChar w:fldCharType="begin"/>
      </w:r>
      <w:r>
        <w:rPr>
          <w:color w:val="auto"/>
          <w:highlight w:val="none"/>
        </w:rPr>
        <w:instrText xml:space="preserve"> PAGEREF _Toc165383948 \h </w:instrText>
      </w:r>
      <w:r>
        <w:rPr>
          <w:color w:val="auto"/>
          <w:highlight w:val="none"/>
        </w:rPr>
        <w:fldChar w:fldCharType="separate"/>
      </w:r>
      <w:r>
        <w:rPr>
          <w:color w:val="auto"/>
          <w:highlight w:val="none"/>
        </w:rPr>
        <w:t>- 62 -</w:t>
      </w:r>
      <w:r>
        <w:rPr>
          <w:color w:val="auto"/>
          <w:highlight w:val="none"/>
        </w:rPr>
        <w:fldChar w:fldCharType="end"/>
      </w:r>
      <w:r>
        <w:rPr>
          <w:color w:val="auto"/>
          <w:highlight w:val="none"/>
        </w:rPr>
        <w:fldChar w:fldCharType="end"/>
      </w:r>
    </w:p>
    <w:p>
      <w:pPr>
        <w:rPr>
          <w:color w:val="auto"/>
          <w:highlight w:val="none"/>
        </w:rPr>
        <w:sectPr>
          <w:pgSz w:w="11905" w:h="16837"/>
          <w:pgMar w:top="1418" w:right="1106" w:bottom="1418" w:left="1418" w:header="567" w:footer="567" w:gutter="0"/>
          <w:pgNumType w:fmt="numberInDash"/>
          <w:cols w:space="720" w:num="1"/>
          <w:titlePg/>
        </w:sectPr>
      </w:pPr>
      <w:r>
        <w:rPr>
          <w:color w:val="auto"/>
          <w:highlight w:val="none"/>
        </w:rPr>
        <w:fldChar w:fldCharType="end"/>
      </w:r>
    </w:p>
    <w:p>
      <w:pPr>
        <w:widowControl w:val="0"/>
        <w:snapToGrid w:val="0"/>
        <w:spacing w:line="560" w:lineRule="exact"/>
        <w:jc w:val="left"/>
        <w:rPr>
          <w:rFonts w:ascii="宋体"/>
          <w:color w:val="auto"/>
          <w:sz w:val="24"/>
          <w:szCs w:val="24"/>
          <w:highlight w:val="none"/>
        </w:rPr>
      </w:pPr>
    </w:p>
    <w:p>
      <w:pPr>
        <w:widowControl w:val="0"/>
        <w:snapToGrid w:val="0"/>
        <w:spacing w:line="560" w:lineRule="exact"/>
        <w:jc w:val="center"/>
        <w:outlineLvl w:val="0"/>
        <w:rPr>
          <w:color w:val="auto"/>
          <w:sz w:val="36"/>
          <w:szCs w:val="36"/>
          <w:highlight w:val="none"/>
        </w:rPr>
      </w:pPr>
      <w:bookmarkStart w:id="0" w:name="_Toc165383922"/>
      <w:r>
        <w:rPr>
          <w:rFonts w:hint="eastAsia" w:eastAsia="黑体"/>
          <w:b/>
          <w:color w:val="auto"/>
          <w:sz w:val="36"/>
          <w:szCs w:val="36"/>
          <w:highlight w:val="none"/>
        </w:rPr>
        <w:t>第一章</w:t>
      </w:r>
      <w:r>
        <w:rPr>
          <w:rFonts w:eastAsia="黑体"/>
          <w:b/>
          <w:color w:val="auto"/>
          <w:sz w:val="36"/>
          <w:szCs w:val="36"/>
          <w:highlight w:val="none"/>
        </w:rPr>
        <w:t xml:space="preserve">  </w:t>
      </w:r>
      <w:r>
        <w:rPr>
          <w:rFonts w:hint="eastAsia" w:eastAsia="黑体"/>
          <w:b/>
          <w:color w:val="auto"/>
          <w:sz w:val="36"/>
          <w:szCs w:val="36"/>
          <w:highlight w:val="none"/>
        </w:rPr>
        <w:t>招标公告</w:t>
      </w:r>
      <w:bookmarkEnd w:id="0"/>
    </w:p>
    <w:p>
      <w:pPr>
        <w:widowControl w:val="0"/>
        <w:snapToGrid w:val="0"/>
        <w:spacing w:line="360" w:lineRule="auto"/>
        <w:ind w:firstLine="566"/>
        <w:rPr>
          <w:color w:val="auto"/>
          <w:sz w:val="28"/>
          <w:szCs w:val="28"/>
          <w:highlight w:val="none"/>
        </w:rPr>
      </w:pPr>
    </w:p>
    <w:p>
      <w:pPr>
        <w:widowControl w:val="0"/>
        <w:adjustRightInd w:val="0"/>
        <w:snapToGrid w:val="0"/>
        <w:spacing w:line="360" w:lineRule="auto"/>
        <w:ind w:firstLine="632" w:firstLineChars="225"/>
        <w:jc w:val="left"/>
        <w:rPr>
          <w:rFonts w:ascii="黑体" w:hAnsi="黑体" w:eastAsia="黑体"/>
          <w:b/>
          <w:color w:val="auto"/>
          <w:sz w:val="28"/>
          <w:szCs w:val="28"/>
          <w:highlight w:val="none"/>
        </w:rPr>
      </w:pPr>
      <w:r>
        <w:rPr>
          <w:rFonts w:hint="eastAsia" w:ascii="黑体" w:hAnsi="黑体" w:eastAsia="黑体"/>
          <w:b/>
          <w:color w:val="auto"/>
          <w:sz w:val="28"/>
          <w:szCs w:val="28"/>
          <w:highlight w:val="none"/>
        </w:rPr>
        <w:t>1.项目基本情况</w:t>
      </w:r>
    </w:p>
    <w:p>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rPr>
        <w:t>项目编号：安财招标采购-2024-19</w:t>
      </w:r>
    </w:p>
    <w:p>
      <w:pPr>
        <w:widowControl w:val="0"/>
        <w:adjustRightInd w:val="0"/>
        <w:snapToGrid w:val="0"/>
        <w:spacing w:line="360" w:lineRule="auto"/>
        <w:ind w:firstLine="540" w:firstLineChars="225"/>
        <w:jc w:val="left"/>
        <w:rPr>
          <w:rFonts w:hint="eastAsia" w:ascii="宋体" w:hAnsi="宋体" w:eastAsia="宋体"/>
          <w:color w:val="auto"/>
          <w:sz w:val="24"/>
          <w:szCs w:val="24"/>
          <w:highlight w:val="none"/>
          <w:lang w:eastAsia="zh-CN"/>
        </w:rPr>
      </w:pPr>
      <w:r>
        <w:rPr>
          <w:rFonts w:ascii="宋体" w:hAnsi="宋体"/>
          <w:color w:val="auto"/>
          <w:sz w:val="24"/>
          <w:szCs w:val="24"/>
          <w:highlight w:val="none"/>
        </w:rPr>
        <w:t>1.2</w:t>
      </w:r>
      <w:r>
        <w:rPr>
          <w:rFonts w:hint="eastAsia" w:ascii="宋体" w:hAnsi="宋体"/>
          <w:color w:val="auto"/>
          <w:sz w:val="24"/>
          <w:szCs w:val="24"/>
          <w:highlight w:val="none"/>
        </w:rPr>
        <w:t>项目名称：安阳市住房和城乡建设局安阳市东区污水处理厂初沉淀池改造工程项目</w:t>
      </w:r>
      <w:r>
        <w:rPr>
          <w:rFonts w:hint="eastAsia" w:ascii="宋体" w:hAnsi="宋体"/>
          <w:color w:val="auto"/>
          <w:sz w:val="24"/>
          <w:szCs w:val="24"/>
          <w:highlight w:val="none"/>
          <w:lang w:eastAsia="zh-CN"/>
        </w:rPr>
        <w:t>（二次）</w:t>
      </w:r>
    </w:p>
    <w:p>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1.3 采购方式：公开招标</w:t>
      </w:r>
    </w:p>
    <w:p>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4 预算金额：3026800元</w:t>
      </w:r>
    </w:p>
    <w:tbl>
      <w:tblPr>
        <w:tblStyle w:val="20"/>
        <w:tblW w:w="911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8"/>
        <w:gridCol w:w="709"/>
        <w:gridCol w:w="4640"/>
        <w:gridCol w:w="1368"/>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tblCellSpacing w:w="0" w:type="dxa"/>
          <w:jc w:val="center"/>
        </w:trPr>
        <w:tc>
          <w:tcPr>
            <w:tcW w:w="578" w:type="dxa"/>
            <w:vAlign w:val="center"/>
          </w:tcPr>
          <w:p>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709" w:type="dxa"/>
            <w:vAlign w:val="center"/>
          </w:tcPr>
          <w:p>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包号</w:t>
            </w:r>
          </w:p>
        </w:tc>
        <w:tc>
          <w:tcPr>
            <w:tcW w:w="4640" w:type="dxa"/>
            <w:vAlign w:val="center"/>
          </w:tcPr>
          <w:p>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包名称</w:t>
            </w:r>
          </w:p>
        </w:tc>
        <w:tc>
          <w:tcPr>
            <w:tcW w:w="1368" w:type="dxa"/>
            <w:vAlign w:val="center"/>
          </w:tcPr>
          <w:p>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包预算（元）</w:t>
            </w:r>
          </w:p>
        </w:tc>
        <w:tc>
          <w:tcPr>
            <w:tcW w:w="1824" w:type="dxa"/>
            <w:vAlign w:val="center"/>
          </w:tcPr>
          <w:p>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blCellSpacing w:w="0" w:type="dxa"/>
          <w:jc w:val="center"/>
        </w:trPr>
        <w:tc>
          <w:tcPr>
            <w:tcW w:w="578" w:type="dxa"/>
            <w:vAlign w:val="center"/>
          </w:tcPr>
          <w:p>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09" w:type="dxa"/>
            <w:vAlign w:val="center"/>
          </w:tcPr>
          <w:p>
            <w:pPr>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640" w:type="dxa"/>
            <w:vAlign w:val="center"/>
          </w:tcPr>
          <w:p>
            <w:pPr>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安阳市住房和城乡建设局安阳市东区污水处理厂初沉淀池改造工程项目</w:t>
            </w:r>
            <w:r>
              <w:rPr>
                <w:rFonts w:hint="eastAsia" w:ascii="宋体" w:hAnsi="宋体"/>
                <w:color w:val="auto"/>
                <w:sz w:val="24"/>
                <w:szCs w:val="24"/>
                <w:highlight w:val="none"/>
              </w:rPr>
              <w:t>(包1)（二次）</w:t>
            </w:r>
          </w:p>
        </w:tc>
        <w:tc>
          <w:tcPr>
            <w:tcW w:w="1368" w:type="dxa"/>
            <w:vAlign w:val="center"/>
          </w:tcPr>
          <w:p>
            <w:pPr>
              <w:spacing w:line="240" w:lineRule="auto"/>
              <w:jc w:val="center"/>
              <w:textAlignment w:val="auto"/>
              <w:rPr>
                <w:rFonts w:ascii="宋体" w:hAnsi="宋体" w:cs="宋体"/>
                <w:color w:val="auto"/>
                <w:sz w:val="24"/>
                <w:szCs w:val="24"/>
                <w:highlight w:val="none"/>
              </w:rPr>
            </w:pPr>
            <w:r>
              <w:rPr>
                <w:rFonts w:hint="eastAsia"/>
                <w:color w:val="auto"/>
                <w:sz w:val="24"/>
                <w:szCs w:val="24"/>
                <w:highlight w:val="none"/>
              </w:rPr>
              <w:t>1990000</w:t>
            </w:r>
          </w:p>
        </w:tc>
        <w:tc>
          <w:tcPr>
            <w:tcW w:w="1824" w:type="dxa"/>
            <w:vAlign w:val="center"/>
          </w:tcPr>
          <w:p>
            <w:pPr>
              <w:spacing w:line="240" w:lineRule="auto"/>
              <w:jc w:val="center"/>
              <w:textAlignment w:val="auto"/>
              <w:rPr>
                <w:rFonts w:ascii="宋体" w:hAnsi="宋体" w:cs="宋体"/>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50</w:t>
            </w:r>
            <w:r>
              <w:rPr>
                <w:rFonts w:hint="eastAsia"/>
                <w:color w:val="auto"/>
                <w:sz w:val="24"/>
                <w:szCs w:val="24"/>
                <w:highlight w:val="none"/>
              </w:rPr>
              <w:t>0000</w:t>
            </w:r>
          </w:p>
        </w:tc>
      </w:tr>
    </w:tbl>
    <w:p>
      <w:pPr>
        <w:widowControl w:val="0"/>
        <w:adjustRightInd w:val="0"/>
        <w:snapToGrid w:val="0"/>
        <w:spacing w:line="360" w:lineRule="auto"/>
        <w:ind w:firstLine="540" w:firstLineChars="225"/>
        <w:jc w:val="left"/>
        <w:rPr>
          <w:rFonts w:ascii="宋体" w:hAnsi="宋体"/>
          <w:color w:val="auto"/>
          <w:sz w:val="24"/>
          <w:szCs w:val="24"/>
          <w:highlight w:val="none"/>
        </w:rPr>
      </w:pPr>
    </w:p>
    <w:p>
      <w:pPr>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1.5采购需求（详见法定媒体公告附件）：</w:t>
      </w:r>
    </w:p>
    <w:p>
      <w:pPr>
        <w:adjustRightInd w:val="0"/>
        <w:snapToGrid w:val="0"/>
        <w:spacing w:line="360" w:lineRule="auto"/>
        <w:ind w:firstLine="1020" w:firstLineChars="425"/>
        <w:rPr>
          <w:rFonts w:ascii="宋体" w:hAnsi="宋体"/>
          <w:color w:val="auto"/>
          <w:sz w:val="24"/>
          <w:szCs w:val="24"/>
          <w:highlight w:val="none"/>
        </w:rPr>
      </w:pPr>
      <w:r>
        <w:rPr>
          <w:rFonts w:hint="eastAsia" w:ascii="宋体" w:hAnsi="宋体"/>
          <w:color w:val="auto"/>
          <w:sz w:val="24"/>
          <w:szCs w:val="24"/>
          <w:highlight w:val="none"/>
        </w:rPr>
        <w:t>包</w:t>
      </w:r>
      <w:r>
        <w:rPr>
          <w:rFonts w:ascii="宋体" w:hAnsi="宋体"/>
          <w:color w:val="auto"/>
          <w:sz w:val="24"/>
          <w:szCs w:val="24"/>
          <w:highlight w:val="none"/>
        </w:rPr>
        <w:t>1</w:t>
      </w:r>
      <w:r>
        <w:rPr>
          <w:rFonts w:hint="eastAsia" w:ascii="宋体" w:hAnsi="宋体"/>
          <w:color w:val="auto"/>
          <w:sz w:val="24"/>
          <w:szCs w:val="24"/>
          <w:highlight w:val="none"/>
        </w:rPr>
        <w:t>：中心驱动单管吸泥机。</w:t>
      </w:r>
    </w:p>
    <w:p>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1.6合同履行期限：合同签订之日起</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5日内</w:t>
      </w:r>
    </w:p>
    <w:p>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1.7本项目（是/否）接受联合体投标：否</w:t>
      </w:r>
    </w:p>
    <w:p>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1.8是否接受进口产品：否</w:t>
      </w:r>
    </w:p>
    <w:p>
      <w:pPr>
        <w:widowControl w:val="0"/>
        <w:adjustRightInd w:val="0"/>
        <w:snapToGrid w:val="0"/>
        <w:spacing w:line="360" w:lineRule="auto"/>
        <w:ind w:firstLine="540" w:firstLineChars="225"/>
        <w:jc w:val="left"/>
        <w:rPr>
          <w:rFonts w:ascii="宋体"/>
          <w:color w:val="auto"/>
          <w:sz w:val="24"/>
          <w:szCs w:val="24"/>
          <w:highlight w:val="none"/>
        </w:rPr>
      </w:pPr>
    </w:p>
    <w:p>
      <w:pPr>
        <w:widowControl w:val="0"/>
        <w:snapToGrid w:val="0"/>
        <w:spacing w:line="360" w:lineRule="auto"/>
        <w:ind w:firstLine="562" w:firstLineChars="200"/>
        <w:rPr>
          <w:rFonts w:ascii="黑体" w:hAnsi="黑体" w:eastAsia="黑体"/>
          <w:b/>
          <w:color w:val="auto"/>
          <w:sz w:val="28"/>
          <w:szCs w:val="28"/>
          <w:highlight w:val="none"/>
        </w:rPr>
      </w:pPr>
      <w:bookmarkStart w:id="1" w:name="_Toc35393791"/>
      <w:bookmarkStart w:id="2" w:name="_Toc35393622"/>
      <w:bookmarkStart w:id="3" w:name="_Toc28359080"/>
      <w:bookmarkStart w:id="4" w:name="_Toc28359003"/>
      <w:r>
        <w:rPr>
          <w:rFonts w:hint="eastAsia" w:ascii="黑体" w:hAnsi="黑体" w:eastAsia="黑体"/>
          <w:b/>
          <w:color w:val="auto"/>
          <w:sz w:val="28"/>
          <w:szCs w:val="28"/>
          <w:highlight w:val="none"/>
        </w:rPr>
        <w:t>2.申请人的资格要求：</w:t>
      </w:r>
      <w:bookmarkEnd w:id="1"/>
      <w:bookmarkEnd w:id="2"/>
      <w:bookmarkEnd w:id="3"/>
      <w:bookmarkEnd w:id="4"/>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2.1满足《中华人民共和国政府采购法》第二十二条规定；</w:t>
      </w:r>
    </w:p>
    <w:p>
      <w:pPr>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落实政府采购政策需满足的资格要求：包1专门面向小微型企业采购。■提供《小微企业声明函》。</w:t>
      </w:r>
    </w:p>
    <w:p>
      <w:pPr>
        <w:ind w:firstLine="480" w:firstLineChars="200"/>
        <w:rPr>
          <w:rFonts w:ascii="宋体" w:hAnsi="宋体"/>
          <w:color w:val="auto"/>
          <w:sz w:val="24"/>
          <w:szCs w:val="24"/>
          <w:highlight w:val="none"/>
        </w:rPr>
      </w:pPr>
      <w:r>
        <w:rPr>
          <w:rFonts w:hint="eastAsia" w:ascii="宋体" w:hAnsi="宋体"/>
          <w:color w:val="auto"/>
          <w:sz w:val="24"/>
          <w:szCs w:val="24"/>
          <w:highlight w:val="none"/>
        </w:rPr>
        <w:t>2.3本项目的特定资格要求：</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.1</w:t>
      </w:r>
      <w:r>
        <w:rPr>
          <w:rFonts w:hint="eastAsia" w:ascii="宋体" w:hAnsi="宋体"/>
          <w:color w:val="auto"/>
          <w:sz w:val="24"/>
          <w:szCs w:val="24"/>
          <w:highlight w:val="none"/>
        </w:rPr>
        <w:t>满足《中华人民共和国政府采购法》第二十二条第</w:t>
      </w:r>
      <w:r>
        <w:rPr>
          <w:rFonts w:ascii="宋体" w:hAnsi="宋体"/>
          <w:color w:val="auto"/>
          <w:sz w:val="24"/>
          <w:szCs w:val="24"/>
          <w:highlight w:val="none"/>
        </w:rPr>
        <w:t>一款</w:t>
      </w:r>
      <w:r>
        <w:rPr>
          <w:rFonts w:hint="eastAsia" w:ascii="宋体" w:hAnsi="宋体"/>
          <w:color w:val="auto"/>
          <w:sz w:val="24"/>
          <w:szCs w:val="24"/>
          <w:highlight w:val="none"/>
        </w:rPr>
        <w:t>规定的</w:t>
      </w:r>
      <w:r>
        <w:rPr>
          <w:rFonts w:ascii="宋体" w:hAnsi="宋体"/>
          <w:color w:val="auto"/>
          <w:sz w:val="24"/>
          <w:szCs w:val="24"/>
          <w:highlight w:val="none"/>
        </w:rPr>
        <w:t>供应商基础性</w:t>
      </w:r>
      <w:r>
        <w:rPr>
          <w:rFonts w:hint="eastAsia" w:ascii="宋体" w:hAnsi="宋体"/>
          <w:color w:val="auto"/>
          <w:sz w:val="24"/>
          <w:szCs w:val="24"/>
          <w:highlight w:val="none"/>
        </w:rPr>
        <w:t>资格要求；供应商自行承诺并承担后果，承诺书不实的，按《政府采购法》有关提供虚假材料的有关规定给予处罚。</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2对供</w:t>
      </w:r>
      <w:r>
        <w:rPr>
          <w:rFonts w:ascii="宋体" w:hAnsi="宋体"/>
          <w:color w:val="auto"/>
          <w:sz w:val="24"/>
          <w:szCs w:val="24"/>
          <w:highlight w:val="none"/>
        </w:rPr>
        <w:t>应商的限制性规定</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（1）供应商应当无不良信用记录。</w:t>
      </w:r>
      <w:r>
        <w:rPr>
          <w:rFonts w:ascii="宋体" w:hAnsi="宋体"/>
          <w:color w:val="auto"/>
          <w:sz w:val="24"/>
          <w:szCs w:val="24"/>
          <w:highlight w:val="none"/>
        </w:rPr>
        <w:t>(</w:t>
      </w:r>
      <w:r>
        <w:rPr>
          <w:rFonts w:hint="eastAsia" w:ascii="宋体" w:hAnsi="宋体"/>
          <w:color w:val="auto"/>
          <w:sz w:val="24"/>
          <w:szCs w:val="24"/>
          <w:highlight w:val="none"/>
        </w:rPr>
        <w:t>未列入“信用中国”</w:t>
      </w:r>
      <w:r>
        <w:rPr>
          <w:rFonts w:ascii="宋体" w:hAnsi="宋体"/>
          <w:color w:val="auto"/>
          <w:sz w:val="24"/>
          <w:szCs w:val="24"/>
          <w:highlight w:val="none"/>
        </w:rPr>
        <w:t>&lt;www.creditchina.gov.cn&gt;</w:t>
      </w:r>
      <w:r>
        <w:rPr>
          <w:rFonts w:hint="eastAsia" w:ascii="宋体" w:hAnsi="宋体"/>
          <w:color w:val="auto"/>
          <w:sz w:val="24"/>
          <w:szCs w:val="24"/>
          <w:highlight w:val="none"/>
        </w:rPr>
        <w:t>网站的“失信被执行人”和“重大税收违法失信主体”及“中国政府采购网”</w:t>
      </w:r>
      <w:r>
        <w:rPr>
          <w:rFonts w:ascii="宋体" w:hAnsi="宋体"/>
          <w:color w:val="auto"/>
          <w:sz w:val="24"/>
          <w:szCs w:val="24"/>
          <w:highlight w:val="none"/>
        </w:rPr>
        <w:t>&lt;www.ccgp.gov.cn&gt;</w:t>
      </w:r>
      <w:r>
        <w:rPr>
          <w:rFonts w:hint="eastAsia" w:ascii="宋体" w:hAnsi="宋体"/>
          <w:color w:val="auto"/>
          <w:sz w:val="24"/>
          <w:szCs w:val="24"/>
          <w:highlight w:val="none"/>
        </w:rPr>
        <w:t>网站的“政府采购严重违法失信行为记录名单”</w:t>
      </w:r>
      <w:r>
        <w:rPr>
          <w:rFonts w:ascii="宋体" w:hAnsi="宋体"/>
          <w:color w:val="auto"/>
          <w:sz w:val="24"/>
          <w:szCs w:val="24"/>
          <w:highlight w:val="none"/>
        </w:rPr>
        <w:t>)</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供应商递交投标文件后，采购人或者采购代理机构将按以上信用信息查询渠道在解密投标文件之前对参加本项目的投标人信用记录进行查询，投标人有上述任一不良信用记录的，其</w:t>
      </w:r>
      <w:r>
        <w:rPr>
          <w:rFonts w:ascii="宋体" w:hAnsi="宋体"/>
          <w:color w:val="auto"/>
          <w:sz w:val="24"/>
          <w:szCs w:val="24"/>
          <w:highlight w:val="none"/>
        </w:rPr>
        <w:t>投标将被</w:t>
      </w:r>
      <w:r>
        <w:rPr>
          <w:rFonts w:hint="eastAsia" w:ascii="宋体" w:hAnsi="宋体"/>
          <w:color w:val="auto"/>
          <w:sz w:val="24"/>
          <w:szCs w:val="24"/>
          <w:highlight w:val="none"/>
        </w:rPr>
        <w:t>拒</w:t>
      </w:r>
      <w:r>
        <w:rPr>
          <w:rFonts w:ascii="宋体" w:hAnsi="宋体"/>
          <w:color w:val="auto"/>
          <w:sz w:val="24"/>
          <w:szCs w:val="24"/>
          <w:highlight w:val="none"/>
        </w:rPr>
        <w:t>绝</w:t>
      </w:r>
      <w:r>
        <w:rPr>
          <w:rFonts w:hint="eastAsia" w:ascii="宋体" w:hAnsi="宋体"/>
          <w:color w:val="auto"/>
          <w:sz w:val="24"/>
          <w:szCs w:val="24"/>
          <w:highlight w:val="none"/>
        </w:rPr>
        <w:t>、</w:t>
      </w:r>
      <w:r>
        <w:rPr>
          <w:rFonts w:ascii="宋体" w:hAnsi="宋体"/>
          <w:color w:val="auto"/>
          <w:sz w:val="24"/>
          <w:szCs w:val="24"/>
          <w:highlight w:val="none"/>
        </w:rPr>
        <w:t>为无效投</w:t>
      </w:r>
      <w:r>
        <w:rPr>
          <w:rFonts w:hint="eastAsia" w:ascii="宋体" w:hAnsi="宋体"/>
          <w:color w:val="auto"/>
          <w:sz w:val="24"/>
          <w:szCs w:val="24"/>
          <w:highlight w:val="none"/>
        </w:rPr>
        <w:t>标。查询的网页内容将以截图或者拍照作为证据留存。</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单位负责人为同一人或者存在直接控股、管理关系的不同供应商，不得参加本合同项下的政府采购活动。供应商自行承诺并承担后果，承诺书不实的，按《政府采购法》有关提供虚假材料的有关规定给予处罚。</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为本招标项目提供整体设计、规范编制或者项目管理、监理、检测等服务的供应商，不得再参加本招标项目。供应商自行承诺并承担后果，承诺书不实的，按《政府采购法》有关提供虚假材料的有关规定给予处罚。</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3项目的特定资格要求：</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（1）具备法律、行政法规规定的其他条件。</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（2）本项目（是/否）接受联合体投标：同“项目基本情况”1.7款要求。</w:t>
      </w:r>
    </w:p>
    <w:p>
      <w:pPr>
        <w:widowControl w:val="0"/>
        <w:adjustRightInd w:val="0"/>
        <w:spacing w:before="156" w:beforeLines="50" w:line="300" w:lineRule="auto"/>
        <w:ind w:firstLine="540" w:firstLineChars="225"/>
        <w:rPr>
          <w:color w:val="auto"/>
          <w:sz w:val="24"/>
          <w:szCs w:val="24"/>
          <w:highlight w:val="none"/>
        </w:rPr>
      </w:pPr>
      <w:r>
        <w:rPr>
          <w:rFonts w:hint="eastAsia"/>
          <w:color w:val="auto"/>
          <w:sz w:val="24"/>
          <w:szCs w:val="24"/>
          <w:highlight w:val="none"/>
        </w:rPr>
        <w:t>注：（1）所有证照均应为有效的证照；文中“近”、“前”指距投标截止时间。</w:t>
      </w:r>
    </w:p>
    <w:p>
      <w:pPr>
        <w:widowControl w:val="0"/>
        <w:adjustRightInd w:val="0"/>
        <w:spacing w:before="156" w:beforeLines="50" w:line="300" w:lineRule="auto"/>
        <w:ind w:firstLine="540" w:firstLineChars="225"/>
        <w:rPr>
          <w:color w:val="auto"/>
          <w:sz w:val="24"/>
          <w:szCs w:val="24"/>
          <w:highlight w:val="none"/>
        </w:rPr>
      </w:pPr>
      <w:r>
        <w:rPr>
          <w:rFonts w:hint="eastAsia"/>
          <w:color w:val="auto"/>
          <w:sz w:val="24"/>
          <w:szCs w:val="24"/>
          <w:highlight w:val="none"/>
        </w:rPr>
        <w:t>（2）资格证明材料（文件）应附于投标文件中并经投</w:t>
      </w:r>
      <w:r>
        <w:rPr>
          <w:color w:val="auto"/>
          <w:sz w:val="24"/>
          <w:szCs w:val="24"/>
          <w:highlight w:val="none"/>
        </w:rPr>
        <w:t>标人</w:t>
      </w:r>
      <w:r>
        <w:rPr>
          <w:rFonts w:hint="eastAsia" w:ascii="宋体" w:hAnsi="宋体" w:cs="楷体_GB2312"/>
          <w:color w:val="auto"/>
          <w:sz w:val="24"/>
          <w:highlight w:val="none"/>
        </w:rPr>
        <w:t>电子签章</w:t>
      </w:r>
      <w:r>
        <w:rPr>
          <w:rFonts w:hint="eastAsia"/>
          <w:color w:val="auto"/>
          <w:sz w:val="24"/>
          <w:szCs w:val="24"/>
          <w:highlight w:val="none"/>
        </w:rPr>
        <w:t>。投标人对资格证明文件真实性有效合规承担责任，提供虚假材料的为无效投标并将进一步追究其责任。</w:t>
      </w:r>
    </w:p>
    <w:p>
      <w:pPr>
        <w:pStyle w:val="17"/>
        <w:shd w:val="clear" w:color="auto" w:fill="FFFFFF"/>
        <w:adjustRightInd w:val="0"/>
        <w:spacing w:before="50" w:beforeAutospacing="0" w:after="0" w:afterAutospacing="0" w:line="300" w:lineRule="auto"/>
        <w:ind w:firstLine="540" w:firstLineChars="225"/>
        <w:rPr>
          <w:color w:val="auto"/>
          <w:highlight w:val="none"/>
        </w:rPr>
      </w:pPr>
      <w:r>
        <w:rPr>
          <w:rFonts w:hint="eastAsia"/>
          <w:color w:val="auto"/>
          <w:highlight w:val="none"/>
        </w:rPr>
        <w:t>（3）</w:t>
      </w:r>
      <w:r>
        <w:rPr>
          <w:color w:val="auto"/>
          <w:highlight w:val="none"/>
        </w:rPr>
        <w:t xml:space="preserve"> </w:t>
      </w:r>
      <w:r>
        <w:rPr>
          <w:rFonts w:hint="eastAsia"/>
          <w:color w:val="auto"/>
          <w:highlight w:val="none"/>
        </w:rPr>
        <w:t>本项目采取资格后审，开标后，将由采购人或者采购代理机构对投标人的资格证明材料（文件）等进行资格审核，未按要求逐一提供、或资格审查不合格的为无效投标，投标人应自负其风险费用。</w:t>
      </w:r>
    </w:p>
    <w:p>
      <w:pPr>
        <w:pStyle w:val="17"/>
        <w:shd w:val="clear" w:color="auto" w:fill="FFFFFF"/>
        <w:adjustRightInd w:val="0"/>
        <w:spacing w:before="50" w:beforeAutospacing="0" w:after="0" w:afterAutospacing="0" w:line="300" w:lineRule="auto"/>
        <w:rPr>
          <w:b/>
          <w:color w:val="auto"/>
          <w:highlight w:val="none"/>
        </w:rPr>
      </w:pPr>
    </w:p>
    <w:p>
      <w:pPr>
        <w:widowControl w:val="0"/>
        <w:snapToGrid w:val="0"/>
        <w:spacing w:line="360" w:lineRule="auto"/>
        <w:ind w:firstLine="562" w:firstLineChars="200"/>
        <w:rPr>
          <w:rFonts w:ascii="黑体" w:hAnsi="黑体" w:eastAsia="黑体"/>
          <w:b/>
          <w:color w:val="auto"/>
          <w:sz w:val="28"/>
          <w:szCs w:val="28"/>
          <w:highlight w:val="none"/>
        </w:rPr>
      </w:pPr>
      <w:bookmarkStart w:id="5" w:name="_Toc35393623"/>
      <w:bookmarkStart w:id="6" w:name="_Toc35393792"/>
      <w:r>
        <w:rPr>
          <w:rFonts w:hint="eastAsia" w:ascii="黑体" w:hAnsi="黑体" w:eastAsia="黑体"/>
          <w:b/>
          <w:color w:val="auto"/>
          <w:sz w:val="28"/>
          <w:szCs w:val="28"/>
          <w:highlight w:val="none"/>
        </w:rPr>
        <w:t>3.获取招标文件</w:t>
      </w:r>
      <w:bookmarkEnd w:id="5"/>
      <w:bookmarkEnd w:id="6"/>
    </w:p>
    <w:p>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.1本次</w:t>
      </w:r>
      <w:r>
        <w:rPr>
          <w:rFonts w:hint="eastAsia" w:ascii="宋体" w:hAnsi="宋体"/>
          <w:color w:val="auto"/>
          <w:sz w:val="24"/>
          <w:szCs w:val="24"/>
          <w:highlight w:val="none"/>
        </w:rPr>
        <w:t>招标文件</w:t>
      </w:r>
      <w:r>
        <w:rPr>
          <w:rFonts w:ascii="宋体" w:hAnsi="宋体"/>
          <w:color w:val="auto"/>
          <w:sz w:val="24"/>
          <w:szCs w:val="24"/>
          <w:highlight w:val="none"/>
        </w:rPr>
        <w:t>在网上获取，</w:t>
      </w:r>
      <w:r>
        <w:rPr>
          <w:rFonts w:hint="eastAsia" w:ascii="宋体" w:hAnsi="宋体"/>
          <w:color w:val="auto"/>
          <w:sz w:val="24"/>
          <w:szCs w:val="24"/>
          <w:highlight w:val="none"/>
        </w:rPr>
        <w:t>登录安阳市公共资源交易中心网飘窗中的“新系统入口(https://xwz.ggzy.anyang.gov.cn:3720/ayggzy/)”,</w:t>
      </w:r>
      <w:r>
        <w:rPr>
          <w:rFonts w:hint="eastAsia"/>
          <w:color w:val="auto"/>
          <w:sz w:val="24"/>
          <w:szCs w:val="24"/>
          <w:highlight w:val="none"/>
        </w:rPr>
        <w:t xml:space="preserve"> 在</w:t>
      </w:r>
      <w:r>
        <w:rPr>
          <w:rFonts w:hint="eastAsia" w:ascii="宋体" w:hAnsi="宋体"/>
          <w:color w:val="auto"/>
          <w:sz w:val="24"/>
          <w:szCs w:val="24"/>
          <w:highlight w:val="none"/>
        </w:rPr>
        <w:t>【交易主体登录】入口完成注册</w:t>
      </w:r>
      <w:r>
        <w:rPr>
          <w:rFonts w:ascii="宋体" w:hAnsi="宋体"/>
          <w:color w:val="auto"/>
          <w:sz w:val="24"/>
          <w:szCs w:val="24"/>
          <w:highlight w:val="none"/>
        </w:rPr>
        <w:t>。注册手册详见登录页面的手册下载。注册完成后选择项目填写联系人信息后下载文件。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.2 凡有意参加投标者，请于2024年</w:t>
      </w:r>
      <w:r>
        <w:rPr>
          <w:rFonts w:hint="eastAsia" w:ascii="宋体" w:hAnsi="宋体"/>
          <w:color w:val="auto"/>
          <w:sz w:val="24"/>
          <w:szCs w:val="24"/>
          <w:highlight w:val="none"/>
          <w:lang w:val="en-US" w:eastAsia="zh-CN"/>
        </w:rPr>
        <w:t>6</w:t>
      </w:r>
      <w:r>
        <w:rPr>
          <w:rFonts w:ascii="宋体" w:hAnsi="宋体"/>
          <w:color w:val="auto"/>
          <w:sz w:val="24"/>
          <w:szCs w:val="24"/>
          <w:highlight w:val="none"/>
        </w:rPr>
        <w:t>月</w:t>
      </w:r>
      <w:r>
        <w:rPr>
          <w:rFonts w:hint="eastAsia" w:ascii="宋体" w:hAnsi="宋体"/>
          <w:color w:val="auto"/>
          <w:sz w:val="24"/>
          <w:szCs w:val="24"/>
          <w:highlight w:val="none"/>
          <w:lang w:val="en-US" w:eastAsia="zh-CN"/>
        </w:rPr>
        <w:t>29</w:t>
      </w:r>
      <w:r>
        <w:rPr>
          <w:rFonts w:ascii="宋体" w:hAnsi="宋体"/>
          <w:color w:val="auto"/>
          <w:sz w:val="24"/>
          <w:szCs w:val="24"/>
          <w:highlight w:val="none"/>
        </w:rPr>
        <w:t>日</w:t>
      </w:r>
      <w:r>
        <w:rPr>
          <w:rFonts w:hint="eastAsia" w:ascii="宋体" w:hAnsi="宋体"/>
          <w:color w:val="auto"/>
          <w:sz w:val="24"/>
          <w:szCs w:val="24"/>
          <w:highlight w:val="none"/>
        </w:rPr>
        <w:t>0</w:t>
      </w:r>
      <w:r>
        <w:rPr>
          <w:rFonts w:ascii="宋体" w:hAnsi="宋体"/>
          <w:color w:val="auto"/>
          <w:sz w:val="24"/>
          <w:szCs w:val="24"/>
          <w:highlight w:val="none"/>
        </w:rPr>
        <w:t>时</w:t>
      </w:r>
      <w:r>
        <w:rPr>
          <w:rFonts w:hint="eastAsia" w:ascii="宋体" w:hAnsi="宋体"/>
          <w:color w:val="auto"/>
          <w:sz w:val="24"/>
          <w:szCs w:val="24"/>
          <w:highlight w:val="none"/>
        </w:rPr>
        <w:t>0</w:t>
      </w:r>
      <w:r>
        <w:rPr>
          <w:rFonts w:ascii="宋体" w:hAnsi="宋体"/>
          <w:color w:val="auto"/>
          <w:sz w:val="24"/>
          <w:szCs w:val="24"/>
          <w:highlight w:val="none"/>
        </w:rPr>
        <w:t>分至2024年</w:t>
      </w:r>
      <w:r>
        <w:rPr>
          <w:rFonts w:hint="eastAsia" w:ascii="宋体" w:hAnsi="宋体"/>
          <w:color w:val="auto"/>
          <w:sz w:val="24"/>
          <w:szCs w:val="24"/>
          <w:highlight w:val="none"/>
          <w:lang w:val="en-US" w:eastAsia="zh-CN"/>
        </w:rPr>
        <w:t>7</w:t>
      </w:r>
      <w:r>
        <w:rPr>
          <w:rFonts w:ascii="宋体" w:hAnsi="宋体"/>
          <w:color w:val="auto"/>
          <w:sz w:val="24"/>
          <w:szCs w:val="24"/>
          <w:highlight w:val="none"/>
        </w:rPr>
        <w:t>月</w:t>
      </w:r>
      <w:r>
        <w:rPr>
          <w:rFonts w:hint="eastAsia" w:ascii="宋体" w:hAnsi="宋体"/>
          <w:color w:val="auto"/>
          <w:sz w:val="24"/>
          <w:szCs w:val="24"/>
          <w:highlight w:val="none"/>
          <w:lang w:val="en-US" w:eastAsia="zh-CN"/>
        </w:rPr>
        <w:t>5</w:t>
      </w:r>
      <w:r>
        <w:rPr>
          <w:rFonts w:ascii="宋体" w:hAnsi="宋体"/>
          <w:color w:val="auto"/>
          <w:sz w:val="24"/>
          <w:szCs w:val="24"/>
          <w:highlight w:val="none"/>
        </w:rPr>
        <w:t>日</w:t>
      </w:r>
      <w:r>
        <w:rPr>
          <w:rFonts w:hint="eastAsia" w:ascii="宋体" w:hAnsi="宋体"/>
          <w:color w:val="auto"/>
          <w:sz w:val="24"/>
          <w:szCs w:val="24"/>
          <w:highlight w:val="none"/>
        </w:rPr>
        <w:t>23</w:t>
      </w:r>
      <w:r>
        <w:rPr>
          <w:rFonts w:ascii="宋体" w:hAnsi="宋体"/>
          <w:color w:val="auto"/>
          <w:sz w:val="24"/>
          <w:szCs w:val="24"/>
          <w:highlight w:val="none"/>
        </w:rPr>
        <w:t>时</w:t>
      </w:r>
      <w:r>
        <w:rPr>
          <w:rFonts w:hint="eastAsia" w:ascii="宋体" w:hAnsi="宋体"/>
          <w:color w:val="auto"/>
          <w:sz w:val="24"/>
          <w:szCs w:val="24"/>
          <w:highlight w:val="none"/>
        </w:rPr>
        <w:t>59</w:t>
      </w:r>
      <w:r>
        <w:rPr>
          <w:rFonts w:ascii="宋体" w:hAnsi="宋体"/>
          <w:color w:val="auto"/>
          <w:sz w:val="24"/>
          <w:szCs w:val="24"/>
          <w:highlight w:val="none"/>
        </w:rPr>
        <w:t>分前登录“安阳市公共资源交易中心网站（</w:t>
      </w:r>
      <w:r>
        <w:rPr>
          <w:rFonts w:hint="eastAsia" w:ascii="宋体" w:hAnsi="宋体"/>
          <w:color w:val="auto"/>
          <w:sz w:val="24"/>
          <w:szCs w:val="24"/>
          <w:highlight w:val="none"/>
        </w:rPr>
        <w:t>https://xwz.ggzy.anyang.gov.cn:3720/ayggzy/</w:t>
      </w:r>
      <w:r>
        <w:rPr>
          <w:rFonts w:ascii="宋体" w:hAnsi="宋体"/>
          <w:color w:val="auto"/>
          <w:sz w:val="24"/>
          <w:szCs w:val="24"/>
          <w:highlight w:val="none"/>
        </w:rPr>
        <w:t>）”，凭数字证书下载</w:t>
      </w:r>
      <w:r>
        <w:rPr>
          <w:rFonts w:hint="eastAsia" w:ascii="宋体" w:hAnsi="宋体"/>
          <w:color w:val="auto"/>
          <w:sz w:val="24"/>
          <w:szCs w:val="24"/>
          <w:highlight w:val="none"/>
        </w:rPr>
        <w:t>招标文件</w:t>
      </w:r>
      <w:r>
        <w:rPr>
          <w:rFonts w:ascii="宋体" w:hAnsi="宋体"/>
          <w:color w:val="auto"/>
          <w:sz w:val="24"/>
          <w:szCs w:val="24"/>
          <w:highlight w:val="none"/>
        </w:rPr>
        <w:t>（1、格式为*.ayzf的文件；2、格式为*.aybf的拦标价文件）。注：该项目的</w:t>
      </w:r>
      <w:r>
        <w:rPr>
          <w:rFonts w:hint="eastAsia" w:ascii="宋体" w:hAnsi="宋体"/>
          <w:color w:val="auto"/>
          <w:sz w:val="24"/>
          <w:szCs w:val="24"/>
          <w:highlight w:val="none"/>
        </w:rPr>
        <w:t>招标文件</w:t>
      </w:r>
      <w:r>
        <w:rPr>
          <w:rFonts w:ascii="宋体" w:hAnsi="宋体"/>
          <w:color w:val="auto"/>
          <w:sz w:val="24"/>
          <w:szCs w:val="24"/>
          <w:highlight w:val="none"/>
        </w:rPr>
        <w:t>以该文件为准。不要用格式为*.ZBJ、*.BDS及*.ZBS的文件制作投标文件）。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.3 获取</w:t>
      </w:r>
      <w:r>
        <w:rPr>
          <w:rFonts w:hint="eastAsia" w:ascii="宋体" w:hAnsi="宋体"/>
          <w:color w:val="auto"/>
          <w:sz w:val="24"/>
          <w:szCs w:val="24"/>
          <w:highlight w:val="none"/>
        </w:rPr>
        <w:t>招标文件</w:t>
      </w:r>
      <w:r>
        <w:rPr>
          <w:rFonts w:ascii="宋体" w:hAnsi="宋体"/>
          <w:color w:val="auto"/>
          <w:sz w:val="24"/>
          <w:szCs w:val="24"/>
          <w:highlight w:val="none"/>
        </w:rPr>
        <w:t>后，请到安阳市公共资源交易中心网站（</w:t>
      </w:r>
      <w:r>
        <w:rPr>
          <w:rFonts w:hint="eastAsia" w:ascii="宋体" w:hAnsi="宋体"/>
          <w:color w:val="auto"/>
          <w:sz w:val="24"/>
          <w:szCs w:val="24"/>
          <w:highlight w:val="none"/>
        </w:rPr>
        <w:t>https://xwz.ggzy.anyang.gov.cn:3720/ayggzy/</w:t>
      </w:r>
      <w:r>
        <w:rPr>
          <w:rFonts w:ascii="宋体" w:hAnsi="宋体"/>
          <w:color w:val="auto"/>
          <w:sz w:val="24"/>
          <w:szCs w:val="24"/>
          <w:highlight w:val="none"/>
        </w:rPr>
        <w:t>）下载并安装投标文件制作工具，查看</w:t>
      </w:r>
      <w:r>
        <w:rPr>
          <w:rFonts w:hint="eastAsia" w:ascii="宋体" w:hAnsi="宋体"/>
          <w:color w:val="auto"/>
          <w:sz w:val="24"/>
          <w:szCs w:val="24"/>
          <w:highlight w:val="none"/>
        </w:rPr>
        <w:t>招标文件</w:t>
      </w:r>
      <w:r>
        <w:rPr>
          <w:rFonts w:ascii="宋体" w:hAnsi="宋体"/>
          <w:color w:val="auto"/>
          <w:sz w:val="24"/>
          <w:szCs w:val="24"/>
          <w:highlight w:val="none"/>
        </w:rPr>
        <w:t>和制作电子投标文件。如有技术问题请咨询0372-3387737</w:t>
      </w:r>
      <w:r>
        <w:rPr>
          <w:rFonts w:hint="eastAsia" w:ascii="宋体" w:hAnsi="宋体"/>
          <w:color w:val="auto"/>
          <w:sz w:val="24"/>
          <w:szCs w:val="24"/>
          <w:highlight w:val="none"/>
        </w:rPr>
        <w:t>、3387739</w:t>
      </w:r>
      <w:r>
        <w:rPr>
          <w:rFonts w:ascii="宋体" w:hAnsi="宋体"/>
          <w:color w:val="auto"/>
          <w:sz w:val="24"/>
          <w:szCs w:val="24"/>
          <w:highlight w:val="none"/>
        </w:rPr>
        <w:t>。</w:t>
      </w:r>
    </w:p>
    <w:p>
      <w:pPr>
        <w:pStyle w:val="17"/>
        <w:shd w:val="clear" w:color="auto" w:fill="FFFFFF"/>
        <w:adjustRightInd w:val="0"/>
        <w:spacing w:before="50" w:beforeAutospacing="0" w:after="0" w:afterAutospacing="0" w:line="300" w:lineRule="auto"/>
        <w:ind w:firstLine="540" w:firstLineChars="225"/>
        <w:rPr>
          <w:rFonts w:cs="Times New Roman"/>
          <w:color w:val="auto"/>
          <w:highlight w:val="none"/>
        </w:rPr>
      </w:pPr>
    </w:p>
    <w:p>
      <w:pPr>
        <w:widowControl w:val="0"/>
        <w:snapToGrid w:val="0"/>
        <w:spacing w:line="360" w:lineRule="auto"/>
        <w:ind w:firstLine="562" w:firstLineChars="200"/>
        <w:rPr>
          <w:rFonts w:ascii="黑体" w:hAnsi="黑体" w:eastAsia="黑体"/>
          <w:b/>
          <w:color w:val="auto"/>
          <w:sz w:val="28"/>
          <w:szCs w:val="28"/>
          <w:highlight w:val="none"/>
        </w:rPr>
      </w:pPr>
      <w:bookmarkStart w:id="7" w:name="_Toc28359082"/>
      <w:bookmarkStart w:id="8" w:name="_Toc28359005"/>
      <w:bookmarkStart w:id="9" w:name="_Toc35393624"/>
      <w:bookmarkStart w:id="10" w:name="_Toc35393793"/>
      <w:r>
        <w:rPr>
          <w:rFonts w:hint="eastAsia" w:ascii="黑体" w:hAnsi="黑体" w:eastAsia="黑体"/>
          <w:b/>
          <w:color w:val="auto"/>
          <w:sz w:val="28"/>
          <w:szCs w:val="28"/>
          <w:highlight w:val="none"/>
        </w:rPr>
        <w:t>4.提交投标文件</w:t>
      </w:r>
      <w:bookmarkEnd w:id="7"/>
      <w:bookmarkEnd w:id="8"/>
      <w:r>
        <w:rPr>
          <w:rFonts w:hint="eastAsia" w:ascii="黑体" w:hAnsi="黑体" w:eastAsia="黑体"/>
          <w:b/>
          <w:color w:val="auto"/>
          <w:sz w:val="28"/>
          <w:szCs w:val="28"/>
          <w:highlight w:val="none"/>
        </w:rPr>
        <w:t>截止时间（投标截止时间及地点）</w:t>
      </w:r>
      <w:bookmarkEnd w:id="9"/>
      <w:bookmarkEnd w:id="10"/>
    </w:p>
    <w:p>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4.1截止时间：2024年</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19</w:t>
      </w:r>
      <w:r>
        <w:rPr>
          <w:rFonts w:hint="eastAsia" w:ascii="宋体" w:hAnsi="宋体"/>
          <w:color w:val="auto"/>
          <w:sz w:val="24"/>
          <w:szCs w:val="24"/>
          <w:highlight w:val="none"/>
        </w:rPr>
        <w:t>日09时00分（北京时间）</w:t>
      </w:r>
    </w:p>
    <w:p>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4.2地点：投标人应在投标截止时间前上传加密的电子投标文件（*.aytf）到安阳市电子招投标交易平台（http://222.139.28.234:2345/tpbidder）。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w:t>
      </w:r>
    </w:p>
    <w:p>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4.3逾期送达的或者未送达指定地点的投标文件，采购人不予受理。</w:t>
      </w:r>
    </w:p>
    <w:p>
      <w:pPr>
        <w:widowControl w:val="0"/>
        <w:snapToGrid w:val="0"/>
        <w:spacing w:line="360" w:lineRule="auto"/>
        <w:ind w:left="55" w:leftChars="26" w:firstLine="540" w:firstLineChars="225"/>
        <w:rPr>
          <w:color w:val="auto"/>
          <w:sz w:val="24"/>
          <w:szCs w:val="24"/>
          <w:highlight w:val="none"/>
        </w:rPr>
      </w:pPr>
    </w:p>
    <w:p>
      <w:pPr>
        <w:widowControl w:val="0"/>
        <w:adjustRightInd w:val="0"/>
        <w:spacing w:before="156" w:beforeLines="50" w:line="300" w:lineRule="auto"/>
        <w:ind w:firstLine="632" w:firstLineChars="225"/>
        <w:rPr>
          <w:color w:val="auto"/>
          <w:sz w:val="24"/>
          <w:szCs w:val="24"/>
          <w:highlight w:val="none"/>
        </w:rPr>
      </w:pPr>
      <w:r>
        <w:rPr>
          <w:rFonts w:hint="eastAsia" w:ascii="黑体" w:hAnsi="黑体" w:eastAsia="黑体"/>
          <w:b/>
          <w:color w:val="auto"/>
          <w:sz w:val="28"/>
          <w:szCs w:val="28"/>
          <w:highlight w:val="none"/>
        </w:rPr>
        <w:t>5.开标时间和地点</w:t>
      </w:r>
    </w:p>
    <w:p>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5.1时间：2024年</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19</w:t>
      </w:r>
      <w:r>
        <w:rPr>
          <w:rFonts w:hint="eastAsia" w:ascii="宋体" w:hAnsi="宋体"/>
          <w:color w:val="auto"/>
          <w:sz w:val="24"/>
          <w:szCs w:val="24"/>
          <w:highlight w:val="none"/>
        </w:rPr>
        <w:t>日09时00分（北京时间）</w:t>
      </w:r>
    </w:p>
    <w:p>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5.2地点（管理员网上操作地点）：安阳市公共资源交易中心五楼集中开标大厅4室（安阳市文峰大道东段559号安阳市民之家）。</w:t>
      </w:r>
    </w:p>
    <w:p>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5.3本项目采用远程不见面交易的模式，开标当日，投标人无需到开标现场参加开标会议，投标人应当在投标截止时间前，使用IE浏览器登录到安阳市公共资源交易不见面开标大厅（http://222.139.28.234:2345/BidOpening），点击右上方【登录】按钮进入，在线准时参加开标活动并进行投标文件解密等。因投标人原因未能解密、解密失败或解密超时的将被拒绝。</w:t>
      </w:r>
    </w:p>
    <w:p>
      <w:pPr>
        <w:widowControl w:val="0"/>
        <w:snapToGrid w:val="0"/>
        <w:spacing w:line="360" w:lineRule="auto"/>
        <w:ind w:firstLine="480" w:firstLineChars="200"/>
        <w:rPr>
          <w:color w:val="auto"/>
          <w:sz w:val="24"/>
          <w:szCs w:val="24"/>
          <w:highlight w:val="none"/>
        </w:rPr>
      </w:pPr>
    </w:p>
    <w:p>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6.发布公告的媒介及招标公告期限</w:t>
      </w:r>
    </w:p>
    <w:p>
      <w:pPr>
        <w:widowControl w:val="0"/>
        <w:tabs>
          <w:tab w:val="left" w:pos="39"/>
          <w:tab w:val="left" w:pos="96"/>
        </w:tabs>
        <w:snapToGrid w:val="0"/>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本项目在“河南省政府采购网（安阳市政府采购网）”、“安阳市公共资源交易中心网</w:t>
      </w:r>
      <w:r>
        <w:rPr>
          <w:rFonts w:hint="eastAsia" w:ascii="宋体" w:hAnsi="宋体" w:cs="宋体"/>
          <w:color w:val="auto"/>
          <w:sz w:val="24"/>
          <w:szCs w:val="24"/>
          <w:highlight w:val="none"/>
        </w:rPr>
        <w:t>”、</w:t>
      </w:r>
      <w:r>
        <w:rPr>
          <w:rFonts w:hint="eastAsia" w:ascii="宋体" w:hAnsi="宋体"/>
          <w:color w:val="auto"/>
          <w:sz w:val="24"/>
          <w:szCs w:val="24"/>
          <w:highlight w:val="none"/>
        </w:rPr>
        <w:t>“安阳招标采购网”网站上同期发布。</w:t>
      </w:r>
      <w:r>
        <w:rPr>
          <w:rFonts w:hint="eastAsia" w:ascii="宋体" w:hAnsi="宋体" w:cs="宋体"/>
          <w:color w:val="auto"/>
          <w:sz w:val="24"/>
          <w:szCs w:val="24"/>
          <w:highlight w:val="none"/>
        </w:rPr>
        <w:t>招标公告期限为五个工作日。</w:t>
      </w:r>
    </w:p>
    <w:p>
      <w:pPr>
        <w:tabs>
          <w:tab w:val="left" w:pos="39"/>
          <w:tab w:val="left" w:pos="96"/>
        </w:tabs>
        <w:snapToGrid w:val="0"/>
        <w:spacing w:line="360" w:lineRule="auto"/>
        <w:ind w:firstLine="566" w:firstLineChars="236"/>
        <w:rPr>
          <w:rFonts w:ascii="宋体" w:hAnsi="宋体"/>
          <w:color w:val="auto"/>
          <w:kern w:val="2"/>
          <w:sz w:val="24"/>
          <w:szCs w:val="24"/>
          <w:highlight w:val="none"/>
        </w:rPr>
      </w:pPr>
    </w:p>
    <w:p>
      <w:pPr>
        <w:widowControl w:val="0"/>
        <w:snapToGrid w:val="0"/>
        <w:spacing w:line="360" w:lineRule="auto"/>
        <w:ind w:firstLine="562" w:firstLineChars="200"/>
        <w:rPr>
          <w:rFonts w:ascii="黑体" w:hAnsi="黑体" w:eastAsia="黑体"/>
          <w:b/>
          <w:color w:val="auto"/>
          <w:sz w:val="28"/>
          <w:szCs w:val="28"/>
          <w:highlight w:val="none"/>
        </w:rPr>
      </w:pPr>
      <w:bookmarkStart w:id="11" w:name="_Toc35393795"/>
      <w:bookmarkStart w:id="12" w:name="_Toc35393626"/>
      <w:r>
        <w:rPr>
          <w:rFonts w:hint="eastAsia" w:ascii="黑体" w:hAnsi="黑体" w:eastAsia="黑体"/>
          <w:b/>
          <w:color w:val="auto"/>
          <w:sz w:val="28"/>
          <w:szCs w:val="28"/>
          <w:highlight w:val="none"/>
        </w:rPr>
        <w:t>7.其他补充事宜</w:t>
      </w:r>
      <w:bookmarkEnd w:id="11"/>
      <w:bookmarkEnd w:id="12"/>
    </w:p>
    <w:p>
      <w:pPr>
        <w:widowControl w:val="0"/>
        <w:snapToGrid w:val="0"/>
        <w:spacing w:line="360" w:lineRule="auto"/>
        <w:ind w:firstLine="540" w:firstLineChars="225"/>
        <w:jc w:val="left"/>
        <w:rPr>
          <w:color w:val="auto"/>
          <w:sz w:val="24"/>
          <w:szCs w:val="24"/>
          <w:highlight w:val="none"/>
        </w:rPr>
      </w:pPr>
      <w:r>
        <w:rPr>
          <w:rFonts w:hint="eastAsia" w:ascii="宋体" w:hAnsi="宋体"/>
          <w:color w:val="auto"/>
          <w:sz w:val="24"/>
          <w:szCs w:val="24"/>
          <w:highlight w:val="none"/>
        </w:rPr>
        <w:t>7.1项目落实的政府采购政策：</w:t>
      </w:r>
      <w:r>
        <w:rPr>
          <w:rFonts w:hint="eastAsia"/>
          <w:color w:val="auto"/>
          <w:sz w:val="24"/>
          <w:szCs w:val="24"/>
          <w:highlight w:val="none"/>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highlight w:val="none"/>
        </w:rPr>
        <w:t>支持绿色建筑、绿色建材，支持不发达、少数民族地区的企业，促进自主创新产业发展，支持脱贫攻坚等</w:t>
      </w:r>
      <w:r>
        <w:rPr>
          <w:rFonts w:hint="eastAsia"/>
          <w:color w:val="auto"/>
          <w:sz w:val="24"/>
          <w:szCs w:val="24"/>
          <w:highlight w:val="none"/>
        </w:rPr>
        <w:t>。</w:t>
      </w:r>
    </w:p>
    <w:p>
      <w:pPr>
        <w:widowControl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7.2政府采购合同融资</w:t>
      </w:r>
    </w:p>
    <w:p>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pPr>
        <w:widowControl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7.3网</w:t>
      </w:r>
      <w:r>
        <w:rPr>
          <w:rFonts w:ascii="宋体" w:hAnsi="宋体"/>
          <w:color w:val="auto"/>
          <w:sz w:val="24"/>
          <w:szCs w:val="24"/>
          <w:highlight w:val="none"/>
        </w:rPr>
        <w:t>上</w:t>
      </w:r>
      <w:r>
        <w:rPr>
          <w:rFonts w:hint="eastAsia" w:ascii="宋体" w:hAnsi="宋体"/>
          <w:color w:val="auto"/>
          <w:sz w:val="24"/>
          <w:szCs w:val="24"/>
          <w:highlight w:val="none"/>
        </w:rPr>
        <w:t>电子交易系</w:t>
      </w:r>
      <w:r>
        <w:rPr>
          <w:rFonts w:ascii="宋体" w:hAnsi="宋体"/>
          <w:color w:val="auto"/>
          <w:sz w:val="24"/>
          <w:szCs w:val="24"/>
          <w:highlight w:val="none"/>
        </w:rPr>
        <w:t>统</w:t>
      </w:r>
      <w:r>
        <w:rPr>
          <w:rFonts w:hint="eastAsia" w:ascii="宋体" w:hAnsi="宋体"/>
          <w:color w:val="auto"/>
          <w:sz w:val="24"/>
          <w:szCs w:val="24"/>
          <w:highlight w:val="none"/>
        </w:rPr>
        <w:t>网</w:t>
      </w:r>
      <w:r>
        <w:rPr>
          <w:rFonts w:ascii="宋体" w:hAnsi="宋体"/>
          <w:color w:val="auto"/>
          <w:sz w:val="24"/>
          <w:szCs w:val="24"/>
          <w:highlight w:val="none"/>
        </w:rPr>
        <w:t>址</w:t>
      </w:r>
    </w:p>
    <w:p>
      <w:pPr>
        <w:widowControl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7.3.1安阳市电子招投标交易平台（</w:t>
      </w:r>
      <w:r>
        <w:rPr>
          <w:color w:val="auto"/>
          <w:highlight w:val="none"/>
        </w:rPr>
        <w:fldChar w:fldCharType="begin"/>
      </w:r>
      <w:r>
        <w:rPr>
          <w:color w:val="auto"/>
          <w:highlight w:val="none"/>
        </w:rPr>
        <w:instrText xml:space="preserve"> HYPERLINK "http://222.139.28.234:2345/tpbidder" </w:instrText>
      </w:r>
      <w:r>
        <w:rPr>
          <w:color w:val="auto"/>
          <w:highlight w:val="none"/>
        </w:rPr>
        <w:fldChar w:fldCharType="separate"/>
      </w:r>
      <w:r>
        <w:rPr>
          <w:rFonts w:hint="eastAsia" w:ascii="宋体" w:hAnsi="宋体"/>
          <w:color w:val="auto"/>
          <w:sz w:val="24"/>
          <w:szCs w:val="24"/>
          <w:highlight w:val="none"/>
        </w:rPr>
        <w:t>http://222.139.28.234:2345/tpbidder</w:t>
      </w:r>
      <w:r>
        <w:rPr>
          <w:rFonts w:hint="eastAsia" w:ascii="宋体" w:hAnsi="宋体"/>
          <w:color w:val="auto"/>
          <w:sz w:val="24"/>
          <w:szCs w:val="24"/>
          <w:highlight w:val="none"/>
        </w:rPr>
        <w:fldChar w:fldCharType="end"/>
      </w:r>
      <w:r>
        <w:rPr>
          <w:rFonts w:hint="eastAsia" w:ascii="宋体" w:hAnsi="宋体"/>
          <w:color w:val="auto"/>
          <w:sz w:val="24"/>
          <w:szCs w:val="24"/>
          <w:highlight w:val="none"/>
        </w:rPr>
        <w:t>）</w:t>
      </w:r>
    </w:p>
    <w:p>
      <w:pPr>
        <w:widowControl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 xml:space="preserve">7.3.2 </w:t>
      </w:r>
      <w:r>
        <w:rPr>
          <w:rFonts w:ascii="宋体" w:hAnsi="宋体"/>
          <w:color w:val="auto"/>
          <w:sz w:val="24"/>
          <w:szCs w:val="24"/>
          <w:highlight w:val="none"/>
        </w:rPr>
        <w:t>请到安阳市公共资源交易中心网站（http://222.139.28.234:2345/tpbidder）下载并安装投标文件制作工具，查看</w:t>
      </w:r>
      <w:r>
        <w:rPr>
          <w:rFonts w:hint="eastAsia" w:ascii="宋体" w:hAnsi="宋体"/>
          <w:color w:val="auto"/>
          <w:sz w:val="24"/>
          <w:szCs w:val="24"/>
          <w:highlight w:val="none"/>
        </w:rPr>
        <w:t>招标</w:t>
      </w:r>
      <w:r>
        <w:rPr>
          <w:rFonts w:ascii="宋体" w:hAnsi="宋体"/>
          <w:color w:val="auto"/>
          <w:sz w:val="24"/>
          <w:szCs w:val="24"/>
          <w:highlight w:val="none"/>
        </w:rPr>
        <w:t>文件和制作电子投标文件。</w:t>
      </w:r>
    </w:p>
    <w:p>
      <w:pPr>
        <w:widowControl w:val="0"/>
        <w:snapToGrid w:val="0"/>
        <w:spacing w:line="360" w:lineRule="auto"/>
        <w:ind w:firstLine="632" w:firstLineChars="225"/>
        <w:jc w:val="left"/>
        <w:rPr>
          <w:rFonts w:ascii="黑体" w:hAnsi="黑体" w:eastAsia="黑体"/>
          <w:b/>
          <w:color w:val="auto"/>
          <w:sz w:val="28"/>
          <w:szCs w:val="28"/>
          <w:highlight w:val="none"/>
        </w:rPr>
      </w:pPr>
    </w:p>
    <w:p>
      <w:pPr>
        <w:widowControl w:val="0"/>
        <w:snapToGrid w:val="0"/>
        <w:spacing w:line="360" w:lineRule="auto"/>
        <w:ind w:firstLine="562" w:firstLineChars="200"/>
        <w:rPr>
          <w:rFonts w:ascii="黑体" w:hAnsi="黑体" w:eastAsia="黑体"/>
          <w:b/>
          <w:color w:val="auto"/>
          <w:sz w:val="28"/>
          <w:szCs w:val="28"/>
          <w:highlight w:val="none"/>
        </w:rPr>
      </w:pPr>
      <w:bookmarkStart w:id="13" w:name="_Toc28359008"/>
      <w:bookmarkStart w:id="14" w:name="_Toc35393796"/>
      <w:bookmarkStart w:id="15" w:name="_Toc35393627"/>
      <w:bookmarkStart w:id="16" w:name="_Toc28359085"/>
      <w:r>
        <w:rPr>
          <w:rFonts w:hint="eastAsia" w:ascii="黑体" w:hAnsi="黑体" w:eastAsia="黑体"/>
          <w:b/>
          <w:color w:val="auto"/>
          <w:sz w:val="28"/>
          <w:szCs w:val="28"/>
          <w:highlight w:val="none"/>
        </w:rPr>
        <w:t>8.对本次招标提出询问，请按</w:t>
      </w:r>
      <w:r>
        <w:rPr>
          <w:rFonts w:ascii="黑体" w:hAnsi="黑体" w:eastAsia="黑体"/>
          <w:b/>
          <w:color w:val="auto"/>
          <w:sz w:val="28"/>
          <w:szCs w:val="28"/>
          <w:highlight w:val="none"/>
        </w:rPr>
        <w:t>以下方式</w:t>
      </w:r>
      <w:r>
        <w:rPr>
          <w:rFonts w:hint="eastAsia" w:ascii="黑体" w:hAnsi="黑体" w:eastAsia="黑体"/>
          <w:b/>
          <w:color w:val="auto"/>
          <w:sz w:val="28"/>
          <w:szCs w:val="28"/>
          <w:highlight w:val="none"/>
        </w:rPr>
        <w:t>联系。</w:t>
      </w:r>
      <w:bookmarkEnd w:id="13"/>
      <w:bookmarkEnd w:id="14"/>
      <w:bookmarkEnd w:id="15"/>
      <w:bookmarkEnd w:id="16"/>
    </w:p>
    <w:p>
      <w:pPr>
        <w:ind w:firstLine="240" w:firstLineChars="100"/>
        <w:jc w:val="left"/>
        <w:rPr>
          <w:rFonts w:ascii="宋体" w:hAnsi="宋体"/>
          <w:color w:val="auto"/>
          <w:sz w:val="24"/>
          <w:szCs w:val="24"/>
          <w:highlight w:val="none"/>
        </w:rPr>
      </w:pPr>
      <w:r>
        <w:rPr>
          <w:rFonts w:hint="eastAsia" w:ascii="宋体" w:hAnsi="宋体" w:cs="宋体"/>
          <w:color w:val="auto"/>
          <w:sz w:val="24"/>
          <w:szCs w:val="24"/>
          <w:highlight w:val="none"/>
        </w:rPr>
        <w:t>　8.1采购人信息</w:t>
      </w:r>
    </w:p>
    <w:p>
      <w:pPr>
        <w:spacing w:line="360" w:lineRule="auto"/>
        <w:ind w:left="1079" w:leftChars="428" w:hanging="180" w:hangingChars="75"/>
        <w:jc w:val="left"/>
        <w:rPr>
          <w:rFonts w:ascii="宋体" w:hAnsi="宋体"/>
          <w:color w:val="auto"/>
          <w:sz w:val="24"/>
          <w:szCs w:val="24"/>
          <w:highlight w:val="none"/>
        </w:rPr>
      </w:pPr>
      <w:r>
        <w:rPr>
          <w:rFonts w:hint="eastAsia" w:ascii="宋体" w:hAnsi="宋体"/>
          <w:color w:val="auto"/>
          <w:sz w:val="24"/>
          <w:szCs w:val="24"/>
          <w:highlight w:val="none"/>
        </w:rPr>
        <w:t>名 称：安阳市住房和城乡建设局</w:t>
      </w:r>
    </w:p>
    <w:p>
      <w:pPr>
        <w:spacing w:line="360" w:lineRule="auto"/>
        <w:ind w:left="1079" w:leftChars="428" w:hanging="180" w:hangingChars="75"/>
        <w:jc w:val="left"/>
        <w:rPr>
          <w:rFonts w:ascii="宋体" w:hAnsi="宋体"/>
          <w:color w:val="auto"/>
          <w:sz w:val="24"/>
          <w:szCs w:val="24"/>
          <w:highlight w:val="none"/>
        </w:rPr>
      </w:pPr>
      <w:r>
        <w:rPr>
          <w:rFonts w:hint="eastAsia" w:ascii="宋体" w:hAnsi="宋体"/>
          <w:color w:val="auto"/>
          <w:sz w:val="24"/>
          <w:szCs w:val="24"/>
          <w:highlight w:val="none"/>
        </w:rPr>
        <w:t>地址：安阳市市民之家　       　</w:t>
      </w:r>
    </w:p>
    <w:p>
      <w:pPr>
        <w:spacing w:line="360" w:lineRule="auto"/>
        <w:ind w:left="1079" w:leftChars="428" w:hanging="180" w:hangingChars="75"/>
        <w:jc w:val="left"/>
        <w:rPr>
          <w:rFonts w:ascii="宋体" w:hAnsi="宋体"/>
          <w:color w:val="auto"/>
          <w:sz w:val="24"/>
          <w:szCs w:val="24"/>
          <w:highlight w:val="none"/>
        </w:rPr>
      </w:pPr>
      <w:r>
        <w:rPr>
          <w:rFonts w:hint="eastAsia" w:ascii="宋体" w:hAnsi="宋体"/>
          <w:color w:val="auto"/>
          <w:sz w:val="24"/>
          <w:szCs w:val="24"/>
          <w:highlight w:val="none"/>
        </w:rPr>
        <w:t xml:space="preserve">联系人：王艳玲、郑飞    </w:t>
      </w:r>
    </w:p>
    <w:p>
      <w:pPr>
        <w:spacing w:line="360" w:lineRule="auto"/>
        <w:ind w:left="1079" w:leftChars="428" w:hanging="180" w:hangingChars="75"/>
        <w:jc w:val="left"/>
        <w:rPr>
          <w:rFonts w:ascii="宋体" w:hAnsi="宋体"/>
          <w:color w:val="auto"/>
          <w:sz w:val="24"/>
          <w:szCs w:val="24"/>
          <w:highlight w:val="none"/>
        </w:rPr>
      </w:pPr>
      <w:r>
        <w:rPr>
          <w:rFonts w:hint="eastAsia" w:ascii="宋体" w:hAnsi="宋体"/>
          <w:color w:val="auto"/>
          <w:sz w:val="24"/>
          <w:szCs w:val="24"/>
          <w:highlight w:val="none"/>
        </w:rPr>
        <w:t>联系方式：</w:t>
      </w:r>
      <w:bookmarkStart w:id="17" w:name="_Toc28359009"/>
      <w:bookmarkStart w:id="18" w:name="_Toc28359086"/>
      <w:r>
        <w:rPr>
          <w:rFonts w:hint="eastAsia" w:ascii="宋体" w:hAnsi="宋体"/>
          <w:color w:val="auto"/>
          <w:sz w:val="24"/>
          <w:szCs w:val="24"/>
          <w:highlight w:val="none"/>
        </w:rPr>
        <w:t>15803725578、18530592227</w:t>
      </w:r>
    </w:p>
    <w:p>
      <w:pPr>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8.2 采购代理机构信息</w:t>
      </w:r>
      <w:bookmarkEnd w:id="17"/>
      <w:bookmarkEnd w:id="18"/>
    </w:p>
    <w:p>
      <w:pPr>
        <w:spacing w:line="360" w:lineRule="auto"/>
        <w:ind w:firstLine="840" w:firstLineChars="350"/>
        <w:rPr>
          <w:rFonts w:ascii="宋体" w:hAnsi="宋体"/>
          <w:color w:val="auto"/>
          <w:sz w:val="24"/>
          <w:szCs w:val="24"/>
          <w:highlight w:val="none"/>
        </w:rPr>
      </w:pPr>
      <w:r>
        <w:rPr>
          <w:rFonts w:hint="eastAsia" w:ascii="宋体" w:hAnsi="宋体"/>
          <w:color w:val="auto"/>
          <w:sz w:val="24"/>
          <w:szCs w:val="24"/>
          <w:highlight w:val="none"/>
        </w:rPr>
        <w:t>名 称：安阳市方正招标采购服务有限责任公司  　</w:t>
      </w:r>
    </w:p>
    <w:p>
      <w:pPr>
        <w:spacing w:line="360" w:lineRule="auto"/>
        <w:ind w:left="1798" w:leftChars="399" w:hanging="960" w:hangingChars="400"/>
        <w:rPr>
          <w:rFonts w:ascii="宋体" w:hAnsi="宋体"/>
          <w:color w:val="auto"/>
          <w:sz w:val="24"/>
          <w:szCs w:val="24"/>
          <w:highlight w:val="none"/>
          <w:u w:val="single"/>
        </w:rPr>
      </w:pPr>
      <w:r>
        <w:rPr>
          <w:rFonts w:hint="eastAsia" w:ascii="宋体" w:hAnsi="宋体"/>
          <w:color w:val="auto"/>
          <w:sz w:val="24"/>
          <w:szCs w:val="24"/>
          <w:highlight w:val="none"/>
        </w:rPr>
        <w:t>地　址：安阳市安钢大道39号（人民大道北地下道口南侧、安阳粮食产业集团-后院办公楼五楼）</w:t>
      </w:r>
    </w:p>
    <w:p>
      <w:pPr>
        <w:spacing w:line="360" w:lineRule="auto"/>
        <w:ind w:firstLine="840" w:firstLineChars="350"/>
        <w:rPr>
          <w:rFonts w:ascii="宋体" w:hAnsi="宋体"/>
          <w:color w:val="auto"/>
          <w:sz w:val="24"/>
          <w:szCs w:val="24"/>
          <w:highlight w:val="none"/>
        </w:rPr>
      </w:pPr>
      <w:r>
        <w:rPr>
          <w:rFonts w:hint="eastAsia" w:ascii="宋体" w:hAnsi="宋体"/>
          <w:color w:val="auto"/>
          <w:sz w:val="24"/>
          <w:szCs w:val="24"/>
          <w:highlight w:val="none"/>
        </w:rPr>
        <w:t>联系人： 白杨</w:t>
      </w:r>
    </w:p>
    <w:p>
      <w:pPr>
        <w:spacing w:line="360" w:lineRule="auto"/>
        <w:ind w:firstLine="840" w:firstLineChars="350"/>
        <w:rPr>
          <w:rFonts w:ascii="宋体" w:hAnsi="宋体"/>
          <w:color w:val="auto"/>
          <w:sz w:val="24"/>
          <w:szCs w:val="24"/>
          <w:highlight w:val="none"/>
        </w:rPr>
      </w:pPr>
      <w:r>
        <w:rPr>
          <w:rFonts w:hint="eastAsia" w:ascii="宋体" w:hAnsi="宋体"/>
          <w:color w:val="auto"/>
          <w:sz w:val="24"/>
          <w:szCs w:val="24"/>
          <w:highlight w:val="none"/>
        </w:rPr>
        <w:t>联系方式：</w:t>
      </w:r>
      <w:bookmarkStart w:id="19" w:name="_Toc28359010"/>
      <w:bookmarkStart w:id="20" w:name="_Toc28359087"/>
      <w:r>
        <w:rPr>
          <w:rFonts w:hint="eastAsia" w:ascii="宋体" w:hAnsi="宋体"/>
          <w:color w:val="auto"/>
          <w:sz w:val="24"/>
          <w:szCs w:val="24"/>
          <w:highlight w:val="none"/>
        </w:rPr>
        <w:t>0372-2283981、2283982   财务部咨询电话：0372-2283983　</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8.3 项目</w:t>
      </w:r>
      <w:r>
        <w:rPr>
          <w:rFonts w:ascii="宋体" w:hAnsi="宋体" w:cs="宋体"/>
          <w:color w:val="auto"/>
          <w:sz w:val="24"/>
          <w:szCs w:val="24"/>
          <w:highlight w:val="none"/>
        </w:rPr>
        <w:t>联系方式</w:t>
      </w:r>
      <w:bookmarkEnd w:id="19"/>
      <w:bookmarkEnd w:id="20"/>
    </w:p>
    <w:p>
      <w:pPr>
        <w:pStyle w:val="8"/>
        <w:spacing w:line="360" w:lineRule="auto"/>
        <w:ind w:firstLine="840" w:firstLineChars="350"/>
        <w:rPr>
          <w:rFonts w:hAnsi="宋体"/>
          <w:color w:val="auto"/>
          <w:sz w:val="24"/>
          <w:szCs w:val="24"/>
          <w:highlight w:val="none"/>
        </w:rPr>
      </w:pPr>
      <w:r>
        <w:rPr>
          <w:rFonts w:hint="eastAsia" w:hAnsi="宋体"/>
          <w:color w:val="auto"/>
          <w:sz w:val="24"/>
          <w:szCs w:val="24"/>
          <w:highlight w:val="none"/>
        </w:rPr>
        <w:t xml:space="preserve">项目联系人：白杨 </w:t>
      </w:r>
    </w:p>
    <w:p>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联系方式：</w:t>
      </w:r>
      <w:r>
        <w:rPr>
          <w:rFonts w:ascii="宋体" w:hAnsi="宋体"/>
          <w:color w:val="auto"/>
          <w:sz w:val="24"/>
          <w:szCs w:val="24"/>
          <w:highlight w:val="none"/>
        </w:rPr>
        <w:t>15737221608</w:t>
      </w:r>
    </w:p>
    <w:p>
      <w:pPr>
        <w:widowControl w:val="0"/>
        <w:adjustRightInd w:val="0"/>
        <w:spacing w:before="156" w:beforeLines="50" w:line="300" w:lineRule="auto"/>
        <w:rPr>
          <w:color w:val="auto"/>
          <w:sz w:val="24"/>
          <w:szCs w:val="24"/>
          <w:highlight w:val="none"/>
        </w:rPr>
      </w:pPr>
    </w:p>
    <w:p>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9.网</w:t>
      </w:r>
      <w:r>
        <w:rPr>
          <w:rFonts w:ascii="黑体" w:hAnsi="黑体" w:eastAsia="黑体"/>
          <w:b/>
          <w:color w:val="auto"/>
          <w:sz w:val="28"/>
          <w:szCs w:val="28"/>
          <w:highlight w:val="none"/>
        </w:rPr>
        <w:t>上</w:t>
      </w:r>
      <w:r>
        <w:rPr>
          <w:rFonts w:hint="eastAsia" w:ascii="黑体" w:hAnsi="黑体" w:eastAsia="黑体"/>
          <w:b/>
          <w:color w:val="auto"/>
          <w:sz w:val="28"/>
          <w:szCs w:val="28"/>
          <w:highlight w:val="none"/>
        </w:rPr>
        <w:t>电子交易提示：</w:t>
      </w:r>
      <w:r>
        <w:rPr>
          <w:rFonts w:ascii="黑体" w:hAnsi="黑体" w:eastAsia="黑体"/>
          <w:b/>
          <w:color w:val="auto"/>
          <w:sz w:val="28"/>
          <w:szCs w:val="28"/>
          <w:highlight w:val="none"/>
        </w:rPr>
        <w:t xml:space="preserve"> </w:t>
      </w:r>
    </w:p>
    <w:p>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color w:val="auto"/>
          <w:sz w:val="24"/>
          <w:szCs w:val="24"/>
          <w:highlight w:val="none"/>
        </w:rPr>
        <w:t>9</w:t>
      </w:r>
      <w:r>
        <w:rPr>
          <w:rFonts w:ascii="宋体" w:hAnsi="宋体"/>
          <w:color w:val="auto"/>
          <w:sz w:val="24"/>
          <w:szCs w:val="24"/>
          <w:highlight w:val="none"/>
        </w:rPr>
        <w:t>.1</w:t>
      </w:r>
      <w:r>
        <w:rPr>
          <w:rFonts w:hint="eastAsia" w:ascii="宋体" w:hAnsi="宋体"/>
          <w:color w:val="auto"/>
          <w:sz w:val="24"/>
          <w:szCs w:val="24"/>
          <w:highlight w:val="none"/>
        </w:rPr>
        <w:t>注</w:t>
      </w:r>
      <w:r>
        <w:rPr>
          <w:rFonts w:ascii="宋体" w:hAnsi="宋体"/>
          <w:color w:val="auto"/>
          <w:sz w:val="24"/>
          <w:szCs w:val="24"/>
          <w:highlight w:val="none"/>
        </w:rPr>
        <w:t>册</w:t>
      </w:r>
      <w:r>
        <w:rPr>
          <w:rFonts w:hint="eastAsia" w:ascii="宋体" w:hAnsi="宋体"/>
          <w:color w:val="auto"/>
          <w:sz w:val="24"/>
          <w:szCs w:val="24"/>
          <w:highlight w:val="none"/>
        </w:rPr>
        <w:t>：投标人完成注</w:t>
      </w:r>
      <w:r>
        <w:rPr>
          <w:rFonts w:ascii="宋体" w:hAnsi="宋体"/>
          <w:color w:val="auto"/>
          <w:sz w:val="24"/>
          <w:szCs w:val="24"/>
          <w:highlight w:val="none"/>
        </w:rPr>
        <w:t>册</w:t>
      </w:r>
      <w:r>
        <w:rPr>
          <w:rFonts w:hint="eastAsia" w:ascii="宋体" w:hAnsi="宋体"/>
          <w:color w:val="auto"/>
          <w:sz w:val="24"/>
          <w:szCs w:val="24"/>
          <w:highlight w:val="none"/>
        </w:rPr>
        <w:t>、办理数字证书后</w:t>
      </w:r>
      <w:r>
        <w:rPr>
          <w:rFonts w:ascii="宋体" w:hAnsi="宋体"/>
          <w:color w:val="auto"/>
          <w:sz w:val="24"/>
          <w:szCs w:val="24"/>
          <w:highlight w:val="none"/>
        </w:rPr>
        <w:t>，方可</w:t>
      </w:r>
      <w:r>
        <w:rPr>
          <w:rFonts w:hint="eastAsia" w:ascii="宋体" w:hAnsi="宋体"/>
          <w:color w:val="auto"/>
          <w:sz w:val="24"/>
          <w:szCs w:val="24"/>
          <w:highlight w:val="none"/>
        </w:rPr>
        <w:t>获</w:t>
      </w:r>
      <w:r>
        <w:rPr>
          <w:rFonts w:ascii="宋体" w:hAnsi="宋体"/>
          <w:color w:val="auto"/>
          <w:sz w:val="24"/>
          <w:szCs w:val="24"/>
          <w:highlight w:val="none"/>
        </w:rPr>
        <w:t>取</w:t>
      </w:r>
      <w:r>
        <w:rPr>
          <w:rFonts w:hint="eastAsia" w:ascii="宋体" w:hAnsi="宋体"/>
          <w:color w:val="auto"/>
          <w:sz w:val="24"/>
          <w:szCs w:val="24"/>
          <w:highlight w:val="none"/>
        </w:rPr>
        <w:t>招标</w:t>
      </w:r>
      <w:r>
        <w:rPr>
          <w:rFonts w:ascii="宋体" w:hAnsi="宋体"/>
          <w:color w:val="auto"/>
          <w:sz w:val="24"/>
          <w:szCs w:val="24"/>
          <w:highlight w:val="none"/>
        </w:rPr>
        <w:t>文件、</w:t>
      </w:r>
      <w:r>
        <w:rPr>
          <w:rFonts w:hint="eastAsia" w:ascii="宋体" w:hAnsi="宋体"/>
          <w:color w:val="auto"/>
          <w:sz w:val="24"/>
          <w:szCs w:val="24"/>
          <w:highlight w:val="none"/>
        </w:rPr>
        <w:t>参</w:t>
      </w:r>
      <w:r>
        <w:rPr>
          <w:rFonts w:ascii="宋体" w:hAnsi="宋体"/>
          <w:color w:val="auto"/>
          <w:sz w:val="24"/>
          <w:szCs w:val="24"/>
          <w:highlight w:val="none"/>
        </w:rPr>
        <w:t>加</w:t>
      </w:r>
      <w:r>
        <w:rPr>
          <w:rFonts w:hint="eastAsia" w:ascii="宋体" w:hAnsi="宋体"/>
          <w:color w:val="auto"/>
          <w:sz w:val="24"/>
          <w:szCs w:val="24"/>
          <w:highlight w:val="none"/>
        </w:rPr>
        <w:t>投标等网上电子交易。</w:t>
      </w:r>
    </w:p>
    <w:p>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color w:val="auto"/>
          <w:sz w:val="24"/>
          <w:szCs w:val="24"/>
          <w:highlight w:val="none"/>
        </w:rPr>
        <w:t>9</w:t>
      </w:r>
      <w:r>
        <w:rPr>
          <w:rFonts w:hint="eastAsia" w:ascii="宋体" w:hAnsi="宋体"/>
          <w:color w:val="auto"/>
          <w:sz w:val="24"/>
          <w:szCs w:val="24"/>
          <w:highlight w:val="none"/>
        </w:rPr>
        <w:t>.2 获取招标文件：</w:t>
      </w:r>
      <w:r>
        <w:rPr>
          <w:rFonts w:ascii="宋体" w:hAnsi="宋体"/>
          <w:color w:val="auto"/>
          <w:sz w:val="24"/>
          <w:szCs w:val="24"/>
          <w:highlight w:val="none"/>
        </w:rPr>
        <w:t>按</w:t>
      </w:r>
      <w:r>
        <w:rPr>
          <w:rFonts w:hint="eastAsia" w:ascii="宋体" w:hAnsi="宋体"/>
          <w:color w:val="auto"/>
          <w:sz w:val="24"/>
          <w:szCs w:val="24"/>
          <w:highlight w:val="none"/>
        </w:rPr>
        <w:t>本</w:t>
      </w:r>
      <w:r>
        <w:rPr>
          <w:rFonts w:ascii="宋体" w:hAnsi="宋体"/>
          <w:color w:val="auto"/>
          <w:sz w:val="24"/>
          <w:szCs w:val="24"/>
          <w:highlight w:val="none"/>
        </w:rPr>
        <w:t>章第</w:t>
      </w:r>
      <w:r>
        <w:rPr>
          <w:rFonts w:hint="eastAsia" w:ascii="宋体" w:hAnsi="宋体"/>
          <w:color w:val="auto"/>
          <w:sz w:val="24"/>
          <w:szCs w:val="24"/>
          <w:highlight w:val="none"/>
        </w:rPr>
        <w:t>3条</w:t>
      </w:r>
      <w:r>
        <w:rPr>
          <w:rFonts w:ascii="宋体" w:hAnsi="宋体"/>
          <w:color w:val="auto"/>
          <w:sz w:val="24"/>
          <w:szCs w:val="24"/>
          <w:highlight w:val="none"/>
        </w:rPr>
        <w:t>“</w:t>
      </w:r>
      <w:r>
        <w:rPr>
          <w:rFonts w:hint="eastAsia" w:ascii="宋体" w:hAnsi="宋体"/>
          <w:color w:val="auto"/>
          <w:sz w:val="24"/>
          <w:szCs w:val="24"/>
          <w:highlight w:val="none"/>
        </w:rPr>
        <w:t>获取招标文件</w:t>
      </w:r>
      <w:r>
        <w:rPr>
          <w:rFonts w:ascii="宋体" w:hAnsi="宋体"/>
          <w:color w:val="auto"/>
          <w:sz w:val="24"/>
          <w:szCs w:val="24"/>
          <w:highlight w:val="none"/>
        </w:rPr>
        <w:t>”</w:t>
      </w:r>
      <w:r>
        <w:rPr>
          <w:rFonts w:hint="eastAsia" w:ascii="宋体" w:hAnsi="宋体"/>
          <w:color w:val="auto"/>
          <w:sz w:val="24"/>
          <w:szCs w:val="24"/>
          <w:highlight w:val="none"/>
        </w:rPr>
        <w:t>办</w:t>
      </w:r>
      <w:r>
        <w:rPr>
          <w:rFonts w:ascii="宋体" w:hAnsi="宋体"/>
          <w:color w:val="auto"/>
          <w:sz w:val="24"/>
          <w:szCs w:val="24"/>
          <w:highlight w:val="none"/>
        </w:rPr>
        <w:t>理。</w:t>
      </w:r>
    </w:p>
    <w:p>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color w:val="auto"/>
          <w:sz w:val="24"/>
          <w:szCs w:val="24"/>
          <w:highlight w:val="none"/>
        </w:rPr>
        <w:t>9</w:t>
      </w:r>
      <w:r>
        <w:rPr>
          <w:rFonts w:hint="eastAsia" w:ascii="宋体" w:hAnsi="宋体"/>
          <w:color w:val="auto"/>
          <w:sz w:val="24"/>
          <w:szCs w:val="24"/>
          <w:highlight w:val="none"/>
        </w:rPr>
        <w:t>.3招标文件的澄清与修改或延期的</w:t>
      </w:r>
      <w:r>
        <w:rPr>
          <w:rFonts w:ascii="宋体" w:hAnsi="宋体"/>
          <w:color w:val="auto"/>
          <w:sz w:val="24"/>
          <w:szCs w:val="24"/>
          <w:highlight w:val="none"/>
        </w:rPr>
        <w:t>通知</w:t>
      </w:r>
      <w:r>
        <w:rPr>
          <w:rFonts w:hint="eastAsia" w:ascii="宋体" w:hAnsi="宋体"/>
          <w:color w:val="auto"/>
          <w:sz w:val="24"/>
          <w:szCs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《招标</w:t>
      </w:r>
      <w:r>
        <w:rPr>
          <w:rFonts w:ascii="宋体" w:hAnsi="宋体"/>
          <w:color w:val="auto"/>
          <w:sz w:val="24"/>
          <w:szCs w:val="24"/>
          <w:highlight w:val="none"/>
        </w:rPr>
        <w:t>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2</w:t>
      </w:r>
      <w:r>
        <w:rPr>
          <w:rFonts w:hint="eastAsia" w:ascii="宋体" w:hAnsi="宋体"/>
          <w:color w:val="auto"/>
          <w:sz w:val="24"/>
          <w:szCs w:val="24"/>
          <w:highlight w:val="none"/>
        </w:rPr>
        <w:t>条“2.4 招标文件的澄清、修改、补充的通知，及相应时间变更</w:t>
      </w:r>
      <w:r>
        <w:rPr>
          <w:rFonts w:ascii="宋体" w:hAnsi="宋体"/>
          <w:color w:val="auto"/>
          <w:sz w:val="24"/>
          <w:szCs w:val="24"/>
          <w:highlight w:val="none"/>
        </w:rPr>
        <w:t>”执行</w:t>
      </w:r>
      <w:r>
        <w:rPr>
          <w:rFonts w:hint="eastAsia" w:ascii="宋体" w:hAnsi="宋体"/>
          <w:color w:val="auto"/>
          <w:sz w:val="24"/>
          <w:szCs w:val="24"/>
          <w:highlight w:val="none"/>
        </w:rPr>
        <w:t>。</w:t>
      </w:r>
      <w:r>
        <w:rPr>
          <w:rFonts w:hint="eastAsia" w:ascii="黑体" w:hAnsi="黑体" w:eastAsia="黑体" w:cs="楷体_GB2312"/>
          <w:b/>
          <w:color w:val="auto"/>
          <w:sz w:val="24"/>
          <w:highlight w:val="none"/>
          <w:lang w:val="zh-CN"/>
        </w:rPr>
        <w:t>不</w:t>
      </w:r>
      <w:r>
        <w:rPr>
          <w:rFonts w:ascii="黑体" w:hAnsi="黑体" w:eastAsia="黑体" w:cs="楷体_GB2312"/>
          <w:b/>
          <w:color w:val="auto"/>
          <w:sz w:val="24"/>
          <w:highlight w:val="none"/>
          <w:lang w:val="zh-CN"/>
        </w:rPr>
        <w:t>另行通知。</w:t>
      </w:r>
    </w:p>
    <w:p>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color w:val="auto"/>
          <w:sz w:val="24"/>
          <w:szCs w:val="24"/>
          <w:highlight w:val="none"/>
        </w:rPr>
        <w:t>9</w:t>
      </w:r>
      <w:r>
        <w:rPr>
          <w:rFonts w:ascii="宋体" w:hAnsi="宋体"/>
          <w:color w:val="auto"/>
          <w:sz w:val="24"/>
          <w:szCs w:val="24"/>
          <w:highlight w:val="none"/>
        </w:rPr>
        <w:t>.4</w:t>
      </w:r>
      <w:r>
        <w:rPr>
          <w:rFonts w:hint="eastAsia" w:ascii="宋体" w:hAnsi="宋体"/>
          <w:color w:val="auto"/>
          <w:sz w:val="24"/>
          <w:szCs w:val="24"/>
          <w:highlight w:val="none"/>
        </w:rPr>
        <w:t>投标文件编制：在</w:t>
      </w:r>
      <w:r>
        <w:rPr>
          <w:rFonts w:ascii="宋体" w:hAnsi="宋体"/>
          <w:color w:val="auto"/>
          <w:sz w:val="24"/>
          <w:szCs w:val="24"/>
          <w:highlight w:val="none"/>
        </w:rPr>
        <w:t>安阳市公共资源交易中心网站（http://222.139.28.234:2345/tpbidder）下载并安装投标文件制作工具。</w:t>
      </w:r>
      <w:r>
        <w:rPr>
          <w:rFonts w:hint="eastAsia" w:ascii="宋体" w:hAnsi="宋体"/>
          <w:color w:val="auto"/>
          <w:sz w:val="24"/>
          <w:szCs w:val="24"/>
          <w:highlight w:val="none"/>
        </w:rPr>
        <w:t>按《招标文件》第三章“投标人须知”第3条第</w:t>
      </w:r>
      <w:r>
        <w:rPr>
          <w:rFonts w:ascii="宋体" w:hAnsi="宋体"/>
          <w:color w:val="auto"/>
          <w:sz w:val="24"/>
          <w:szCs w:val="24"/>
          <w:highlight w:val="none"/>
        </w:rPr>
        <w:t>7</w:t>
      </w:r>
      <w:r>
        <w:rPr>
          <w:rFonts w:hint="eastAsia" w:ascii="宋体" w:hAnsi="宋体"/>
          <w:color w:val="auto"/>
          <w:sz w:val="24"/>
          <w:szCs w:val="24"/>
          <w:highlight w:val="none"/>
        </w:rPr>
        <w:t>款“</w:t>
      </w:r>
      <w:r>
        <w:rPr>
          <w:rFonts w:ascii="宋体" w:hAnsi="宋体"/>
          <w:color w:val="auto"/>
          <w:sz w:val="24"/>
          <w:szCs w:val="24"/>
          <w:highlight w:val="none"/>
        </w:rPr>
        <w:t>3.7</w:t>
      </w:r>
      <w:r>
        <w:rPr>
          <w:rFonts w:hint="eastAsia" w:ascii="宋体" w:hAnsi="宋体"/>
          <w:color w:val="auto"/>
          <w:sz w:val="24"/>
          <w:szCs w:val="24"/>
          <w:highlight w:val="none"/>
        </w:rPr>
        <w:t>投标文件的编制”执行，</w:t>
      </w:r>
      <w:r>
        <w:rPr>
          <w:rFonts w:hint="eastAsia" w:ascii="黑体" w:hAnsi="黑体" w:eastAsia="黑体" w:cs="楷体_GB2312"/>
          <w:b/>
          <w:color w:val="auto"/>
          <w:sz w:val="24"/>
          <w:highlight w:val="none"/>
          <w:lang w:val="zh-CN"/>
        </w:rPr>
        <w:t>否则将会评定为无效投标。</w:t>
      </w:r>
    </w:p>
    <w:p>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color w:val="auto"/>
          <w:sz w:val="24"/>
          <w:szCs w:val="24"/>
          <w:highlight w:val="none"/>
        </w:rPr>
        <w:t>9</w:t>
      </w:r>
      <w:r>
        <w:rPr>
          <w:rFonts w:hint="eastAsia" w:ascii="宋体" w:hAnsi="宋体"/>
          <w:color w:val="auto"/>
          <w:sz w:val="24"/>
          <w:szCs w:val="24"/>
          <w:highlight w:val="none"/>
        </w:rPr>
        <w:t>.5</w:t>
      </w:r>
      <w:r>
        <w:rPr>
          <w:rFonts w:hint="eastAsia" w:ascii="宋体"/>
          <w:color w:val="auto"/>
          <w:sz w:val="24"/>
          <w:szCs w:val="24"/>
          <w:highlight w:val="none"/>
        </w:rPr>
        <w:t>投标文件递交：</w:t>
      </w:r>
      <w:r>
        <w:rPr>
          <w:rFonts w:hint="eastAsia" w:ascii="宋体" w:hAnsi="宋体"/>
          <w:color w:val="auto"/>
          <w:sz w:val="24"/>
          <w:szCs w:val="24"/>
          <w:highlight w:val="none"/>
        </w:rPr>
        <w:t>投标人应在投标截止时间前上传加密的电子投标文件（*.aytf）到安阳市电子招投标交易平台（http://222.139.28.234:2345/tpbidder）。</w:t>
      </w:r>
      <w:r>
        <w:rPr>
          <w:rFonts w:ascii="宋体" w:hAnsi="宋体"/>
          <w:color w:val="auto"/>
          <w:sz w:val="24"/>
          <w:szCs w:val="24"/>
          <w:highlight w:val="none"/>
        </w:rPr>
        <w:t>按</w:t>
      </w:r>
      <w:r>
        <w:rPr>
          <w:rFonts w:hint="eastAsia" w:ascii="宋体" w:hAnsi="宋体"/>
          <w:color w:val="auto"/>
          <w:sz w:val="24"/>
          <w:szCs w:val="24"/>
          <w:highlight w:val="none"/>
        </w:rPr>
        <w:t>《招标</w:t>
      </w:r>
      <w:r>
        <w:rPr>
          <w:rFonts w:ascii="宋体" w:hAnsi="宋体"/>
          <w:color w:val="auto"/>
          <w:sz w:val="24"/>
          <w:szCs w:val="24"/>
          <w:highlight w:val="none"/>
        </w:rPr>
        <w:t>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4</w:t>
      </w:r>
      <w:r>
        <w:rPr>
          <w:rFonts w:hint="eastAsia" w:ascii="宋体" w:hAnsi="宋体"/>
          <w:color w:val="auto"/>
          <w:sz w:val="24"/>
          <w:szCs w:val="24"/>
          <w:highlight w:val="none"/>
        </w:rPr>
        <w:t>条</w:t>
      </w:r>
      <w:r>
        <w:rPr>
          <w:rFonts w:ascii="宋体" w:hAnsi="宋体"/>
          <w:color w:val="auto"/>
          <w:sz w:val="24"/>
          <w:szCs w:val="24"/>
          <w:highlight w:val="none"/>
        </w:rPr>
        <w:t xml:space="preserve"> “</w:t>
      </w:r>
      <w:r>
        <w:rPr>
          <w:rFonts w:hint="eastAsia" w:ascii="宋体" w:hAnsi="宋体"/>
          <w:color w:val="auto"/>
          <w:sz w:val="24"/>
          <w:szCs w:val="24"/>
          <w:highlight w:val="none"/>
        </w:rPr>
        <w:t>4. 投标”</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color w:val="auto"/>
          <w:sz w:val="24"/>
          <w:szCs w:val="24"/>
          <w:highlight w:val="none"/>
        </w:rPr>
        <w:t>9.</w:t>
      </w:r>
      <w:r>
        <w:rPr>
          <w:rFonts w:ascii="宋体"/>
          <w:color w:val="auto"/>
          <w:sz w:val="24"/>
          <w:szCs w:val="24"/>
          <w:highlight w:val="none"/>
        </w:rPr>
        <w:t>6</w:t>
      </w:r>
      <w:r>
        <w:rPr>
          <w:rFonts w:hint="eastAsia" w:ascii="宋体"/>
          <w:color w:val="auto"/>
          <w:sz w:val="24"/>
          <w:szCs w:val="24"/>
          <w:highlight w:val="none"/>
        </w:rPr>
        <w:t>投标文件</w:t>
      </w:r>
      <w:r>
        <w:rPr>
          <w:rFonts w:hint="eastAsia" w:ascii="宋体" w:hAnsi="宋体"/>
          <w:color w:val="auto"/>
          <w:sz w:val="24"/>
          <w:szCs w:val="24"/>
          <w:highlight w:val="none"/>
        </w:rPr>
        <w:t>解密</w:t>
      </w:r>
      <w:r>
        <w:rPr>
          <w:rFonts w:hint="eastAsia" w:ascii="宋体"/>
          <w:color w:val="auto"/>
          <w:sz w:val="24"/>
          <w:szCs w:val="24"/>
          <w:highlight w:val="none"/>
        </w:rPr>
        <w:t>：</w:t>
      </w:r>
      <w:r>
        <w:rPr>
          <w:rFonts w:hint="eastAsia" w:ascii="宋体" w:hAnsi="宋体"/>
          <w:color w:val="auto"/>
          <w:sz w:val="24"/>
          <w:szCs w:val="24"/>
          <w:highlight w:val="none"/>
        </w:rPr>
        <w:t>本项目采用远程不见面交易的模式，开标当日，投标人无需到开标现场参加开标会议，供应商应当在投标截止时间前，使用IE浏览器登录到安阳市公共资源交易不见面开标大厅（http://222.139.28.234:2345/BidOpening），点击右上方【登录】按钮进入，在线准时参加开标活动并进行投标文件解密等。</w:t>
      </w:r>
      <w:r>
        <w:rPr>
          <w:rFonts w:ascii="宋体" w:hAnsi="宋体"/>
          <w:color w:val="auto"/>
          <w:sz w:val="24"/>
          <w:szCs w:val="24"/>
          <w:highlight w:val="none"/>
        </w:rPr>
        <w:t>按</w:t>
      </w:r>
      <w:r>
        <w:rPr>
          <w:rFonts w:hint="eastAsia" w:ascii="宋体" w:hAnsi="宋体"/>
          <w:color w:val="auto"/>
          <w:sz w:val="24"/>
          <w:szCs w:val="24"/>
          <w:highlight w:val="none"/>
        </w:rPr>
        <w:t>《招标</w:t>
      </w:r>
      <w:r>
        <w:rPr>
          <w:rFonts w:ascii="宋体" w:hAnsi="宋体"/>
          <w:color w:val="auto"/>
          <w:sz w:val="24"/>
          <w:szCs w:val="24"/>
          <w:highlight w:val="none"/>
        </w:rPr>
        <w:t>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5</w:t>
      </w:r>
      <w:r>
        <w:rPr>
          <w:rFonts w:hint="eastAsia" w:ascii="宋体" w:hAnsi="宋体"/>
          <w:color w:val="auto"/>
          <w:sz w:val="24"/>
          <w:szCs w:val="24"/>
          <w:highlight w:val="none"/>
        </w:rPr>
        <w:t>条</w:t>
      </w:r>
      <w:r>
        <w:rPr>
          <w:rFonts w:ascii="宋体" w:hAnsi="宋体"/>
          <w:color w:val="auto"/>
          <w:sz w:val="24"/>
          <w:szCs w:val="24"/>
          <w:highlight w:val="none"/>
        </w:rPr>
        <w:t xml:space="preserve">“5 </w:t>
      </w:r>
      <w:r>
        <w:rPr>
          <w:rFonts w:hint="eastAsia" w:ascii="宋体"/>
          <w:color w:val="auto"/>
          <w:sz w:val="24"/>
          <w:szCs w:val="24"/>
          <w:highlight w:val="none"/>
        </w:rPr>
        <w:t>开标</w:t>
      </w:r>
      <w:r>
        <w:rPr>
          <w:rFonts w:hint="eastAsia" w:ascii="宋体" w:hAnsi="宋体"/>
          <w:color w:val="auto"/>
          <w:sz w:val="24"/>
          <w:szCs w:val="24"/>
          <w:highlight w:val="none"/>
        </w:rPr>
        <w:t>”</w:t>
      </w:r>
      <w:r>
        <w:rPr>
          <w:rFonts w:ascii="宋体" w:hAnsi="宋体"/>
          <w:color w:val="auto"/>
          <w:sz w:val="24"/>
          <w:szCs w:val="24"/>
          <w:highlight w:val="none"/>
        </w:rPr>
        <w:t>执行，</w:t>
      </w:r>
      <w:r>
        <w:rPr>
          <w:rFonts w:hint="eastAsia" w:ascii="宋体" w:hAnsi="宋体" w:cs="楷体_GB2312"/>
          <w:color w:val="auto"/>
          <w:sz w:val="24"/>
          <w:highlight w:val="none"/>
          <w:lang w:val="zh-CN"/>
        </w:rPr>
        <w:t>否</w:t>
      </w:r>
      <w:r>
        <w:rPr>
          <w:rFonts w:ascii="宋体" w:hAnsi="宋体" w:cs="楷体_GB2312"/>
          <w:color w:val="auto"/>
          <w:sz w:val="24"/>
          <w:highlight w:val="none"/>
          <w:lang w:val="zh-CN"/>
        </w:rPr>
        <w:t>则</w:t>
      </w:r>
      <w:r>
        <w:rPr>
          <w:rFonts w:hint="eastAsia" w:ascii="宋体" w:hAnsi="宋体" w:cs="楷体_GB2312"/>
          <w:color w:val="auto"/>
          <w:sz w:val="24"/>
          <w:highlight w:val="none"/>
          <w:lang w:val="zh-CN"/>
        </w:rPr>
        <w:t>其投标将不能被接受</w:t>
      </w:r>
      <w:r>
        <w:rPr>
          <w:rFonts w:ascii="宋体" w:hAnsi="宋体" w:cs="楷体_GB2312"/>
          <w:color w:val="auto"/>
          <w:sz w:val="24"/>
          <w:highlight w:val="none"/>
          <w:lang w:val="zh-CN"/>
        </w:rPr>
        <w:t>。</w:t>
      </w:r>
    </w:p>
    <w:p>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9.7政府采购电子交易中，投标人网上电子交易的系统操作规则应以安阳市公共资源交易平台即时发布的相关规则为准。</w:t>
      </w:r>
    </w:p>
    <w:p>
      <w:pPr>
        <w:widowControl w:val="0"/>
        <w:tabs>
          <w:tab w:val="left" w:pos="39"/>
          <w:tab w:val="left" w:pos="96"/>
        </w:tabs>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9.8望投标人充分熟悉网上电子交易操作流程、以便有效投标。</w:t>
      </w:r>
    </w:p>
    <w:p>
      <w:pPr>
        <w:widowControl w:val="0"/>
        <w:tabs>
          <w:tab w:val="left" w:pos="39"/>
          <w:tab w:val="left" w:pos="96"/>
        </w:tabs>
        <w:snapToGrid w:val="0"/>
        <w:spacing w:line="360" w:lineRule="auto"/>
        <w:ind w:left="-145" w:leftChars="-69" w:right="-41" w:firstLine="660" w:firstLineChars="275"/>
        <w:rPr>
          <w:rFonts w:ascii="宋体" w:hAnsi="宋体"/>
          <w:color w:val="auto"/>
          <w:sz w:val="24"/>
          <w:szCs w:val="24"/>
          <w:highlight w:val="none"/>
        </w:rPr>
      </w:pPr>
      <w:r>
        <w:rPr>
          <w:rFonts w:hint="eastAsia" w:ascii="宋体" w:hAnsi="宋体"/>
          <w:color w:val="auto"/>
          <w:sz w:val="24"/>
          <w:szCs w:val="24"/>
          <w:highlight w:val="none"/>
        </w:rPr>
        <w:t>9.9 如遇到网上系统操作等技术问题请咨询0372-3387737、3387739（办公室）、4009980000（客服）。</w:t>
      </w:r>
    </w:p>
    <w:p>
      <w:pPr>
        <w:widowControl w:val="0"/>
        <w:tabs>
          <w:tab w:val="left" w:pos="39"/>
          <w:tab w:val="left" w:pos="96"/>
        </w:tabs>
        <w:snapToGrid w:val="0"/>
        <w:spacing w:line="360" w:lineRule="auto"/>
        <w:ind w:firstLine="540" w:firstLineChars="225"/>
        <w:rPr>
          <w:rFonts w:ascii="宋体"/>
          <w:color w:val="auto"/>
          <w:sz w:val="24"/>
          <w:szCs w:val="24"/>
          <w:highlight w:val="none"/>
        </w:rPr>
      </w:pPr>
    </w:p>
    <w:p>
      <w:pPr>
        <w:widowControl w:val="0"/>
        <w:tabs>
          <w:tab w:val="left" w:pos="39"/>
          <w:tab w:val="left" w:pos="96"/>
        </w:tabs>
        <w:snapToGrid w:val="0"/>
        <w:spacing w:line="360" w:lineRule="auto"/>
        <w:ind w:firstLine="5220" w:firstLineChars="2175"/>
        <w:jc w:val="right"/>
        <w:rPr>
          <w:rFonts w:ascii="宋体"/>
          <w:color w:val="auto"/>
          <w:sz w:val="24"/>
          <w:szCs w:val="24"/>
          <w:highlight w:val="none"/>
        </w:rPr>
      </w:pPr>
      <w:r>
        <w:rPr>
          <w:rFonts w:hint="eastAsia" w:ascii="宋体"/>
          <w:color w:val="auto"/>
          <w:sz w:val="24"/>
          <w:szCs w:val="24"/>
          <w:highlight w:val="none"/>
        </w:rPr>
        <w:t>安阳市方正招标采购服务有限责任公司</w:t>
      </w:r>
    </w:p>
    <w:p>
      <w:pPr>
        <w:widowControl w:val="0"/>
        <w:tabs>
          <w:tab w:val="left" w:pos="39"/>
          <w:tab w:val="left" w:pos="96"/>
        </w:tabs>
        <w:snapToGrid w:val="0"/>
        <w:spacing w:line="360" w:lineRule="auto"/>
        <w:ind w:firstLine="540" w:firstLineChars="225"/>
        <w:jc w:val="right"/>
        <w:rPr>
          <w:rFonts w:ascii="宋体"/>
          <w:color w:val="auto"/>
          <w:sz w:val="24"/>
          <w:szCs w:val="24"/>
          <w:highlight w:val="none"/>
        </w:rPr>
      </w:pPr>
      <w:r>
        <w:rPr>
          <w:rFonts w:hint="eastAsia" w:ascii="宋体"/>
          <w:color w:val="auto"/>
          <w:sz w:val="24"/>
          <w:szCs w:val="24"/>
          <w:highlight w:val="none"/>
        </w:rPr>
        <w:t>二〇二四年</w:t>
      </w:r>
      <w:r>
        <w:rPr>
          <w:rFonts w:hint="eastAsia" w:ascii="宋体"/>
          <w:color w:val="auto"/>
          <w:sz w:val="24"/>
          <w:szCs w:val="24"/>
          <w:highlight w:val="none"/>
          <w:lang w:eastAsia="zh-CN"/>
        </w:rPr>
        <w:t>六</w:t>
      </w:r>
      <w:r>
        <w:rPr>
          <w:rFonts w:hint="eastAsia" w:ascii="宋体"/>
          <w:color w:val="auto"/>
          <w:sz w:val="24"/>
          <w:szCs w:val="24"/>
          <w:highlight w:val="none"/>
        </w:rPr>
        <w:t>月</w:t>
      </w:r>
      <w:r>
        <w:rPr>
          <w:rFonts w:hint="eastAsia" w:ascii="宋体"/>
          <w:color w:val="auto"/>
          <w:sz w:val="24"/>
          <w:szCs w:val="24"/>
          <w:highlight w:val="none"/>
          <w:lang w:eastAsia="zh-CN"/>
        </w:rPr>
        <w:t>二十八</w:t>
      </w:r>
      <w:r>
        <w:rPr>
          <w:rFonts w:hint="eastAsia" w:ascii="宋体"/>
          <w:color w:val="auto"/>
          <w:sz w:val="24"/>
          <w:szCs w:val="24"/>
          <w:highlight w:val="none"/>
        </w:rPr>
        <w:t>日</w:t>
      </w:r>
    </w:p>
    <w:p>
      <w:pPr>
        <w:widowControl w:val="0"/>
        <w:tabs>
          <w:tab w:val="left" w:pos="39"/>
          <w:tab w:val="left" w:pos="96"/>
        </w:tabs>
        <w:snapToGrid w:val="0"/>
        <w:spacing w:line="360" w:lineRule="auto"/>
        <w:ind w:firstLine="630" w:firstLineChars="225"/>
        <w:rPr>
          <w:rFonts w:eastAsia="方正黑体简体"/>
          <w:color w:val="auto"/>
          <w:sz w:val="28"/>
          <w:szCs w:val="28"/>
          <w:highlight w:val="none"/>
        </w:rPr>
      </w:pPr>
      <w:r>
        <w:rPr>
          <w:rFonts w:eastAsia="方正黑体简体"/>
          <w:color w:val="auto"/>
          <w:sz w:val="28"/>
          <w:szCs w:val="28"/>
          <w:highlight w:val="none"/>
        </w:rPr>
        <w:br w:type="page"/>
      </w:r>
    </w:p>
    <w:p>
      <w:pPr>
        <w:widowControl w:val="0"/>
        <w:snapToGrid w:val="0"/>
        <w:spacing w:line="360" w:lineRule="auto"/>
        <w:jc w:val="center"/>
        <w:outlineLvl w:val="0"/>
        <w:rPr>
          <w:rFonts w:eastAsia="黑体"/>
          <w:b/>
          <w:color w:val="auto"/>
          <w:sz w:val="36"/>
          <w:szCs w:val="36"/>
          <w:highlight w:val="none"/>
        </w:rPr>
      </w:pPr>
    </w:p>
    <w:p>
      <w:pPr>
        <w:widowControl w:val="0"/>
        <w:snapToGrid w:val="0"/>
        <w:spacing w:line="360" w:lineRule="auto"/>
        <w:jc w:val="center"/>
        <w:outlineLvl w:val="0"/>
        <w:rPr>
          <w:rFonts w:eastAsia="方正黑体简体"/>
          <w:color w:val="auto"/>
          <w:sz w:val="36"/>
          <w:szCs w:val="36"/>
          <w:highlight w:val="none"/>
        </w:rPr>
      </w:pPr>
      <w:bookmarkStart w:id="21" w:name="_Toc165383923"/>
      <w:r>
        <w:rPr>
          <w:rFonts w:hint="eastAsia" w:eastAsia="黑体"/>
          <w:b/>
          <w:color w:val="auto"/>
          <w:sz w:val="36"/>
          <w:szCs w:val="36"/>
          <w:highlight w:val="none"/>
        </w:rPr>
        <w:t>第二章</w:t>
      </w:r>
      <w:r>
        <w:rPr>
          <w:rFonts w:eastAsia="黑体"/>
          <w:b/>
          <w:color w:val="auto"/>
          <w:sz w:val="36"/>
          <w:szCs w:val="36"/>
          <w:highlight w:val="none"/>
        </w:rPr>
        <w:t xml:space="preserve">  </w:t>
      </w:r>
      <w:r>
        <w:rPr>
          <w:rFonts w:hint="eastAsia" w:eastAsia="黑体"/>
          <w:b/>
          <w:color w:val="auto"/>
          <w:sz w:val="36"/>
          <w:szCs w:val="36"/>
          <w:highlight w:val="none"/>
        </w:rPr>
        <w:t>招标项目要求及采购需求</w:t>
      </w:r>
      <w:bookmarkEnd w:id="21"/>
    </w:p>
    <w:p>
      <w:pPr>
        <w:widowControl w:val="0"/>
        <w:snapToGrid w:val="0"/>
        <w:spacing w:line="360" w:lineRule="auto"/>
        <w:jc w:val="center"/>
        <w:rPr>
          <w:b/>
          <w:color w:val="auto"/>
          <w:sz w:val="28"/>
          <w:highlight w:val="none"/>
        </w:rPr>
      </w:pPr>
    </w:p>
    <w:p>
      <w:pPr>
        <w:widowControl w:val="0"/>
        <w:snapToGrid w:val="0"/>
        <w:spacing w:line="360" w:lineRule="auto"/>
        <w:ind w:firstLine="422" w:firstLineChars="150"/>
        <w:jc w:val="left"/>
        <w:outlineLvl w:val="1"/>
        <w:rPr>
          <w:rFonts w:ascii="黑体" w:hAnsi="黑体" w:eastAsia="黑体"/>
          <w:b/>
          <w:color w:val="auto"/>
          <w:sz w:val="28"/>
          <w:highlight w:val="none"/>
        </w:rPr>
      </w:pPr>
      <w:bookmarkStart w:id="22" w:name="_Toc165383924"/>
      <w:r>
        <w:rPr>
          <w:rFonts w:ascii="黑体" w:hAnsi="黑体" w:eastAsia="黑体"/>
          <w:b/>
          <w:color w:val="auto"/>
          <w:sz w:val="28"/>
          <w:highlight w:val="none"/>
        </w:rPr>
        <w:t xml:space="preserve">1. </w:t>
      </w:r>
      <w:r>
        <w:rPr>
          <w:rFonts w:hint="eastAsia" w:ascii="黑体" w:hAnsi="黑体" w:eastAsia="黑体"/>
          <w:b/>
          <w:color w:val="auto"/>
          <w:sz w:val="28"/>
          <w:highlight w:val="none"/>
        </w:rPr>
        <w:t>招标项目、标段（包）划分、投标报价</w:t>
      </w:r>
      <w:bookmarkEnd w:id="22"/>
    </w:p>
    <w:p>
      <w:pPr>
        <w:widowControl w:val="0"/>
        <w:adjustRightInd w:val="0"/>
        <w:snapToGrid w:val="0"/>
        <w:spacing w:line="360" w:lineRule="auto"/>
        <w:ind w:firstLine="542" w:firstLineChars="225"/>
        <w:jc w:val="left"/>
        <w:rPr>
          <w:rFonts w:hint="eastAsia" w:ascii="宋体" w:hAnsi="宋体" w:eastAsia="宋体"/>
          <w:color w:val="auto"/>
          <w:sz w:val="24"/>
          <w:szCs w:val="24"/>
          <w:highlight w:val="none"/>
          <w:lang w:eastAsia="zh-CN"/>
        </w:rPr>
      </w:pPr>
      <w:r>
        <w:rPr>
          <w:rFonts w:ascii="黑体" w:hAnsi="黑体" w:eastAsia="黑体"/>
          <w:b/>
          <w:color w:val="auto"/>
          <w:sz w:val="24"/>
          <w:szCs w:val="24"/>
          <w:highlight w:val="none"/>
        </w:rPr>
        <w:t>1.1</w:t>
      </w:r>
      <w:r>
        <w:rPr>
          <w:rFonts w:hint="eastAsia" w:ascii="黑体" w:hAnsi="黑体" w:eastAsia="黑体"/>
          <w:b/>
          <w:color w:val="auto"/>
          <w:sz w:val="24"/>
          <w:szCs w:val="24"/>
          <w:highlight w:val="none"/>
        </w:rPr>
        <w:t>招标项目名称</w:t>
      </w:r>
      <w:r>
        <w:rPr>
          <w:rFonts w:hint="eastAsia"/>
          <w:color w:val="auto"/>
          <w:sz w:val="24"/>
          <w:szCs w:val="24"/>
          <w:highlight w:val="none"/>
        </w:rPr>
        <w:t>：</w:t>
      </w:r>
      <w:r>
        <w:rPr>
          <w:rFonts w:hint="eastAsia" w:ascii="宋体" w:hAnsi="宋体"/>
          <w:color w:val="auto"/>
          <w:sz w:val="24"/>
          <w:szCs w:val="24"/>
          <w:highlight w:val="none"/>
        </w:rPr>
        <w:t>安阳市住房和城乡建设局安阳市东区污水处理厂初沉淀池改造工程项目</w:t>
      </w:r>
      <w:r>
        <w:rPr>
          <w:rFonts w:hint="eastAsia" w:ascii="宋体" w:hAnsi="宋体"/>
          <w:color w:val="auto"/>
          <w:sz w:val="24"/>
          <w:szCs w:val="24"/>
          <w:highlight w:val="none"/>
          <w:lang w:eastAsia="zh-CN"/>
        </w:rPr>
        <w:t>（二次）</w:t>
      </w:r>
    </w:p>
    <w:p>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 xml:space="preserve">1.2 </w:t>
      </w:r>
      <w:r>
        <w:rPr>
          <w:rFonts w:hint="eastAsia" w:ascii="黑体" w:hAnsi="黑体" w:eastAsia="黑体"/>
          <w:b/>
          <w:color w:val="auto"/>
          <w:sz w:val="24"/>
          <w:szCs w:val="24"/>
          <w:highlight w:val="none"/>
        </w:rPr>
        <w:t>标段（包）划分及其交付（实施）期交付（实施）地点</w:t>
      </w:r>
      <w:r>
        <w:rPr>
          <w:rFonts w:hint="eastAsia"/>
          <w:color w:val="auto"/>
          <w:sz w:val="24"/>
          <w:szCs w:val="24"/>
          <w:highlight w:val="none"/>
        </w:rPr>
        <w:t>：本次招标项目划分为2个标段（包）。</w:t>
      </w:r>
    </w:p>
    <w:tbl>
      <w:tblPr>
        <w:tblStyle w:val="20"/>
        <w:tblW w:w="10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083"/>
        <w:gridCol w:w="2727"/>
        <w:gridCol w:w="2045"/>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314" w:type="dxa"/>
            <w:gridSpan w:val="5"/>
            <w:vAlign w:val="center"/>
          </w:tcPr>
          <w:p>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027" w:type="dxa"/>
            <w:vAlign w:val="center"/>
          </w:tcPr>
          <w:p>
            <w:pPr>
              <w:widowControl w:val="0"/>
              <w:snapToGrid w:val="0"/>
              <w:jc w:val="center"/>
              <w:rPr>
                <w:b/>
                <w:color w:val="auto"/>
                <w:sz w:val="24"/>
                <w:szCs w:val="24"/>
                <w:highlight w:val="none"/>
              </w:rPr>
            </w:pPr>
            <w:r>
              <w:rPr>
                <w:rFonts w:hint="eastAsia"/>
                <w:b/>
                <w:color w:val="auto"/>
                <w:sz w:val="24"/>
                <w:szCs w:val="24"/>
                <w:highlight w:val="none"/>
              </w:rPr>
              <w:t>项目名称</w:t>
            </w:r>
          </w:p>
        </w:tc>
        <w:tc>
          <w:tcPr>
            <w:tcW w:w="2083" w:type="dxa"/>
            <w:vAlign w:val="center"/>
          </w:tcPr>
          <w:p>
            <w:pPr>
              <w:widowControl w:val="0"/>
              <w:snapToGrid w:val="0"/>
              <w:jc w:val="center"/>
              <w:rPr>
                <w:b/>
                <w:color w:val="auto"/>
                <w:sz w:val="24"/>
                <w:szCs w:val="24"/>
                <w:highlight w:val="none"/>
              </w:rPr>
            </w:pPr>
            <w:r>
              <w:rPr>
                <w:rFonts w:hint="eastAsia"/>
                <w:b/>
                <w:color w:val="auto"/>
                <w:sz w:val="24"/>
                <w:szCs w:val="24"/>
                <w:highlight w:val="none"/>
              </w:rPr>
              <w:t>标段（包）名称</w:t>
            </w:r>
          </w:p>
        </w:tc>
        <w:tc>
          <w:tcPr>
            <w:tcW w:w="2727" w:type="dxa"/>
            <w:vAlign w:val="center"/>
          </w:tcPr>
          <w:p>
            <w:pPr>
              <w:widowControl w:val="0"/>
              <w:snapToGrid w:val="0"/>
              <w:jc w:val="center"/>
              <w:rPr>
                <w:rFonts w:ascii="宋体" w:hAnsi="宋体"/>
                <w:b/>
                <w:color w:val="auto"/>
                <w:sz w:val="24"/>
                <w:szCs w:val="24"/>
                <w:highlight w:val="none"/>
              </w:rPr>
            </w:pPr>
            <w:r>
              <w:rPr>
                <w:rFonts w:hint="eastAsia" w:ascii="宋体" w:hAnsi="宋体"/>
                <w:b/>
                <w:color w:val="auto"/>
                <w:sz w:val="24"/>
                <w:szCs w:val="24"/>
                <w:highlight w:val="none"/>
              </w:rPr>
              <w:t>标段（包）内容（范围）</w:t>
            </w:r>
          </w:p>
        </w:tc>
        <w:tc>
          <w:tcPr>
            <w:tcW w:w="2045" w:type="dxa"/>
            <w:vAlign w:val="center"/>
          </w:tcPr>
          <w:p>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合同履行期限</w:t>
            </w:r>
          </w:p>
          <w:p>
            <w:pPr>
              <w:widowControl w:val="0"/>
              <w:snapToGrid w:val="0"/>
              <w:jc w:val="center"/>
              <w:rPr>
                <w:rFonts w:ascii="宋体" w:hAnsi="宋体"/>
                <w:b/>
                <w:color w:val="auto"/>
                <w:sz w:val="24"/>
                <w:szCs w:val="24"/>
                <w:highlight w:val="none"/>
              </w:rPr>
            </w:pPr>
            <w:r>
              <w:rPr>
                <w:rFonts w:hint="eastAsia" w:ascii="宋体" w:hAnsi="宋体"/>
                <w:b/>
                <w:color w:val="auto"/>
                <w:sz w:val="24"/>
                <w:szCs w:val="24"/>
                <w:highlight w:val="none"/>
              </w:rPr>
              <w:t>（交付&lt;实施&gt;期）</w:t>
            </w:r>
          </w:p>
        </w:tc>
        <w:tc>
          <w:tcPr>
            <w:tcW w:w="1432" w:type="dxa"/>
            <w:vAlign w:val="center"/>
          </w:tcPr>
          <w:p>
            <w:pPr>
              <w:widowControl w:val="0"/>
              <w:snapToGrid w:val="0"/>
              <w:jc w:val="center"/>
              <w:rPr>
                <w:rFonts w:ascii="宋体" w:hAnsi="宋体"/>
                <w:b/>
                <w:color w:val="auto"/>
                <w:sz w:val="24"/>
                <w:szCs w:val="24"/>
                <w:highlight w:val="none"/>
              </w:rPr>
            </w:pPr>
            <w:r>
              <w:rPr>
                <w:rFonts w:hint="eastAsia" w:ascii="宋体" w:hAnsi="宋体"/>
                <w:b/>
                <w:color w:val="auto"/>
                <w:sz w:val="24"/>
                <w:szCs w:val="24"/>
                <w:highlight w:val="none"/>
              </w:rPr>
              <w:t>交付（实施）地点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2027" w:type="dxa"/>
            <w:vAlign w:val="center"/>
          </w:tcPr>
          <w:p>
            <w:pPr>
              <w:widowControl w:val="0"/>
              <w:snapToGrid w:val="0"/>
              <w:spacing w:line="240" w:lineRule="auto"/>
              <w:rPr>
                <w:color w:val="auto"/>
                <w:sz w:val="24"/>
                <w:szCs w:val="24"/>
                <w:highlight w:val="none"/>
              </w:rPr>
            </w:pPr>
            <w:r>
              <w:rPr>
                <w:rFonts w:hint="eastAsia"/>
                <w:color w:val="auto"/>
                <w:sz w:val="24"/>
                <w:szCs w:val="24"/>
                <w:highlight w:val="none"/>
              </w:rPr>
              <w:t>安阳市住房和城乡建设局安阳市东区污水处理厂初沉淀池改造工程项目（二次）</w:t>
            </w:r>
          </w:p>
        </w:tc>
        <w:tc>
          <w:tcPr>
            <w:tcW w:w="2083" w:type="dxa"/>
            <w:vAlign w:val="center"/>
          </w:tcPr>
          <w:p>
            <w:pPr>
              <w:widowControl w:val="0"/>
              <w:snapToGrid w:val="0"/>
              <w:spacing w:line="240" w:lineRule="auto"/>
              <w:rPr>
                <w:rFonts w:hint="eastAsia" w:eastAsia="宋体"/>
                <w:color w:val="auto"/>
                <w:sz w:val="24"/>
                <w:szCs w:val="24"/>
                <w:highlight w:val="none"/>
                <w:lang w:val="en-US" w:eastAsia="zh-CN"/>
              </w:rPr>
            </w:pPr>
            <w:r>
              <w:rPr>
                <w:rFonts w:hint="eastAsia"/>
                <w:color w:val="auto"/>
                <w:sz w:val="24"/>
                <w:szCs w:val="24"/>
                <w:highlight w:val="none"/>
              </w:rPr>
              <w:t>安阳市住房和城乡建设局安阳市东区污水处理厂初沉淀池改造工程项目（包1）（二次）</w:t>
            </w:r>
          </w:p>
        </w:tc>
        <w:tc>
          <w:tcPr>
            <w:tcW w:w="2727" w:type="dxa"/>
            <w:vAlign w:val="center"/>
          </w:tcPr>
          <w:p>
            <w:pPr>
              <w:widowControl w:val="0"/>
              <w:snapToGrid w:val="0"/>
              <w:spacing w:line="240" w:lineRule="auto"/>
              <w:rPr>
                <w:color w:val="auto"/>
                <w:sz w:val="24"/>
                <w:szCs w:val="24"/>
                <w:highlight w:val="none"/>
              </w:rPr>
            </w:pPr>
            <w:r>
              <w:rPr>
                <w:rFonts w:hint="eastAsia"/>
                <w:color w:val="auto"/>
                <w:sz w:val="24"/>
                <w:szCs w:val="24"/>
                <w:highlight w:val="none"/>
              </w:rPr>
              <w:t>见“第二章第</w:t>
            </w:r>
            <w:r>
              <w:rPr>
                <w:color w:val="auto"/>
                <w:sz w:val="24"/>
                <w:szCs w:val="24"/>
                <w:highlight w:val="none"/>
              </w:rPr>
              <w:t>2</w:t>
            </w:r>
            <w:r>
              <w:rPr>
                <w:rFonts w:hint="eastAsia"/>
                <w:color w:val="auto"/>
                <w:sz w:val="24"/>
                <w:szCs w:val="24"/>
                <w:highlight w:val="none"/>
              </w:rPr>
              <w:t>条：标段（包）内容（范围）及具体采购需求”</w:t>
            </w:r>
          </w:p>
        </w:tc>
        <w:tc>
          <w:tcPr>
            <w:tcW w:w="2045" w:type="dxa"/>
            <w:vAlign w:val="center"/>
          </w:tcPr>
          <w:p>
            <w:pPr>
              <w:widowControl w:val="0"/>
              <w:snapToGrid w:val="0"/>
              <w:spacing w:line="240" w:lineRule="auto"/>
              <w:rPr>
                <w:color w:val="auto"/>
                <w:sz w:val="24"/>
                <w:szCs w:val="24"/>
                <w:highlight w:val="none"/>
              </w:rPr>
            </w:pPr>
            <w:r>
              <w:rPr>
                <w:rFonts w:hint="eastAsia"/>
                <w:color w:val="auto"/>
                <w:sz w:val="24"/>
                <w:szCs w:val="24"/>
                <w:highlight w:val="none"/>
              </w:rPr>
              <w:t>见招标公告1.6</w:t>
            </w:r>
            <w:r>
              <w:rPr>
                <w:rFonts w:hint="eastAsia"/>
                <w:color w:val="auto"/>
                <w:sz w:val="24"/>
                <w:szCs w:val="24"/>
                <w:highlight w:val="none"/>
                <w:u w:val="single"/>
              </w:rPr>
              <w:t xml:space="preserve">            </w:t>
            </w:r>
            <w:r>
              <w:rPr>
                <w:color w:val="auto"/>
                <w:sz w:val="24"/>
                <w:szCs w:val="24"/>
                <w:highlight w:val="none"/>
              </w:rPr>
              <w:tab/>
            </w:r>
          </w:p>
        </w:tc>
        <w:tc>
          <w:tcPr>
            <w:tcW w:w="1432" w:type="dxa"/>
            <w:vAlign w:val="center"/>
          </w:tcPr>
          <w:p>
            <w:pPr>
              <w:jc w:val="left"/>
              <w:rPr>
                <w:color w:val="auto"/>
                <w:sz w:val="24"/>
                <w:szCs w:val="24"/>
                <w:highlight w:val="none"/>
              </w:rPr>
            </w:pPr>
            <w:r>
              <w:rPr>
                <w:rFonts w:hint="eastAsia"/>
                <w:color w:val="auto"/>
                <w:sz w:val="24"/>
                <w:szCs w:val="24"/>
                <w:highlight w:val="none"/>
              </w:rPr>
              <w:t>采购人指定地点（安阳首创水务有限公司院内）</w:t>
            </w:r>
          </w:p>
        </w:tc>
      </w:tr>
    </w:tbl>
    <w:p>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 xml:space="preserve">1.3 </w:t>
      </w:r>
      <w:r>
        <w:rPr>
          <w:rFonts w:hint="eastAsia" w:ascii="黑体" w:hAnsi="黑体" w:eastAsia="黑体"/>
          <w:b/>
          <w:color w:val="auto"/>
          <w:sz w:val="24"/>
          <w:szCs w:val="24"/>
          <w:highlight w:val="none"/>
        </w:rPr>
        <w:t>投标报价（价格构成）</w:t>
      </w:r>
    </w:p>
    <w:p>
      <w:pPr>
        <w:widowControl w:val="0"/>
        <w:snapToGrid w:val="0"/>
        <w:spacing w:line="360" w:lineRule="auto"/>
        <w:ind w:firstLine="480" w:firstLineChars="200"/>
        <w:jc w:val="left"/>
        <w:rPr>
          <w:color w:val="auto"/>
          <w:sz w:val="24"/>
          <w:szCs w:val="24"/>
          <w:highlight w:val="none"/>
        </w:rPr>
      </w:pPr>
      <w:r>
        <w:rPr>
          <w:color w:val="auto"/>
          <w:sz w:val="24"/>
          <w:szCs w:val="24"/>
          <w:highlight w:val="none"/>
        </w:rPr>
        <w:t xml:space="preserve">1.3.1 </w:t>
      </w:r>
      <w:r>
        <w:rPr>
          <w:rFonts w:hint="eastAsia"/>
          <w:color w:val="auto"/>
          <w:sz w:val="24"/>
          <w:szCs w:val="24"/>
          <w:highlight w:val="none"/>
        </w:rPr>
        <w:t>投标人应按标段（包）进行投标，各标段（包）的投标报价均应为达到正常使用条件下的目的地交验价，包括产品价款、相关税款、备品备件价、易损件价、专用工具价、售后及技术服务费、知识产权（如有）、保险（如需）、货物包装及运送到安阳地区指定地点的运杂费、装卸费等与招标项目相关的、必须的款项及费用（包括未列明而完成交验所必须的所有设备、材料、工具、费用）。</w:t>
      </w:r>
      <w:r>
        <w:rPr>
          <w:rFonts w:hint="eastAsia" w:ascii="宋体" w:hAnsi="宋体"/>
          <w:color w:val="auto"/>
          <w:sz w:val="24"/>
          <w:szCs w:val="24"/>
          <w:highlight w:val="none"/>
        </w:rPr>
        <w:t>中标价格在中标合同范围内固定不变。</w:t>
      </w:r>
    </w:p>
    <w:p>
      <w:pPr>
        <w:widowControl w:val="0"/>
        <w:snapToGrid w:val="0"/>
        <w:spacing w:line="360" w:lineRule="auto"/>
        <w:ind w:firstLine="480" w:firstLineChars="200"/>
        <w:jc w:val="left"/>
        <w:rPr>
          <w:color w:val="auto"/>
          <w:sz w:val="24"/>
          <w:szCs w:val="24"/>
          <w:highlight w:val="none"/>
        </w:rPr>
      </w:pPr>
      <w:r>
        <w:rPr>
          <w:color w:val="auto"/>
          <w:sz w:val="24"/>
          <w:szCs w:val="24"/>
          <w:highlight w:val="none"/>
        </w:rPr>
        <w:t>1.3.2</w:t>
      </w:r>
      <w:r>
        <w:rPr>
          <w:rFonts w:hint="eastAsia"/>
          <w:color w:val="auto"/>
          <w:sz w:val="24"/>
          <w:szCs w:val="24"/>
          <w:highlight w:val="none"/>
        </w:rPr>
        <w:t>投标报价为一次性报价，报价时间截止后对投标报价的任何承诺、修改，除法定修正或招标文件规定修正情形外，评标委员会将不予考虑。</w:t>
      </w:r>
    </w:p>
    <w:p>
      <w:pPr>
        <w:widowControl w:val="0"/>
        <w:snapToGrid w:val="0"/>
        <w:spacing w:line="360" w:lineRule="auto"/>
        <w:ind w:firstLine="480" w:firstLineChars="200"/>
        <w:jc w:val="left"/>
        <w:rPr>
          <w:color w:val="auto"/>
          <w:sz w:val="24"/>
          <w:szCs w:val="24"/>
          <w:highlight w:val="none"/>
        </w:rPr>
      </w:pPr>
      <w:r>
        <w:rPr>
          <w:color w:val="auto"/>
          <w:sz w:val="24"/>
          <w:szCs w:val="24"/>
          <w:highlight w:val="none"/>
        </w:rPr>
        <w:t xml:space="preserve">1.3.3 </w:t>
      </w:r>
      <w:r>
        <w:rPr>
          <w:rFonts w:hint="eastAsia"/>
          <w:color w:val="auto"/>
          <w:sz w:val="24"/>
          <w:szCs w:val="24"/>
          <w:highlight w:val="none"/>
        </w:rPr>
        <w:t>如投标人的投标报价未超过</w:t>
      </w:r>
      <w:r>
        <w:rPr>
          <w:rFonts w:hint="eastAsia" w:ascii="宋体" w:hAnsi="宋体" w:cs="楷体_GB2312"/>
          <w:bCs/>
          <w:color w:val="auto"/>
          <w:sz w:val="24"/>
          <w:highlight w:val="none"/>
          <w:lang w:val="zh-CN"/>
        </w:rPr>
        <w:t>预算金额</w:t>
      </w:r>
      <w:r>
        <w:rPr>
          <w:rFonts w:hint="eastAsia"/>
          <w:color w:val="auto"/>
          <w:sz w:val="24"/>
          <w:szCs w:val="24"/>
          <w:highlight w:val="none"/>
        </w:rPr>
        <w:t>（见招标公告</w:t>
      </w:r>
      <w:r>
        <w:rPr>
          <w:color w:val="auto"/>
          <w:sz w:val="24"/>
          <w:szCs w:val="24"/>
          <w:highlight w:val="none"/>
        </w:rPr>
        <w:t>1.</w:t>
      </w:r>
      <w:r>
        <w:rPr>
          <w:rFonts w:hint="eastAsia"/>
          <w:color w:val="auto"/>
          <w:sz w:val="24"/>
          <w:szCs w:val="24"/>
          <w:highlight w:val="none"/>
        </w:rPr>
        <w:t>4）的供应商不足三家的，该标段（包）做废标处理。</w:t>
      </w:r>
    </w:p>
    <w:p>
      <w:pPr>
        <w:widowControl w:val="0"/>
        <w:snapToGrid w:val="0"/>
        <w:spacing w:line="360" w:lineRule="auto"/>
        <w:ind w:firstLine="480" w:firstLineChars="200"/>
        <w:jc w:val="left"/>
        <w:rPr>
          <w:color w:val="auto"/>
          <w:sz w:val="24"/>
          <w:szCs w:val="24"/>
          <w:highlight w:val="none"/>
        </w:rPr>
      </w:pPr>
      <w:r>
        <w:rPr>
          <w:color w:val="auto"/>
          <w:sz w:val="24"/>
          <w:szCs w:val="24"/>
          <w:highlight w:val="none"/>
        </w:rPr>
        <w:t xml:space="preserve">1.3.4 </w:t>
      </w:r>
      <w:r>
        <w:rPr>
          <w:rFonts w:hint="eastAsia"/>
          <w:color w:val="auto"/>
          <w:sz w:val="24"/>
          <w:szCs w:val="24"/>
          <w:highlight w:val="none"/>
        </w:rPr>
        <w:t>遵循第三章投标人须知</w:t>
      </w:r>
      <w:r>
        <w:rPr>
          <w:color w:val="auto"/>
          <w:sz w:val="24"/>
          <w:szCs w:val="24"/>
          <w:highlight w:val="none"/>
        </w:rPr>
        <w:t>3.7.</w:t>
      </w:r>
      <w:r>
        <w:rPr>
          <w:rFonts w:hint="eastAsia"/>
          <w:color w:val="auto"/>
          <w:sz w:val="24"/>
          <w:szCs w:val="24"/>
          <w:highlight w:val="none"/>
        </w:rPr>
        <w:t>5项规定。</w:t>
      </w:r>
    </w:p>
    <w:p>
      <w:pPr>
        <w:spacing w:line="560" w:lineRule="exact"/>
        <w:ind w:firstLine="562" w:firstLineChars="200"/>
        <w:rPr>
          <w:rFonts w:ascii="黑体" w:hAnsi="黑体" w:eastAsia="黑体"/>
          <w:b/>
          <w:color w:val="auto"/>
          <w:sz w:val="28"/>
          <w:highlight w:val="none"/>
        </w:rPr>
      </w:pPr>
    </w:p>
    <w:p>
      <w:pPr>
        <w:spacing w:line="560" w:lineRule="exact"/>
        <w:ind w:firstLine="562" w:firstLineChars="200"/>
        <w:outlineLvl w:val="1"/>
        <w:rPr>
          <w:rFonts w:ascii="黑体" w:hAnsi="黑体" w:eastAsia="黑体"/>
          <w:b/>
          <w:color w:val="auto"/>
          <w:sz w:val="28"/>
          <w:highlight w:val="none"/>
        </w:rPr>
      </w:pPr>
      <w:bookmarkStart w:id="23" w:name="_Toc165383925"/>
      <w:r>
        <w:rPr>
          <w:rFonts w:ascii="黑体" w:hAnsi="黑体" w:eastAsia="黑体"/>
          <w:b/>
          <w:color w:val="auto"/>
          <w:sz w:val="28"/>
          <w:highlight w:val="none"/>
        </w:rPr>
        <w:t xml:space="preserve">2. </w:t>
      </w:r>
      <w:r>
        <w:rPr>
          <w:rFonts w:hint="eastAsia" w:ascii="黑体" w:hAnsi="黑体" w:eastAsia="黑体"/>
          <w:b/>
          <w:color w:val="auto"/>
          <w:sz w:val="28"/>
          <w:highlight w:val="none"/>
        </w:rPr>
        <w:t>标段（包）内容（范围）及具体采购需求</w:t>
      </w:r>
      <w:bookmarkEnd w:id="23"/>
    </w:p>
    <w:p>
      <w:pPr>
        <w:spacing w:line="560" w:lineRule="exact"/>
        <w:ind w:firstLine="482" w:firstLineChars="200"/>
        <w:rPr>
          <w:color w:val="auto"/>
          <w:sz w:val="24"/>
          <w:szCs w:val="24"/>
          <w:highlight w:val="none"/>
        </w:rPr>
      </w:pPr>
      <w:r>
        <w:rPr>
          <w:rFonts w:ascii="黑体" w:hAnsi="黑体" w:eastAsia="黑体"/>
          <w:b/>
          <w:color w:val="auto"/>
          <w:sz w:val="24"/>
          <w:szCs w:val="24"/>
          <w:highlight w:val="none"/>
        </w:rPr>
        <w:t>2.1</w:t>
      </w:r>
      <w:r>
        <w:rPr>
          <w:rFonts w:hint="eastAsia" w:ascii="黑体" w:hAnsi="黑体" w:eastAsia="黑体"/>
          <w:b/>
          <w:color w:val="auto"/>
          <w:sz w:val="24"/>
          <w:szCs w:val="24"/>
          <w:highlight w:val="none"/>
        </w:rPr>
        <w:t>采购标的需实现的功能或者目标，标段（包）总体范围：</w:t>
      </w:r>
      <w:r>
        <w:rPr>
          <w:color w:val="auto"/>
          <w:sz w:val="24"/>
          <w:szCs w:val="24"/>
          <w:highlight w:val="none"/>
        </w:rPr>
        <w:t xml:space="preserve"> </w:t>
      </w:r>
    </w:p>
    <w:p>
      <w:pPr>
        <w:adjustRightInd w:val="0"/>
        <w:snapToGrid w:val="0"/>
        <w:spacing w:line="300" w:lineRule="auto"/>
        <w:ind w:firstLine="600" w:firstLineChars="250"/>
        <w:jc w:val="left"/>
        <w:rPr>
          <w:rFonts w:ascii="宋体" w:hAnsi="宋体" w:cs="宋体"/>
          <w:color w:val="auto"/>
          <w:sz w:val="24"/>
          <w:highlight w:val="none"/>
        </w:rPr>
      </w:pPr>
      <w:r>
        <w:rPr>
          <w:rFonts w:hint="eastAsia" w:ascii="宋体" w:hAnsi="宋体" w:cs="宋体"/>
          <w:color w:val="auto"/>
          <w:sz w:val="24"/>
          <w:highlight w:val="none"/>
        </w:rPr>
        <w:t>按时保质保量达到设计目标，满足采购人正常工作需要。</w:t>
      </w:r>
    </w:p>
    <w:p>
      <w:pPr>
        <w:adjustRightInd w:val="0"/>
        <w:snapToGrid w:val="0"/>
        <w:spacing w:line="300" w:lineRule="auto"/>
        <w:ind w:firstLine="600" w:firstLineChars="250"/>
        <w:jc w:val="left"/>
        <w:rPr>
          <w:rFonts w:ascii="宋体" w:cs="宋体"/>
          <w:color w:val="auto"/>
          <w:sz w:val="24"/>
          <w:highlight w:val="none"/>
        </w:rPr>
      </w:pPr>
      <w:r>
        <w:rPr>
          <w:rFonts w:hint="eastAsia"/>
          <w:color w:val="auto"/>
          <w:sz w:val="24"/>
          <w:szCs w:val="24"/>
          <w:highlight w:val="none"/>
        </w:rPr>
        <w:t>本项目为现有的两个初沉池改造为两个二沉池，中标人负责产品的协助安装、调试，并具备正常使用条件。</w:t>
      </w:r>
    </w:p>
    <w:p>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 xml:space="preserve">2.2 </w:t>
      </w:r>
      <w:r>
        <w:rPr>
          <w:rFonts w:hint="eastAsia" w:ascii="黑体" w:hAnsi="黑体" w:eastAsia="黑体"/>
          <w:b/>
          <w:color w:val="auto"/>
          <w:sz w:val="24"/>
          <w:szCs w:val="24"/>
          <w:highlight w:val="none"/>
        </w:rPr>
        <w:t>项目落实的政府采购政策（法规标准条款）</w:t>
      </w:r>
    </w:p>
    <w:p>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.1 </w:t>
      </w:r>
      <w:r>
        <w:rPr>
          <w:rFonts w:hint="eastAsia" w:ascii="宋体" w:hAnsi="宋体"/>
          <w:color w:val="auto"/>
          <w:sz w:val="24"/>
          <w:szCs w:val="24"/>
          <w:highlight w:val="none"/>
        </w:rPr>
        <w:t>政府采购节能产品、环境标志产品实施品目清单管理后，对本次采购产品属于“节能产品政府采购品目清单”中强制采购品目的</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标产</w:t>
      </w:r>
      <w:r>
        <w:rPr>
          <w:rFonts w:hint="eastAsia" w:ascii="宋体" w:hAnsi="宋体" w:cs="宋体"/>
          <w:color w:val="auto"/>
          <w:sz w:val="24"/>
          <w:szCs w:val="24"/>
          <w:highlight w:val="none"/>
        </w:rPr>
        <w:t>品</w:t>
      </w:r>
      <w:r>
        <w:rPr>
          <w:rFonts w:ascii="宋体" w:hAnsi="宋体" w:cs="宋体"/>
          <w:color w:val="auto"/>
          <w:sz w:val="24"/>
          <w:szCs w:val="24"/>
          <w:highlight w:val="none"/>
        </w:rPr>
        <w:t>应当具有</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标文件中应当提供</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p>
    <w:p>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属于政府强制采购</w:t>
      </w:r>
      <w:r>
        <w:rPr>
          <w:rFonts w:hint="eastAsia" w:ascii="宋体" w:hAnsi="宋体" w:cs="宋体"/>
          <w:color w:val="auto"/>
          <w:sz w:val="24"/>
          <w:szCs w:val="24"/>
          <w:highlight w:val="none"/>
        </w:rPr>
        <w:t>品目</w:t>
      </w:r>
      <w:r>
        <w:rPr>
          <w:rFonts w:hint="eastAsia" w:ascii="宋体" w:hAnsi="宋体"/>
          <w:color w:val="auto"/>
          <w:sz w:val="24"/>
          <w:szCs w:val="24"/>
          <w:highlight w:val="none"/>
        </w:rPr>
        <w:t>、而未按要求提供相应资料的，</w:t>
      </w:r>
      <w:r>
        <w:rPr>
          <w:rFonts w:hint="eastAsia" w:ascii="宋体" w:hAnsi="宋体"/>
          <w:b/>
          <w:color w:val="auto"/>
          <w:sz w:val="24"/>
          <w:szCs w:val="24"/>
          <w:highlight w:val="none"/>
        </w:rPr>
        <w:t>为无效投标</w:t>
      </w:r>
      <w:r>
        <w:rPr>
          <w:rFonts w:hint="eastAsia" w:ascii="宋体" w:hAnsi="宋体"/>
          <w:color w:val="auto"/>
          <w:sz w:val="24"/>
          <w:szCs w:val="24"/>
          <w:highlight w:val="none"/>
        </w:rPr>
        <w:t>。</w:t>
      </w:r>
    </w:p>
    <w:p>
      <w:pPr>
        <w:adjustRightInd w:val="0"/>
        <w:snapToGrid w:val="0"/>
        <w:spacing w:before="156" w:beforeLines="50" w:line="300" w:lineRule="auto"/>
        <w:ind w:firstLine="480" w:firstLineChars="200"/>
        <w:rPr>
          <w:rFonts w:ascii="宋体" w:hAnsi="宋体" w:cs="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.2 </w:t>
      </w:r>
      <w:r>
        <w:rPr>
          <w:rFonts w:hint="eastAsia" w:ascii="宋体" w:hAnsi="宋体"/>
          <w:color w:val="auto"/>
          <w:sz w:val="24"/>
          <w:szCs w:val="24"/>
          <w:highlight w:val="none"/>
        </w:rPr>
        <w:t>同等条件下，</w:t>
      </w:r>
      <w:r>
        <w:rPr>
          <w:rFonts w:hint="eastAsia" w:ascii="宋体" w:hAnsi="宋体" w:cs="宋体"/>
          <w:color w:val="auto"/>
          <w:sz w:val="24"/>
          <w:szCs w:val="24"/>
          <w:highlight w:val="none"/>
        </w:rPr>
        <w:t>获得节能产品认证证书或环境标志产品认证证书的产品优先采购。(认证证书应</w:t>
      </w:r>
      <w:r>
        <w:rPr>
          <w:rFonts w:ascii="宋体" w:hAnsi="宋体" w:cs="宋体"/>
          <w:color w:val="auto"/>
          <w:sz w:val="24"/>
          <w:szCs w:val="24"/>
          <w:highlight w:val="none"/>
        </w:rPr>
        <w:t>当为</w:t>
      </w:r>
      <w:r>
        <w:rPr>
          <w:rFonts w:hint="eastAsia" w:ascii="宋体" w:hAnsi="宋体" w:cs="宋体"/>
          <w:color w:val="auto"/>
          <w:sz w:val="24"/>
          <w:szCs w:val="24"/>
          <w:highlight w:val="none"/>
        </w:rPr>
        <w:t>国家确定的认证机构出具、且</w:t>
      </w:r>
      <w:r>
        <w:rPr>
          <w:rFonts w:ascii="宋体" w:hAnsi="宋体" w:cs="宋体"/>
          <w:color w:val="auto"/>
          <w:sz w:val="24"/>
          <w:szCs w:val="24"/>
          <w:highlight w:val="none"/>
        </w:rPr>
        <w:t>应</w:t>
      </w:r>
      <w:r>
        <w:rPr>
          <w:rFonts w:hint="eastAsia" w:ascii="宋体" w:hAnsi="宋体" w:cs="宋体"/>
          <w:color w:val="auto"/>
          <w:sz w:val="24"/>
          <w:szCs w:val="24"/>
          <w:highlight w:val="none"/>
        </w:rPr>
        <w:t>处于有效期之内。)</w:t>
      </w:r>
    </w:p>
    <w:p>
      <w:pPr>
        <w:adjustRightInd w:val="0"/>
        <w:snapToGrid w:val="0"/>
        <w:spacing w:before="156" w:beforeLines="50" w:line="300" w:lineRule="auto"/>
        <w:ind w:firstLine="480" w:firstLineChars="200"/>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Pr>
          <w:rFonts w:hint="eastAsia" w:ascii="宋体" w:hAnsi="宋体" w:cs="宋体"/>
          <w:color w:val="auto"/>
          <w:sz w:val="24"/>
          <w:szCs w:val="24"/>
          <w:highlight w:val="none"/>
        </w:rPr>
        <w:t>应处于有效期内</w:t>
      </w:r>
      <w:r>
        <w:rPr>
          <w:rFonts w:hint="eastAsia" w:ascii="宋体" w:hAnsi="宋体"/>
          <w:color w:val="auto"/>
          <w:sz w:val="24"/>
          <w:szCs w:val="24"/>
          <w:highlight w:val="none"/>
        </w:rPr>
        <w:t>）。</w:t>
      </w:r>
    </w:p>
    <w:p>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4计算机产品须预装正版操作系统软件。</w:t>
      </w:r>
    </w:p>
    <w:p>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本次采购不允许进口产品参加。</w:t>
      </w:r>
    </w:p>
    <w:p>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6如允许采购进口产品的，优先采购向我国企业转让技术、与我国企业签订消化吸收再创新方案的供应商的进口产品。</w:t>
      </w:r>
    </w:p>
    <w:p>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促进中小企业发展扶持政策：见第四章“评标办法”第</w:t>
      </w:r>
      <w:r>
        <w:rPr>
          <w:rFonts w:ascii="宋体" w:hAnsi="宋体"/>
          <w:color w:val="auto"/>
          <w:sz w:val="24"/>
          <w:szCs w:val="24"/>
          <w:highlight w:val="none"/>
        </w:rPr>
        <w:t>4</w:t>
      </w:r>
      <w:r>
        <w:rPr>
          <w:rFonts w:hint="eastAsia" w:ascii="宋体" w:hAnsi="宋体"/>
          <w:color w:val="auto"/>
          <w:sz w:val="24"/>
          <w:szCs w:val="24"/>
          <w:highlight w:val="none"/>
        </w:rPr>
        <w:t>条。</w:t>
      </w:r>
    </w:p>
    <w:p>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8促进残疾人就业、支持监狱企业发展：见第四章“评标办法”第</w:t>
      </w:r>
      <w:r>
        <w:rPr>
          <w:rFonts w:ascii="宋体" w:hAnsi="宋体"/>
          <w:color w:val="auto"/>
          <w:sz w:val="24"/>
          <w:szCs w:val="24"/>
          <w:highlight w:val="none"/>
        </w:rPr>
        <w:t>4</w:t>
      </w:r>
      <w:r>
        <w:rPr>
          <w:rFonts w:hint="eastAsia" w:ascii="宋体" w:hAnsi="宋体"/>
          <w:color w:val="auto"/>
          <w:sz w:val="24"/>
          <w:szCs w:val="24"/>
          <w:highlight w:val="none"/>
        </w:rPr>
        <w:t>条。</w:t>
      </w:r>
    </w:p>
    <w:p>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9</w:t>
      </w:r>
      <w:r>
        <w:rPr>
          <w:rFonts w:ascii="宋体" w:hAnsi="宋体"/>
          <w:color w:val="auto"/>
          <w:sz w:val="24"/>
          <w:szCs w:val="24"/>
          <w:highlight w:val="none"/>
        </w:rPr>
        <w:t xml:space="preserve"> </w:t>
      </w:r>
      <w:r>
        <w:rPr>
          <w:rFonts w:hint="eastAsia" w:ascii="宋体" w:hAnsi="宋体"/>
          <w:color w:val="auto"/>
          <w:sz w:val="24"/>
          <w:szCs w:val="24"/>
          <w:highlight w:val="none"/>
        </w:rPr>
        <w:t>所供产品有商品包装的应当使用绿色包装。所供产品有其他环保政策要求的，应符合相关环保法律政策要求。</w:t>
      </w:r>
    </w:p>
    <w:p>
      <w:pPr>
        <w:adjustRightInd w:val="0"/>
        <w:snapToGrid w:val="0"/>
        <w:spacing w:before="156" w:beforeLines="50" w:line="300" w:lineRule="auto"/>
        <w:ind w:firstLine="480" w:firstLineChars="200"/>
        <w:rPr>
          <w:rFonts w:ascii="宋体" w:cs="宋体"/>
          <w:color w:val="auto"/>
          <w:sz w:val="24"/>
          <w:highlight w:val="none"/>
        </w:rPr>
      </w:pPr>
      <w:r>
        <w:rPr>
          <w:rFonts w:hint="eastAsia" w:ascii="宋体" w:hAnsi="宋体"/>
          <w:color w:val="auto"/>
          <w:sz w:val="24"/>
          <w:szCs w:val="24"/>
          <w:highlight w:val="none"/>
        </w:rPr>
        <w:t>2.2.10</w:t>
      </w:r>
      <w:r>
        <w:rPr>
          <w:rFonts w:ascii="宋体" w:hAnsi="宋体"/>
          <w:color w:val="auto"/>
          <w:sz w:val="24"/>
          <w:szCs w:val="24"/>
          <w:highlight w:val="none"/>
        </w:rPr>
        <w:t xml:space="preserve"> </w:t>
      </w:r>
      <w:r>
        <w:rPr>
          <w:rFonts w:hint="eastAsia" w:ascii="宋体" w:hAnsi="宋体"/>
          <w:color w:val="auto"/>
          <w:sz w:val="24"/>
          <w:szCs w:val="24"/>
          <w:highlight w:val="none"/>
        </w:rPr>
        <w:t>支持绿色建筑、绿色建材，支持使用低</w:t>
      </w:r>
      <w:r>
        <w:rPr>
          <w:rFonts w:ascii="Arial" w:hAnsi="Arial" w:cs="Arial"/>
          <w:color w:val="auto"/>
          <w:szCs w:val="21"/>
          <w:highlight w:val="none"/>
          <w:shd w:val="clear" w:color="auto" w:fill="FFFFFF"/>
        </w:rPr>
        <w:t>VOCs</w:t>
      </w:r>
      <w:r>
        <w:rPr>
          <w:rFonts w:hint="eastAsia" w:ascii="宋体" w:hAnsi="宋体"/>
          <w:color w:val="auto"/>
          <w:sz w:val="24"/>
          <w:szCs w:val="24"/>
          <w:highlight w:val="none"/>
        </w:rPr>
        <w:t>含量涂料和胶黏剂，支持不发达、少数民族地区的企业，促进自主创新产业发展，支持脱贫攻坚等；同等条件下，优先采购。</w:t>
      </w:r>
    </w:p>
    <w:p>
      <w:pPr>
        <w:adjustRightInd w:val="0"/>
        <w:snapToGrid w:val="0"/>
        <w:spacing w:line="30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2.3</w:t>
      </w:r>
      <w:r>
        <w:rPr>
          <w:rFonts w:hint="eastAsia" w:ascii="黑体" w:hAnsi="黑体" w:eastAsia="黑体"/>
          <w:b/>
          <w:color w:val="auto"/>
          <w:sz w:val="24"/>
          <w:szCs w:val="24"/>
          <w:highlight w:val="none"/>
        </w:rPr>
        <w:t>采购标的需执行的国家相关标准、行业标准、地方标准或者其他标准、规范；</w:t>
      </w:r>
    </w:p>
    <w:p>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投标人所投产品应为全新产品且符合国家质量标准、部颁标准及行业规范的要求，符合国家各项强制性规范及安全标准，投标产品不应与第三方存在知识产权权属问题；投标人应本着服务客户、为客户着想的宗旨，来完善产品及技术要求未尽事宜，不得以招标文件未列明事项为由，来降低投标产品的质量。</w:t>
      </w:r>
    </w:p>
    <w:p>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2.4</w:t>
      </w:r>
      <w:r>
        <w:rPr>
          <w:rFonts w:hint="eastAsia" w:ascii="黑体" w:hAnsi="黑体" w:eastAsia="黑体"/>
          <w:b/>
          <w:color w:val="auto"/>
          <w:sz w:val="24"/>
          <w:szCs w:val="24"/>
          <w:highlight w:val="none"/>
        </w:rPr>
        <w:t>标段（包）内容（具体范围、数量），具体技术要求（</w:t>
      </w:r>
      <w:r>
        <w:rPr>
          <w:rFonts w:hint="eastAsia" w:ascii="宋体" w:hAnsi="宋体" w:cs="宋体"/>
          <w:color w:val="auto"/>
          <w:sz w:val="24"/>
          <w:highlight w:val="none"/>
        </w:rPr>
        <w:t>采购标的需满足的质量、安全、技术规格、物理特性等）</w:t>
      </w:r>
    </w:p>
    <w:p>
      <w:pPr>
        <w:spacing w:line="30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1、设计描述</w:t>
      </w:r>
    </w:p>
    <w:p>
      <w:pPr>
        <w:pStyle w:val="69"/>
        <w:keepNext w:val="0"/>
        <w:keepLines w:val="0"/>
        <w:pageBreakBefore w:val="0"/>
        <w:widowControl/>
        <w:kinsoku/>
        <w:wordWrap/>
        <w:overflowPunct/>
        <w:topLinePunct w:val="0"/>
        <w:autoSpaceDE/>
        <w:autoSpaceDN/>
        <w:bidi w:val="0"/>
        <w:adjustRightInd/>
        <w:snapToGrid/>
        <w:spacing w:line="300" w:lineRule="auto"/>
        <w:ind w:firstLineChars="0"/>
        <w:jc w:val="left"/>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全厂原有2座中进周出初沉池</w:t>
      </w:r>
      <w:r>
        <w:rPr>
          <w:rFonts w:hint="eastAsia" w:asciiTheme="minorEastAsia" w:hAnsiTheme="minorEastAsia" w:eastAsiaTheme="minorEastAsia" w:cstheme="minorEastAsia"/>
          <w:color w:val="auto"/>
          <w:sz w:val="24"/>
          <w:szCs w:val="24"/>
          <w:highlight w:val="none"/>
          <w:lang w:eastAsia="zh-CN"/>
        </w:rPr>
        <w:t>（锥形底）</w:t>
      </w:r>
      <w:r>
        <w:rPr>
          <w:rFonts w:hint="eastAsia" w:asciiTheme="minorEastAsia" w:hAnsiTheme="minorEastAsia" w:eastAsiaTheme="minorEastAsia" w:cstheme="minorEastAsia"/>
          <w:color w:val="auto"/>
          <w:sz w:val="24"/>
          <w:szCs w:val="24"/>
          <w:highlight w:val="none"/>
        </w:rPr>
        <w:t>，根据目前需要改造为周边进水周边出水辐流式沉淀池。曝气池混合液进入变断面周边进水槽后，经进水槽底部的配水孔沿周边均匀流入二沉池，然后流向池中心，再流向上方并以平缓的环流返回到周边出水槽。</w:t>
      </w:r>
    </w:p>
    <w:p>
      <w:pPr>
        <w:pStyle w:val="69"/>
        <w:keepNext w:val="0"/>
        <w:keepLines w:val="0"/>
        <w:pageBreakBefore w:val="0"/>
        <w:widowControl/>
        <w:kinsoku/>
        <w:wordWrap/>
        <w:overflowPunct/>
        <w:topLinePunct w:val="0"/>
        <w:autoSpaceDE/>
        <w:autoSpaceDN/>
        <w:bidi w:val="0"/>
        <w:adjustRightInd/>
        <w:snapToGrid/>
        <w:spacing w:line="300" w:lineRule="auto"/>
        <w:ind w:firstLineChars="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二沉池的沉泥经单吸管，集泥管和排泥管排出池外；浮渣刮板将浮渣刮到排渣斗中，由排渣斗排出。</w:t>
      </w:r>
    </w:p>
    <w:p>
      <w:pPr>
        <w:pStyle w:val="69"/>
        <w:keepNext w:val="0"/>
        <w:keepLines w:val="0"/>
        <w:pageBreakBefore w:val="0"/>
        <w:widowControl/>
        <w:kinsoku/>
        <w:wordWrap/>
        <w:overflowPunct/>
        <w:topLinePunct w:val="0"/>
        <w:autoSpaceDE/>
        <w:autoSpaceDN/>
        <w:bidi w:val="0"/>
        <w:adjustRightInd/>
        <w:snapToGrid/>
        <w:spacing w:line="300" w:lineRule="auto"/>
        <w:ind w:firstLineChars="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严格按照设计图纸（电子版</w:t>
      </w:r>
      <w:r>
        <w:rPr>
          <w:rFonts w:hint="eastAsia" w:asciiTheme="minorEastAsia" w:hAnsiTheme="minorEastAsia" w:eastAsiaTheme="minorEastAsia" w:cstheme="minorEastAsia"/>
          <w:color w:val="auto"/>
          <w:sz w:val="24"/>
          <w:szCs w:val="24"/>
          <w:highlight w:val="none"/>
          <w:lang w:val="en-US" w:eastAsia="zh-CN"/>
        </w:rPr>
        <w:t>--以附件形式提供下载</w:t>
      </w:r>
      <w:r>
        <w:rPr>
          <w:rFonts w:hint="eastAsia" w:asciiTheme="minorEastAsia" w:hAnsiTheme="minorEastAsia" w:eastAsiaTheme="minorEastAsia" w:cstheme="minorEastAsia"/>
          <w:color w:val="auto"/>
          <w:sz w:val="24"/>
          <w:szCs w:val="24"/>
          <w:highlight w:val="none"/>
          <w:lang w:eastAsia="zh-CN"/>
        </w:rPr>
        <w:t>）投标。</w:t>
      </w:r>
    </w:p>
    <w:p>
      <w:pPr>
        <w:pStyle w:val="69"/>
        <w:keepNext w:val="0"/>
        <w:keepLines w:val="0"/>
        <w:pageBreakBefore w:val="0"/>
        <w:widowControl/>
        <w:kinsoku/>
        <w:wordWrap/>
        <w:overflowPunct/>
        <w:topLinePunct w:val="0"/>
        <w:autoSpaceDE/>
        <w:autoSpaceDN/>
        <w:bidi w:val="0"/>
        <w:adjustRightInd/>
        <w:snapToGrid/>
        <w:spacing w:line="300" w:lineRule="auto"/>
        <w:ind w:firstLineChars="0"/>
        <w:jc w:val="left"/>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1.1、工况说明</w:t>
      </w:r>
    </w:p>
    <w:p>
      <w:pPr>
        <w:pStyle w:val="69"/>
        <w:keepNext w:val="0"/>
        <w:keepLines w:val="0"/>
        <w:pageBreakBefore w:val="0"/>
        <w:widowControl/>
        <w:kinsoku/>
        <w:wordWrap/>
        <w:overflowPunct/>
        <w:topLinePunct w:val="0"/>
        <w:autoSpaceDE/>
        <w:autoSpaceDN/>
        <w:bidi w:val="0"/>
        <w:adjustRightInd/>
        <w:snapToGrid/>
        <w:spacing w:line="300" w:lineRule="auto"/>
        <w:ind w:firstLineChars="0"/>
        <w:jc w:val="left"/>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安阳污水厂现状规模10万吨/天，K=1.3。</w:t>
      </w:r>
    </w:p>
    <w:p>
      <w:pPr>
        <w:pStyle w:val="69"/>
        <w:keepNext w:val="0"/>
        <w:keepLines w:val="0"/>
        <w:pageBreakBefore w:val="0"/>
        <w:widowControl/>
        <w:kinsoku/>
        <w:wordWrap/>
        <w:overflowPunct/>
        <w:topLinePunct w:val="0"/>
        <w:autoSpaceDE/>
        <w:autoSpaceDN/>
        <w:bidi w:val="0"/>
        <w:adjustRightInd/>
        <w:snapToGrid/>
        <w:spacing w:line="300" w:lineRule="auto"/>
        <w:ind w:firstLineChars="0"/>
        <w:jc w:val="left"/>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A2O工艺，长期满负荷运行，二沉池无法放空检修。</w:t>
      </w:r>
    </w:p>
    <w:p>
      <w:pPr>
        <w:pStyle w:val="69"/>
        <w:keepNext w:val="0"/>
        <w:keepLines w:val="0"/>
        <w:pageBreakBefore w:val="0"/>
        <w:widowControl/>
        <w:kinsoku/>
        <w:wordWrap/>
        <w:overflowPunct/>
        <w:topLinePunct w:val="0"/>
        <w:autoSpaceDE/>
        <w:autoSpaceDN/>
        <w:bidi w:val="0"/>
        <w:adjustRightInd/>
        <w:snapToGrid/>
        <w:spacing w:line="300" w:lineRule="auto"/>
        <w:ind w:firstLineChars="0"/>
        <w:jc w:val="left"/>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初沉池2座，单池D=42m；二沉池4座，单池D=42m。</w:t>
      </w:r>
    </w:p>
    <w:p>
      <w:pPr>
        <w:pStyle w:val="69"/>
        <w:keepNext w:val="0"/>
        <w:keepLines w:val="0"/>
        <w:pageBreakBefore w:val="0"/>
        <w:widowControl/>
        <w:kinsoku/>
        <w:wordWrap/>
        <w:overflowPunct/>
        <w:topLinePunct w:val="0"/>
        <w:autoSpaceDE/>
        <w:autoSpaceDN/>
        <w:bidi w:val="0"/>
        <w:adjustRightInd/>
        <w:snapToGrid/>
        <w:spacing w:line="300" w:lineRule="auto"/>
        <w:ind w:firstLineChars="0"/>
        <w:jc w:val="left"/>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实际运行污泥回流比为80%，初始设计是100%。</w:t>
      </w:r>
    </w:p>
    <w:p>
      <w:pPr>
        <w:pStyle w:val="69"/>
        <w:keepNext w:val="0"/>
        <w:keepLines w:val="0"/>
        <w:pageBreakBefore w:val="0"/>
        <w:widowControl/>
        <w:kinsoku/>
        <w:wordWrap/>
        <w:overflowPunct/>
        <w:topLinePunct w:val="0"/>
        <w:autoSpaceDE/>
        <w:autoSpaceDN/>
        <w:bidi w:val="0"/>
        <w:adjustRightInd/>
        <w:snapToGrid/>
        <w:spacing w:line="300" w:lineRule="auto"/>
        <w:ind w:firstLine="0" w:firstLineChars="0"/>
        <w:jc w:val="left"/>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1.2、改造说明</w:t>
      </w:r>
    </w:p>
    <w:p>
      <w:pPr>
        <w:pStyle w:val="69"/>
        <w:keepNext w:val="0"/>
        <w:keepLines w:val="0"/>
        <w:pageBreakBefore w:val="0"/>
        <w:widowControl/>
        <w:kinsoku/>
        <w:wordWrap/>
        <w:overflowPunct/>
        <w:topLinePunct w:val="0"/>
        <w:autoSpaceDE/>
        <w:autoSpaceDN/>
        <w:bidi w:val="0"/>
        <w:adjustRightInd/>
        <w:snapToGrid/>
        <w:spacing w:line="300" w:lineRule="auto"/>
        <w:ind w:firstLineChars="0"/>
        <w:jc w:val="left"/>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拟将初沉池改造为周进周出二沉池，分担二沉池负荷，实现二沉池逐一停池放空检修工况，即将2座初沉池改造为周进周出二沉池后，满足5池运行，1池检修的运行工况。</w:t>
      </w:r>
    </w:p>
    <w:p>
      <w:pPr>
        <w:pStyle w:val="69"/>
        <w:keepNext w:val="0"/>
        <w:keepLines w:val="0"/>
        <w:pageBreakBefore w:val="0"/>
        <w:widowControl/>
        <w:kinsoku/>
        <w:wordWrap/>
        <w:overflowPunct/>
        <w:topLinePunct w:val="0"/>
        <w:autoSpaceDE/>
        <w:autoSpaceDN/>
        <w:bidi w:val="0"/>
        <w:adjustRightInd/>
        <w:snapToGrid/>
        <w:spacing w:line="300" w:lineRule="auto"/>
        <w:ind w:firstLineChars="175"/>
        <w:jc w:val="left"/>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改造内容如下：</w:t>
      </w:r>
    </w:p>
    <w:p>
      <w:pPr>
        <w:pStyle w:val="69"/>
        <w:keepNext w:val="0"/>
        <w:keepLines w:val="0"/>
        <w:pageBreakBefore w:val="0"/>
        <w:widowControl/>
        <w:kinsoku/>
        <w:wordWrap/>
        <w:overflowPunct/>
        <w:topLinePunct w:val="0"/>
        <w:autoSpaceDE/>
        <w:autoSpaceDN/>
        <w:bidi w:val="0"/>
        <w:adjustRightInd/>
        <w:snapToGrid/>
        <w:spacing w:line="300" w:lineRule="auto"/>
        <w:ind w:firstLineChars="0"/>
        <w:jc w:val="left"/>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1、原出水渠外侧堰拆除，更换不锈钢挡板。增加碳钢底部挡板并利用原出水渠和池壁形成周边进水渠；</w:t>
      </w:r>
    </w:p>
    <w:p>
      <w:pPr>
        <w:pStyle w:val="69"/>
        <w:keepNext w:val="0"/>
        <w:keepLines w:val="0"/>
        <w:pageBreakBefore w:val="0"/>
        <w:widowControl/>
        <w:kinsoku/>
        <w:wordWrap/>
        <w:overflowPunct/>
        <w:topLinePunct w:val="0"/>
        <w:autoSpaceDE/>
        <w:autoSpaceDN/>
        <w:bidi w:val="0"/>
        <w:adjustRightInd/>
        <w:snapToGrid/>
        <w:spacing w:line="300" w:lineRule="auto"/>
        <w:ind w:firstLineChars="0"/>
        <w:jc w:val="left"/>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原钢制出水暗渠上半部切除改造为进水箱，经泵提升的进水进入进水箱与改造后的位于池周边的进水渠连通。</w:t>
      </w:r>
    </w:p>
    <w:p>
      <w:pPr>
        <w:pStyle w:val="69"/>
        <w:keepNext w:val="0"/>
        <w:keepLines w:val="0"/>
        <w:pageBreakBefore w:val="0"/>
        <w:widowControl/>
        <w:kinsoku/>
        <w:wordWrap/>
        <w:overflowPunct/>
        <w:topLinePunct w:val="0"/>
        <w:autoSpaceDE/>
        <w:autoSpaceDN/>
        <w:bidi w:val="0"/>
        <w:adjustRightInd/>
        <w:snapToGrid/>
        <w:spacing w:line="300" w:lineRule="auto"/>
        <w:ind w:firstLineChars="0"/>
        <w:jc w:val="left"/>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进水渠末端制作可调式渣斗，底部引排渣管与原排渣管连接排至池外。</w:t>
      </w:r>
    </w:p>
    <w:p>
      <w:pPr>
        <w:pStyle w:val="69"/>
        <w:keepNext w:val="0"/>
        <w:keepLines w:val="0"/>
        <w:pageBreakBefore w:val="0"/>
        <w:widowControl/>
        <w:kinsoku/>
        <w:wordWrap/>
        <w:overflowPunct/>
        <w:topLinePunct w:val="0"/>
        <w:autoSpaceDE/>
        <w:autoSpaceDN/>
        <w:bidi w:val="0"/>
        <w:adjustRightInd/>
        <w:snapToGrid/>
        <w:spacing w:line="300" w:lineRule="auto"/>
        <w:ind w:firstLineChars="0"/>
        <w:jc w:val="left"/>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原钢制出水暗渠下半部保留用于连接池外的出水渠道（注意此改造会增加部分出水水头损失）。</w:t>
      </w:r>
    </w:p>
    <w:p>
      <w:pPr>
        <w:pStyle w:val="69"/>
        <w:keepNext w:val="0"/>
        <w:keepLines w:val="0"/>
        <w:pageBreakBefore w:val="0"/>
        <w:widowControl/>
        <w:kinsoku/>
        <w:wordWrap/>
        <w:overflowPunct/>
        <w:topLinePunct w:val="0"/>
        <w:autoSpaceDE/>
        <w:autoSpaceDN/>
        <w:bidi w:val="0"/>
        <w:adjustRightInd/>
        <w:snapToGrid/>
        <w:spacing w:line="300" w:lineRule="auto"/>
        <w:ind w:firstLineChars="0"/>
        <w:jc w:val="left"/>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2、利旧现有进水管，改做排泥管（直接利用有淤积风险）。</w:t>
      </w:r>
    </w:p>
    <w:p>
      <w:pPr>
        <w:pStyle w:val="69"/>
        <w:keepNext w:val="0"/>
        <w:keepLines w:val="0"/>
        <w:pageBreakBefore w:val="0"/>
        <w:widowControl/>
        <w:kinsoku/>
        <w:wordWrap/>
        <w:overflowPunct/>
        <w:topLinePunct w:val="0"/>
        <w:autoSpaceDE/>
        <w:autoSpaceDN/>
        <w:bidi w:val="0"/>
        <w:adjustRightInd/>
        <w:snapToGrid/>
        <w:spacing w:line="300" w:lineRule="auto"/>
        <w:ind w:firstLineChars="0"/>
        <w:jc w:val="left"/>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3、将池内的设备更换为单管吸泥机。</w:t>
      </w:r>
    </w:p>
    <w:p>
      <w:pPr>
        <w:pStyle w:val="69"/>
        <w:keepNext w:val="0"/>
        <w:keepLines w:val="0"/>
        <w:pageBreakBefore w:val="0"/>
        <w:widowControl/>
        <w:kinsoku/>
        <w:wordWrap/>
        <w:overflowPunct/>
        <w:topLinePunct w:val="0"/>
        <w:autoSpaceDE/>
        <w:autoSpaceDN/>
        <w:bidi w:val="0"/>
        <w:adjustRightInd/>
        <w:snapToGrid/>
        <w:spacing w:line="300" w:lineRule="auto"/>
        <w:ind w:firstLineChars="0"/>
        <w:jc w:val="left"/>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4、拆除现中心柱，池中心原进水口封堵，留扇形口与原进水管（现排泥管）连通，现中心泥斗填平。</w:t>
      </w:r>
    </w:p>
    <w:p>
      <w:pPr>
        <w:pStyle w:val="69"/>
        <w:keepNext w:val="0"/>
        <w:keepLines w:val="0"/>
        <w:pageBreakBefore w:val="0"/>
        <w:widowControl/>
        <w:kinsoku/>
        <w:wordWrap/>
        <w:overflowPunct/>
        <w:topLinePunct w:val="0"/>
        <w:autoSpaceDE/>
        <w:autoSpaceDN/>
        <w:bidi w:val="0"/>
        <w:adjustRightInd/>
        <w:snapToGrid/>
        <w:spacing w:line="300" w:lineRule="auto"/>
        <w:ind w:firstLineChars="0"/>
        <w:jc w:val="left"/>
        <w:textAlignment w:val="baseline"/>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5、现排泥管改做放空使用。</w:t>
      </w:r>
    </w:p>
    <w:p>
      <w:pPr>
        <w:pStyle w:val="69"/>
        <w:keepNext w:val="0"/>
        <w:keepLines w:val="0"/>
        <w:pageBreakBefore w:val="0"/>
        <w:widowControl/>
        <w:kinsoku/>
        <w:wordWrap/>
        <w:overflowPunct/>
        <w:topLinePunct w:val="0"/>
        <w:autoSpaceDE/>
        <w:autoSpaceDN/>
        <w:bidi w:val="0"/>
        <w:adjustRightInd/>
        <w:snapToGrid/>
        <w:spacing w:line="300" w:lineRule="auto"/>
        <w:ind w:firstLineChars="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6、改造现状出水结构并配套金属出水渠使具有均匀出水的功能。</w:t>
      </w:r>
    </w:p>
    <w:p>
      <w:pPr>
        <w:pStyle w:val="69"/>
        <w:keepNext w:val="0"/>
        <w:keepLines w:val="0"/>
        <w:pageBreakBefore w:val="0"/>
        <w:widowControl/>
        <w:kinsoku/>
        <w:wordWrap/>
        <w:overflowPunct/>
        <w:topLinePunct w:val="0"/>
        <w:autoSpaceDE/>
        <w:autoSpaceDN/>
        <w:bidi w:val="0"/>
        <w:adjustRightInd/>
        <w:snapToGrid/>
        <w:spacing w:line="300" w:lineRule="auto"/>
        <w:ind w:firstLineChars="0"/>
        <w:jc w:val="left"/>
        <w:textAlignment w:val="baseline"/>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服务要求：本项目为改造项目，</w:t>
      </w: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rPr>
        <w:t>需提供现场指导安装调试技术服务。项目完成后需能够提供持续的远程智能平台服务并在中标后给</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开放远程智能平台用户账号。</w:t>
      </w:r>
      <w:r>
        <w:rPr>
          <w:rFonts w:hint="eastAsia" w:asciiTheme="minorEastAsia" w:hAnsiTheme="minorEastAsia" w:eastAsiaTheme="minorEastAsia" w:cstheme="minorEastAsia"/>
          <w:b/>
          <w:bCs/>
          <w:color w:val="auto"/>
          <w:sz w:val="24"/>
          <w:szCs w:val="24"/>
          <w:highlight w:val="none"/>
        </w:rPr>
        <w:t>投标文件提供远程智能平台介绍及过程截图</w:t>
      </w:r>
      <w:r>
        <w:rPr>
          <w:rFonts w:hint="eastAsia" w:asciiTheme="minorEastAsia" w:hAnsiTheme="minorEastAsia" w:eastAsiaTheme="minorEastAsia" w:cstheme="minorEastAsia"/>
          <w:b/>
          <w:bCs/>
          <w:color w:val="auto"/>
          <w:sz w:val="24"/>
          <w:szCs w:val="24"/>
          <w:highlight w:val="none"/>
          <w:lang w:eastAsia="zh-CN"/>
        </w:rPr>
        <w:t>。</w:t>
      </w:r>
    </w:p>
    <w:p>
      <w:pPr>
        <w:spacing w:line="300" w:lineRule="auto"/>
        <w:ind w:firstLine="560"/>
        <w:rPr>
          <w:rFonts w:asciiTheme="minorEastAsia" w:hAnsiTheme="minorEastAsia" w:eastAsiaTheme="minorEastAsia" w:cstheme="minorEastAsia"/>
          <w:b/>
          <w:bCs/>
          <w:color w:val="auto"/>
          <w:sz w:val="24"/>
          <w:szCs w:val="24"/>
          <w:highlight w:val="none"/>
        </w:rPr>
      </w:pPr>
    </w:p>
    <w:p>
      <w:pPr>
        <w:spacing w:line="30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2、供货范围</w:t>
      </w:r>
    </w:p>
    <w:p>
      <w:pPr>
        <w:spacing w:line="300" w:lineRule="auto"/>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2.1、供货清单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08"/>
        <w:gridCol w:w="1167"/>
        <w:gridCol w:w="3914"/>
        <w:gridCol w:w="1350"/>
        <w:gridCol w:w="697"/>
        <w:gridCol w:w="11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08" w:type="dxa"/>
            <w:vAlign w:val="center"/>
          </w:tcPr>
          <w:p>
            <w:pPr>
              <w:pStyle w:val="14"/>
              <w:spacing w:line="300" w:lineRule="auto"/>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序号</w:t>
            </w:r>
          </w:p>
        </w:tc>
        <w:tc>
          <w:tcPr>
            <w:tcW w:w="1167" w:type="dxa"/>
            <w:vAlign w:val="center"/>
          </w:tcPr>
          <w:p>
            <w:pPr>
              <w:pStyle w:val="14"/>
              <w:spacing w:line="300" w:lineRule="auto"/>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安装位置</w:t>
            </w:r>
          </w:p>
        </w:tc>
        <w:tc>
          <w:tcPr>
            <w:tcW w:w="3914" w:type="dxa"/>
            <w:vAlign w:val="center"/>
          </w:tcPr>
          <w:p>
            <w:pPr>
              <w:pStyle w:val="14"/>
              <w:spacing w:line="300" w:lineRule="auto"/>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设备名称</w:t>
            </w:r>
          </w:p>
        </w:tc>
        <w:tc>
          <w:tcPr>
            <w:tcW w:w="1350" w:type="dxa"/>
            <w:vAlign w:val="center"/>
          </w:tcPr>
          <w:p>
            <w:pPr>
              <w:pStyle w:val="14"/>
              <w:spacing w:line="300" w:lineRule="auto"/>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规格</w:t>
            </w:r>
          </w:p>
        </w:tc>
        <w:tc>
          <w:tcPr>
            <w:tcW w:w="697" w:type="dxa"/>
            <w:vAlign w:val="center"/>
          </w:tcPr>
          <w:p>
            <w:pPr>
              <w:pStyle w:val="14"/>
              <w:spacing w:line="300" w:lineRule="auto"/>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单位</w:t>
            </w:r>
          </w:p>
        </w:tc>
        <w:tc>
          <w:tcPr>
            <w:tcW w:w="1182" w:type="dxa"/>
            <w:vAlign w:val="center"/>
          </w:tcPr>
          <w:p>
            <w:pPr>
              <w:pStyle w:val="14"/>
              <w:spacing w:line="300" w:lineRule="auto"/>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数量(套)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45" w:hRule="atLeast"/>
          <w:jc w:val="center"/>
        </w:trPr>
        <w:tc>
          <w:tcPr>
            <w:tcW w:w="608"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textAlignment w:val="baseline"/>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w:t>
            </w:r>
          </w:p>
        </w:tc>
        <w:tc>
          <w:tcPr>
            <w:tcW w:w="116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textAlignment w:val="baseline"/>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二沉池</w:t>
            </w:r>
          </w:p>
        </w:tc>
        <w:tc>
          <w:tcPr>
            <w:tcW w:w="3914"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jc w:val="left"/>
              <w:textAlignment w:val="baseline"/>
              <w:rPr>
                <w:rFonts w:asciiTheme="minorEastAsia" w:hAnsiTheme="minorEastAsia" w:eastAsiaTheme="minorEastAsia" w:cstheme="minorEastAsia"/>
                <w:color w:val="auto"/>
                <w:szCs w:val="24"/>
                <w:highlight w:val="none"/>
              </w:rPr>
            </w:pPr>
            <w:r>
              <w:rPr>
                <w:rFonts w:hint="eastAsia"/>
                <w:color w:val="auto"/>
                <w:highlight w:val="none"/>
              </w:rPr>
              <w:t>中心传动单管吸泥机（包含并不限于：固定半桥式工作桥、中心柱、中心传动机构（电机减速机需采用</w:t>
            </w:r>
            <w:r>
              <w:rPr>
                <w:rFonts w:hint="eastAsia"/>
                <w:color w:val="auto"/>
                <w:highlight w:val="none"/>
              </w:rPr>
              <w:t>NORD或SEW</w:t>
            </w:r>
            <w:r>
              <w:rPr>
                <w:rFonts w:hint="eastAsia"/>
                <w:color w:val="auto"/>
                <w:highlight w:val="none"/>
                <w:lang w:val="en-US" w:eastAsia="zh-CN"/>
              </w:rPr>
              <w:t>或同档次产品</w:t>
            </w:r>
            <w:r>
              <w:rPr>
                <w:rFonts w:hint="eastAsia"/>
                <w:color w:val="auto"/>
                <w:highlight w:val="none"/>
              </w:rPr>
              <w:t>）、转笼、集泥筒、吸泥管及支架、桁架、撇渣机构及去除系统、排渣斗、所有连接附件、地脚螺栓）</w:t>
            </w:r>
          </w:p>
        </w:tc>
        <w:tc>
          <w:tcPr>
            <w:tcW w:w="1350"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textAlignment w:val="baseline"/>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配Ф42m池</w:t>
            </w:r>
          </w:p>
        </w:tc>
        <w:tc>
          <w:tcPr>
            <w:tcW w:w="69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textAlignment w:val="baseline"/>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套</w:t>
            </w:r>
          </w:p>
        </w:tc>
        <w:tc>
          <w:tcPr>
            <w:tcW w:w="1182"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textAlignment w:val="baseline"/>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672" w:hRule="atLeast"/>
          <w:jc w:val="center"/>
        </w:trPr>
        <w:tc>
          <w:tcPr>
            <w:tcW w:w="608"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textAlignment w:val="baseline"/>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w:t>
            </w:r>
          </w:p>
        </w:tc>
        <w:tc>
          <w:tcPr>
            <w:tcW w:w="116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textAlignment w:val="baseline"/>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二沉池</w:t>
            </w:r>
          </w:p>
        </w:tc>
        <w:tc>
          <w:tcPr>
            <w:tcW w:w="3914"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jc w:val="left"/>
              <w:textAlignment w:val="baseline"/>
              <w:rPr>
                <w:rFonts w:hint="eastAsia"/>
                <w:color w:val="auto"/>
                <w:highlight w:val="none"/>
              </w:rPr>
            </w:pPr>
            <w:r>
              <w:rPr>
                <w:rFonts w:hint="eastAsia"/>
                <w:color w:val="auto"/>
                <w:highlight w:val="none"/>
              </w:rPr>
              <w:t>挡水裙板、折流板</w:t>
            </w:r>
          </w:p>
          <w:p>
            <w:pPr>
              <w:pStyle w:val="14"/>
              <w:keepNext w:val="0"/>
              <w:keepLines w:val="0"/>
              <w:pageBreakBefore w:val="0"/>
              <w:widowControl/>
              <w:kinsoku/>
              <w:wordWrap/>
              <w:overflowPunct/>
              <w:topLinePunct w:val="0"/>
              <w:autoSpaceDE/>
              <w:autoSpaceDN/>
              <w:bidi w:val="0"/>
              <w:adjustRightInd/>
              <w:snapToGrid/>
              <w:spacing w:line="240" w:lineRule="auto"/>
              <w:jc w:val="left"/>
              <w:textAlignment w:val="baseline"/>
              <w:rPr>
                <w:rFonts w:asciiTheme="minorEastAsia" w:hAnsiTheme="minorEastAsia" w:eastAsiaTheme="minorEastAsia" w:cstheme="minorEastAsia"/>
                <w:color w:val="auto"/>
                <w:szCs w:val="24"/>
                <w:highlight w:val="none"/>
              </w:rPr>
            </w:pPr>
            <w:r>
              <w:rPr>
                <w:rFonts w:hint="eastAsia"/>
                <w:color w:val="auto"/>
                <w:highlight w:val="none"/>
              </w:rPr>
              <w:t>进水渠排渣斗</w:t>
            </w:r>
          </w:p>
        </w:tc>
        <w:tc>
          <w:tcPr>
            <w:tcW w:w="1350"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textAlignment w:val="baseline"/>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配Ф42m池</w:t>
            </w:r>
          </w:p>
        </w:tc>
        <w:tc>
          <w:tcPr>
            <w:tcW w:w="69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textAlignment w:val="baseline"/>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套</w:t>
            </w:r>
          </w:p>
        </w:tc>
        <w:tc>
          <w:tcPr>
            <w:tcW w:w="1182"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textAlignment w:val="baseline"/>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672" w:hRule="atLeast"/>
          <w:jc w:val="center"/>
        </w:trPr>
        <w:tc>
          <w:tcPr>
            <w:tcW w:w="608"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3</w:t>
            </w:r>
          </w:p>
        </w:tc>
        <w:tc>
          <w:tcPr>
            <w:tcW w:w="116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二沉池</w:t>
            </w:r>
          </w:p>
        </w:tc>
        <w:tc>
          <w:tcPr>
            <w:tcW w:w="3914"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jc w:val="left"/>
              <w:textAlignment w:val="baseline"/>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钢制进水渠（渠道长度的底部挡板及侧壁不锈钢挡板等）</w:t>
            </w:r>
          </w:p>
        </w:tc>
        <w:tc>
          <w:tcPr>
            <w:tcW w:w="1350"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配Ф42m池</w:t>
            </w:r>
          </w:p>
        </w:tc>
        <w:tc>
          <w:tcPr>
            <w:tcW w:w="69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套</w:t>
            </w:r>
          </w:p>
        </w:tc>
        <w:tc>
          <w:tcPr>
            <w:tcW w:w="1182"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12" w:hRule="atLeast"/>
          <w:jc w:val="center"/>
        </w:trPr>
        <w:tc>
          <w:tcPr>
            <w:tcW w:w="608" w:type="dxa"/>
            <w:vAlign w:val="center"/>
          </w:tcPr>
          <w:p>
            <w:pPr>
              <w:pStyle w:val="14"/>
              <w:spacing w:line="300" w:lineRule="auto"/>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4</w:t>
            </w:r>
          </w:p>
        </w:tc>
        <w:tc>
          <w:tcPr>
            <w:tcW w:w="8310" w:type="dxa"/>
            <w:gridSpan w:val="5"/>
            <w:vAlign w:val="center"/>
          </w:tcPr>
          <w:p>
            <w:pPr>
              <w:pStyle w:val="14"/>
              <w:spacing w:line="30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具备正常使用状态所需一切部件、附件</w:t>
            </w:r>
          </w:p>
        </w:tc>
      </w:tr>
    </w:tbl>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2.2、供货范围</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供货范围包括2套直径42米装配完整的中心传动单管吸泥机（包括固定半桥式工作桥、中心柱、中心传动机构、转笼、集泥筒、吸泥管及支架、桁架、撇渣机构及去除系统、排渣斗、所有连接附件、地脚螺栓。</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设备供货范围还应包括现场控制箱和与设备相关的附属设备如挡水裙板、折流板，改造进水渠方管、侧板及底板等。</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不包含池体本身进水管、进水泵、排泥管，不含土建改造。</w:t>
      </w:r>
    </w:p>
    <w:p>
      <w:pPr>
        <w:spacing w:line="30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3、设备性能要求</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要求适用于水质复杂的市政污水，耐腐蚀性能好。</w:t>
      </w:r>
      <w:bookmarkStart w:id="24" w:name="_Toc483820849"/>
      <w:bookmarkStart w:id="25" w:name="_Toc487357428"/>
    </w:p>
    <w:bookmarkEnd w:id="24"/>
    <w:bookmarkEnd w:id="25"/>
    <w:p>
      <w:pPr>
        <w:spacing w:line="300" w:lineRule="auto"/>
        <w:ind w:firstLine="560"/>
        <w:rPr>
          <w:rFonts w:asciiTheme="minorEastAsia" w:hAnsiTheme="minorEastAsia" w:eastAsiaTheme="minorEastAsia" w:cstheme="minorEastAsia"/>
          <w:color w:val="auto"/>
          <w:sz w:val="24"/>
          <w:szCs w:val="24"/>
          <w:highlight w:val="none"/>
        </w:rPr>
      </w:pPr>
      <w:bookmarkStart w:id="26" w:name="_Toc483820851"/>
      <w:bookmarkStart w:id="27" w:name="_Toc487357430"/>
      <w:r>
        <w:rPr>
          <w:rFonts w:hint="eastAsia" w:asciiTheme="minorEastAsia" w:hAnsiTheme="minorEastAsia" w:eastAsiaTheme="minorEastAsia" w:cstheme="minorEastAsia"/>
          <w:color w:val="auto"/>
          <w:sz w:val="24"/>
          <w:szCs w:val="24"/>
          <w:highlight w:val="none"/>
        </w:rPr>
        <w:t>电机功率：0.37KW（380V、50Hz、三相）</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电机防护等级：IP55</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电机转数：1450rpm</w:t>
      </w:r>
    </w:p>
    <w:p>
      <w:pPr>
        <w:spacing w:line="300" w:lineRule="auto"/>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绝缘等级：F</w:t>
      </w:r>
    </w:p>
    <w:p>
      <w:pPr>
        <w:spacing w:line="300" w:lineRule="auto"/>
        <w:ind w:firstLine="56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投标人投标文件</w:t>
      </w:r>
      <w:r>
        <w:rPr>
          <w:rFonts w:hint="eastAsia" w:asciiTheme="minorEastAsia" w:hAnsiTheme="minorEastAsia" w:eastAsiaTheme="minorEastAsia" w:cstheme="minorEastAsia"/>
          <w:b/>
          <w:bCs/>
          <w:color w:val="auto"/>
          <w:sz w:val="24"/>
          <w:szCs w:val="24"/>
          <w:highlight w:val="none"/>
        </w:rPr>
        <w:t>需提供状态点分析，进出水、吸排泥系统水力模型结果计算书</w:t>
      </w:r>
      <w:r>
        <w:rPr>
          <w:rFonts w:hint="eastAsia" w:asciiTheme="minorEastAsia" w:hAnsiTheme="minorEastAsia" w:eastAsiaTheme="minorEastAsia" w:cstheme="minorEastAsia"/>
          <w:b/>
          <w:bCs/>
          <w:color w:val="auto"/>
          <w:sz w:val="24"/>
          <w:szCs w:val="24"/>
          <w:highlight w:val="none"/>
          <w:lang w:val="en-US" w:eastAsia="zh-CN"/>
        </w:rPr>
        <w:t>。</w:t>
      </w:r>
    </w:p>
    <w:p>
      <w:pPr>
        <w:spacing w:line="300" w:lineRule="auto"/>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投标人投标文件</w:t>
      </w:r>
      <w:r>
        <w:rPr>
          <w:rFonts w:hint="eastAsia" w:asciiTheme="minorEastAsia" w:hAnsiTheme="minorEastAsia" w:eastAsiaTheme="minorEastAsia" w:cstheme="minorEastAsia"/>
          <w:color w:val="auto"/>
          <w:sz w:val="24"/>
          <w:szCs w:val="24"/>
          <w:highlight w:val="none"/>
        </w:rPr>
        <w:t>需对二沉池的污泥处理系统、浮渣去除系统或污泥收集排除系统进行说明。</w:t>
      </w:r>
    </w:p>
    <w:bookmarkEnd w:id="26"/>
    <w:bookmarkEnd w:id="27"/>
    <w:p>
      <w:pPr>
        <w:spacing w:line="30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4、设备技术描述及要求</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沉池吸泥系统采用周边进水周边出水圆形沉淀池配套的半桥式中心传动单管吸泥机。活性污泥混合液在二沉池的入口进入变断面周边进水槽，经进水槽底部的配水孔在整个周边均匀流入二沉池。二沉池的沉泥经变径吸泥管和集泥筒排泥管排出池外；浮渣刮板将浮渣刮到排渣斗中，由排渣斗排出；进水槽浮渣亦由进水槽撇渣器刮至浮渣井排出；吸泥机的结构控制尺寸应符合沉淀池的主要尺寸要求。单管中心驱动吸泥机安装在中心支柱上，与中心驱动装置相连的中央焊接转笼，带动吸泥机的吸泥管、撇浮渣机构、桁架等，沿池底转动。吸泥管将污泥由池底收集至中心排泥管后，通过池内水压排至池外。要求对沉淀池进行工艺设计，主要包括进、出水渠、进水孔口、挡水裙板、折流板及全部机械设备等。</w:t>
      </w:r>
      <w:r>
        <w:rPr>
          <w:rFonts w:hint="eastAsia" w:asciiTheme="minorEastAsia" w:hAnsiTheme="minorEastAsia" w:eastAsiaTheme="minorEastAsia" w:cstheme="minorEastAsia"/>
          <w:b/>
          <w:bCs/>
          <w:color w:val="auto"/>
          <w:sz w:val="24"/>
          <w:szCs w:val="24"/>
          <w:highlight w:val="none"/>
        </w:rPr>
        <w:t>投标人的《投标文件》中提供投标二沉池改造设备的平面图、立面图及细部图等。</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4.1、进水槽</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a、周边进水槽的布水孔由设备设计，依照系统要求提供，周边配水系统设计保证二沉池的水力平衡。</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b、进水槽环绕周边均匀地布水，水槽的断面是渐变的，使水流在布水槽中以等速流动，防止固体沉淀。进水槽必须满足运行中来水量变化的条件。</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4.2、入口</w:t>
      </w:r>
    </w:p>
    <w:p>
      <w:pPr>
        <w:spacing w:line="300" w:lineRule="auto"/>
        <w:ind w:firstLine="56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由电脑科学设计进水渠道的底部设有孔口，孔口的大小、间距合理，控制水头损失并能保证水流沿整个池周均匀配水，防止在渠道底产生固体沉积，并消除水流进入二沉池的“喷射”作用和旋流。</w:t>
      </w:r>
    </w:p>
    <w:p>
      <w:pPr>
        <w:spacing w:line="300" w:lineRule="auto"/>
        <w:ind w:firstLine="56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4.3、挡水裙板及折流板</w:t>
      </w:r>
    </w:p>
    <w:p>
      <w:pPr>
        <w:spacing w:line="300" w:lineRule="auto"/>
        <w:ind w:firstLine="56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a、水流经过布水孔进入池子后，被设置在进水槽下方的折流板折流，消除水流进入池子的“喷射”作用和旋流。水流在池壁与进水区挡水裙板之间进行完全、快速的扩散，挡水裙板建立了一个清水区，其断面面积使最大流量时的进水流速控制在不大于1.5m/min。</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b、水流在挡水裙板下以低速均匀流进入池子，然后流向外方、流向上方并以平缓的环流返回到周边出水槽，整个池容积被利用，消除可以形成短流的涡动。固体在悬浮状态中均匀降落。</w:t>
      </w:r>
    </w:p>
    <w:p>
      <w:pPr>
        <w:spacing w:line="300" w:lineRule="auto"/>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4.4、出水渠</w:t>
      </w:r>
    </w:p>
    <w:p>
      <w:pPr>
        <w:spacing w:line="300" w:lineRule="auto"/>
        <w:ind w:firstLine="56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改造出水渠，使具有均匀出水的功能</w:t>
      </w:r>
      <w:r>
        <w:rPr>
          <w:rFonts w:hint="eastAsia" w:asciiTheme="minorEastAsia" w:hAnsiTheme="minorEastAsia" w:eastAsiaTheme="minorEastAsia" w:cstheme="minorEastAsia"/>
          <w:color w:val="auto"/>
          <w:sz w:val="24"/>
          <w:szCs w:val="24"/>
          <w:highlight w:val="none"/>
          <w:lang w:eastAsia="zh-CN"/>
        </w:rPr>
        <w:t>。</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4.5、出水堰、浮渣挡板及撇渣系统 </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a、出水堰固定在出水槽上。采用单侧三角堰形式。（此部分利旧）</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b、进水槽的撇渣方法：使用安装在撇渣设备悬臂上的叶片，驱动槽内浮渣堰而清除，撇渣设计应防止槽内浮渣引起的堵塞。</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c、浮渣挡板（此部分利旧）通过支架也固定在出水槽上，浮渣去除系统及其不锈钢浮渣刮板收集全池水面浮渣。采用铰接式和叶片结构。</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d、全池表面撇渣</w:t>
      </w:r>
    </w:p>
    <w:p>
      <w:pPr>
        <w:snapToGrid w:val="0"/>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表面撇渣设备连同进水槽撇渣设备安装在与桁架相连的竖臂上。撇渣装置必须做到排渣顺利，没有浮渣堆积，有效的把水面上的浮渣排出池外。</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4.6、吸泥管</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吸泥管与池底平行，保证沿池底边转一周，即可将池底污泥吸除。吸泥管应连续将污泥排除，实现二沉池池底均匀排泥效果。吸泥管设计保证二沉池中心最远点的吸泥率最大、有最佳排泥效果。</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4.7、中心支柱</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中心支柱为固定型支撑，支撑驱动系统、污泥收集系统和工作桥，具有一定的强度及刚度。</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4.8、工作桥</w:t>
      </w:r>
    </w:p>
    <w:p>
      <w:pPr>
        <w:spacing w:line="30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工作桥采用固定半桥式桁架结构。桥架的走道板其负荷至少能承受200kg/m</w:t>
      </w:r>
      <w:r>
        <w:rPr>
          <w:rFonts w:hint="eastAsia" w:asciiTheme="minorEastAsia" w:hAnsiTheme="minorEastAsia" w:eastAsiaTheme="minorEastAsia" w:cstheme="minorEastAsia"/>
          <w:color w:val="auto"/>
          <w:sz w:val="24"/>
          <w:szCs w:val="24"/>
          <w:highlight w:val="none"/>
          <w:vertAlign w:val="superscript"/>
        </w:rPr>
        <w:t>2</w:t>
      </w:r>
      <w:r>
        <w:rPr>
          <w:rFonts w:hint="eastAsia" w:asciiTheme="minorEastAsia" w:hAnsiTheme="minorEastAsia" w:eastAsiaTheme="minorEastAsia" w:cstheme="minorEastAsia"/>
          <w:color w:val="auto"/>
          <w:sz w:val="24"/>
          <w:szCs w:val="24"/>
          <w:highlight w:val="none"/>
        </w:rPr>
        <w:t>的重量。</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4.9、进水渠排渣斗</w:t>
      </w:r>
    </w:p>
    <w:p>
      <w:pPr>
        <w:spacing w:line="300" w:lineRule="auto"/>
        <w:ind w:firstLine="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进水渠排渣斗用于排除进水槽浮渣，浮渣可排到槽外的浮渣井内。</w:t>
      </w:r>
    </w:p>
    <w:p>
      <w:pPr>
        <w:spacing w:line="30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5、主要零部件材料</w:t>
      </w:r>
    </w:p>
    <w:p>
      <w:pPr>
        <w:spacing w:line="30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工作桥：碳钢防腐</w:t>
      </w:r>
    </w:p>
    <w:p>
      <w:pPr>
        <w:spacing w:line="30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中心柱：碳钢防腐</w:t>
      </w:r>
    </w:p>
    <w:p>
      <w:pPr>
        <w:spacing w:line="30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转笼：不锈钢304</w:t>
      </w:r>
    </w:p>
    <w:p>
      <w:pPr>
        <w:spacing w:line="30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桁架：不锈钢304</w:t>
      </w:r>
    </w:p>
    <w:p>
      <w:pPr>
        <w:spacing w:line="30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集泥筒：不锈钢304</w:t>
      </w:r>
    </w:p>
    <w:p>
      <w:pPr>
        <w:spacing w:line="30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吸泥管：不锈钢304</w:t>
      </w:r>
    </w:p>
    <w:p>
      <w:pPr>
        <w:spacing w:line="30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挡水裙板及折流板：不锈钢304（厚度5mm）</w:t>
      </w:r>
    </w:p>
    <w:p>
      <w:pPr>
        <w:spacing w:line="30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排渣斗：不锈钢304</w:t>
      </w:r>
    </w:p>
    <w:p>
      <w:pPr>
        <w:spacing w:line="30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进水渠底部挡板：碳钢防腐（厚度8mm）</w:t>
      </w:r>
    </w:p>
    <w:p>
      <w:pPr>
        <w:spacing w:line="30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进水渠侧壁不锈钢挡板：不锈钢304（厚度4mm）</w:t>
      </w:r>
    </w:p>
    <w:p>
      <w:pPr>
        <w:spacing w:line="30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6、控制系统</w:t>
      </w:r>
    </w:p>
    <w:p>
      <w:pPr>
        <w:spacing w:line="30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驱动装置组合包括一个初级齿轮减速箱，一个中级减速器和一个终极减速装置，组成了包括传动齿轮和内部齿轮的转盘，所有齿轮均置于齿轮箱中。扭矩限制器采用高品质的国际知名品牌产品，并带有过载保护系统。</w:t>
      </w:r>
    </w:p>
    <w:p>
      <w:pPr>
        <w:spacing w:line="30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7、性能要求</w:t>
      </w:r>
    </w:p>
    <w:p>
      <w:pPr>
        <w:spacing w:line="30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7.1、焊接件各部焊缝应平整、光滑，焊缝强度大于母材强度，焊缝缺陷应符合有关规范要求。</w:t>
      </w:r>
    </w:p>
    <w:p>
      <w:pPr>
        <w:spacing w:line="30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7.2、电机减速机使用寿命≥10万小时。</w:t>
      </w:r>
    </w:p>
    <w:p>
      <w:pPr>
        <w:spacing w:line="30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7.3、桥架的刚度，其最大挠度应不大于跨度的1/360。</w:t>
      </w:r>
    </w:p>
    <w:p>
      <w:pPr>
        <w:spacing w:line="30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8、吸泥机的电气要求</w:t>
      </w:r>
    </w:p>
    <w:p>
      <w:pPr>
        <w:spacing w:line="30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配套设备必须满足但不限于下列要求。</w:t>
      </w:r>
    </w:p>
    <w:p>
      <w:pPr>
        <w:spacing w:line="30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8.1、电气要求：</w:t>
      </w:r>
    </w:p>
    <w:p>
      <w:pPr>
        <w:spacing w:line="30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配带现场电气控制箱，电源380VAC，具有现场手动和远程自控的转换开关箱体防护等级IP55。</w:t>
      </w:r>
    </w:p>
    <w:p>
      <w:pPr>
        <w:spacing w:line="30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箱内安装保护开关、控制开关和逻辑元件，面板上安装指示灯、电压表、按钮及转换开关等。</w:t>
      </w:r>
    </w:p>
    <w:p>
      <w:pPr>
        <w:spacing w:line="30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8.2、输入输出信号要求：</w:t>
      </w:r>
    </w:p>
    <w:p>
      <w:pPr>
        <w:spacing w:line="30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无源常开接点（继电器容量220V 2A），如“运转/停止”、“故障”、“自动位置”等状态信号。控制回路常开接点（电压220VAC或24VAC、DC），如开停机接点。</w:t>
      </w:r>
    </w:p>
    <w:p>
      <w:pPr>
        <w:widowControl w:val="0"/>
        <w:tabs>
          <w:tab w:val="left" w:pos="1174"/>
        </w:tabs>
        <w:adjustRightInd w:val="0"/>
        <w:snapToGrid w:val="0"/>
        <w:spacing w:before="156" w:beforeLines="50" w:line="300" w:lineRule="auto"/>
        <w:ind w:firstLine="538"/>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b/>
      </w:r>
    </w:p>
    <w:p>
      <w:pPr>
        <w:widowControl w:val="0"/>
        <w:adjustRightInd w:val="0"/>
        <w:snapToGrid w:val="0"/>
        <w:spacing w:before="156" w:beforeLines="50" w:line="300" w:lineRule="auto"/>
        <w:ind w:firstLine="538"/>
        <w:rPr>
          <w:rFonts w:hint="eastAsia"/>
          <w:color w:val="auto"/>
          <w:sz w:val="24"/>
          <w:szCs w:val="24"/>
          <w:highlight w:val="none"/>
        </w:rPr>
      </w:pPr>
      <w:r>
        <w:rPr>
          <w:rFonts w:hint="eastAsia"/>
          <w:color w:val="auto"/>
          <w:sz w:val="24"/>
          <w:szCs w:val="24"/>
          <w:highlight w:val="none"/>
        </w:rPr>
        <w:t>注：1、安阳市住房和城乡建设局安阳市东区污水处理厂初沉淀池改造工程项目（包1）的中小企业划分标准所属行业为：工业。</w:t>
      </w:r>
    </w:p>
    <w:p>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投标人按照上述各产品（货物）所对应标明的所属行业，判断所投标的各产品（货物）的制造企业是否属该行业（采购文件标明的）的小微企业。</w:t>
      </w:r>
    </w:p>
    <w:p>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提醒：产品(货物）的制造企业不应按照自身的行业属性作为小微企业的判断标准（应按采购文件标明的产品所属行业进行判断）。</w:t>
      </w:r>
    </w:p>
    <w:p>
      <w:pPr>
        <w:widowControl w:val="0"/>
        <w:numPr>
          <w:ilvl w:val="0"/>
          <w:numId w:val="1"/>
        </w:numPr>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投标人中标后需对现场进行测量，按要求进行设计。</w:t>
      </w:r>
    </w:p>
    <w:p>
      <w:pPr>
        <w:widowControl w:val="0"/>
        <w:numPr>
          <w:ilvl w:val="0"/>
          <w:numId w:val="1"/>
        </w:numPr>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本项目要求中标人须负责协助“安阳市住房和城乡建设局安阳市东区污水处理厂初沉淀池改造工程项目（采购编号：安财磋商采购-2024-20）”施工项目成交供应商对设备安装、调试，并负责具备正常使用条件，并且承担设备的售后服务责任。本次改造工程整体（含施工）完工后所有标段（包）进入项目付款程序。</w:t>
      </w:r>
    </w:p>
    <w:p>
      <w:pPr>
        <w:widowControl w:val="0"/>
        <w:adjustRightInd w:val="0"/>
        <w:snapToGrid w:val="0"/>
        <w:spacing w:before="156" w:beforeLines="50" w:line="300" w:lineRule="auto"/>
        <w:ind w:firstLine="538"/>
        <w:rPr>
          <w:color w:val="auto"/>
          <w:sz w:val="24"/>
          <w:szCs w:val="24"/>
          <w:highlight w:val="none"/>
        </w:rPr>
      </w:pPr>
    </w:p>
    <w:p>
      <w:pPr>
        <w:widowControl w:val="0"/>
        <w:adjustRightInd w:val="0"/>
        <w:snapToGrid w:val="0"/>
        <w:spacing w:before="156" w:beforeLines="50" w:line="300" w:lineRule="auto"/>
        <w:ind w:firstLine="460" w:firstLineChars="192"/>
        <w:rPr>
          <w:color w:val="auto"/>
          <w:sz w:val="24"/>
          <w:szCs w:val="24"/>
          <w:highlight w:val="none"/>
        </w:rPr>
      </w:pPr>
      <w:r>
        <w:rPr>
          <w:color w:val="auto"/>
          <w:sz w:val="24"/>
          <w:szCs w:val="24"/>
          <w:highlight w:val="none"/>
        </w:rPr>
        <w:t>2.</w:t>
      </w:r>
      <w:r>
        <w:rPr>
          <w:rFonts w:hint="eastAsia"/>
          <w:color w:val="auto"/>
          <w:sz w:val="24"/>
          <w:szCs w:val="24"/>
          <w:highlight w:val="none"/>
        </w:rPr>
        <w:t>4</w:t>
      </w:r>
      <w:r>
        <w:rPr>
          <w:color w:val="auto"/>
          <w:sz w:val="24"/>
          <w:szCs w:val="24"/>
          <w:highlight w:val="none"/>
        </w:rPr>
        <w:t xml:space="preserve">.1 </w:t>
      </w:r>
      <w:r>
        <w:rPr>
          <w:rFonts w:hint="eastAsia"/>
          <w:color w:val="auto"/>
          <w:sz w:val="24"/>
          <w:szCs w:val="24"/>
          <w:highlight w:val="none"/>
        </w:rPr>
        <w:t>应遵循第三章投标单位须知</w:t>
      </w:r>
      <w:r>
        <w:rPr>
          <w:color w:val="auto"/>
          <w:sz w:val="24"/>
          <w:szCs w:val="24"/>
          <w:highlight w:val="none"/>
        </w:rPr>
        <w:t>3.7.4</w:t>
      </w:r>
      <w:r>
        <w:rPr>
          <w:rFonts w:hint="eastAsia"/>
          <w:color w:val="auto"/>
          <w:sz w:val="24"/>
          <w:szCs w:val="24"/>
          <w:highlight w:val="none"/>
        </w:rPr>
        <w:t>项规定。</w:t>
      </w:r>
    </w:p>
    <w:p>
      <w:pPr>
        <w:widowControl w:val="0"/>
        <w:adjustRightInd w:val="0"/>
        <w:snapToGrid w:val="0"/>
        <w:spacing w:before="156" w:beforeLines="50" w:line="300" w:lineRule="auto"/>
        <w:ind w:firstLine="460" w:firstLineChars="192"/>
        <w:rPr>
          <w:color w:val="auto"/>
          <w:sz w:val="24"/>
          <w:szCs w:val="24"/>
          <w:highlight w:val="none"/>
        </w:rPr>
      </w:pPr>
    </w:p>
    <w:p>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5</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安</w:t>
      </w:r>
      <w:r>
        <w:rPr>
          <w:rFonts w:ascii="黑体" w:hAnsi="黑体" w:eastAsia="黑体"/>
          <w:b/>
          <w:color w:val="auto"/>
          <w:sz w:val="24"/>
          <w:szCs w:val="24"/>
          <w:highlight w:val="none"/>
        </w:rPr>
        <w:t>全</w:t>
      </w:r>
    </w:p>
    <w:p>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投标产品应符合国家、行业的各</w:t>
      </w:r>
      <w:r>
        <w:rPr>
          <w:color w:val="auto"/>
          <w:sz w:val="24"/>
          <w:szCs w:val="24"/>
          <w:highlight w:val="none"/>
        </w:rPr>
        <w:t>项</w:t>
      </w:r>
      <w:r>
        <w:rPr>
          <w:rFonts w:hint="eastAsia"/>
          <w:color w:val="auto"/>
          <w:sz w:val="24"/>
          <w:szCs w:val="24"/>
          <w:highlight w:val="none"/>
        </w:rPr>
        <w:t>安全标准，投</w:t>
      </w:r>
      <w:r>
        <w:rPr>
          <w:color w:val="auto"/>
          <w:sz w:val="24"/>
          <w:szCs w:val="24"/>
          <w:highlight w:val="none"/>
        </w:rPr>
        <w:t>标</w:t>
      </w:r>
      <w:r>
        <w:rPr>
          <w:rFonts w:hint="eastAsia"/>
          <w:color w:val="auto"/>
          <w:sz w:val="24"/>
          <w:szCs w:val="24"/>
          <w:highlight w:val="none"/>
        </w:rPr>
        <w:t>人</w:t>
      </w:r>
      <w:r>
        <w:rPr>
          <w:color w:val="auto"/>
          <w:sz w:val="24"/>
          <w:szCs w:val="24"/>
          <w:highlight w:val="none"/>
        </w:rPr>
        <w:t>对</w:t>
      </w:r>
      <w:r>
        <w:rPr>
          <w:rFonts w:hint="eastAsia"/>
          <w:color w:val="auto"/>
          <w:sz w:val="24"/>
          <w:szCs w:val="24"/>
          <w:highlight w:val="none"/>
        </w:rPr>
        <w:t>投标产品的</w:t>
      </w:r>
      <w:r>
        <w:rPr>
          <w:color w:val="auto"/>
          <w:sz w:val="24"/>
          <w:szCs w:val="24"/>
          <w:highlight w:val="none"/>
        </w:rPr>
        <w:t>安全性承担全部责任。</w:t>
      </w:r>
      <w:r>
        <w:rPr>
          <w:rFonts w:hint="eastAsia"/>
          <w:color w:val="auto"/>
          <w:sz w:val="24"/>
          <w:szCs w:val="24"/>
          <w:highlight w:val="none"/>
        </w:rPr>
        <w:t>生产或销售不符合保障人身、财产安全的国家标准、行业标准的产品，将</w:t>
      </w:r>
      <w:r>
        <w:rPr>
          <w:color w:val="auto"/>
          <w:sz w:val="24"/>
          <w:szCs w:val="24"/>
          <w:highlight w:val="none"/>
        </w:rPr>
        <w:t>依法承担民事及相应刑事责任</w:t>
      </w:r>
      <w:r>
        <w:rPr>
          <w:rFonts w:hint="eastAsia"/>
          <w:color w:val="auto"/>
          <w:sz w:val="24"/>
          <w:szCs w:val="24"/>
          <w:highlight w:val="none"/>
        </w:rPr>
        <w:t>。合</w:t>
      </w:r>
      <w:r>
        <w:rPr>
          <w:color w:val="auto"/>
          <w:sz w:val="24"/>
          <w:szCs w:val="24"/>
          <w:highlight w:val="none"/>
        </w:rPr>
        <w:t>同履行中的安全责任由中标人承担全部责任。</w:t>
      </w:r>
    </w:p>
    <w:p>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6</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投</w:t>
      </w:r>
      <w:r>
        <w:rPr>
          <w:rFonts w:ascii="黑体" w:hAnsi="黑体" w:eastAsia="黑体"/>
          <w:b/>
          <w:color w:val="auto"/>
          <w:sz w:val="24"/>
          <w:szCs w:val="24"/>
          <w:highlight w:val="none"/>
        </w:rPr>
        <w:t>标文件</w:t>
      </w:r>
      <w:r>
        <w:rPr>
          <w:rFonts w:hint="eastAsia" w:ascii="黑体" w:hAnsi="黑体" w:eastAsia="黑体"/>
          <w:b/>
          <w:color w:val="auto"/>
          <w:sz w:val="24"/>
          <w:szCs w:val="24"/>
          <w:highlight w:val="none"/>
        </w:rPr>
        <w:t>对“基本技术要求”的</w:t>
      </w:r>
      <w:r>
        <w:rPr>
          <w:rFonts w:ascii="黑体" w:hAnsi="黑体" w:eastAsia="黑体"/>
          <w:b/>
          <w:color w:val="auto"/>
          <w:sz w:val="24"/>
          <w:szCs w:val="24"/>
          <w:highlight w:val="none"/>
        </w:rPr>
        <w:t>响应</w:t>
      </w:r>
    </w:p>
    <w:p>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“基本技术要求”为采购</w:t>
      </w:r>
      <w:r>
        <w:rPr>
          <w:color w:val="auto"/>
          <w:sz w:val="24"/>
          <w:szCs w:val="24"/>
          <w:highlight w:val="none"/>
        </w:rPr>
        <w:t>需求的</w:t>
      </w:r>
      <w:r>
        <w:rPr>
          <w:rFonts w:hint="eastAsia"/>
          <w:color w:val="auto"/>
          <w:sz w:val="24"/>
          <w:szCs w:val="24"/>
          <w:highlight w:val="none"/>
        </w:rPr>
        <w:t>基础</w:t>
      </w:r>
      <w:r>
        <w:rPr>
          <w:color w:val="auto"/>
          <w:sz w:val="24"/>
          <w:szCs w:val="24"/>
          <w:highlight w:val="none"/>
        </w:rPr>
        <w:t>性</w:t>
      </w:r>
      <w:r>
        <w:rPr>
          <w:rFonts w:hint="eastAsia"/>
          <w:color w:val="auto"/>
          <w:sz w:val="24"/>
          <w:szCs w:val="24"/>
          <w:highlight w:val="none"/>
        </w:rPr>
        <w:t>要求，投</w:t>
      </w:r>
      <w:r>
        <w:rPr>
          <w:color w:val="auto"/>
          <w:sz w:val="24"/>
          <w:szCs w:val="24"/>
          <w:highlight w:val="none"/>
        </w:rPr>
        <w:t>标产品应当明确，</w:t>
      </w:r>
      <w:r>
        <w:rPr>
          <w:rFonts w:hint="eastAsia"/>
          <w:color w:val="auto"/>
          <w:sz w:val="24"/>
          <w:szCs w:val="24"/>
          <w:highlight w:val="none"/>
        </w:rPr>
        <w:t>投</w:t>
      </w:r>
      <w:r>
        <w:rPr>
          <w:color w:val="auto"/>
          <w:sz w:val="24"/>
          <w:szCs w:val="24"/>
          <w:highlight w:val="none"/>
        </w:rPr>
        <w:t>标</w:t>
      </w:r>
      <w:r>
        <w:rPr>
          <w:rFonts w:hint="eastAsia"/>
          <w:color w:val="auto"/>
          <w:sz w:val="24"/>
          <w:szCs w:val="24"/>
          <w:highlight w:val="none"/>
        </w:rPr>
        <w:t>技术参数应最</w:t>
      </w:r>
      <w:r>
        <w:rPr>
          <w:color w:val="auto"/>
          <w:sz w:val="24"/>
          <w:szCs w:val="24"/>
          <w:highlight w:val="none"/>
        </w:rPr>
        <w:t>终指向具体明确的产</w:t>
      </w:r>
      <w:r>
        <w:rPr>
          <w:rFonts w:hint="eastAsia"/>
          <w:color w:val="auto"/>
          <w:sz w:val="24"/>
          <w:szCs w:val="24"/>
          <w:highlight w:val="none"/>
        </w:rPr>
        <w:t>品。投</w:t>
      </w:r>
      <w:r>
        <w:rPr>
          <w:color w:val="auto"/>
          <w:sz w:val="24"/>
          <w:szCs w:val="24"/>
          <w:highlight w:val="none"/>
        </w:rPr>
        <w:t>标</w:t>
      </w:r>
      <w:r>
        <w:rPr>
          <w:rFonts w:hint="eastAsia"/>
          <w:color w:val="auto"/>
          <w:sz w:val="24"/>
          <w:szCs w:val="24"/>
          <w:highlight w:val="none"/>
        </w:rPr>
        <w:t>文</w:t>
      </w:r>
      <w:r>
        <w:rPr>
          <w:color w:val="auto"/>
          <w:sz w:val="24"/>
          <w:szCs w:val="24"/>
          <w:highlight w:val="none"/>
        </w:rPr>
        <w:t>件</w:t>
      </w:r>
      <w:r>
        <w:rPr>
          <w:rFonts w:hint="eastAsia"/>
          <w:color w:val="auto"/>
          <w:sz w:val="24"/>
          <w:szCs w:val="24"/>
          <w:highlight w:val="none"/>
        </w:rPr>
        <w:t>技术参数抄袭招标文件“基本技术要求”，投</w:t>
      </w:r>
      <w:r>
        <w:rPr>
          <w:color w:val="auto"/>
          <w:sz w:val="24"/>
          <w:szCs w:val="24"/>
          <w:highlight w:val="none"/>
        </w:rPr>
        <w:t>标产品</w:t>
      </w:r>
      <w:r>
        <w:rPr>
          <w:rFonts w:hint="eastAsia"/>
          <w:color w:val="auto"/>
          <w:sz w:val="24"/>
          <w:szCs w:val="24"/>
          <w:highlight w:val="none"/>
        </w:rPr>
        <w:t>不</w:t>
      </w:r>
      <w:r>
        <w:rPr>
          <w:color w:val="auto"/>
          <w:sz w:val="24"/>
          <w:szCs w:val="24"/>
          <w:highlight w:val="none"/>
        </w:rPr>
        <w:t>明确</w:t>
      </w:r>
      <w:r>
        <w:rPr>
          <w:rFonts w:hint="eastAsia"/>
          <w:color w:val="auto"/>
          <w:sz w:val="24"/>
          <w:szCs w:val="24"/>
          <w:highlight w:val="none"/>
        </w:rPr>
        <w:t>的</w:t>
      </w:r>
      <w:r>
        <w:rPr>
          <w:color w:val="auto"/>
          <w:sz w:val="24"/>
          <w:szCs w:val="24"/>
          <w:highlight w:val="none"/>
        </w:rPr>
        <w:t>、或</w:t>
      </w:r>
      <w:r>
        <w:rPr>
          <w:rFonts w:hint="eastAsia"/>
          <w:color w:val="auto"/>
          <w:sz w:val="24"/>
          <w:szCs w:val="24"/>
          <w:highlight w:val="none"/>
        </w:rPr>
        <w:t>与投</w:t>
      </w:r>
      <w:r>
        <w:rPr>
          <w:color w:val="auto"/>
          <w:sz w:val="24"/>
          <w:szCs w:val="24"/>
          <w:highlight w:val="none"/>
        </w:rPr>
        <w:t>标产品</w:t>
      </w:r>
      <w:r>
        <w:rPr>
          <w:rFonts w:hint="eastAsia"/>
          <w:color w:val="auto"/>
          <w:sz w:val="24"/>
          <w:szCs w:val="24"/>
          <w:highlight w:val="none"/>
        </w:rPr>
        <w:t>不</w:t>
      </w:r>
      <w:r>
        <w:rPr>
          <w:color w:val="auto"/>
          <w:sz w:val="24"/>
          <w:szCs w:val="24"/>
          <w:highlight w:val="none"/>
        </w:rPr>
        <w:t>一致</w:t>
      </w:r>
      <w:r>
        <w:rPr>
          <w:rFonts w:hint="eastAsia"/>
          <w:color w:val="auto"/>
          <w:sz w:val="24"/>
          <w:szCs w:val="24"/>
          <w:highlight w:val="none"/>
        </w:rPr>
        <w:t>的</w:t>
      </w:r>
      <w:r>
        <w:rPr>
          <w:color w:val="auto"/>
          <w:sz w:val="24"/>
          <w:szCs w:val="24"/>
          <w:highlight w:val="none"/>
        </w:rPr>
        <w:t>，</w:t>
      </w:r>
      <w:r>
        <w:rPr>
          <w:rFonts w:hint="eastAsia"/>
          <w:color w:val="auto"/>
          <w:sz w:val="24"/>
          <w:szCs w:val="24"/>
          <w:highlight w:val="none"/>
        </w:rPr>
        <w:t>评标委员会有权按照实质性判断原则评定其为无效投标。</w:t>
      </w:r>
    </w:p>
    <w:p>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7技术偏离</w:t>
      </w:r>
    </w:p>
    <w:p>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 xml:space="preserve">.1 </w:t>
      </w:r>
      <w:r>
        <w:rPr>
          <w:rFonts w:hint="eastAsia"/>
          <w:color w:val="auto"/>
          <w:sz w:val="24"/>
          <w:szCs w:val="24"/>
          <w:highlight w:val="none"/>
        </w:rPr>
        <w:t>“基本技术要求”列示的参数、规格为基础</w:t>
      </w:r>
      <w:r>
        <w:rPr>
          <w:color w:val="auto"/>
          <w:sz w:val="24"/>
          <w:szCs w:val="24"/>
          <w:highlight w:val="none"/>
        </w:rPr>
        <w:t>性</w:t>
      </w:r>
      <w:r>
        <w:rPr>
          <w:rFonts w:hint="eastAsia"/>
          <w:color w:val="auto"/>
          <w:sz w:val="24"/>
          <w:szCs w:val="24"/>
          <w:highlight w:val="none"/>
        </w:rPr>
        <w:t>要求，投标人可提供质量性能参数相等或优于的其他产品；投</w:t>
      </w:r>
      <w:r>
        <w:rPr>
          <w:color w:val="auto"/>
          <w:sz w:val="24"/>
          <w:szCs w:val="24"/>
          <w:highlight w:val="none"/>
        </w:rPr>
        <w:t>标产品的</w:t>
      </w:r>
      <w:r>
        <w:rPr>
          <w:rFonts w:hint="eastAsia"/>
          <w:color w:val="auto"/>
          <w:sz w:val="24"/>
          <w:szCs w:val="24"/>
          <w:highlight w:val="none"/>
        </w:rPr>
        <w:t>规格参数与“基本技术要求”不</w:t>
      </w:r>
      <w:r>
        <w:rPr>
          <w:color w:val="auto"/>
          <w:sz w:val="24"/>
          <w:szCs w:val="24"/>
          <w:highlight w:val="none"/>
        </w:rPr>
        <w:t>同</w:t>
      </w:r>
      <w:r>
        <w:rPr>
          <w:rFonts w:hint="eastAsia"/>
          <w:color w:val="auto"/>
          <w:sz w:val="24"/>
          <w:szCs w:val="24"/>
          <w:highlight w:val="none"/>
        </w:rPr>
        <w:t>、</w:t>
      </w:r>
      <w:r>
        <w:rPr>
          <w:color w:val="auto"/>
          <w:sz w:val="24"/>
          <w:szCs w:val="24"/>
          <w:highlight w:val="none"/>
        </w:rPr>
        <w:t>且</w:t>
      </w:r>
      <w:r>
        <w:rPr>
          <w:rFonts w:hint="eastAsia"/>
          <w:color w:val="auto"/>
          <w:sz w:val="24"/>
          <w:szCs w:val="24"/>
          <w:highlight w:val="none"/>
        </w:rPr>
        <w:t>投标人认</w:t>
      </w:r>
      <w:r>
        <w:rPr>
          <w:color w:val="auto"/>
          <w:sz w:val="24"/>
          <w:szCs w:val="24"/>
          <w:highlight w:val="none"/>
        </w:rPr>
        <w:t>为</w:t>
      </w:r>
      <w:r>
        <w:rPr>
          <w:rFonts w:hint="eastAsia"/>
          <w:color w:val="auto"/>
          <w:sz w:val="24"/>
          <w:szCs w:val="24"/>
          <w:highlight w:val="none"/>
        </w:rPr>
        <w:t>投</w:t>
      </w:r>
      <w:r>
        <w:rPr>
          <w:color w:val="auto"/>
          <w:sz w:val="24"/>
          <w:szCs w:val="24"/>
          <w:highlight w:val="none"/>
        </w:rPr>
        <w:t>标产品的</w:t>
      </w:r>
      <w:r>
        <w:rPr>
          <w:rFonts w:hint="eastAsia"/>
          <w:color w:val="auto"/>
          <w:sz w:val="24"/>
          <w:szCs w:val="24"/>
          <w:highlight w:val="none"/>
        </w:rPr>
        <w:t>规格参数等</w:t>
      </w:r>
      <w:r>
        <w:rPr>
          <w:color w:val="auto"/>
          <w:sz w:val="24"/>
          <w:szCs w:val="24"/>
          <w:highlight w:val="none"/>
        </w:rPr>
        <w:t>于或优于</w:t>
      </w:r>
      <w:r>
        <w:rPr>
          <w:rFonts w:hint="eastAsia"/>
          <w:color w:val="auto"/>
          <w:sz w:val="24"/>
          <w:szCs w:val="24"/>
          <w:highlight w:val="none"/>
        </w:rPr>
        <w:t>“基本技术要求”的</w:t>
      </w:r>
      <w:r>
        <w:rPr>
          <w:color w:val="auto"/>
          <w:sz w:val="24"/>
          <w:szCs w:val="24"/>
          <w:highlight w:val="none"/>
        </w:rPr>
        <w:t>，</w:t>
      </w:r>
      <w:r>
        <w:rPr>
          <w:rFonts w:hint="eastAsia"/>
          <w:color w:val="auto"/>
          <w:sz w:val="24"/>
          <w:szCs w:val="24"/>
          <w:highlight w:val="none"/>
        </w:rPr>
        <w:t>投标人应提供相关证明材料（如权威评测资料、及印刷品产品说明书或印刷品图册等）以供评标委员会评审投标产品是</w:t>
      </w:r>
      <w:r>
        <w:rPr>
          <w:color w:val="auto"/>
          <w:sz w:val="24"/>
          <w:szCs w:val="24"/>
          <w:highlight w:val="none"/>
        </w:rPr>
        <w:t>否</w:t>
      </w:r>
      <w:r>
        <w:rPr>
          <w:rFonts w:hint="eastAsia"/>
          <w:color w:val="auto"/>
          <w:sz w:val="24"/>
          <w:szCs w:val="24"/>
          <w:highlight w:val="none"/>
        </w:rPr>
        <w:t>等于或优于“基本技术要求”、从而</w:t>
      </w:r>
      <w:r>
        <w:rPr>
          <w:color w:val="auto"/>
          <w:sz w:val="24"/>
          <w:szCs w:val="24"/>
          <w:highlight w:val="none"/>
        </w:rPr>
        <w:t>评定</w:t>
      </w:r>
      <w:r>
        <w:rPr>
          <w:rFonts w:hint="eastAsia"/>
          <w:color w:val="auto"/>
          <w:sz w:val="24"/>
          <w:szCs w:val="24"/>
          <w:highlight w:val="none"/>
        </w:rPr>
        <w:t>投标产品是</w:t>
      </w:r>
      <w:r>
        <w:rPr>
          <w:color w:val="auto"/>
          <w:sz w:val="24"/>
          <w:szCs w:val="24"/>
          <w:highlight w:val="none"/>
        </w:rPr>
        <w:t>否</w:t>
      </w:r>
      <w:r>
        <w:rPr>
          <w:rFonts w:hint="eastAsia"/>
          <w:color w:val="auto"/>
          <w:sz w:val="24"/>
          <w:szCs w:val="24"/>
          <w:highlight w:val="none"/>
        </w:rPr>
        <w:t>满</w:t>
      </w:r>
      <w:r>
        <w:rPr>
          <w:color w:val="auto"/>
          <w:sz w:val="24"/>
          <w:szCs w:val="24"/>
          <w:highlight w:val="none"/>
        </w:rPr>
        <w:t>足</w:t>
      </w:r>
      <w:r>
        <w:rPr>
          <w:rFonts w:hint="eastAsia"/>
          <w:color w:val="auto"/>
          <w:sz w:val="24"/>
          <w:szCs w:val="24"/>
          <w:highlight w:val="none"/>
        </w:rPr>
        <w:t>“基本技术要求”。</w:t>
      </w:r>
    </w:p>
    <w:p>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“基本技术要求”列示的参数、规格为区</w:t>
      </w:r>
      <w:r>
        <w:rPr>
          <w:color w:val="auto"/>
          <w:sz w:val="24"/>
          <w:szCs w:val="24"/>
          <w:highlight w:val="none"/>
        </w:rPr>
        <w:t>间性描述的，</w:t>
      </w:r>
      <w:r>
        <w:rPr>
          <w:rFonts w:hint="eastAsia"/>
          <w:color w:val="auto"/>
          <w:sz w:val="24"/>
          <w:szCs w:val="24"/>
          <w:highlight w:val="none"/>
        </w:rPr>
        <w:t>投</w:t>
      </w:r>
      <w:r>
        <w:rPr>
          <w:color w:val="auto"/>
          <w:sz w:val="24"/>
          <w:szCs w:val="24"/>
          <w:highlight w:val="none"/>
        </w:rPr>
        <w:t>标产品</w:t>
      </w:r>
      <w:r>
        <w:rPr>
          <w:rFonts w:hint="eastAsia"/>
          <w:color w:val="auto"/>
          <w:sz w:val="24"/>
          <w:szCs w:val="24"/>
          <w:highlight w:val="none"/>
        </w:rPr>
        <w:t>参数规格</w:t>
      </w:r>
      <w:r>
        <w:rPr>
          <w:color w:val="auto"/>
          <w:sz w:val="24"/>
          <w:szCs w:val="24"/>
          <w:highlight w:val="none"/>
        </w:rPr>
        <w:t>在此区间内的</w:t>
      </w:r>
      <w:r>
        <w:rPr>
          <w:rFonts w:hint="eastAsia"/>
          <w:color w:val="auto"/>
          <w:sz w:val="24"/>
          <w:szCs w:val="24"/>
          <w:highlight w:val="none"/>
        </w:rPr>
        <w:t>、则</w:t>
      </w:r>
      <w:r>
        <w:rPr>
          <w:color w:val="auto"/>
          <w:sz w:val="24"/>
          <w:szCs w:val="24"/>
          <w:highlight w:val="none"/>
        </w:rPr>
        <w:t>显见的为</w:t>
      </w:r>
      <w:r>
        <w:rPr>
          <w:rFonts w:hint="eastAsia"/>
          <w:color w:val="auto"/>
          <w:sz w:val="24"/>
          <w:szCs w:val="24"/>
          <w:highlight w:val="none"/>
        </w:rPr>
        <w:t>符</w:t>
      </w:r>
      <w:r>
        <w:rPr>
          <w:color w:val="auto"/>
          <w:sz w:val="24"/>
          <w:szCs w:val="24"/>
          <w:highlight w:val="none"/>
        </w:rPr>
        <w:t>合</w:t>
      </w:r>
      <w:r>
        <w:rPr>
          <w:rFonts w:hint="eastAsia"/>
          <w:color w:val="auto"/>
          <w:sz w:val="24"/>
          <w:szCs w:val="24"/>
          <w:highlight w:val="none"/>
        </w:rPr>
        <w:t>“基本技术要求”。</w:t>
      </w:r>
    </w:p>
    <w:p>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如</w:t>
      </w:r>
      <w:r>
        <w:rPr>
          <w:rFonts w:hint="eastAsia"/>
          <w:color w:val="auto"/>
          <w:sz w:val="24"/>
          <w:szCs w:val="24"/>
          <w:highlight w:val="none"/>
        </w:rPr>
        <w:t>“基本技术要求”中列示有品牌</w:t>
      </w:r>
      <w:r>
        <w:rPr>
          <w:color w:val="auto"/>
          <w:sz w:val="24"/>
          <w:szCs w:val="24"/>
          <w:highlight w:val="none"/>
        </w:rPr>
        <w:t>、</w:t>
      </w:r>
      <w:r>
        <w:rPr>
          <w:rFonts w:hint="eastAsia"/>
          <w:color w:val="auto"/>
          <w:sz w:val="24"/>
          <w:szCs w:val="24"/>
          <w:highlight w:val="none"/>
        </w:rPr>
        <w:t>型号、生</w:t>
      </w:r>
      <w:r>
        <w:rPr>
          <w:color w:val="auto"/>
          <w:sz w:val="24"/>
          <w:szCs w:val="24"/>
          <w:highlight w:val="none"/>
        </w:rPr>
        <w:t>产供应商名称</w:t>
      </w:r>
      <w:r>
        <w:rPr>
          <w:rFonts w:hint="eastAsia"/>
          <w:color w:val="auto"/>
          <w:sz w:val="24"/>
          <w:szCs w:val="24"/>
          <w:highlight w:val="none"/>
        </w:rPr>
        <w:t>、</w:t>
      </w:r>
      <w:r>
        <w:rPr>
          <w:color w:val="auto"/>
          <w:sz w:val="24"/>
          <w:szCs w:val="24"/>
          <w:highlight w:val="none"/>
        </w:rPr>
        <w:t>专利、商标</w:t>
      </w:r>
      <w:r>
        <w:rPr>
          <w:rFonts w:hint="eastAsia"/>
          <w:color w:val="auto"/>
          <w:sz w:val="24"/>
          <w:szCs w:val="24"/>
          <w:highlight w:val="none"/>
        </w:rPr>
        <w:t>的</w:t>
      </w:r>
      <w:r>
        <w:rPr>
          <w:color w:val="auto"/>
          <w:sz w:val="24"/>
          <w:szCs w:val="24"/>
          <w:highlight w:val="none"/>
        </w:rPr>
        <w:t>，</w:t>
      </w:r>
      <w:r>
        <w:rPr>
          <w:rFonts w:hint="eastAsia"/>
          <w:color w:val="auto"/>
          <w:sz w:val="24"/>
          <w:szCs w:val="24"/>
          <w:highlight w:val="none"/>
        </w:rPr>
        <w:t>均为“参</w:t>
      </w:r>
      <w:r>
        <w:rPr>
          <w:color w:val="auto"/>
          <w:sz w:val="24"/>
          <w:szCs w:val="24"/>
          <w:highlight w:val="none"/>
        </w:rPr>
        <w:t>照或相当于</w:t>
      </w:r>
      <w:r>
        <w:rPr>
          <w:rFonts w:hint="eastAsia"/>
          <w:color w:val="auto"/>
          <w:sz w:val="24"/>
          <w:szCs w:val="24"/>
          <w:highlight w:val="none"/>
        </w:rPr>
        <w:t>”的</w:t>
      </w:r>
      <w:r>
        <w:rPr>
          <w:color w:val="auto"/>
          <w:sz w:val="24"/>
          <w:szCs w:val="24"/>
          <w:highlight w:val="none"/>
        </w:rPr>
        <w:t>技术标准</w:t>
      </w:r>
      <w:r>
        <w:rPr>
          <w:rFonts w:hint="eastAsia"/>
          <w:color w:val="auto"/>
          <w:sz w:val="24"/>
          <w:szCs w:val="24"/>
          <w:highlight w:val="none"/>
        </w:rPr>
        <w:t>，投标人可提供等于或优于的其他产品（其他</w:t>
      </w:r>
      <w:r>
        <w:rPr>
          <w:color w:val="auto"/>
          <w:sz w:val="24"/>
          <w:szCs w:val="24"/>
          <w:highlight w:val="none"/>
        </w:rPr>
        <w:t>的</w:t>
      </w:r>
      <w:r>
        <w:rPr>
          <w:rFonts w:hint="eastAsia"/>
          <w:color w:val="auto"/>
          <w:sz w:val="24"/>
          <w:szCs w:val="24"/>
          <w:highlight w:val="none"/>
        </w:rPr>
        <w:t>品牌、型号、生产供应商、专利、商标</w:t>
      </w:r>
      <w:r>
        <w:rPr>
          <w:color w:val="auto"/>
          <w:sz w:val="24"/>
          <w:szCs w:val="24"/>
          <w:highlight w:val="none"/>
        </w:rPr>
        <w:t>）</w:t>
      </w:r>
      <w:r>
        <w:rPr>
          <w:rFonts w:hint="eastAsia"/>
          <w:color w:val="auto"/>
          <w:sz w:val="24"/>
          <w:szCs w:val="24"/>
          <w:highlight w:val="none"/>
        </w:rPr>
        <w:t>；投标人应提供相关证明材料（如权威评测资料、及印刷品产品说明书或印刷品图册等）以供评标委员会评审投标产品是否等于或优于“基本技术要求”、从而评定投标产品是否满足“基本技术要求”。</w:t>
      </w:r>
    </w:p>
    <w:p>
      <w:pPr>
        <w:widowControl w:val="0"/>
        <w:adjustRightInd w:val="0"/>
        <w:snapToGrid w:val="0"/>
        <w:spacing w:before="156" w:beforeLines="50" w:line="300" w:lineRule="auto"/>
        <w:ind w:firstLine="540"/>
        <w:rPr>
          <w:rFonts w:ascii="宋体" w:hAnsi="宋体"/>
          <w:color w:val="auto"/>
          <w:sz w:val="24"/>
          <w:szCs w:val="24"/>
          <w:highlight w:val="none"/>
        </w:rPr>
      </w:pPr>
      <w:r>
        <w:rPr>
          <w:rFonts w:hint="eastAsia"/>
          <w:color w:val="auto"/>
          <w:sz w:val="24"/>
          <w:szCs w:val="24"/>
          <w:highlight w:val="none"/>
        </w:rPr>
        <w:t>2.7.2“基本技术要求”中的技术参数指标，如有“负偏离”</w:t>
      </w:r>
      <w:r>
        <w:rPr>
          <w:rFonts w:hint="eastAsia"/>
          <w:color w:val="auto"/>
          <w:sz w:val="24"/>
          <w:szCs w:val="24"/>
          <w:highlight w:val="none"/>
          <w:lang w:val="en-US" w:eastAsia="zh-CN"/>
        </w:rPr>
        <w:t>或“未响应”</w:t>
      </w:r>
      <w:r>
        <w:rPr>
          <w:rFonts w:hint="eastAsia"/>
          <w:color w:val="auto"/>
          <w:sz w:val="24"/>
          <w:szCs w:val="24"/>
          <w:highlight w:val="none"/>
        </w:rPr>
        <w:t>的，评标委员会将按照第四章评分因素--技术项要求进行扣分。</w:t>
      </w:r>
    </w:p>
    <w:p>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3</w:t>
      </w:r>
      <w:r>
        <w:rPr>
          <w:color w:val="auto"/>
          <w:sz w:val="24"/>
          <w:szCs w:val="24"/>
          <w:highlight w:val="none"/>
        </w:rPr>
        <w:t xml:space="preserve"> </w:t>
      </w:r>
      <w:r>
        <w:rPr>
          <w:rFonts w:hint="eastAsia"/>
          <w:color w:val="auto"/>
          <w:sz w:val="24"/>
          <w:szCs w:val="24"/>
          <w:highlight w:val="none"/>
        </w:rPr>
        <w:t>除招标文件“基本技术要求”有明确说明外，投标人所投标的各项设备均应为该设备的标准配置、不应改变或调换厂家的出厂标准配置；如确因市场因素无法按上述规格产品进行投标，应提供优于“基本技术要求”的同类产品进行投标，投标人应提供印刷品产品说明书或印刷品图册等予以佐证（电子档）。</w:t>
      </w:r>
    </w:p>
    <w:p>
      <w:pPr>
        <w:widowControl w:val="0"/>
        <w:adjustRightInd w:val="0"/>
        <w:snapToGrid w:val="0"/>
        <w:spacing w:before="156" w:beforeLines="50" w:line="300" w:lineRule="auto"/>
        <w:ind w:firstLine="540"/>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4投标文件对技术偏差的描述要求：见第三章投标人须知</w:t>
      </w:r>
      <w:r>
        <w:rPr>
          <w:color w:val="auto"/>
          <w:sz w:val="24"/>
          <w:szCs w:val="24"/>
          <w:highlight w:val="none"/>
        </w:rPr>
        <w:t>3.7.3</w:t>
      </w:r>
      <w:r>
        <w:rPr>
          <w:rFonts w:hint="eastAsia"/>
          <w:color w:val="auto"/>
          <w:sz w:val="24"/>
          <w:szCs w:val="24"/>
          <w:highlight w:val="none"/>
        </w:rPr>
        <w:t>项。</w:t>
      </w:r>
    </w:p>
    <w:p>
      <w:pPr>
        <w:widowControl w:val="0"/>
        <w:adjustRightInd w:val="0"/>
        <w:snapToGrid w:val="0"/>
        <w:spacing w:before="156" w:beforeLines="50" w:line="300" w:lineRule="auto"/>
        <w:ind w:firstLine="540"/>
        <w:rPr>
          <w:rFonts w:ascii="黑体" w:hAnsi="黑体" w:eastAsia="黑体"/>
          <w:b/>
          <w:color w:val="auto"/>
          <w:sz w:val="24"/>
          <w:szCs w:val="24"/>
          <w:highlight w:val="none"/>
        </w:rPr>
      </w:pPr>
      <w:r>
        <w:rPr>
          <w:rFonts w:hint="eastAsia" w:ascii="黑体" w:hAnsi="黑体" w:eastAsia="黑体"/>
          <w:b/>
          <w:color w:val="auto"/>
          <w:sz w:val="24"/>
          <w:szCs w:val="24"/>
          <w:highlight w:val="none"/>
        </w:rPr>
        <w:t>2.8 售后服务（采购标的需满足的服务标准、期限、效率等要求）</w:t>
      </w:r>
    </w:p>
    <w:p>
      <w:pPr>
        <w:widowControl w:val="0"/>
        <w:adjustRightInd w:val="0"/>
        <w:snapToGrid w:val="0"/>
        <w:spacing w:before="156" w:beforeLines="50" w:line="300" w:lineRule="auto"/>
        <w:ind w:firstLine="538"/>
        <w:rPr>
          <w:color w:val="auto"/>
          <w:sz w:val="24"/>
          <w:szCs w:val="24"/>
          <w:highlight w:val="none"/>
        </w:rPr>
      </w:pPr>
      <w:r>
        <w:rPr>
          <w:color w:val="auto"/>
          <w:sz w:val="24"/>
          <w:szCs w:val="24"/>
          <w:highlight w:val="none"/>
        </w:rPr>
        <w:t>2.</w:t>
      </w:r>
      <w:r>
        <w:rPr>
          <w:rFonts w:hint="eastAsia"/>
          <w:color w:val="auto"/>
          <w:sz w:val="24"/>
          <w:szCs w:val="24"/>
          <w:highlight w:val="none"/>
        </w:rPr>
        <w:t>8</w:t>
      </w:r>
      <w:r>
        <w:rPr>
          <w:color w:val="auto"/>
          <w:sz w:val="24"/>
          <w:szCs w:val="24"/>
          <w:highlight w:val="none"/>
        </w:rPr>
        <w:t>.1</w:t>
      </w:r>
      <w:r>
        <w:rPr>
          <w:rFonts w:hint="eastAsia"/>
          <w:color w:val="auto"/>
          <w:sz w:val="24"/>
          <w:szCs w:val="24"/>
          <w:highlight w:val="none"/>
        </w:rPr>
        <w:t>货物的保修除按国家有关规定、各产品生产厂家规定及项目特殊要求处理外，还应满足下述条款：</w:t>
      </w:r>
    </w:p>
    <w:p>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招标文件中未明确列明保修条款的设备，均需提供至少一年的免费保修；国家规定或产品生产厂家规定大于一年的，按国家规定与厂家规定最有利于采购人原则执行；招标文件已明确列明大于一年保修的，按该条款及其响应执行，并终身维护；</w:t>
      </w:r>
    </w:p>
    <w:p>
      <w:pPr>
        <w:widowControl w:val="0"/>
        <w:adjustRightInd w:val="0"/>
        <w:snapToGrid w:val="0"/>
        <w:spacing w:before="156" w:beforeLines="50" w:line="300" w:lineRule="auto"/>
        <w:ind w:left="22" w:firstLine="538"/>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）保修期内货物发生故障系货物出现质量问题，必须无偿更换；</w:t>
      </w:r>
    </w:p>
    <w:p>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）货物超过保修期发生故障，采购人可自由选择维修单位，如委托给中标人，中标人不得借故推诿，且维修费优于市场价格；</w:t>
      </w:r>
    </w:p>
    <w:p>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w:t>
      </w:r>
      <w:r>
        <w:rPr>
          <w:color w:val="auto"/>
          <w:sz w:val="24"/>
          <w:szCs w:val="24"/>
          <w:highlight w:val="none"/>
        </w:rPr>
        <w:t>4</w:t>
      </w:r>
      <w:r>
        <w:rPr>
          <w:rFonts w:hint="eastAsia"/>
          <w:color w:val="auto"/>
          <w:sz w:val="24"/>
          <w:szCs w:val="24"/>
          <w:highlight w:val="none"/>
        </w:rPr>
        <w:t>）如货物发生故障，接到通知后需尽快做出响应，并在</w:t>
      </w:r>
      <w:r>
        <w:rPr>
          <w:color w:val="auto"/>
          <w:sz w:val="24"/>
          <w:szCs w:val="24"/>
          <w:highlight w:val="none"/>
        </w:rPr>
        <w:t>24</w:t>
      </w:r>
      <w:r>
        <w:rPr>
          <w:rFonts w:hint="eastAsia"/>
          <w:color w:val="auto"/>
          <w:sz w:val="24"/>
          <w:szCs w:val="24"/>
          <w:highlight w:val="none"/>
        </w:rPr>
        <w:t>小时内及时赶到现场，负责故障原因的诊断，尽快排除故障。</w:t>
      </w:r>
    </w:p>
    <w:p>
      <w:pPr>
        <w:widowControl w:val="0"/>
        <w:adjustRightInd w:val="0"/>
        <w:snapToGrid w:val="0"/>
        <w:spacing w:before="156" w:beforeLines="50" w:line="300" w:lineRule="auto"/>
        <w:ind w:firstLine="538"/>
        <w:rPr>
          <w:color w:val="auto"/>
          <w:sz w:val="24"/>
          <w:szCs w:val="24"/>
          <w:highlight w:val="none"/>
        </w:rPr>
      </w:pPr>
      <w:r>
        <w:rPr>
          <w:color w:val="auto"/>
          <w:sz w:val="24"/>
          <w:szCs w:val="24"/>
          <w:highlight w:val="none"/>
        </w:rPr>
        <w:t>2.</w:t>
      </w:r>
      <w:r>
        <w:rPr>
          <w:rFonts w:hint="eastAsia"/>
          <w:color w:val="auto"/>
          <w:sz w:val="24"/>
          <w:szCs w:val="24"/>
          <w:highlight w:val="none"/>
        </w:rPr>
        <w:t>8</w:t>
      </w:r>
      <w:r>
        <w:rPr>
          <w:color w:val="auto"/>
          <w:sz w:val="24"/>
          <w:szCs w:val="24"/>
          <w:highlight w:val="none"/>
        </w:rPr>
        <w:t>.2</w:t>
      </w:r>
      <w:r>
        <w:rPr>
          <w:rFonts w:hint="eastAsia"/>
          <w:color w:val="auto"/>
          <w:sz w:val="24"/>
          <w:szCs w:val="24"/>
          <w:highlight w:val="none"/>
        </w:rPr>
        <w:t>在中标人未按照合同规定的地点交验前，货物毁坏或灭失，由中标人承担责任。</w:t>
      </w:r>
    </w:p>
    <w:p>
      <w:pPr>
        <w:widowControl w:val="0"/>
        <w:adjustRightInd w:val="0"/>
        <w:snapToGrid w:val="0"/>
        <w:spacing w:before="156" w:beforeLines="50" w:line="300" w:lineRule="auto"/>
        <w:ind w:firstLine="538"/>
        <w:rPr>
          <w:color w:val="auto"/>
          <w:highlight w:val="none"/>
        </w:rPr>
      </w:pPr>
      <w:r>
        <w:rPr>
          <w:color w:val="auto"/>
          <w:sz w:val="24"/>
          <w:szCs w:val="24"/>
          <w:highlight w:val="none"/>
        </w:rPr>
        <w:t>2.</w:t>
      </w:r>
      <w:r>
        <w:rPr>
          <w:rFonts w:hint="eastAsia"/>
          <w:color w:val="auto"/>
          <w:sz w:val="24"/>
          <w:szCs w:val="24"/>
          <w:highlight w:val="none"/>
        </w:rPr>
        <w:t>8</w:t>
      </w:r>
      <w:r>
        <w:rPr>
          <w:color w:val="auto"/>
          <w:sz w:val="24"/>
          <w:szCs w:val="24"/>
          <w:highlight w:val="none"/>
        </w:rPr>
        <w:t>.3</w:t>
      </w:r>
      <w:r>
        <w:rPr>
          <w:rFonts w:hint="eastAsia" w:ascii="宋体" w:hAnsi="宋体"/>
          <w:color w:val="auto"/>
          <w:sz w:val="24"/>
          <w:szCs w:val="24"/>
          <w:highlight w:val="none"/>
        </w:rPr>
        <w:t>投标人需提供详尽的售后服务承诺；如由产品生产厂家提供相关售后服务的，投标人负有连带售后服</w:t>
      </w:r>
      <w:r>
        <w:rPr>
          <w:rFonts w:hint="eastAsia"/>
          <w:color w:val="auto"/>
          <w:sz w:val="24"/>
          <w:szCs w:val="24"/>
          <w:highlight w:val="none"/>
        </w:rPr>
        <w:t>务责任。</w:t>
      </w:r>
    </w:p>
    <w:p>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9保险、货物包装</w:t>
      </w:r>
    </w:p>
    <w:p>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2.9.1保险（如需）：</w:t>
      </w:r>
    </w:p>
    <w:p>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投标人应遵循国家相关保险的规定，依法办理采购需求范围内的相关法定保险，相关保险费用及相应责任由中标人承担。</w:t>
      </w:r>
    </w:p>
    <w:p>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在中标人未按照合同规定的地点交验前，货物毁坏或灭失，人身、安全责任，均由中标人承担责任。投标人可以按照最有利于项目风险控制的原则，为项目办理货物、人身及第三方公众责任险。</w:t>
      </w:r>
    </w:p>
    <w:p>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2.9.2货物包装：</w:t>
      </w:r>
    </w:p>
    <w:p>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中标人负责按国家相关标准进行货物包装，设备的包装均应有良好的防湿、防锈、防潮、防雨、防腐及防碰撞的措施，凡由于包装不良造成的损失和由此产生的费用均由中标人承担。</w:t>
      </w:r>
    </w:p>
    <w:p>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10采购标的的验收标准</w:t>
      </w:r>
    </w:p>
    <w:p>
      <w:pPr>
        <w:adjustRightInd w:val="0"/>
        <w:snapToGrid w:val="0"/>
        <w:spacing w:line="300" w:lineRule="auto"/>
        <w:ind w:firstLine="564" w:firstLineChars="235"/>
        <w:jc w:val="left"/>
        <w:rPr>
          <w:rFonts w:ascii="宋体" w:hAns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第</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条“验收”条款。</w:t>
      </w:r>
    </w:p>
    <w:p>
      <w:pPr>
        <w:adjustRightInd w:val="0"/>
        <w:snapToGrid w:val="0"/>
        <w:spacing w:before="156" w:beforeLines="50" w:line="300" w:lineRule="auto"/>
        <w:ind w:firstLine="566" w:firstLineChars="235"/>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11采购标的的其他技术、服务等要求</w:t>
      </w:r>
    </w:p>
    <w:p>
      <w:pPr>
        <w:adjustRightInd w:val="0"/>
        <w:snapToGrid w:val="0"/>
        <w:spacing w:before="156" w:beforeLines="50" w:line="300" w:lineRule="auto"/>
        <w:ind w:firstLine="564" w:firstLineChars="235"/>
        <w:rPr>
          <w:color w:val="auto"/>
          <w:sz w:val="24"/>
          <w:szCs w:val="24"/>
          <w:highlight w:val="none"/>
        </w:rPr>
      </w:pPr>
      <w:r>
        <w:rPr>
          <w:rFonts w:hint="eastAsia"/>
          <w:color w:val="auto"/>
          <w:sz w:val="24"/>
          <w:szCs w:val="24"/>
          <w:highlight w:val="none"/>
        </w:rPr>
        <w:t>无</w:t>
      </w:r>
    </w:p>
    <w:p>
      <w:pPr>
        <w:adjustRightInd w:val="0"/>
        <w:snapToGrid w:val="0"/>
        <w:spacing w:before="156" w:beforeLines="50" w:line="300" w:lineRule="auto"/>
        <w:ind w:firstLine="482" w:firstLineChars="200"/>
        <w:rPr>
          <w:rFonts w:ascii="黑体" w:hAnsi="黑体" w:eastAsia="黑体"/>
          <w:b/>
          <w:color w:val="auto"/>
          <w:sz w:val="24"/>
          <w:szCs w:val="24"/>
          <w:highlight w:val="none"/>
        </w:rPr>
      </w:pPr>
    </w:p>
    <w:p>
      <w:pPr>
        <w:adjustRightInd w:val="0"/>
        <w:snapToGrid w:val="0"/>
        <w:spacing w:before="156" w:beforeLines="50" w:line="300" w:lineRule="auto"/>
        <w:ind w:firstLine="562" w:firstLineChars="200"/>
        <w:outlineLvl w:val="1"/>
        <w:rPr>
          <w:rFonts w:ascii="黑体" w:hAnsi="黑体" w:eastAsia="黑体"/>
          <w:b/>
          <w:color w:val="auto"/>
          <w:sz w:val="28"/>
          <w:highlight w:val="none"/>
        </w:rPr>
      </w:pPr>
      <w:bookmarkStart w:id="28" w:name="_Toc165383926"/>
      <w:bookmarkStart w:id="29" w:name="_Toc65574702"/>
      <w:r>
        <w:rPr>
          <w:rFonts w:ascii="黑体" w:hAnsi="黑体" w:eastAsia="黑体"/>
          <w:b/>
          <w:color w:val="auto"/>
          <w:sz w:val="28"/>
          <w:highlight w:val="none"/>
        </w:rPr>
        <w:t xml:space="preserve">3. </w:t>
      </w:r>
      <w:r>
        <w:rPr>
          <w:rFonts w:hint="eastAsia" w:ascii="黑体" w:hAnsi="黑体" w:eastAsia="黑体"/>
          <w:b/>
          <w:color w:val="auto"/>
          <w:sz w:val="28"/>
          <w:highlight w:val="none"/>
        </w:rPr>
        <w:t>项目其他要求</w:t>
      </w:r>
      <w:bookmarkEnd w:id="28"/>
      <w:bookmarkEnd w:id="29"/>
    </w:p>
    <w:p>
      <w:pPr>
        <w:adjustRightInd w:val="0"/>
        <w:snapToGrid w:val="0"/>
        <w:spacing w:before="156" w:beforeLines="50" w:line="300" w:lineRule="auto"/>
        <w:ind w:firstLine="564" w:firstLineChars="235"/>
        <w:rPr>
          <w:rFonts w:ascii="黑体" w:hAnsi="黑体" w:eastAsia="黑体"/>
          <w:b/>
          <w:color w:val="auto"/>
          <w:sz w:val="24"/>
          <w:szCs w:val="24"/>
          <w:highlight w:val="none"/>
        </w:rPr>
      </w:pPr>
      <w:r>
        <w:rPr>
          <w:rFonts w:hint="eastAsia"/>
          <w:color w:val="auto"/>
          <w:sz w:val="24"/>
          <w:szCs w:val="24"/>
          <w:highlight w:val="none"/>
        </w:rPr>
        <w:t>无</w:t>
      </w:r>
      <w:r>
        <w:rPr>
          <w:rFonts w:ascii="黑体" w:hAnsi="黑体" w:eastAsia="黑体"/>
          <w:b/>
          <w:color w:val="auto"/>
          <w:sz w:val="24"/>
          <w:szCs w:val="24"/>
          <w:highlight w:val="none"/>
        </w:rPr>
        <w:br w:type="page"/>
      </w:r>
    </w:p>
    <w:p>
      <w:pPr>
        <w:spacing w:line="360" w:lineRule="auto"/>
        <w:ind w:right="238"/>
        <w:outlineLvl w:val="0"/>
        <w:rPr>
          <w:rFonts w:eastAsia="黑体"/>
          <w:b/>
          <w:color w:val="auto"/>
          <w:sz w:val="36"/>
          <w:szCs w:val="36"/>
          <w:highlight w:val="none"/>
        </w:rPr>
      </w:pPr>
    </w:p>
    <w:p>
      <w:pPr>
        <w:spacing w:line="360" w:lineRule="auto"/>
        <w:ind w:right="238"/>
        <w:jc w:val="center"/>
        <w:outlineLvl w:val="0"/>
        <w:rPr>
          <w:rFonts w:eastAsia="黑体"/>
          <w:b/>
          <w:color w:val="auto"/>
          <w:sz w:val="36"/>
          <w:szCs w:val="36"/>
          <w:highlight w:val="none"/>
        </w:rPr>
      </w:pPr>
      <w:bookmarkStart w:id="30" w:name="_Toc165383927"/>
      <w:r>
        <w:rPr>
          <w:rFonts w:hint="eastAsia" w:eastAsia="黑体"/>
          <w:b/>
          <w:color w:val="auto"/>
          <w:sz w:val="36"/>
          <w:szCs w:val="36"/>
          <w:highlight w:val="none"/>
        </w:rPr>
        <w:t>第三章</w:t>
      </w:r>
      <w:r>
        <w:rPr>
          <w:rFonts w:eastAsia="黑体"/>
          <w:b/>
          <w:color w:val="auto"/>
          <w:sz w:val="36"/>
          <w:szCs w:val="36"/>
          <w:highlight w:val="none"/>
        </w:rPr>
        <w:t xml:space="preserve">  </w:t>
      </w:r>
      <w:r>
        <w:rPr>
          <w:rFonts w:hint="eastAsia" w:eastAsia="黑体"/>
          <w:b/>
          <w:color w:val="auto"/>
          <w:sz w:val="36"/>
          <w:szCs w:val="36"/>
          <w:highlight w:val="none"/>
        </w:rPr>
        <w:t>投标人须知</w:t>
      </w:r>
      <w:bookmarkEnd w:id="30"/>
    </w:p>
    <w:p>
      <w:pPr>
        <w:spacing w:line="360" w:lineRule="auto"/>
        <w:ind w:right="240"/>
        <w:jc w:val="center"/>
        <w:rPr>
          <w:rFonts w:eastAsia="黑体"/>
          <w:b/>
          <w:color w:val="auto"/>
          <w:spacing w:val="36"/>
          <w:sz w:val="36"/>
          <w:szCs w:val="36"/>
          <w:highlight w:val="none"/>
        </w:rPr>
      </w:pPr>
    </w:p>
    <w:p>
      <w:pPr>
        <w:spacing w:line="360" w:lineRule="auto"/>
        <w:ind w:right="238"/>
        <w:jc w:val="left"/>
        <w:outlineLvl w:val="1"/>
        <w:rPr>
          <w:rFonts w:eastAsia="黑体"/>
          <w:b/>
          <w:color w:val="auto"/>
          <w:sz w:val="28"/>
          <w:szCs w:val="28"/>
          <w:highlight w:val="none"/>
        </w:rPr>
      </w:pPr>
      <w:bookmarkStart w:id="31" w:name="_Toc165383928"/>
      <w:r>
        <w:rPr>
          <w:rFonts w:hint="eastAsia" w:eastAsia="黑体"/>
          <w:b/>
          <w:color w:val="auto"/>
          <w:sz w:val="28"/>
          <w:szCs w:val="28"/>
          <w:highlight w:val="none"/>
        </w:rPr>
        <w:t>投标人须知前附表</w:t>
      </w:r>
      <w:bookmarkEnd w:id="31"/>
    </w:p>
    <w:tbl>
      <w:tblPr>
        <w:tblStyle w:val="20"/>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699"/>
        <w:gridCol w:w="2386"/>
        <w:gridCol w:w="6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3" w:type="dxa"/>
          </w:tcPr>
          <w:p>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章节</w:t>
            </w:r>
          </w:p>
        </w:tc>
        <w:tc>
          <w:tcPr>
            <w:tcW w:w="699" w:type="dxa"/>
            <w:vAlign w:val="center"/>
          </w:tcPr>
          <w:p>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条款号</w:t>
            </w:r>
          </w:p>
        </w:tc>
        <w:tc>
          <w:tcPr>
            <w:tcW w:w="2386" w:type="dxa"/>
            <w:vAlign w:val="center"/>
          </w:tcPr>
          <w:p>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条款名称</w:t>
            </w:r>
          </w:p>
        </w:tc>
        <w:tc>
          <w:tcPr>
            <w:tcW w:w="6165" w:type="dxa"/>
            <w:vAlign w:val="center"/>
          </w:tcPr>
          <w:p>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restart"/>
            <w:vAlign w:val="center"/>
          </w:tcPr>
          <w:p>
            <w:pPr>
              <w:autoSpaceDE w:val="0"/>
              <w:autoSpaceDN w:val="0"/>
              <w:adjustRightInd w:val="0"/>
              <w:snapToGrid w:val="0"/>
              <w:spacing w:line="240" w:lineRule="auto"/>
              <w:rPr>
                <w:rFonts w:ascii="宋体" w:cs="楷体_GB2312"/>
                <w:b/>
                <w:bCs/>
                <w:color w:val="auto"/>
                <w:sz w:val="24"/>
                <w:highlight w:val="none"/>
              </w:rPr>
            </w:pPr>
            <w:r>
              <w:rPr>
                <w:rFonts w:hint="eastAsia" w:ascii="宋体" w:hAnsi="宋体" w:cs="楷体_GB2312"/>
                <w:b/>
                <w:bCs/>
                <w:color w:val="auto"/>
                <w:sz w:val="24"/>
                <w:highlight w:val="none"/>
              </w:rPr>
              <w:t>第一章</w:t>
            </w:r>
          </w:p>
        </w:tc>
        <w:tc>
          <w:tcPr>
            <w:tcW w:w="699" w:type="dxa"/>
            <w:vAlign w:val="center"/>
          </w:tcPr>
          <w:p>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2</w:t>
            </w:r>
          </w:p>
        </w:tc>
        <w:tc>
          <w:tcPr>
            <w:tcW w:w="2386" w:type="dxa"/>
            <w:vAlign w:val="center"/>
          </w:tcPr>
          <w:p>
            <w:pPr>
              <w:autoSpaceDE w:val="0"/>
              <w:autoSpaceDN w:val="0"/>
              <w:adjustRightInd w:val="0"/>
              <w:snapToGrid w:val="0"/>
              <w:spacing w:line="240" w:lineRule="auto"/>
              <w:jc w:val="center"/>
              <w:rPr>
                <w:rFonts w:ascii="宋体" w:cs="楷体_GB2312"/>
                <w:color w:val="auto"/>
                <w:sz w:val="24"/>
                <w:highlight w:val="none"/>
                <w:lang w:val="zh-CN"/>
              </w:rPr>
            </w:pPr>
            <w:r>
              <w:rPr>
                <w:rFonts w:hint="eastAsia" w:ascii="宋体" w:hAnsi="宋体" w:cs="楷体_GB2312"/>
                <w:b/>
                <w:bCs/>
                <w:color w:val="auto"/>
                <w:sz w:val="24"/>
                <w:highlight w:val="none"/>
              </w:rPr>
              <w:t>招标项目名称</w:t>
            </w:r>
          </w:p>
        </w:tc>
        <w:tc>
          <w:tcPr>
            <w:tcW w:w="6165" w:type="dxa"/>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见“第一章招标公告”相应条款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continue"/>
            <w:vAlign w:val="center"/>
          </w:tcPr>
          <w:p>
            <w:pPr>
              <w:autoSpaceDE w:val="0"/>
              <w:autoSpaceDN w:val="0"/>
              <w:adjustRightInd w:val="0"/>
              <w:snapToGrid w:val="0"/>
              <w:spacing w:line="240" w:lineRule="auto"/>
              <w:rPr>
                <w:rFonts w:ascii="宋体" w:cs="楷体_GB2312"/>
                <w:b/>
                <w:bCs/>
                <w:color w:val="auto"/>
                <w:sz w:val="24"/>
                <w:highlight w:val="none"/>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项目编号</w:t>
            </w:r>
          </w:p>
        </w:tc>
        <w:tc>
          <w:tcPr>
            <w:tcW w:w="6165" w:type="dxa"/>
            <w:vAlign w:val="center"/>
          </w:tcPr>
          <w:p>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见“第一章招标公告”相应条款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continue"/>
            <w:vAlign w:val="center"/>
          </w:tcPr>
          <w:p>
            <w:pPr>
              <w:autoSpaceDE w:val="0"/>
              <w:autoSpaceDN w:val="0"/>
              <w:adjustRightInd w:val="0"/>
              <w:snapToGrid w:val="0"/>
              <w:spacing w:line="240" w:lineRule="auto"/>
              <w:rPr>
                <w:rFonts w:ascii="宋体" w:cs="楷体_GB2312"/>
                <w:b/>
                <w:bCs/>
                <w:color w:val="auto"/>
                <w:sz w:val="24"/>
                <w:highlight w:val="none"/>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1.3</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采购方式</w:t>
            </w:r>
          </w:p>
        </w:tc>
        <w:tc>
          <w:tcPr>
            <w:tcW w:w="6165" w:type="dxa"/>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公开</w:t>
            </w:r>
            <w:r>
              <w:rPr>
                <w:color w:val="auto"/>
                <w:sz w:val="24"/>
                <w:szCs w:val="24"/>
                <w:highlight w:val="none"/>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w:t>
            </w:r>
            <w:r>
              <w:rPr>
                <w:rFonts w:hint="eastAsia" w:ascii="宋体" w:hAnsi="宋体" w:cs="楷体_GB2312"/>
                <w:b/>
                <w:bCs/>
                <w:color w:val="auto"/>
                <w:szCs w:val="21"/>
                <w:highlight w:val="none"/>
                <w:lang w:val="zh-CN"/>
              </w:rPr>
              <w:t>4</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预算金额</w:t>
            </w:r>
          </w:p>
        </w:tc>
        <w:tc>
          <w:tcPr>
            <w:tcW w:w="6165" w:type="dxa"/>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见“第一章招标公告”相应条款。</w:t>
            </w:r>
            <w:r>
              <w:rPr>
                <w:rFonts w:hint="eastAsia" w:ascii="宋体" w:hAnsi="宋体" w:cs="楷体_GB2312"/>
                <w:b/>
                <w:color w:val="auto"/>
                <w:sz w:val="24"/>
                <w:highlight w:val="none"/>
                <w:lang w:val="zh-CN"/>
              </w:rPr>
              <w:t>注：投标人的投标报价未超过</w:t>
            </w:r>
            <w:r>
              <w:rPr>
                <w:rFonts w:hint="eastAsia" w:ascii="宋体" w:hAnsi="宋体" w:cs="楷体_GB2312"/>
                <w:b/>
                <w:bCs/>
                <w:color w:val="auto"/>
                <w:sz w:val="24"/>
                <w:highlight w:val="none"/>
                <w:lang w:val="zh-CN"/>
              </w:rPr>
              <w:t>预算金额</w:t>
            </w:r>
            <w:r>
              <w:rPr>
                <w:rFonts w:hint="eastAsia" w:ascii="宋体" w:hAnsi="宋体" w:cs="楷体_GB2312"/>
                <w:b/>
                <w:color w:val="auto"/>
                <w:sz w:val="24"/>
                <w:highlight w:val="none"/>
                <w:lang w:val="zh-CN"/>
              </w:rPr>
              <w:t>的不足三家时，该标段（包）废标。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2386" w:type="dxa"/>
            <w:vAlign w:val="center"/>
          </w:tcPr>
          <w:p>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申请人的资格要求及相关证明材料要求</w:t>
            </w:r>
          </w:p>
        </w:tc>
        <w:tc>
          <w:tcPr>
            <w:tcW w:w="6165" w:type="dxa"/>
            <w:vAlign w:val="center"/>
          </w:tcPr>
          <w:p>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见“第一章招标公告”相应条款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8.1</w:t>
            </w:r>
          </w:p>
        </w:tc>
        <w:tc>
          <w:tcPr>
            <w:tcW w:w="2386" w:type="dxa"/>
            <w:vAlign w:val="center"/>
          </w:tcPr>
          <w:p>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采购人</w:t>
            </w:r>
          </w:p>
        </w:tc>
        <w:tc>
          <w:tcPr>
            <w:tcW w:w="6165" w:type="dxa"/>
            <w:vAlign w:val="center"/>
          </w:tcPr>
          <w:p>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见“第一章招标公告”相应条款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8.2</w:t>
            </w:r>
          </w:p>
        </w:tc>
        <w:tc>
          <w:tcPr>
            <w:tcW w:w="2386" w:type="dxa"/>
            <w:vAlign w:val="center"/>
          </w:tcPr>
          <w:p>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采购代理机构</w:t>
            </w:r>
          </w:p>
        </w:tc>
        <w:tc>
          <w:tcPr>
            <w:tcW w:w="6165" w:type="dxa"/>
            <w:vAlign w:val="center"/>
          </w:tcPr>
          <w:p>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见“第一章招标公告”相应条款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restart"/>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第二章</w:t>
            </w:r>
          </w:p>
        </w:tc>
        <w:tc>
          <w:tcPr>
            <w:tcW w:w="699" w:type="dxa"/>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b/>
                <w:color w:val="auto"/>
                <w:sz w:val="24"/>
                <w:szCs w:val="24"/>
                <w:highlight w:val="none"/>
              </w:rPr>
              <w:t>标段（包）划分</w:t>
            </w:r>
          </w:p>
        </w:tc>
        <w:tc>
          <w:tcPr>
            <w:tcW w:w="6165" w:type="dxa"/>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见“第二章招标项目要求及采购需求”相应条款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b/>
                <w:color w:val="auto"/>
                <w:sz w:val="24"/>
                <w:szCs w:val="24"/>
                <w:highlight w:val="none"/>
              </w:rPr>
              <w:t>交付&lt;实施&gt;期</w:t>
            </w:r>
          </w:p>
        </w:tc>
        <w:tc>
          <w:tcPr>
            <w:tcW w:w="6165" w:type="dxa"/>
            <w:vAlign w:val="center"/>
          </w:tcPr>
          <w:p>
            <w:pPr>
              <w:autoSpaceDE w:val="0"/>
              <w:autoSpaceDN w:val="0"/>
              <w:adjustRightInd w:val="0"/>
              <w:snapToGrid w:val="0"/>
              <w:spacing w:before="156" w:beforeLines="50" w:line="240" w:lineRule="auto"/>
              <w:rPr>
                <w:rFonts w:ascii="宋体" w:cs="楷体_GB2312"/>
                <w:bCs/>
                <w:color w:val="auto"/>
                <w:sz w:val="24"/>
                <w:highlight w:val="none"/>
                <w:lang w:val="zh-CN"/>
              </w:rPr>
            </w:pPr>
            <w:r>
              <w:rPr>
                <w:rFonts w:hint="eastAsia" w:ascii="宋体" w:hAnsi="宋体"/>
                <w:color w:val="auto"/>
                <w:sz w:val="24"/>
                <w:highlight w:val="none"/>
              </w:rPr>
              <w:t>见“第二章招标项目要求及采购需求”</w:t>
            </w:r>
            <w:r>
              <w:rPr>
                <w:rFonts w:hint="eastAsia"/>
                <w:color w:val="auto"/>
                <w:sz w:val="24"/>
                <w:szCs w:val="24"/>
                <w:highlight w:val="none"/>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rPr>
              <w:t>交付（实施）</w:t>
            </w:r>
            <w:r>
              <w:rPr>
                <w:rFonts w:hint="eastAsia" w:ascii="宋体" w:hAnsi="宋体" w:cs="楷体_GB2312"/>
                <w:b/>
                <w:bCs/>
                <w:color w:val="auto"/>
                <w:sz w:val="24"/>
                <w:highlight w:val="none"/>
                <w:lang w:val="zh-CN"/>
              </w:rPr>
              <w:t>地</w:t>
            </w:r>
          </w:p>
        </w:tc>
        <w:tc>
          <w:tcPr>
            <w:tcW w:w="6165" w:type="dxa"/>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见“第二章招标项目要求及采购需求”</w:t>
            </w:r>
            <w:r>
              <w:rPr>
                <w:rFonts w:hint="eastAsia"/>
                <w:color w:val="auto"/>
                <w:sz w:val="24"/>
                <w:szCs w:val="24"/>
                <w:highlight w:val="none"/>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1.3</w:t>
            </w:r>
          </w:p>
        </w:tc>
        <w:tc>
          <w:tcPr>
            <w:tcW w:w="2386" w:type="dxa"/>
            <w:vAlign w:val="center"/>
          </w:tcPr>
          <w:p>
            <w:pPr>
              <w:autoSpaceDE w:val="0"/>
              <w:autoSpaceDN w:val="0"/>
              <w:adjustRightInd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投标报价</w:t>
            </w:r>
          </w:p>
        </w:tc>
        <w:tc>
          <w:tcPr>
            <w:tcW w:w="6165" w:type="dxa"/>
            <w:vAlign w:val="center"/>
          </w:tcPr>
          <w:p>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见“第二章招标项目要求及采购需求”相应条款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标段（包）内容（范围）及具体采购需求</w:t>
            </w:r>
          </w:p>
        </w:tc>
        <w:tc>
          <w:tcPr>
            <w:tcW w:w="6165" w:type="dxa"/>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见“第二章招标项目要求及采购需求”</w:t>
            </w:r>
            <w:r>
              <w:rPr>
                <w:rFonts w:hint="eastAsia"/>
                <w:color w:val="auto"/>
                <w:sz w:val="24"/>
                <w:szCs w:val="24"/>
                <w:highlight w:val="none"/>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r>
              <w:rPr>
                <w:rFonts w:hint="eastAsia" w:ascii="宋体" w:hAnsi="宋体" w:cs="楷体_GB2312"/>
                <w:b/>
                <w:bCs/>
                <w:color w:val="auto"/>
                <w:szCs w:val="21"/>
                <w:highlight w:val="none"/>
                <w:lang w:val="zh-CN"/>
              </w:rPr>
              <w:t>7</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技术偏离</w:t>
            </w:r>
          </w:p>
        </w:tc>
        <w:tc>
          <w:tcPr>
            <w:tcW w:w="6165" w:type="dxa"/>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见“第二章招标项目要求及采购需求”</w:t>
            </w:r>
            <w:r>
              <w:rPr>
                <w:rFonts w:hint="eastAsia"/>
                <w:color w:val="auto"/>
                <w:sz w:val="24"/>
                <w:szCs w:val="24"/>
                <w:highlight w:val="none"/>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r>
              <w:rPr>
                <w:rFonts w:hint="eastAsia" w:ascii="宋体" w:hAnsi="宋体" w:cs="楷体_GB2312"/>
                <w:b/>
                <w:bCs/>
                <w:color w:val="auto"/>
                <w:szCs w:val="21"/>
                <w:highlight w:val="none"/>
                <w:lang w:val="zh-CN"/>
              </w:rPr>
              <w:t>8</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售后服务</w:t>
            </w:r>
          </w:p>
        </w:tc>
        <w:tc>
          <w:tcPr>
            <w:tcW w:w="6165" w:type="dxa"/>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见“第二章招标项目要求及采购需求”</w:t>
            </w:r>
            <w:r>
              <w:rPr>
                <w:rFonts w:hint="eastAsia"/>
                <w:color w:val="auto"/>
                <w:sz w:val="24"/>
                <w:szCs w:val="24"/>
                <w:highlight w:val="none"/>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03" w:type="dxa"/>
            <w:vMerge w:val="restart"/>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1.4</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联合体投标</w:t>
            </w:r>
          </w:p>
        </w:tc>
        <w:tc>
          <w:tcPr>
            <w:tcW w:w="6165" w:type="dxa"/>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见“第一章招标公告”相应条款。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10</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踏勘现场</w:t>
            </w:r>
          </w:p>
        </w:tc>
        <w:tc>
          <w:tcPr>
            <w:tcW w:w="6165" w:type="dxa"/>
            <w:vAlign w:val="center"/>
          </w:tcPr>
          <w:p>
            <w:pPr>
              <w:autoSpaceDE w:val="0"/>
              <w:autoSpaceDN w:val="0"/>
              <w:adjustRightInd w:val="0"/>
              <w:snapToGrid w:val="0"/>
              <w:spacing w:before="156" w:beforeLines="50" w:line="240" w:lineRule="auto"/>
              <w:rPr>
                <w:rFonts w:ascii="宋体" w:hAnsi="宋体" w:cs="楷体_GB2312"/>
                <w:color w:val="auto"/>
                <w:sz w:val="24"/>
                <w:highlight w:val="none"/>
              </w:rPr>
            </w:pPr>
            <w:r>
              <w:rPr>
                <w:rFonts w:hint="eastAsia" w:ascii="宋体" w:hAnsi="宋体" w:cs="楷体_GB2312"/>
                <w:color w:val="auto"/>
                <w:sz w:val="24"/>
                <w:highlight w:val="none"/>
              </w:rPr>
              <w:t>投标人为准确投标，开标前应自行与采购人联系，详细勘察现场，并按采购人施工条件及要求编制报价；投标人的投标报价应包括未列明而完成本项目所必须的所有设备、材料、工具、费用等，否则由中标人自行解决；详细勘察现场是投标人的责任，投标人自行承担相应风险。</w:t>
            </w:r>
          </w:p>
          <w:p>
            <w:pPr>
              <w:autoSpaceDE w:val="0"/>
              <w:autoSpaceDN w:val="0"/>
              <w:adjustRightInd w:val="0"/>
              <w:snapToGrid w:val="0"/>
              <w:spacing w:before="156" w:beforeLines="50" w:line="240" w:lineRule="auto"/>
              <w:rPr>
                <w:rFonts w:ascii="宋体" w:hAnsi="宋体" w:cs="楷体_GB2312"/>
                <w:color w:val="auto"/>
                <w:sz w:val="24"/>
                <w:highlight w:val="none"/>
              </w:rPr>
            </w:pPr>
            <w:r>
              <w:rPr>
                <w:rFonts w:hint="eastAsia" w:ascii="宋体" w:hAnsi="宋体" w:cs="楷体_GB2312"/>
                <w:color w:val="auto"/>
                <w:sz w:val="24"/>
                <w:highlight w:val="none"/>
              </w:rPr>
              <w:t>注：各投标人在约定的时间自行与采购人联系、集体勘察现场。</w:t>
            </w:r>
          </w:p>
          <w:p>
            <w:pPr>
              <w:autoSpaceDE w:val="0"/>
              <w:autoSpaceDN w:val="0"/>
              <w:adjustRightInd w:val="0"/>
              <w:snapToGrid w:val="0"/>
              <w:spacing w:before="156" w:beforeLines="50" w:line="240" w:lineRule="auto"/>
              <w:rPr>
                <w:rFonts w:ascii="宋体" w:hAnsi="宋体" w:cs="楷体_GB2312"/>
                <w:color w:val="auto"/>
                <w:sz w:val="24"/>
                <w:highlight w:val="none"/>
              </w:rPr>
            </w:pPr>
            <w:r>
              <w:rPr>
                <w:rFonts w:hint="eastAsia" w:ascii="宋体" w:hAnsi="宋体" w:cs="楷体_GB2312"/>
                <w:color w:val="auto"/>
                <w:sz w:val="24"/>
                <w:highlight w:val="none"/>
              </w:rPr>
              <w:t>集体勘察现场时间：2024年</w:t>
            </w:r>
            <w:r>
              <w:rPr>
                <w:rFonts w:hint="eastAsia" w:ascii="宋体" w:hAnsi="宋体" w:cs="楷体_GB2312"/>
                <w:color w:val="auto"/>
                <w:sz w:val="24"/>
                <w:highlight w:val="none"/>
                <w:lang w:val="en-US" w:eastAsia="zh-CN"/>
              </w:rPr>
              <w:t>7</w:t>
            </w:r>
            <w:r>
              <w:rPr>
                <w:rFonts w:hint="eastAsia" w:ascii="宋体" w:hAnsi="宋体" w:cs="楷体_GB2312"/>
                <w:color w:val="auto"/>
                <w:sz w:val="24"/>
                <w:highlight w:val="none"/>
              </w:rPr>
              <w:t>月1</w:t>
            </w:r>
            <w:r>
              <w:rPr>
                <w:rFonts w:hint="eastAsia" w:ascii="宋体" w:hAnsi="宋体" w:cs="楷体_GB2312"/>
                <w:color w:val="auto"/>
                <w:sz w:val="24"/>
                <w:highlight w:val="none"/>
                <w:lang w:val="en-US" w:eastAsia="zh-CN"/>
              </w:rPr>
              <w:t>7</w:t>
            </w:r>
            <w:r>
              <w:rPr>
                <w:rFonts w:hint="eastAsia" w:ascii="宋体" w:hAnsi="宋体" w:cs="楷体_GB2312"/>
                <w:color w:val="auto"/>
                <w:sz w:val="24"/>
                <w:highlight w:val="none"/>
              </w:rPr>
              <w:t>日上午10：00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1</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开标前答疑会</w:t>
            </w:r>
          </w:p>
        </w:tc>
        <w:tc>
          <w:tcPr>
            <w:tcW w:w="6165" w:type="dxa"/>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2</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分包</w:t>
            </w:r>
          </w:p>
        </w:tc>
        <w:tc>
          <w:tcPr>
            <w:tcW w:w="6165" w:type="dxa"/>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 xml:space="preserve">不允许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2.1</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构成招标文件的其他材料</w:t>
            </w:r>
          </w:p>
        </w:tc>
        <w:tc>
          <w:tcPr>
            <w:tcW w:w="6165" w:type="dxa"/>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pPr>
              <w:autoSpaceDE w:val="0"/>
              <w:autoSpaceDN w:val="0"/>
              <w:adjustRightInd w:val="0"/>
              <w:snapToGrid w:val="0"/>
              <w:spacing w:line="240" w:lineRule="auto"/>
              <w:ind w:left="-134" w:leftChars="-64" w:right="-88" w:rightChars="-42"/>
              <w:jc w:val="center"/>
              <w:rPr>
                <w:rFonts w:ascii="宋体" w:hAnsi="宋体" w:cs="楷体_GB2312"/>
                <w:b/>
                <w:bCs/>
                <w:color w:val="auto"/>
                <w:szCs w:val="21"/>
                <w:highlight w:val="none"/>
              </w:rPr>
            </w:pPr>
            <w:r>
              <w:rPr>
                <w:rFonts w:ascii="宋体" w:hAnsi="宋体" w:cs="楷体_GB2312"/>
                <w:b/>
                <w:bCs/>
                <w:color w:val="auto"/>
                <w:szCs w:val="21"/>
                <w:highlight w:val="none"/>
              </w:rPr>
              <w:t>2.2.1</w:t>
            </w:r>
          </w:p>
        </w:tc>
        <w:tc>
          <w:tcPr>
            <w:tcW w:w="2386" w:type="dxa"/>
            <w:vAlign w:val="center"/>
          </w:tcPr>
          <w:p>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投标人提出问题的截止时间</w:t>
            </w:r>
          </w:p>
        </w:tc>
        <w:tc>
          <w:tcPr>
            <w:tcW w:w="6165" w:type="dxa"/>
            <w:vAlign w:val="center"/>
          </w:tcPr>
          <w:p>
            <w:pPr>
              <w:autoSpaceDE w:val="0"/>
              <w:autoSpaceDN w:val="0"/>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公告期结束或获取招标文件</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pPr>
              <w:autoSpaceDE w:val="0"/>
              <w:autoSpaceDN w:val="0"/>
              <w:adjustRightInd w:val="0"/>
              <w:snapToGrid w:val="0"/>
              <w:spacing w:line="240" w:lineRule="auto"/>
              <w:ind w:left="-134" w:leftChars="-64" w:right="-88" w:rightChars="-42"/>
              <w:jc w:val="center"/>
              <w:rPr>
                <w:rFonts w:ascii="宋体" w:hAnsi="宋体" w:cs="楷体_GB2312"/>
                <w:b/>
                <w:bCs/>
                <w:color w:val="auto"/>
                <w:szCs w:val="21"/>
                <w:highlight w:val="none"/>
              </w:rPr>
            </w:pPr>
            <w:r>
              <w:rPr>
                <w:rFonts w:ascii="宋体" w:hAnsi="宋体" w:cs="楷体_GB2312"/>
                <w:b/>
                <w:bCs/>
                <w:color w:val="auto"/>
                <w:szCs w:val="21"/>
                <w:highlight w:val="none"/>
              </w:rPr>
              <w:t>2.3</w:t>
            </w:r>
          </w:p>
        </w:tc>
        <w:tc>
          <w:tcPr>
            <w:tcW w:w="2386" w:type="dxa"/>
            <w:vAlign w:val="center"/>
          </w:tcPr>
          <w:p>
            <w:pPr>
              <w:autoSpaceDE w:val="0"/>
              <w:autoSpaceDN w:val="0"/>
              <w:adjustRightInd w:val="0"/>
              <w:snapToGrid w:val="0"/>
              <w:spacing w:line="240" w:lineRule="auto"/>
              <w:ind w:left="-126" w:leftChars="-60" w:right="-36" w:rightChars="-17"/>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招标文件的澄清修改补充告知方式</w:t>
            </w:r>
          </w:p>
        </w:tc>
        <w:tc>
          <w:tcPr>
            <w:tcW w:w="6165" w:type="dxa"/>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2.</w:t>
            </w:r>
            <w:r>
              <w:rPr>
                <w:rFonts w:hint="eastAsia" w:ascii="宋体" w:hAnsi="宋体" w:cs="楷体_GB2312"/>
                <w:b/>
                <w:bCs/>
                <w:color w:val="auto"/>
                <w:szCs w:val="21"/>
                <w:highlight w:val="none"/>
                <w:lang w:val="zh-CN"/>
              </w:rPr>
              <w:t>4</w:t>
            </w:r>
          </w:p>
        </w:tc>
        <w:tc>
          <w:tcPr>
            <w:tcW w:w="2386" w:type="dxa"/>
            <w:vAlign w:val="center"/>
          </w:tcPr>
          <w:p>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招标文件澄清修改补充时间</w:t>
            </w:r>
          </w:p>
        </w:tc>
        <w:tc>
          <w:tcPr>
            <w:tcW w:w="6165" w:type="dxa"/>
            <w:vAlign w:val="center"/>
          </w:tcPr>
          <w:p>
            <w:pPr>
              <w:autoSpaceDE w:val="0"/>
              <w:autoSpaceDN w:val="0"/>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rPr>
              <w:t>15</w:t>
            </w:r>
            <w:r>
              <w:rPr>
                <w:rFonts w:hint="eastAsia" w:ascii="宋体" w:hAnsi="宋体" w:cs="楷体_GB2312"/>
                <w:color w:val="auto"/>
                <w:sz w:val="24"/>
                <w:highlight w:val="none"/>
                <w:lang w:val="zh-CN"/>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3.2</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构成投标文件的其他材料</w:t>
            </w:r>
          </w:p>
        </w:tc>
        <w:tc>
          <w:tcPr>
            <w:tcW w:w="6165" w:type="dxa"/>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3" w:type="dxa"/>
            <w:vMerge w:val="restart"/>
          </w:tcPr>
          <w:p>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第三章</w:t>
            </w:r>
          </w:p>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3.4.1</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投标有效期</w:t>
            </w:r>
          </w:p>
        </w:tc>
        <w:tc>
          <w:tcPr>
            <w:tcW w:w="6165" w:type="dxa"/>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从开标之日起，投标有效期为</w:t>
            </w:r>
            <w:r>
              <w:rPr>
                <w:rFonts w:ascii="宋体" w:hAnsi="宋体" w:cs="楷体_GB2312"/>
                <w:color w:val="auto"/>
                <w:sz w:val="24"/>
                <w:highlight w:val="none"/>
                <w:lang w:val="zh-CN"/>
              </w:rPr>
              <w:t>90</w:t>
            </w:r>
            <w:r>
              <w:rPr>
                <w:rFonts w:hint="eastAsia" w:ascii="宋体" w:hAnsi="宋体" w:cs="楷体_GB2312"/>
                <w:color w:val="auto"/>
                <w:sz w:val="24"/>
                <w:highlight w:val="none"/>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3.5</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投标承诺函</w:t>
            </w:r>
          </w:p>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（替代投标保证金）</w:t>
            </w:r>
          </w:p>
        </w:tc>
        <w:tc>
          <w:tcPr>
            <w:tcW w:w="6165" w:type="dxa"/>
            <w:vAlign w:val="center"/>
          </w:tcPr>
          <w:p>
            <w:pPr>
              <w:widowControl w:val="0"/>
              <w:snapToGrid w:val="0"/>
              <w:spacing w:before="156" w:beforeLines="50" w:line="240" w:lineRule="auto"/>
              <w:rPr>
                <w:color w:val="auto"/>
                <w:sz w:val="24"/>
                <w:szCs w:val="24"/>
                <w:highlight w:val="none"/>
              </w:rPr>
            </w:pPr>
            <w:r>
              <w:rPr>
                <w:rFonts w:hint="eastAsia"/>
                <w:color w:val="auto"/>
                <w:sz w:val="24"/>
                <w:szCs w:val="24"/>
                <w:highlight w:val="none"/>
              </w:rPr>
              <w:t>以投标承诺函形式替代投标保证金。</w:t>
            </w:r>
          </w:p>
          <w:p>
            <w:pPr>
              <w:pStyle w:val="54"/>
              <w:snapToGrid w:val="0"/>
              <w:spacing w:before="156" w:beforeLines="50" w:beforeAutospacing="0" w:after="0" w:afterAutospacing="0"/>
              <w:jc w:val="both"/>
              <w:rPr>
                <w:color w:val="auto"/>
                <w:sz w:val="24"/>
                <w:szCs w:val="24"/>
                <w:highlight w:val="none"/>
              </w:rPr>
            </w:pPr>
            <w:r>
              <w:rPr>
                <w:rFonts w:hint="eastAsia"/>
                <w:color w:val="auto"/>
                <w:sz w:val="24"/>
                <w:szCs w:val="24"/>
                <w:highlight w:val="none"/>
              </w:rPr>
              <w:t>供应商应按附件格式进行投标承诺、违背承诺的责任追究。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3.7.3</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偏差描述</w:t>
            </w:r>
          </w:p>
        </w:tc>
        <w:tc>
          <w:tcPr>
            <w:tcW w:w="6165" w:type="dxa"/>
            <w:vAlign w:val="center"/>
          </w:tcPr>
          <w:p>
            <w:pPr>
              <w:widowControl w:val="0"/>
              <w:snapToGrid w:val="0"/>
              <w:spacing w:before="156" w:beforeLines="50" w:line="240" w:lineRule="auto"/>
              <w:rPr>
                <w:b/>
                <w:color w:val="auto"/>
                <w:sz w:val="24"/>
                <w:szCs w:val="24"/>
                <w:highlight w:val="none"/>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3.7.</w:t>
            </w:r>
            <w:r>
              <w:rPr>
                <w:rFonts w:hint="eastAsia" w:ascii="宋体" w:hAnsi="宋体" w:cs="楷体_GB2312"/>
                <w:b/>
                <w:bCs/>
                <w:color w:val="auto"/>
                <w:szCs w:val="21"/>
                <w:highlight w:val="none"/>
              </w:rPr>
              <w:t>4</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签字或盖章要求</w:t>
            </w:r>
          </w:p>
        </w:tc>
        <w:tc>
          <w:tcPr>
            <w:tcW w:w="6165" w:type="dxa"/>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4.2.</w:t>
            </w:r>
            <w:r>
              <w:rPr>
                <w:rFonts w:hint="eastAsia" w:ascii="宋体" w:hAnsi="宋体" w:cs="楷体_GB2312"/>
                <w:b/>
                <w:bCs/>
                <w:color w:val="auto"/>
                <w:szCs w:val="21"/>
                <w:highlight w:val="none"/>
              </w:rPr>
              <w:t>4</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是否退还投标文件</w:t>
            </w:r>
          </w:p>
        </w:tc>
        <w:tc>
          <w:tcPr>
            <w:tcW w:w="6165" w:type="dxa"/>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7.1</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评标委员会的组建</w:t>
            </w:r>
          </w:p>
        </w:tc>
        <w:tc>
          <w:tcPr>
            <w:tcW w:w="6165" w:type="dxa"/>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03" w:type="dxa"/>
            <w:vMerge w:val="restart"/>
          </w:tcPr>
          <w:p>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第三章</w:t>
            </w:r>
          </w:p>
        </w:tc>
        <w:tc>
          <w:tcPr>
            <w:tcW w:w="699" w:type="dxa"/>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rPr>
            </w:pPr>
            <w:r>
              <w:rPr>
                <w:rFonts w:ascii="宋体" w:hAnsi="宋体" w:cs="楷体_GB2312"/>
                <w:b/>
                <w:bCs/>
                <w:color w:val="auto"/>
                <w:szCs w:val="21"/>
                <w:highlight w:val="none"/>
              </w:rPr>
              <w:t>8.1</w:t>
            </w:r>
          </w:p>
        </w:tc>
        <w:tc>
          <w:tcPr>
            <w:tcW w:w="2386" w:type="dxa"/>
            <w:vAlign w:val="center"/>
          </w:tcPr>
          <w:p>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是否授权评标委员会确定中标人</w:t>
            </w:r>
          </w:p>
        </w:tc>
        <w:tc>
          <w:tcPr>
            <w:tcW w:w="6165" w:type="dxa"/>
            <w:vAlign w:val="center"/>
          </w:tcPr>
          <w:p>
            <w:pPr>
              <w:adjustRightInd w:val="0"/>
              <w:snapToGrid w:val="0"/>
              <w:spacing w:before="156" w:beforeLines="50" w:line="240" w:lineRule="auto"/>
              <w:rPr>
                <w:rFonts w:ascii="宋体"/>
                <w:color w:val="auto"/>
                <w:sz w:val="24"/>
                <w:highlight w:val="none"/>
              </w:rPr>
            </w:pPr>
            <w:r>
              <w:rPr>
                <w:rFonts w:hint="eastAsia" w:ascii="宋体" w:hAnsi="宋体"/>
                <w:color w:val="auto"/>
                <w:sz w:val="24"/>
                <w:highlight w:val="none"/>
              </w:rPr>
              <w:t>是。评标委员会按照综合得分由高到低的顺序提出</w:t>
            </w:r>
            <w:r>
              <w:rPr>
                <w:rFonts w:ascii="宋体" w:hAnsi="宋体"/>
                <w:color w:val="auto"/>
                <w:sz w:val="24"/>
                <w:highlight w:val="none"/>
              </w:rPr>
              <w:t>3</w:t>
            </w:r>
            <w:r>
              <w:rPr>
                <w:rFonts w:hint="eastAsia" w:ascii="宋体" w:hAnsi="宋体"/>
                <w:color w:val="auto"/>
                <w:sz w:val="24"/>
                <w:highlight w:val="none"/>
              </w:rPr>
              <w:t>名中标候选人，并确定排名第一的中标候选人为中标人。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pPr>
              <w:autoSpaceDE w:val="0"/>
              <w:autoSpaceDN w:val="0"/>
              <w:adjustRightInd w:val="0"/>
              <w:snapToGrid w:val="0"/>
              <w:spacing w:line="240" w:lineRule="auto"/>
              <w:jc w:val="center"/>
              <w:rPr>
                <w:rFonts w:ascii="宋体" w:cs="楷体_GB2312"/>
                <w:b/>
                <w:bCs/>
                <w:color w:val="auto"/>
                <w:sz w:val="24"/>
                <w:highlight w:val="none"/>
              </w:rPr>
            </w:pPr>
            <w:r>
              <w:rPr>
                <w:rFonts w:ascii="宋体" w:hAnsi="宋体" w:cs="楷体_GB2312"/>
                <w:b/>
                <w:bCs/>
                <w:color w:val="auto"/>
                <w:sz w:val="24"/>
                <w:highlight w:val="none"/>
              </w:rPr>
              <w:t>8.2</w:t>
            </w:r>
          </w:p>
        </w:tc>
        <w:tc>
          <w:tcPr>
            <w:tcW w:w="2386" w:type="dxa"/>
            <w:vAlign w:val="center"/>
          </w:tcPr>
          <w:p>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中标结果公告</w:t>
            </w:r>
          </w:p>
        </w:tc>
        <w:tc>
          <w:tcPr>
            <w:tcW w:w="6165" w:type="dxa"/>
            <w:vAlign w:val="center"/>
          </w:tcPr>
          <w:p>
            <w:pPr>
              <w:adjustRightInd w:val="0"/>
              <w:snapToGrid w:val="0"/>
              <w:spacing w:before="156" w:beforeLines="50" w:line="240" w:lineRule="auto"/>
              <w:rPr>
                <w:rFonts w:ascii="宋体" w:hAnsi="宋体"/>
                <w:color w:val="auto"/>
                <w:sz w:val="24"/>
                <w:highlight w:val="none"/>
              </w:rPr>
            </w:pPr>
            <w:r>
              <w:rPr>
                <w:rFonts w:hint="eastAsia" w:ascii="宋体" w:hAnsi="宋体"/>
                <w:color w:val="auto"/>
                <w:sz w:val="24"/>
                <w:highlight w:val="none"/>
              </w:rPr>
              <w:t>本次公开招标的中标结果将在中标人确定当天在招标公告所述媒介公告</w:t>
            </w:r>
            <w:r>
              <w:rPr>
                <w:rFonts w:ascii="宋体" w:hAnsi="宋体"/>
                <w:color w:val="auto"/>
                <w:sz w:val="24"/>
                <w:highlight w:val="none"/>
              </w:rPr>
              <w:t>1</w:t>
            </w:r>
            <w:r>
              <w:rPr>
                <w:rFonts w:hint="eastAsia" w:ascii="宋体" w:hAnsi="宋体"/>
                <w:color w:val="auto"/>
                <w:sz w:val="24"/>
                <w:highlight w:val="non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pPr>
              <w:autoSpaceDE w:val="0"/>
              <w:autoSpaceDN w:val="0"/>
              <w:adjustRightInd w:val="0"/>
              <w:snapToGrid w:val="0"/>
              <w:spacing w:line="240" w:lineRule="auto"/>
              <w:jc w:val="center"/>
              <w:rPr>
                <w:rFonts w:ascii="宋体" w:cs="楷体_GB2312"/>
                <w:b/>
                <w:bCs/>
                <w:color w:val="auto"/>
                <w:sz w:val="24"/>
                <w:highlight w:val="none"/>
              </w:rPr>
            </w:pPr>
            <w:r>
              <w:rPr>
                <w:rFonts w:ascii="宋体" w:hAnsi="宋体" w:cs="楷体_GB2312"/>
                <w:b/>
                <w:bCs/>
                <w:color w:val="auto"/>
                <w:sz w:val="24"/>
                <w:highlight w:val="none"/>
              </w:rPr>
              <w:t>8.3</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质疑、投诉</w:t>
            </w:r>
          </w:p>
        </w:tc>
        <w:tc>
          <w:tcPr>
            <w:tcW w:w="6165" w:type="dxa"/>
            <w:vAlign w:val="center"/>
          </w:tcPr>
          <w:p>
            <w:pPr>
              <w:rPr>
                <w:rFonts w:ascii="宋体" w:hAnsi="宋体"/>
                <w:color w:val="auto"/>
                <w:sz w:val="24"/>
                <w:highlight w:val="none"/>
              </w:rPr>
            </w:pPr>
            <w:r>
              <w:rPr>
                <w:rFonts w:hint="eastAsia" w:ascii="宋体" w:hAnsi="宋体"/>
                <w:color w:val="auto"/>
                <w:sz w:val="24"/>
                <w:highlight w:val="none"/>
              </w:rPr>
              <w:t>参与本次采购活动的供应商如有异议，可在各环节法定质疑期内向采购代理机构一次性提出针对该采购程序环节的书面质疑函，书面原件送达至招标文件列示的采购代理机构及采购单位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w:t>
            </w:r>
            <w:r>
              <w:rPr>
                <w:rFonts w:hint="eastAsia" w:ascii="宋体" w:hAnsi="宋体"/>
                <w:bCs/>
                <w:color w:val="auto"/>
                <w:sz w:val="24"/>
                <w:szCs w:val="24"/>
                <w:highlight w:val="none"/>
              </w:rPr>
              <w:t>疑的日期。供应商为自然人的，应当由本人签字；供应商为法人或者其他组织的，应当由法定代表人、主要负责人，或者其授权代表签字或者盖章，并加盖公章。</w:t>
            </w:r>
            <w:r>
              <w:rPr>
                <w:rFonts w:hint="eastAsia" w:ascii="宋体" w:hAnsi="宋体"/>
                <w:color w:val="auto"/>
                <w:sz w:val="24"/>
                <w:highlight w:val="none"/>
              </w:rPr>
              <w:t>如对采购代理机构的答复仍有异议的，可向同级财政局政府采购监督管理办公室提出书面投诉。（具体程序按照《政府采购质疑和投诉办法》执行）。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pPr>
              <w:autoSpaceDE w:val="0"/>
              <w:autoSpaceDN w:val="0"/>
              <w:adjustRightInd w:val="0"/>
              <w:snapToGrid w:val="0"/>
              <w:spacing w:line="240" w:lineRule="auto"/>
              <w:jc w:val="center"/>
              <w:rPr>
                <w:rFonts w:ascii="宋体" w:cs="楷体_GB2312"/>
                <w:b/>
                <w:bCs/>
                <w:color w:val="auto"/>
                <w:sz w:val="24"/>
                <w:highlight w:val="none"/>
              </w:rPr>
            </w:pPr>
            <w:r>
              <w:rPr>
                <w:rFonts w:ascii="宋体" w:hAnsi="宋体" w:cs="楷体_GB2312"/>
                <w:b/>
                <w:bCs/>
                <w:color w:val="auto"/>
                <w:sz w:val="24"/>
                <w:highlight w:val="none"/>
              </w:rPr>
              <w:t>8.4</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中标通知书</w:t>
            </w:r>
          </w:p>
        </w:tc>
        <w:tc>
          <w:tcPr>
            <w:tcW w:w="6165" w:type="dxa"/>
            <w:vAlign w:val="center"/>
          </w:tcPr>
          <w:p>
            <w:pPr>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采购代理机构在中标人确定当天向中标人发出中标通知书。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restart"/>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ascii="宋体" w:hAnsi="宋体" w:cs="楷体_GB2312"/>
                <w:b/>
                <w:bCs/>
                <w:color w:val="auto"/>
                <w:sz w:val="24"/>
                <w:highlight w:val="none"/>
                <w:lang w:val="zh-CN"/>
              </w:rPr>
              <w:t>8.5</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履约保证金</w:t>
            </w:r>
          </w:p>
        </w:tc>
        <w:tc>
          <w:tcPr>
            <w:tcW w:w="6165" w:type="dxa"/>
            <w:vAlign w:val="center"/>
          </w:tcPr>
          <w:p>
            <w:pPr>
              <w:widowControl w:val="0"/>
              <w:snapToGrid w:val="0"/>
              <w:spacing w:before="156" w:beforeLines="50" w:line="240" w:lineRule="auto"/>
              <w:rPr>
                <w:color w:val="auto"/>
                <w:sz w:val="24"/>
                <w:szCs w:val="24"/>
                <w:highlight w:val="none"/>
              </w:rPr>
            </w:pPr>
            <w:r>
              <w:rPr>
                <w:rFonts w:hint="eastAsia"/>
                <w:color w:val="auto"/>
                <w:sz w:val="24"/>
                <w:szCs w:val="24"/>
                <w:highlight w:val="none"/>
              </w:rPr>
              <w:t>不需缴纳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ascii="宋体" w:hAnsi="宋体" w:cs="楷体_GB2312"/>
                <w:b/>
                <w:bCs/>
                <w:color w:val="auto"/>
                <w:sz w:val="24"/>
                <w:highlight w:val="none"/>
                <w:lang w:val="zh-CN"/>
              </w:rPr>
              <w:t>9</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验收</w:t>
            </w:r>
          </w:p>
        </w:tc>
        <w:tc>
          <w:tcPr>
            <w:tcW w:w="6165" w:type="dxa"/>
            <w:vAlign w:val="center"/>
          </w:tcPr>
          <w:p>
            <w:pPr>
              <w:widowControl w:val="0"/>
              <w:snapToGrid w:val="0"/>
              <w:spacing w:before="156" w:beforeLines="50" w:line="240" w:lineRule="auto"/>
              <w:rPr>
                <w:color w:val="auto"/>
                <w:sz w:val="24"/>
                <w:szCs w:val="24"/>
                <w:highlight w:val="none"/>
              </w:rPr>
            </w:pPr>
            <w:r>
              <w:rPr>
                <w:rFonts w:hint="eastAsia"/>
                <w:color w:val="auto"/>
                <w:sz w:val="24"/>
                <w:szCs w:val="24"/>
                <w:highlight w:val="none"/>
              </w:rPr>
              <w:t>见“第三章投标人须知”相应条款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pPr>
              <w:autoSpaceDE w:val="0"/>
              <w:autoSpaceDN w:val="0"/>
              <w:adjustRightInd w:val="0"/>
              <w:spacing w:line="360" w:lineRule="auto"/>
              <w:rPr>
                <w:rFonts w:ascii="宋体" w:cs="楷体_GB2312"/>
                <w:b/>
                <w:bCs/>
                <w:color w:val="auto"/>
                <w:sz w:val="24"/>
                <w:highlight w:val="none"/>
              </w:rPr>
            </w:pPr>
          </w:p>
        </w:tc>
        <w:tc>
          <w:tcPr>
            <w:tcW w:w="699" w:type="dxa"/>
            <w:vAlign w:val="center"/>
          </w:tcPr>
          <w:p>
            <w:pPr>
              <w:autoSpaceDE w:val="0"/>
              <w:autoSpaceDN w:val="0"/>
              <w:adjustRightInd w:val="0"/>
              <w:spacing w:line="360" w:lineRule="auto"/>
              <w:jc w:val="center"/>
              <w:rPr>
                <w:rFonts w:ascii="宋体" w:cs="楷体_GB2312"/>
                <w:b/>
                <w:bCs/>
                <w:color w:val="auto"/>
                <w:sz w:val="24"/>
                <w:highlight w:val="none"/>
              </w:rPr>
            </w:pPr>
            <w:r>
              <w:rPr>
                <w:rFonts w:ascii="宋体" w:hAnsi="宋体" w:cs="楷体_GB2312"/>
                <w:b/>
                <w:bCs/>
                <w:color w:val="auto"/>
                <w:sz w:val="24"/>
                <w:highlight w:val="none"/>
              </w:rPr>
              <w:t>10</w:t>
            </w:r>
          </w:p>
        </w:tc>
        <w:tc>
          <w:tcPr>
            <w:tcW w:w="2386" w:type="dxa"/>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付款</w:t>
            </w:r>
          </w:p>
        </w:tc>
        <w:tc>
          <w:tcPr>
            <w:tcW w:w="6165" w:type="dxa"/>
            <w:vAlign w:val="center"/>
          </w:tcPr>
          <w:p>
            <w:pPr>
              <w:snapToGrid w:val="0"/>
              <w:spacing w:before="156" w:beforeLines="50" w:line="240" w:lineRule="auto"/>
              <w:ind w:firstLine="480" w:firstLineChars="200"/>
              <w:rPr>
                <w:color w:val="auto"/>
                <w:sz w:val="24"/>
                <w:szCs w:val="24"/>
                <w:highlight w:val="none"/>
              </w:rPr>
            </w:pPr>
            <w:bookmarkStart w:id="32" w:name="OLE_LINK11"/>
            <w:r>
              <w:rPr>
                <w:rFonts w:hint="eastAsia"/>
                <w:color w:val="auto"/>
                <w:sz w:val="24"/>
                <w:szCs w:val="24"/>
                <w:highlight w:val="none"/>
              </w:rPr>
              <w:t>为优化政府采购营商环境，根据安财购﹝2019﹞8号文件落实政府采购预付款的规定，采购人可在政府采购合同履约前向中标人预付</w:t>
            </w:r>
            <w:r>
              <w:rPr>
                <w:rFonts w:hint="eastAsia"/>
                <w:color w:val="auto"/>
                <w:sz w:val="24"/>
                <w:szCs w:val="24"/>
                <w:highlight w:val="none"/>
                <w:u w:val="single"/>
              </w:rPr>
              <w:t>30%</w:t>
            </w:r>
            <w:r>
              <w:rPr>
                <w:rFonts w:hint="eastAsia"/>
                <w:color w:val="auto"/>
                <w:sz w:val="24"/>
                <w:szCs w:val="24"/>
                <w:highlight w:val="none"/>
              </w:rPr>
              <w:t>的合同资金，中标人应向采购人提交预付款保函，未提供保函的，视同其放弃项目预付款的支付。</w:t>
            </w:r>
          </w:p>
          <w:p>
            <w:pPr>
              <w:snapToGrid w:val="0"/>
              <w:spacing w:before="156" w:beforeLines="50" w:line="240" w:lineRule="auto"/>
              <w:ind w:firstLine="480" w:firstLineChars="200"/>
              <w:rPr>
                <w:color w:val="auto"/>
                <w:sz w:val="24"/>
                <w:szCs w:val="24"/>
                <w:highlight w:val="none"/>
              </w:rPr>
            </w:pPr>
            <w:r>
              <w:rPr>
                <w:rFonts w:hint="eastAsia"/>
                <w:color w:val="auto"/>
                <w:sz w:val="24"/>
                <w:szCs w:val="24"/>
                <w:highlight w:val="none"/>
              </w:rPr>
              <w:t>为进一步优化营商环境，根据安财购﹝</w:t>
            </w:r>
            <w:r>
              <w:rPr>
                <w:color w:val="auto"/>
                <w:sz w:val="24"/>
                <w:szCs w:val="24"/>
                <w:highlight w:val="none"/>
              </w:rPr>
              <w:t>2022</w:t>
            </w:r>
            <w:r>
              <w:rPr>
                <w:rFonts w:hint="eastAsia"/>
                <w:color w:val="auto"/>
                <w:sz w:val="24"/>
                <w:szCs w:val="24"/>
                <w:highlight w:val="none"/>
              </w:rPr>
              <w:t>﹞</w:t>
            </w:r>
            <w:r>
              <w:rPr>
                <w:color w:val="auto"/>
                <w:sz w:val="24"/>
                <w:szCs w:val="24"/>
                <w:highlight w:val="none"/>
              </w:rPr>
              <w:t>8</w:t>
            </w:r>
            <w:r>
              <w:rPr>
                <w:rFonts w:hint="eastAsia"/>
                <w:color w:val="auto"/>
                <w:sz w:val="24"/>
                <w:szCs w:val="24"/>
                <w:highlight w:val="none"/>
              </w:rPr>
              <w:t>号文件落实政府采购中小企业预付款的规定，采购人可在政府采购合同签订后，向中标人原则上预付不低于合同金额</w:t>
            </w:r>
            <w:r>
              <w:rPr>
                <w:color w:val="auto"/>
                <w:sz w:val="24"/>
                <w:szCs w:val="24"/>
                <w:highlight w:val="none"/>
              </w:rPr>
              <w:t>50%</w:t>
            </w:r>
            <w:r>
              <w:rPr>
                <w:rFonts w:hint="eastAsia"/>
                <w:color w:val="auto"/>
                <w:sz w:val="24"/>
                <w:szCs w:val="24"/>
                <w:highlight w:val="none"/>
              </w:rPr>
              <w:t>的预付款，中标人应向采购人提交预付款保函，未提供保函的，视同其放弃项目预付款的支付。</w:t>
            </w:r>
          </w:p>
          <w:p>
            <w:pPr>
              <w:snapToGrid w:val="0"/>
              <w:spacing w:before="156" w:beforeLines="50" w:line="240" w:lineRule="auto"/>
              <w:ind w:firstLine="480" w:firstLineChars="200"/>
              <w:rPr>
                <w:color w:val="auto"/>
                <w:sz w:val="24"/>
                <w:szCs w:val="24"/>
                <w:highlight w:val="none"/>
              </w:rPr>
            </w:pPr>
            <w:r>
              <w:rPr>
                <w:rFonts w:hint="eastAsia"/>
                <w:color w:val="auto"/>
                <w:sz w:val="24"/>
                <w:szCs w:val="24"/>
                <w:highlight w:val="none"/>
              </w:rPr>
              <w:t>项目完成后，采购人需持从“安阳市政府采购网”登录系统下载本项目带水印的《安阳市市直政府采购资金申请表》和《安阳市市直政府采购申报表》，以及《政府采购验收报告》和发票等，作为付款依据，报安阳市财政国库支付中心审核确认后一次无息付清项目款。</w:t>
            </w:r>
            <w:bookmarkEnd w:id="32"/>
          </w:p>
          <w:p>
            <w:pPr>
              <w:snapToGrid w:val="0"/>
              <w:spacing w:before="156" w:beforeLines="50" w:line="240" w:lineRule="auto"/>
              <w:ind w:firstLine="480" w:firstLineChars="200"/>
              <w:rPr>
                <w:color w:val="auto"/>
                <w:sz w:val="24"/>
                <w:szCs w:val="24"/>
                <w:highlight w:val="none"/>
              </w:rPr>
            </w:pPr>
            <w:r>
              <w:rPr>
                <w:rFonts w:hint="eastAsia"/>
                <w:color w:val="auto"/>
                <w:sz w:val="24"/>
                <w:szCs w:val="24"/>
                <w:highlight w:val="none"/>
              </w:rPr>
              <w:t>注：本项目资金来源为省级水污染防治资金部分+企业自筹资金部分组成。将签订三方项目合同，按约定分别支付。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tcPr>
          <w:p>
            <w:pPr>
              <w:autoSpaceDE w:val="0"/>
              <w:autoSpaceDN w:val="0"/>
              <w:adjustRightInd w:val="0"/>
              <w:spacing w:line="360" w:lineRule="auto"/>
              <w:rPr>
                <w:rFonts w:ascii="宋体" w:cs="楷体_GB2312"/>
                <w:b/>
                <w:bCs/>
                <w:color w:val="auto"/>
                <w:sz w:val="24"/>
                <w:highlight w:val="none"/>
              </w:rPr>
            </w:pPr>
          </w:p>
        </w:tc>
        <w:tc>
          <w:tcPr>
            <w:tcW w:w="699" w:type="dxa"/>
            <w:vAlign w:val="center"/>
          </w:tcPr>
          <w:p>
            <w:pPr>
              <w:autoSpaceDE w:val="0"/>
              <w:autoSpaceDN w:val="0"/>
              <w:adjustRightInd w:val="0"/>
              <w:spacing w:line="360" w:lineRule="auto"/>
              <w:jc w:val="center"/>
              <w:rPr>
                <w:rFonts w:ascii="宋体" w:hAnsi="宋体" w:cs="楷体_GB2312"/>
                <w:b/>
                <w:bCs/>
                <w:color w:val="auto"/>
                <w:sz w:val="24"/>
                <w:highlight w:val="none"/>
              </w:rPr>
            </w:pPr>
            <w:r>
              <w:rPr>
                <w:rFonts w:ascii="宋体" w:hAnsi="宋体" w:cs="楷体_GB2312"/>
                <w:b/>
                <w:bCs/>
                <w:color w:val="auto"/>
                <w:sz w:val="24"/>
                <w:highlight w:val="none"/>
              </w:rPr>
              <w:t>11</w:t>
            </w:r>
          </w:p>
        </w:tc>
        <w:tc>
          <w:tcPr>
            <w:tcW w:w="2386" w:type="dxa"/>
            <w:vAlign w:val="center"/>
          </w:tcPr>
          <w:p>
            <w:pPr>
              <w:autoSpaceDE w:val="0"/>
              <w:autoSpaceDN w:val="0"/>
              <w:adjustRightInd w:val="0"/>
              <w:snapToGrid w:val="0"/>
              <w:spacing w:line="240" w:lineRule="auto"/>
              <w:jc w:val="center"/>
              <w:rPr>
                <w:rFonts w:ascii="宋体" w:hAnsi="宋体"/>
                <w:b/>
                <w:color w:val="auto"/>
                <w:sz w:val="24"/>
                <w:highlight w:val="none"/>
              </w:rPr>
            </w:pPr>
            <w:r>
              <w:rPr>
                <w:rFonts w:hint="eastAsia" w:ascii="宋体" w:hAnsi="宋体"/>
                <w:b/>
                <w:color w:val="auto"/>
                <w:sz w:val="24"/>
                <w:highlight w:val="none"/>
              </w:rPr>
              <w:t>代理服务费</w:t>
            </w:r>
          </w:p>
        </w:tc>
        <w:tc>
          <w:tcPr>
            <w:tcW w:w="6165" w:type="dxa"/>
            <w:vAlign w:val="center"/>
          </w:tcPr>
          <w:p>
            <w:pPr>
              <w:adjustRightInd w:val="0"/>
              <w:snapToGrid w:val="0"/>
              <w:spacing w:before="156" w:beforeLines="50" w:line="240" w:lineRule="auto"/>
              <w:rPr>
                <w:rFonts w:ascii="宋体"/>
                <w:b/>
                <w:color w:val="auto"/>
                <w:sz w:val="24"/>
                <w:highlight w:val="none"/>
              </w:rPr>
            </w:pPr>
            <w:r>
              <w:rPr>
                <w:rFonts w:hint="eastAsia" w:ascii="宋体" w:hAnsi="宋体"/>
                <w:color w:val="auto"/>
                <w:sz w:val="24"/>
                <w:highlight w:val="none"/>
              </w:rPr>
              <w:t>参照国家计委《招标代理服务收费管理暂行办法》（计价格【</w:t>
            </w:r>
            <w:r>
              <w:rPr>
                <w:rFonts w:ascii="宋体" w:hAnsi="宋体"/>
                <w:color w:val="auto"/>
                <w:sz w:val="24"/>
                <w:highlight w:val="none"/>
              </w:rPr>
              <w:t>2002</w:t>
            </w:r>
            <w:r>
              <w:rPr>
                <w:rFonts w:hint="eastAsia" w:ascii="宋体" w:hAnsi="宋体"/>
                <w:color w:val="auto"/>
                <w:sz w:val="24"/>
                <w:highlight w:val="none"/>
              </w:rPr>
              <w:t>】</w:t>
            </w:r>
            <w:r>
              <w:rPr>
                <w:rFonts w:ascii="宋体" w:hAnsi="宋体"/>
                <w:color w:val="auto"/>
                <w:sz w:val="24"/>
                <w:highlight w:val="none"/>
              </w:rPr>
              <w:t>1980</w:t>
            </w:r>
            <w:r>
              <w:rPr>
                <w:rFonts w:hint="eastAsia" w:ascii="宋体" w:hAnsi="宋体"/>
                <w:color w:val="auto"/>
                <w:sz w:val="24"/>
                <w:highlight w:val="none"/>
              </w:rPr>
              <w:t>号）、《国家发展和改革委员会办公厅关于招标代理服务费有关问题的通知》（发改办价格【</w:t>
            </w:r>
            <w:r>
              <w:rPr>
                <w:rFonts w:ascii="宋体" w:hAnsi="宋体"/>
                <w:color w:val="auto"/>
                <w:sz w:val="24"/>
                <w:highlight w:val="none"/>
              </w:rPr>
              <w:t>2003</w:t>
            </w:r>
            <w:r>
              <w:rPr>
                <w:rFonts w:hint="eastAsia" w:ascii="宋体" w:hAnsi="宋体"/>
                <w:color w:val="auto"/>
                <w:sz w:val="24"/>
                <w:highlight w:val="none"/>
              </w:rPr>
              <w:t>】</w:t>
            </w:r>
            <w:r>
              <w:rPr>
                <w:rFonts w:ascii="宋体" w:hAnsi="宋体"/>
                <w:color w:val="auto"/>
                <w:sz w:val="24"/>
                <w:highlight w:val="none"/>
              </w:rPr>
              <w:t>857</w:t>
            </w:r>
            <w:r>
              <w:rPr>
                <w:rFonts w:hint="eastAsia" w:ascii="宋体" w:hAnsi="宋体"/>
                <w:color w:val="auto"/>
                <w:sz w:val="24"/>
                <w:highlight w:val="none"/>
              </w:rPr>
              <w:t>号）及发改价格【</w:t>
            </w:r>
            <w:r>
              <w:rPr>
                <w:rFonts w:ascii="宋体" w:hAnsi="宋体"/>
                <w:color w:val="auto"/>
                <w:sz w:val="24"/>
                <w:highlight w:val="none"/>
              </w:rPr>
              <w:t>2011</w:t>
            </w:r>
            <w:r>
              <w:rPr>
                <w:rFonts w:hint="eastAsia" w:ascii="宋体" w:hAnsi="宋体"/>
                <w:color w:val="auto"/>
                <w:sz w:val="24"/>
                <w:highlight w:val="none"/>
              </w:rPr>
              <w:t>】</w:t>
            </w:r>
            <w:r>
              <w:rPr>
                <w:rFonts w:ascii="宋体" w:hAnsi="宋体"/>
                <w:color w:val="auto"/>
                <w:sz w:val="24"/>
                <w:highlight w:val="none"/>
              </w:rPr>
              <w:t>534</w:t>
            </w:r>
            <w:r>
              <w:rPr>
                <w:rFonts w:hint="eastAsia" w:ascii="宋体" w:hAnsi="宋体"/>
                <w:color w:val="auto"/>
                <w:sz w:val="24"/>
                <w:highlight w:val="none"/>
              </w:rPr>
              <w:t>号文件的规定，招标代理服务费由中标供应商支付。</w:t>
            </w:r>
          </w:p>
        </w:tc>
      </w:tr>
    </w:tbl>
    <w:p>
      <w:pPr>
        <w:autoSpaceDE w:val="0"/>
        <w:autoSpaceDN w:val="0"/>
        <w:adjustRightInd w:val="0"/>
        <w:spacing w:line="360" w:lineRule="auto"/>
        <w:rPr>
          <w:color w:val="auto"/>
          <w:highlight w:val="none"/>
        </w:rPr>
      </w:pPr>
    </w:p>
    <w:p>
      <w:pPr>
        <w:autoSpaceDE w:val="0"/>
        <w:autoSpaceDN w:val="0"/>
        <w:adjustRightInd w:val="0"/>
        <w:spacing w:line="360" w:lineRule="auto"/>
        <w:ind w:firstLine="539"/>
        <w:rPr>
          <w:color w:val="auto"/>
          <w:highlight w:val="none"/>
        </w:rPr>
      </w:pPr>
      <w:r>
        <w:rPr>
          <w:color w:val="auto"/>
          <w:highlight w:val="none"/>
        </w:rPr>
        <w:br w:type="page"/>
      </w:r>
    </w:p>
    <w:p>
      <w:pPr>
        <w:autoSpaceDE w:val="0"/>
        <w:autoSpaceDN w:val="0"/>
        <w:adjustRightInd w:val="0"/>
        <w:spacing w:line="360" w:lineRule="auto"/>
        <w:ind w:firstLine="539"/>
        <w:rPr>
          <w:color w:val="auto"/>
          <w:highlight w:val="none"/>
        </w:rPr>
      </w:pPr>
    </w:p>
    <w:p>
      <w:pPr>
        <w:autoSpaceDE w:val="0"/>
        <w:autoSpaceDN w:val="0"/>
        <w:adjustRightInd w:val="0"/>
        <w:snapToGrid w:val="0"/>
        <w:spacing w:before="156" w:beforeLines="50" w:line="300" w:lineRule="auto"/>
        <w:ind w:firstLine="539"/>
        <w:outlineLvl w:val="1"/>
        <w:rPr>
          <w:rFonts w:ascii="黑体" w:hAnsi="黑体" w:eastAsia="黑体"/>
          <w:color w:val="auto"/>
          <w:sz w:val="28"/>
          <w:szCs w:val="28"/>
          <w:highlight w:val="none"/>
          <w:lang w:val="zh-CN"/>
        </w:rPr>
      </w:pPr>
      <w:bookmarkStart w:id="33" w:name="_Toc165383929"/>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总则</w:t>
      </w:r>
      <w:bookmarkEnd w:id="33"/>
    </w:p>
    <w:p>
      <w:pPr>
        <w:autoSpaceDE w:val="0"/>
        <w:autoSpaceDN w:val="0"/>
        <w:adjustRightInd w:val="0"/>
        <w:snapToGrid w:val="0"/>
        <w:spacing w:before="156" w:beforeLines="50" w:line="300" w:lineRule="auto"/>
        <w:ind w:firstLine="539"/>
        <w:rPr>
          <w:rFonts w:ascii="宋体"/>
          <w:color w:val="auto"/>
          <w:sz w:val="24"/>
          <w:szCs w:val="24"/>
          <w:highlight w:val="none"/>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 xml:space="preserve"> </w:t>
      </w:r>
      <w:r>
        <w:rPr>
          <w:rFonts w:hint="eastAsia" w:ascii="宋体" w:hAnsi="宋体"/>
          <w:color w:val="auto"/>
          <w:sz w:val="24"/>
          <w:szCs w:val="24"/>
          <w:highlight w:val="none"/>
        </w:rPr>
        <w:t>根据《中华人民共和国政府采购法》、《中华人民共和国政府采购法实施条例》、《政府采购货物和服务招标投标管理办法》及相关政府采购法律法规等制定本文件。</w:t>
      </w:r>
    </w:p>
    <w:p>
      <w:pPr>
        <w:adjustRightInd w:val="0"/>
        <w:snapToGrid w:val="0"/>
        <w:spacing w:before="156" w:beforeLines="50" w:line="300" w:lineRule="auto"/>
        <w:ind w:right="240" w:firstLine="482" w:firstLineChars="200"/>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1.2</w:t>
      </w:r>
      <w:r>
        <w:rPr>
          <w:rFonts w:hint="eastAsia" w:ascii="黑体" w:hAnsi="黑体" w:eastAsia="黑体" w:cs="楷体_GB2312"/>
          <w:b/>
          <w:color w:val="auto"/>
          <w:sz w:val="24"/>
          <w:highlight w:val="none"/>
          <w:lang w:val="zh-CN"/>
        </w:rPr>
        <w:t>招标文件的法律适用及法律效力</w:t>
      </w:r>
    </w:p>
    <w:p>
      <w:pPr>
        <w:adjustRightInd w:val="0"/>
        <w:snapToGrid w:val="0"/>
        <w:spacing w:before="156"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1.2.1</w:t>
      </w:r>
      <w:r>
        <w:rPr>
          <w:rFonts w:hint="eastAsia" w:ascii="宋体" w:hAnsi="宋体"/>
          <w:color w:val="auto"/>
          <w:sz w:val="24"/>
          <w:szCs w:val="24"/>
          <w:highlight w:val="none"/>
        </w:rPr>
        <w:t>本</w:t>
      </w:r>
      <w:r>
        <w:rPr>
          <w:rFonts w:hint="eastAsia" w:ascii="宋体" w:hAnsi="宋体" w:cs="宋体"/>
          <w:color w:val="auto"/>
          <w:sz w:val="24"/>
          <w:szCs w:val="24"/>
          <w:highlight w:val="none"/>
        </w:rPr>
        <w:t>招标文件</w:t>
      </w:r>
      <w:r>
        <w:rPr>
          <w:rFonts w:hint="eastAsia" w:ascii="宋体" w:hAnsi="宋体"/>
          <w:color w:val="auto"/>
          <w:sz w:val="24"/>
          <w:szCs w:val="24"/>
          <w:highlight w:val="none"/>
        </w:rPr>
        <w:t>所述内容，仅适用于本次项目采购。</w:t>
      </w:r>
    </w:p>
    <w:p>
      <w:pPr>
        <w:adjustRightInd w:val="0"/>
        <w:snapToGrid w:val="0"/>
        <w:spacing w:before="156"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 xml:space="preserve">1.2.2 </w:t>
      </w:r>
      <w:r>
        <w:rPr>
          <w:rFonts w:hint="eastAsia" w:ascii="宋体" w:hAnsi="宋体" w:cs="宋体"/>
          <w:color w:val="auto"/>
          <w:sz w:val="24"/>
          <w:szCs w:val="24"/>
          <w:highlight w:val="none"/>
        </w:rPr>
        <w:t>招标文件</w:t>
      </w:r>
      <w:r>
        <w:rPr>
          <w:rFonts w:hint="eastAsia" w:ascii="宋体" w:hAnsi="宋体"/>
          <w:color w:val="auto"/>
          <w:sz w:val="24"/>
          <w:szCs w:val="24"/>
          <w:highlight w:val="none"/>
        </w:rPr>
        <w:t>的修改性文件、补充文件、澄清文件或说明具有同等法律效力。</w:t>
      </w:r>
    </w:p>
    <w:p>
      <w:pPr>
        <w:adjustRightInd w:val="0"/>
        <w:snapToGrid w:val="0"/>
        <w:spacing w:before="156"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 xml:space="preserve">1.2.3 </w:t>
      </w:r>
      <w:r>
        <w:rPr>
          <w:rFonts w:hint="eastAsia" w:ascii="宋体" w:hAnsi="宋体"/>
          <w:color w:val="auto"/>
          <w:sz w:val="24"/>
          <w:szCs w:val="24"/>
          <w:highlight w:val="none"/>
        </w:rPr>
        <w:t>本</w:t>
      </w:r>
      <w:r>
        <w:rPr>
          <w:rFonts w:hint="eastAsia" w:ascii="宋体" w:hAnsi="宋体" w:cs="宋体"/>
          <w:color w:val="auto"/>
          <w:sz w:val="24"/>
          <w:szCs w:val="24"/>
          <w:highlight w:val="none"/>
        </w:rPr>
        <w:t>招标文件</w:t>
      </w:r>
      <w:r>
        <w:rPr>
          <w:rFonts w:hint="eastAsia" w:ascii="宋体" w:hAnsi="宋体"/>
          <w:color w:val="auto"/>
          <w:sz w:val="24"/>
          <w:szCs w:val="24"/>
          <w:highlight w:val="none"/>
        </w:rPr>
        <w:t>适用于并执行《政府采购法》和其它相关的法律、法规。</w:t>
      </w:r>
    </w:p>
    <w:p>
      <w:pPr>
        <w:adjustRightInd w:val="0"/>
        <w:snapToGrid w:val="0"/>
        <w:spacing w:before="156" w:beforeLines="50" w:line="300" w:lineRule="auto"/>
        <w:ind w:right="240" w:firstLine="600" w:firstLineChars="250"/>
        <w:rPr>
          <w:rFonts w:ascii="宋体"/>
          <w:color w:val="auto"/>
          <w:sz w:val="24"/>
          <w:szCs w:val="24"/>
          <w:highlight w:val="none"/>
        </w:rPr>
      </w:pPr>
      <w:r>
        <w:rPr>
          <w:rFonts w:ascii="宋体" w:hAnsi="宋体"/>
          <w:color w:val="auto"/>
          <w:sz w:val="24"/>
          <w:szCs w:val="24"/>
          <w:highlight w:val="none"/>
        </w:rPr>
        <w:t xml:space="preserve">1.2.4 </w:t>
      </w:r>
      <w:r>
        <w:rPr>
          <w:rFonts w:hint="eastAsia" w:ascii="宋体" w:hAnsi="宋体"/>
          <w:color w:val="auto"/>
          <w:sz w:val="24"/>
          <w:szCs w:val="24"/>
          <w:highlight w:val="none"/>
        </w:rPr>
        <w:t>本</w:t>
      </w:r>
      <w:r>
        <w:rPr>
          <w:rFonts w:hint="eastAsia" w:ascii="宋体" w:hAnsi="宋体" w:cs="宋体"/>
          <w:color w:val="auto"/>
          <w:sz w:val="24"/>
          <w:szCs w:val="24"/>
          <w:highlight w:val="none"/>
        </w:rPr>
        <w:t>招标文件</w:t>
      </w:r>
      <w:r>
        <w:rPr>
          <w:rFonts w:hint="eastAsia" w:ascii="宋体" w:hAnsi="宋体"/>
          <w:color w:val="auto"/>
          <w:sz w:val="24"/>
          <w:szCs w:val="24"/>
          <w:highlight w:val="none"/>
        </w:rPr>
        <w:t>的解释权属采购人及代理机构。</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1.3</w:t>
      </w:r>
      <w:r>
        <w:rPr>
          <w:rFonts w:hint="eastAsia" w:ascii="黑体" w:hAnsi="黑体" w:eastAsia="黑体" w:cs="楷体_GB2312"/>
          <w:b/>
          <w:color w:val="auto"/>
          <w:sz w:val="24"/>
          <w:highlight w:val="none"/>
          <w:lang w:val="zh-CN"/>
        </w:rPr>
        <w:t xml:space="preserve"> 合格的投标人</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1.3.1 </w:t>
      </w:r>
      <w:r>
        <w:rPr>
          <w:rFonts w:hint="eastAsia" w:ascii="宋体" w:hAnsi="宋体" w:cs="楷体_GB2312"/>
          <w:color w:val="auto"/>
          <w:sz w:val="24"/>
          <w:highlight w:val="none"/>
          <w:lang w:val="zh-CN"/>
        </w:rPr>
        <w:t>凡符合招标文件规定，承认本招标文件所有内容的投标人为合格的投标人。</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1.3.2 </w:t>
      </w:r>
      <w:r>
        <w:rPr>
          <w:rFonts w:hint="eastAsia" w:ascii="宋体" w:hAnsi="宋体" w:cs="楷体_GB2312"/>
          <w:color w:val="auto"/>
          <w:sz w:val="24"/>
          <w:highlight w:val="none"/>
          <w:lang w:val="zh-CN"/>
        </w:rPr>
        <w:t>单位负责人为同一人或者存在直接控股、管理关系的不同供应商，不得参加同一合同项下的政府采购活动。</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1.3.3 </w:t>
      </w:r>
      <w:r>
        <w:rPr>
          <w:rFonts w:hint="eastAsia" w:ascii="宋体" w:hAnsi="宋体" w:cs="楷体_GB2312"/>
          <w:color w:val="auto"/>
          <w:sz w:val="24"/>
          <w:highlight w:val="none"/>
          <w:lang w:val="zh-CN"/>
        </w:rPr>
        <w:t>为招标项目提供整体设计、规范编制或者项目管理、监理、检测等服务的供应商，不得再参加该招标项目的其他采购活动。</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1.3.4 </w:t>
      </w:r>
      <w:r>
        <w:rPr>
          <w:rFonts w:hint="eastAsia" w:ascii="宋体" w:hAnsi="宋体" w:cs="楷体_GB2312"/>
          <w:color w:val="auto"/>
          <w:sz w:val="24"/>
          <w:highlight w:val="none"/>
          <w:lang w:val="zh-CN"/>
        </w:rPr>
        <w:t>投标人应遵守国家法律、法规和招标文件的规定。不得违背国家利益、社会公众利益。</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1.4</w:t>
      </w:r>
      <w:r>
        <w:rPr>
          <w:rFonts w:hint="eastAsia" w:ascii="黑体" w:hAnsi="黑体" w:eastAsia="黑体" w:cs="楷体_GB2312"/>
          <w:b/>
          <w:color w:val="auto"/>
          <w:sz w:val="24"/>
          <w:highlight w:val="none"/>
          <w:lang w:val="zh-CN"/>
        </w:rPr>
        <w:t>　联合体</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投标人须知前附表规定接受联合体投标的，应遵守以下规定：</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）两个以上供应商可以组成一个投标联合体，以一个投标人的身份投标，但必须确定其中一个单位为投标的全权代表参加投标活动，并承担投标及履约中应承担的全部责任和义务。</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2</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以联合体形式参加投标的</w:t>
      </w:r>
      <w:r>
        <w:rPr>
          <w:rFonts w:hint="eastAsia" w:ascii="宋体" w:cs="楷体_GB2312"/>
          <w:color w:val="auto"/>
          <w:sz w:val="24"/>
          <w:highlight w:val="none"/>
          <w:lang w:val="zh-CN"/>
        </w:rPr>
        <w:t>，将对所有的联合体成员进行信用记录查询，联合体成员存在不良信用记录的，视同联合体存在不良信用记录，为无效投标。</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以联合体形式参加投标的，应符投标人须知前附表的要求，联合体各方均应当符合政府采购法第二十二条第一款规定的条件，联合体各方均应当具备承担招标项目（标段&lt;包&gt;）的相应能力、具备规定的相应资格条件。</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）联合体中有同类资质的供应商按照联合体分工承担相同工作的，应当按照资质等级较低的供应商确定资质等级。</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）联合体各方之间应当签订联合投标协议，明确约定联合体各方承担的工作和相应的责任，并将联合投标协议连同投标文件一并提交采购代理机构。</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）联合体各方签订联合投标协议后，不得再以自己名义单独在同一项目中投标，也不得组成新的联合体参加同一项目投标。</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）联合体中标的，联合体各方应当共同与采购人签订合同，就中标项目（标段&lt;包&gt;）向采购人承担连带责任。</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（8）预留中小企业份额项目中，</w:t>
      </w:r>
      <w:r>
        <w:rPr>
          <w:rFonts w:hint="eastAsia" w:ascii="宋体" w:hAnsi="宋体"/>
          <w:color w:val="auto"/>
          <w:sz w:val="24"/>
          <w:szCs w:val="24"/>
          <w:highlight w:val="none"/>
        </w:rPr>
        <w:t>组成联合体的中小企业与联合体内其他企业不得存在直接控股、管理关系。</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1.5  知识产权</w:t>
      </w:r>
    </w:p>
    <w:p>
      <w:pPr>
        <w:ind w:firstLine="480" w:firstLineChars="200"/>
        <w:rPr>
          <w:rFonts w:ascii="宋体" w:hAnsi="宋体"/>
          <w:color w:val="auto"/>
          <w:sz w:val="24"/>
          <w:highlight w:val="none"/>
        </w:rPr>
      </w:pPr>
      <w:r>
        <w:rPr>
          <w:rFonts w:hint="eastAsia" w:ascii="宋体" w:hAnsi="宋体" w:cs="楷体_GB2312"/>
          <w:color w:val="auto"/>
          <w:sz w:val="24"/>
          <w:highlight w:val="none"/>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highlight w:val="none"/>
        </w:rPr>
        <w:t>如因专利权、商标权或其它知识产权而引起法律和经济纠纷，由供应商承担所有相关责任。</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如供应商不拥有相应的知识产权，则在投标报价中必须包括合法获取该知识产权的一切相关费用。如因此导致采购人损失的，供应商须承担全部赔偿责任。</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除非招标文件特别规定，采购人享有本项目实施过程中产生的知识成果及知识产权。</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6</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投标费用</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无论投标过程中的做法和结果如何，无论何种原因的招标失败废标，投标人应自行承担所有与准备和参加投标有关的全部费用（类比商业采购中的客户洽谈费用），采购代理机构在任何情况下均无义务和责任承担投标人的任何费用。</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 xml:space="preserve">7 </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保密</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参与公开招标活动的各方应对招标文件和投标文件中的商业和技术等秘密保密，投标人应在投标文件中对需保密事项予以书面声明，否则视为非保密事项。</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依据政府采购中标结果及合同公告规定，中标（合同）标的名称、规格型号、单价及中标（合同）金额等内容不得作为商业秘密。</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 xml:space="preserve">8 </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语言文字</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专用术语外，与公开招标有关的语言均使用中文。必要时专用术语应附有中文注释。如果投标文件或与投标有关的其它文件、信件及来往函电以其它语言书写，投标人应将其译成中文，并对中文译稿的真实、准确、完整承担责任。</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9</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计量单位</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所有计量均采用中华人民共和国法定计量单位。</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10</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踏勘现场</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投标人踏勘现场发生的费用自理，投标人自行负责在踏勘现场中所发生的人员伤亡和财产损失。</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投标人须知前附表规定组织踏勘现场的，采购人及代理机构按投标人须知前附表规定的时间、地点组织投标人踏勘项目现场。或者在招标文件提供期限截止后以书面形式通知所有获取招标文件的潜在投标人。采购人及代理机构在踏勘现场中介绍的交验安装条件和相关的周边环境情况，供投标人在编制投标文件时参考，采购人及代理机构不对投标人据此作出的判断和决策负责。</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不组织踏勘现场的，招标文件不单独提供交付（实施）地自然环境、气候条件、交验安装条件等情况说明，投标人被视为熟悉前述与履行合同有关的一切情况，投标人可自行踏勘现场并自行了解相关情况。</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1</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开标前答疑会</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采购人或者采购代理机构可以在招标文件提供期限截止后，组织已获取招标文件的潜在投标人召开开标前答疑会。</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召开答疑会的，将在招标文件中载明，或者在招标文件提供期限截止后以书面形式通知所有获取招标文件的潜在投标人。</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投标人应在投标人须知前附表或书面通知规定的时间前，以书面形式将提出的问题送达采购人及代理机构，以便采购人及代理机构在会议期间答疑说明。投标人需要采购人或者采购代理机构书面澄清的问题，应当书面明确标注。</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答疑会后，采购人及代理机构在投标人须知前附表规定的时间内，将对投标人依法提出的重要问题的澄清，以本章</w:t>
      </w:r>
      <w:r>
        <w:rPr>
          <w:rFonts w:ascii="宋体" w:hAnsi="宋体" w:cs="楷体_GB2312"/>
          <w:color w:val="auto"/>
          <w:sz w:val="24"/>
          <w:highlight w:val="none"/>
          <w:lang w:val="zh-CN"/>
        </w:rPr>
        <w:t>2.3.2</w:t>
      </w:r>
      <w:r>
        <w:rPr>
          <w:rFonts w:hint="eastAsia" w:ascii="宋体" w:hAnsi="宋体" w:cs="楷体_GB2312"/>
          <w:color w:val="auto"/>
          <w:sz w:val="24"/>
          <w:highlight w:val="none"/>
          <w:lang w:val="zh-CN"/>
        </w:rPr>
        <w:t>项方式通告潜在投标人。该澄清内容为招标文件的组成部分。</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2</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分包</w:t>
      </w:r>
    </w:p>
    <w:p>
      <w:pPr>
        <w:autoSpaceDE w:val="0"/>
        <w:autoSpaceDN w:val="0"/>
        <w:adjustRightInd w:val="0"/>
        <w:snapToGrid w:val="0"/>
        <w:spacing w:before="156" w:beforeLines="50" w:line="300" w:lineRule="auto"/>
        <w:ind w:firstLine="539"/>
        <w:rPr>
          <w:rFonts w:ascii="宋体" w:hAnsi="宋体" w:cs="宋体"/>
          <w:color w:val="auto"/>
          <w:sz w:val="24"/>
          <w:highlight w:val="none"/>
        </w:rPr>
      </w:pPr>
      <w:r>
        <w:rPr>
          <w:rFonts w:hint="eastAsia" w:ascii="宋体" w:hAnsi="宋体" w:cs="楷体_GB2312"/>
          <w:color w:val="auto"/>
          <w:sz w:val="24"/>
          <w:highlight w:val="none"/>
          <w:lang w:val="zh-CN"/>
        </w:rPr>
        <w:t>投标人拟中标后将中标项目（标段&lt;包&gt;）的部分非主体、非关键性工作进行分包的，应符合投标人须知前附表规定的分包内容、分包金额和接受分包的第三人资质要求等限制性条件。投标人</w:t>
      </w:r>
      <w:r>
        <w:rPr>
          <w:rFonts w:hint="eastAsia" w:ascii="宋体" w:hAnsi="宋体" w:cs="宋体"/>
          <w:color w:val="auto"/>
          <w:sz w:val="24"/>
          <w:highlight w:val="none"/>
        </w:rPr>
        <w:t>应当在投标文件中载明分包承担主体，分包承担主体应当具备相应资质条件且不得再次分包。</w:t>
      </w:r>
    </w:p>
    <w:p>
      <w:pPr>
        <w:autoSpaceDE w:val="0"/>
        <w:autoSpaceDN w:val="0"/>
        <w:adjustRightInd w:val="0"/>
        <w:snapToGrid w:val="0"/>
        <w:spacing w:before="156" w:beforeLines="50" w:line="300" w:lineRule="auto"/>
        <w:ind w:firstLine="539"/>
        <w:rPr>
          <w:rFonts w:ascii="宋体" w:hAnsi="宋体"/>
          <w:color w:val="auto"/>
          <w:sz w:val="24"/>
          <w:szCs w:val="24"/>
          <w:highlight w:val="none"/>
        </w:rPr>
      </w:pPr>
      <w:r>
        <w:rPr>
          <w:rFonts w:hint="eastAsia" w:ascii="宋体" w:hAnsi="宋体" w:cs="楷体_GB2312"/>
          <w:color w:val="auto"/>
          <w:sz w:val="24"/>
          <w:highlight w:val="none"/>
          <w:lang w:val="zh-CN"/>
        </w:rPr>
        <w:t>预留中小企业份额项目中，</w:t>
      </w:r>
      <w:r>
        <w:rPr>
          <w:rFonts w:hint="eastAsia" w:ascii="宋体" w:hAnsi="宋体"/>
          <w:color w:val="auto"/>
          <w:sz w:val="24"/>
          <w:szCs w:val="24"/>
          <w:highlight w:val="none"/>
        </w:rPr>
        <w:t>接受分包合同的中小企业与分包企业之间不得存在直接控股、管理关系。</w:t>
      </w:r>
    </w:p>
    <w:p>
      <w:pPr>
        <w:autoSpaceDE w:val="0"/>
        <w:autoSpaceDN w:val="0"/>
        <w:adjustRightInd w:val="0"/>
        <w:snapToGrid w:val="0"/>
        <w:spacing w:before="156" w:beforeLines="50" w:line="300" w:lineRule="auto"/>
        <w:ind w:firstLine="539"/>
        <w:rPr>
          <w:rFonts w:ascii="宋体" w:cs="楷体_GB2312"/>
          <w:color w:val="auto"/>
          <w:sz w:val="24"/>
          <w:highlight w:val="none"/>
        </w:rPr>
      </w:pPr>
      <w:r>
        <w:rPr>
          <w:rFonts w:hint="eastAsia" w:ascii="宋体" w:cs="楷体_GB2312"/>
          <w:color w:val="auto"/>
          <w:sz w:val="24"/>
          <w:highlight w:val="none"/>
        </w:rPr>
        <w:t>依法享受扶持政策获得政府采购合同的，小微企业不得将合同分包给大中型企业，中型企业不得将合同分包给大型企业。</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3 偏离</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招标文件允许投标文件偏离招标文件某些要求的，偏离应当符合招标文件规定的偏离范围和幅度。</w:t>
      </w:r>
    </w:p>
    <w:p>
      <w:pPr>
        <w:autoSpaceDE w:val="0"/>
        <w:autoSpaceDN w:val="0"/>
        <w:adjustRightInd w:val="0"/>
        <w:snapToGrid w:val="0"/>
        <w:spacing w:before="156" w:beforeLines="50" w:line="300" w:lineRule="auto"/>
        <w:ind w:firstLine="539"/>
        <w:rPr>
          <w:rFonts w:ascii="黑体" w:hAnsi="黑体" w:eastAsia="黑体" w:cs="楷体_GB2312"/>
          <w:b/>
          <w:bCs/>
          <w:color w:val="auto"/>
          <w:sz w:val="28"/>
          <w:szCs w:val="28"/>
          <w:highlight w:val="none"/>
          <w:lang w:val="zh-CN"/>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34" w:name="_Toc165383930"/>
      <w:r>
        <w:rPr>
          <w:rFonts w:ascii="黑体" w:hAnsi="黑体" w:eastAsia="黑体" w:cs="楷体_GB2312"/>
          <w:b/>
          <w:bCs/>
          <w:color w:val="auto"/>
          <w:sz w:val="28"/>
          <w:szCs w:val="28"/>
          <w:highlight w:val="none"/>
          <w:lang w:val="zh-CN"/>
        </w:rPr>
        <w:t xml:space="preserve">2 </w:t>
      </w:r>
      <w:r>
        <w:rPr>
          <w:rFonts w:hint="eastAsia" w:ascii="黑体" w:hAnsi="黑体" w:eastAsia="黑体" w:cs="楷体_GB2312"/>
          <w:b/>
          <w:bCs/>
          <w:color w:val="auto"/>
          <w:sz w:val="28"/>
          <w:szCs w:val="28"/>
          <w:highlight w:val="none"/>
          <w:lang w:val="zh-CN"/>
        </w:rPr>
        <w:t>招标文件</w:t>
      </w:r>
      <w:bookmarkEnd w:id="34"/>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2.1 </w:t>
      </w:r>
      <w:r>
        <w:rPr>
          <w:rFonts w:hint="eastAsia" w:ascii="黑体" w:hAnsi="黑体" w:eastAsia="黑体" w:cs="楷体_GB2312"/>
          <w:b/>
          <w:color w:val="auto"/>
          <w:sz w:val="24"/>
          <w:highlight w:val="none"/>
          <w:lang w:val="zh-CN"/>
        </w:rPr>
        <w:t>招标文件的组成</w:t>
      </w:r>
      <w:r>
        <w:rPr>
          <w:rFonts w:hint="eastAsia" w:ascii="宋体" w:hAnsi="宋体" w:cs="楷体_GB2312"/>
          <w:color w:val="auto"/>
          <w:sz w:val="24"/>
          <w:highlight w:val="none"/>
          <w:lang w:val="zh-CN"/>
        </w:rPr>
        <w:t>：</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2.1.1 </w:t>
      </w:r>
      <w:r>
        <w:rPr>
          <w:rFonts w:hint="eastAsia" w:ascii="宋体" w:hAnsi="宋体" w:cs="楷体_GB2312"/>
          <w:color w:val="auto"/>
          <w:sz w:val="24"/>
          <w:highlight w:val="none"/>
          <w:lang w:val="zh-CN"/>
        </w:rPr>
        <w:t>招标文件用以阐明招标项目的内容、程序和合同主要条款。招标文件由下述部分组成：</w:t>
      </w:r>
    </w:p>
    <w:p>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）招标公告</w:t>
      </w:r>
    </w:p>
    <w:p>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）招标项目要求及采购需求</w:t>
      </w:r>
    </w:p>
    <w:p>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）投标人须知</w:t>
      </w:r>
    </w:p>
    <w:p>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）评标办法</w:t>
      </w:r>
    </w:p>
    <w:p>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）合同主要条款</w:t>
      </w:r>
    </w:p>
    <w:p>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）投标文件格式</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2.1.2 </w:t>
      </w:r>
      <w:r>
        <w:rPr>
          <w:rFonts w:hint="eastAsia" w:ascii="宋体" w:hAnsi="宋体" w:cs="楷体_GB2312"/>
          <w:color w:val="auto"/>
          <w:sz w:val="24"/>
          <w:highlight w:val="none"/>
          <w:lang w:val="zh-CN"/>
        </w:rPr>
        <w:t>根据本章第</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1款、第</w:t>
      </w:r>
      <w:r>
        <w:rPr>
          <w:rFonts w:ascii="宋体" w:hAnsi="宋体" w:cs="楷体_GB2312"/>
          <w:color w:val="auto"/>
          <w:sz w:val="24"/>
          <w:highlight w:val="none"/>
          <w:lang w:val="zh-CN"/>
        </w:rPr>
        <w:t>2.2</w:t>
      </w:r>
      <w:r>
        <w:rPr>
          <w:rFonts w:hint="eastAsia" w:ascii="宋体" w:hAnsi="宋体" w:cs="楷体_GB2312"/>
          <w:color w:val="auto"/>
          <w:sz w:val="24"/>
          <w:highlight w:val="none"/>
          <w:lang w:val="zh-CN"/>
        </w:rPr>
        <w:t>款和第</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款、对招标文件的澄清、修改、补充书构成招标文件的组成部分，并取代招标文件中被澄清、修改处，对所有投标人均有约束力。</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2.1.3 </w:t>
      </w:r>
      <w:r>
        <w:rPr>
          <w:rFonts w:hint="eastAsia" w:ascii="宋体" w:hAnsi="宋体" w:cs="楷体_GB2312"/>
          <w:color w:val="auto"/>
          <w:sz w:val="24"/>
          <w:highlight w:val="none"/>
          <w:lang w:val="zh-CN"/>
        </w:rPr>
        <w:t>当招标文件、招标文件的澄清、修改、补充等在同一内容的表述上不一致时，以最后发出（发布）的文件为准。</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2.1.4 </w:t>
      </w:r>
      <w:r>
        <w:rPr>
          <w:rFonts w:hint="eastAsia" w:ascii="宋体" w:hAnsi="宋体" w:cs="楷体_GB2312"/>
          <w:color w:val="auto"/>
          <w:sz w:val="24"/>
          <w:highlight w:val="none"/>
          <w:lang w:val="zh-CN"/>
        </w:rPr>
        <w:t>投标人与任何人的口头协议不影响《招标文件》的任何条款和内容。</w:t>
      </w:r>
    </w:p>
    <w:p>
      <w:pPr>
        <w:autoSpaceDE w:val="0"/>
        <w:autoSpaceDN w:val="0"/>
        <w:adjustRightInd w:val="0"/>
        <w:snapToGrid w:val="0"/>
        <w:spacing w:before="156" w:beforeLines="50" w:line="300" w:lineRule="auto"/>
        <w:ind w:firstLine="539"/>
        <w:rPr>
          <w:rFonts w:ascii="宋体" w:cs="楷体_GB2312"/>
          <w:color w:val="auto"/>
          <w:sz w:val="24"/>
          <w:highlight w:val="none"/>
        </w:rPr>
      </w:pPr>
      <w:r>
        <w:rPr>
          <w:rFonts w:ascii="宋体" w:hAnsi="宋体" w:cs="楷体_GB2312"/>
          <w:color w:val="auto"/>
          <w:sz w:val="24"/>
          <w:highlight w:val="none"/>
        </w:rPr>
        <w:t>2.1.5</w:t>
      </w:r>
      <w:r>
        <w:rPr>
          <w:rFonts w:hint="eastAsia" w:ascii="宋体" w:hAnsi="宋体" w:cs="楷体_GB2312"/>
          <w:color w:val="auto"/>
          <w:sz w:val="24"/>
          <w:highlight w:val="none"/>
        </w:rPr>
        <w:t>投标人应仔细阅读和检查招标文件的全部内容是否齐全，如发现缺页或附件不全等遗漏，应及时向采购代理机构提出并索取补齐，否则责任及风险自负。</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2.2 </w:t>
      </w:r>
      <w:r>
        <w:rPr>
          <w:rFonts w:hint="eastAsia" w:ascii="黑体" w:hAnsi="黑体" w:eastAsia="黑体" w:cs="楷体_GB2312"/>
          <w:b/>
          <w:color w:val="auto"/>
          <w:sz w:val="24"/>
          <w:highlight w:val="none"/>
          <w:lang w:val="zh-CN"/>
        </w:rPr>
        <w:t>招标文件的澄清</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2.2.1 </w:t>
      </w:r>
      <w:r>
        <w:rPr>
          <w:rFonts w:hint="eastAsia" w:ascii="宋体" w:hAnsi="宋体" w:cs="楷体_GB2312"/>
          <w:color w:val="auto"/>
          <w:sz w:val="24"/>
          <w:highlight w:val="none"/>
          <w:lang w:val="zh-CN"/>
        </w:rPr>
        <w:t>合规获取招标文件的所有潜在投标人对招标文件如有需澄清的疑问，应在投标人须知前附表规定的时间内，按投标人须知前附表规定通知到采购代理机构。在规定的时间内未提出疑问的，将视为对招标文件的完全认可。</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2.2.2 </w:t>
      </w:r>
      <w:r>
        <w:rPr>
          <w:rFonts w:hint="eastAsia" w:ascii="宋体" w:hAnsi="宋体" w:cs="楷体_GB2312"/>
          <w:color w:val="auto"/>
          <w:sz w:val="24"/>
          <w:highlight w:val="none"/>
          <w:lang w:val="zh-CN"/>
        </w:rPr>
        <w:t>采购代理机构对潜在投标人在规定的时间内提出的疑问，将按投标人须知前附表规定予以答复。</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2.2.3 </w:t>
      </w:r>
      <w:r>
        <w:rPr>
          <w:rFonts w:hint="eastAsia" w:ascii="宋体" w:hAnsi="宋体" w:cs="楷体_GB2312"/>
          <w:color w:val="auto"/>
          <w:sz w:val="24"/>
          <w:highlight w:val="none"/>
          <w:lang w:val="zh-CN"/>
        </w:rPr>
        <w:t>招标文件中如有不符合国家有关强制性规定、不符合国家标准及行业标准的，投标人应在投标阶段或中标实施阶段予以纠正或尽提醒义务。如作为有经验的投标人（中标人）应当知道而未尽提醒义务的，执行指令而造成的损失及风险由投标人（中标人）承担。</w:t>
      </w:r>
    </w:p>
    <w:p>
      <w:pPr>
        <w:adjustRightInd w:val="0"/>
        <w:snapToGrid w:val="0"/>
        <w:spacing w:before="156" w:beforeLines="50" w:line="300" w:lineRule="auto"/>
        <w:ind w:firstLine="480" w:firstLineChars="200"/>
        <w:jc w:val="left"/>
        <w:rPr>
          <w:rFonts w:ascii="宋体" w:cs="楷体_GB2312"/>
          <w:color w:val="auto"/>
          <w:sz w:val="24"/>
          <w:highlight w:val="none"/>
          <w:lang w:val="zh-CN"/>
        </w:rPr>
      </w:pPr>
      <w:r>
        <w:rPr>
          <w:rFonts w:ascii="宋体" w:hAnsi="宋体" w:cs="楷体_GB2312"/>
          <w:color w:val="auto"/>
          <w:sz w:val="24"/>
          <w:highlight w:val="none"/>
          <w:lang w:val="zh-CN"/>
        </w:rPr>
        <w:t>2.2.4</w:t>
      </w:r>
      <w:r>
        <w:rPr>
          <w:rFonts w:hint="eastAsia" w:ascii="宋体" w:hAnsi="宋体" w:cs="楷体_GB2312"/>
          <w:color w:val="auto"/>
          <w:sz w:val="24"/>
          <w:highlight w:val="none"/>
          <w:lang w:val="zh-CN"/>
        </w:rPr>
        <w:t>采购代理机构可视情况在投标截止前答疑。</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2.3 </w:t>
      </w:r>
      <w:r>
        <w:rPr>
          <w:rFonts w:hint="eastAsia" w:ascii="黑体" w:hAnsi="黑体" w:eastAsia="黑体" w:cs="楷体_GB2312"/>
          <w:b/>
          <w:color w:val="auto"/>
          <w:sz w:val="24"/>
          <w:highlight w:val="none"/>
          <w:lang w:val="zh-CN"/>
        </w:rPr>
        <w:t>招标文件的澄清、修改、补充</w:t>
      </w:r>
    </w:p>
    <w:p>
      <w:pPr>
        <w:autoSpaceDE w:val="0"/>
        <w:autoSpaceDN w:val="0"/>
        <w:adjustRightInd w:val="0"/>
        <w:snapToGrid w:val="0"/>
        <w:spacing w:before="156" w:beforeLines="50" w:line="300" w:lineRule="auto"/>
        <w:ind w:firstLine="537" w:firstLineChars="224"/>
        <w:rPr>
          <w:rFonts w:ascii="宋体" w:cs="楷体_GB2312"/>
          <w:color w:val="auto"/>
          <w:sz w:val="24"/>
          <w:highlight w:val="none"/>
          <w:lang w:val="zh-CN"/>
        </w:rPr>
      </w:pPr>
      <w:r>
        <w:rPr>
          <w:rFonts w:hint="eastAsia" w:ascii="宋体" w:hAnsi="宋体" w:cs="楷体_GB2312"/>
          <w:color w:val="auto"/>
          <w:sz w:val="24"/>
          <w:highlight w:val="none"/>
          <w:lang w:val="zh-CN"/>
        </w:rPr>
        <w:t>采购人、代理机构在投标截止时间前有权澄清修改、补充已发售的招标文件。</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2.4 </w:t>
      </w:r>
      <w:r>
        <w:rPr>
          <w:rFonts w:hint="eastAsia" w:ascii="黑体" w:hAnsi="黑体" w:eastAsia="黑体" w:cs="楷体_GB2312"/>
          <w:b/>
          <w:color w:val="auto"/>
          <w:sz w:val="24"/>
          <w:highlight w:val="none"/>
          <w:lang w:val="zh-CN"/>
        </w:rPr>
        <w:t>招标文件的澄清、修改、补充的</w:t>
      </w:r>
      <w:r>
        <w:rPr>
          <w:rFonts w:ascii="黑体" w:hAnsi="黑体" w:eastAsia="黑体" w:cs="楷体_GB2312"/>
          <w:b/>
          <w:color w:val="auto"/>
          <w:sz w:val="24"/>
          <w:highlight w:val="none"/>
          <w:lang w:val="zh-CN"/>
        </w:rPr>
        <w:t>通知</w:t>
      </w:r>
      <w:r>
        <w:rPr>
          <w:rFonts w:hint="eastAsia" w:ascii="黑体" w:hAnsi="黑体" w:eastAsia="黑体" w:cs="楷体_GB2312"/>
          <w:b/>
          <w:color w:val="auto"/>
          <w:sz w:val="24"/>
          <w:highlight w:val="none"/>
          <w:lang w:val="zh-CN"/>
        </w:rPr>
        <w:t>，及</w:t>
      </w:r>
      <w:r>
        <w:rPr>
          <w:rFonts w:ascii="黑体" w:hAnsi="黑体" w:eastAsia="黑体" w:cs="楷体_GB2312"/>
          <w:b/>
          <w:color w:val="auto"/>
          <w:sz w:val="24"/>
          <w:highlight w:val="none"/>
          <w:lang w:val="zh-CN"/>
        </w:rPr>
        <w:t>相应</w:t>
      </w:r>
      <w:r>
        <w:rPr>
          <w:rFonts w:hint="eastAsia" w:ascii="黑体" w:hAnsi="黑体" w:eastAsia="黑体" w:cs="楷体_GB2312"/>
          <w:b/>
          <w:color w:val="auto"/>
          <w:sz w:val="24"/>
          <w:highlight w:val="none"/>
          <w:lang w:val="zh-CN"/>
        </w:rPr>
        <w:t>时间变更</w:t>
      </w:r>
    </w:p>
    <w:p>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color w:val="auto"/>
          <w:sz w:val="24"/>
          <w:highlight w:val="none"/>
          <w:lang w:val="zh-CN"/>
        </w:rPr>
        <w:t xml:space="preserve">2.4.1 </w:t>
      </w:r>
      <w:r>
        <w:rPr>
          <w:rFonts w:hint="eastAsia" w:ascii="宋体" w:hAnsi="宋体" w:cs="楷体_GB2312"/>
          <w:color w:val="auto"/>
          <w:sz w:val="24"/>
          <w:highlight w:val="none"/>
          <w:lang w:val="zh-CN"/>
        </w:rPr>
        <w:t>招标文件在投标截止时间前的所有澄清、修改（包括时间变更等）、补充事项，均在“招标公告”所述媒体予以公告。</w:t>
      </w:r>
      <w:r>
        <w:rPr>
          <w:rFonts w:hint="eastAsia" w:ascii="宋体" w:hAnsi="宋体" w:cs="楷体_GB2312"/>
          <w:b/>
          <w:color w:val="auto"/>
          <w:sz w:val="24"/>
          <w:highlight w:val="none"/>
          <w:lang w:val="zh-CN"/>
        </w:rPr>
        <w:t>澄清或修改公告一经在</w:t>
      </w:r>
      <w:r>
        <w:rPr>
          <w:rFonts w:ascii="宋体" w:hAnsi="宋体" w:cs="楷体_GB2312"/>
          <w:b/>
          <w:color w:val="auto"/>
          <w:sz w:val="24"/>
          <w:highlight w:val="none"/>
          <w:lang w:val="zh-CN"/>
        </w:rPr>
        <w:t>法定网</w:t>
      </w:r>
      <w:r>
        <w:rPr>
          <w:rFonts w:hint="eastAsia" w:ascii="宋体" w:hAnsi="宋体" w:cs="楷体_GB2312"/>
          <w:b/>
          <w:color w:val="auto"/>
          <w:sz w:val="24"/>
          <w:highlight w:val="none"/>
          <w:lang w:val="zh-CN"/>
        </w:rPr>
        <w:t>站以</w:t>
      </w:r>
      <w:r>
        <w:rPr>
          <w:rFonts w:ascii="宋体" w:hAnsi="宋体" w:cs="楷体_GB2312"/>
          <w:b/>
          <w:color w:val="auto"/>
          <w:sz w:val="24"/>
          <w:highlight w:val="none"/>
          <w:lang w:val="zh-CN"/>
        </w:rPr>
        <w:t>公</w:t>
      </w:r>
      <w:r>
        <w:rPr>
          <w:rFonts w:hint="eastAsia" w:ascii="宋体" w:hAnsi="宋体" w:cs="楷体_GB2312"/>
          <w:b/>
          <w:color w:val="auto"/>
          <w:sz w:val="24"/>
          <w:highlight w:val="none"/>
          <w:lang w:val="zh-CN"/>
        </w:rPr>
        <w:t>告</w:t>
      </w:r>
      <w:r>
        <w:rPr>
          <w:rFonts w:ascii="宋体" w:hAnsi="宋体" w:cs="楷体_GB2312"/>
          <w:b/>
          <w:color w:val="auto"/>
          <w:sz w:val="24"/>
          <w:highlight w:val="none"/>
          <w:lang w:val="zh-CN"/>
        </w:rPr>
        <w:t>形式</w:t>
      </w:r>
      <w:r>
        <w:rPr>
          <w:rFonts w:hint="eastAsia" w:ascii="宋体" w:hAnsi="宋体" w:cs="楷体_GB2312"/>
          <w:b/>
          <w:color w:val="auto"/>
          <w:sz w:val="24"/>
          <w:highlight w:val="none"/>
          <w:lang w:val="zh-CN"/>
        </w:rPr>
        <w:t>发布，依法视为书面通知，不再另行通知。</w:t>
      </w:r>
    </w:p>
    <w:p>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基于网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w:t>
      </w:r>
      <w:r>
        <w:rPr>
          <w:rFonts w:ascii="宋体" w:hAnsi="宋体" w:cs="楷体_GB2312"/>
          <w:b/>
          <w:color w:val="auto"/>
          <w:sz w:val="24"/>
          <w:highlight w:val="none"/>
          <w:lang w:val="zh-CN"/>
        </w:rPr>
        <w:t>子</w:t>
      </w:r>
      <w:r>
        <w:rPr>
          <w:rFonts w:hint="eastAsia" w:ascii="宋体" w:hAnsi="宋体" w:cs="楷体_GB2312"/>
          <w:b/>
          <w:color w:val="auto"/>
          <w:sz w:val="24"/>
          <w:highlight w:val="none"/>
          <w:lang w:val="zh-CN"/>
        </w:rPr>
        <w:t>交易</w:t>
      </w:r>
      <w:r>
        <w:rPr>
          <w:rFonts w:ascii="宋体" w:hAnsi="宋体" w:cs="楷体_GB2312"/>
          <w:b/>
          <w:color w:val="auto"/>
          <w:sz w:val="24"/>
          <w:highlight w:val="none"/>
          <w:lang w:val="zh-CN"/>
        </w:rPr>
        <w:t>的特点—</w:t>
      </w:r>
      <w:r>
        <w:rPr>
          <w:rFonts w:ascii="宋体" w:cs="楷体_GB2312"/>
          <w:b/>
          <w:color w:val="auto"/>
          <w:sz w:val="24"/>
          <w:highlight w:val="none"/>
          <w:lang w:val="zh-CN"/>
        </w:rPr>
        <w:t>-</w:t>
      </w:r>
      <w:r>
        <w:rPr>
          <w:rFonts w:hint="eastAsia" w:ascii="宋体" w:hAnsi="宋体" w:cs="楷体_GB2312"/>
          <w:b/>
          <w:color w:val="auto"/>
          <w:sz w:val="24"/>
          <w:highlight w:val="none"/>
          <w:lang w:val="zh-CN"/>
        </w:rPr>
        <w:t>无权限获知或通知潜在投标人，潜在投标人应随时关注“招标公告”所</w:t>
      </w:r>
      <w:r>
        <w:rPr>
          <w:rFonts w:ascii="宋体" w:hAnsi="宋体" w:cs="楷体_GB2312"/>
          <w:b/>
          <w:color w:val="auto"/>
          <w:sz w:val="24"/>
          <w:highlight w:val="none"/>
          <w:lang w:val="zh-CN"/>
        </w:rPr>
        <w:t>述媒体</w:t>
      </w:r>
      <w:r>
        <w:rPr>
          <w:rFonts w:hint="eastAsia" w:ascii="宋体" w:hAnsi="宋体" w:cs="楷体_GB2312"/>
          <w:b/>
          <w:color w:val="auto"/>
          <w:sz w:val="24"/>
          <w:highlight w:val="none"/>
          <w:lang w:val="zh-CN"/>
        </w:rPr>
        <w:t>相关项目信息（为免各部门网站出现维护等情况，潜在投标人应对“招标公告”所述媒体逐一查阅），如有遗漏，后果自负。</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2.</w:t>
      </w:r>
      <w:r>
        <w:rPr>
          <w:rFonts w:ascii="宋体" w:cs="楷体_GB2312"/>
          <w:color w:val="auto"/>
          <w:sz w:val="24"/>
          <w:highlight w:val="none"/>
          <w:lang w:val="zh-CN"/>
        </w:rPr>
        <w:t>4</w:t>
      </w:r>
      <w:r>
        <w:rPr>
          <w:rFonts w:hint="eastAsia" w:ascii="宋体" w:cs="楷体_GB2312"/>
          <w:color w:val="auto"/>
          <w:sz w:val="24"/>
          <w:highlight w:val="none"/>
          <w:lang w:val="zh-CN"/>
        </w:rPr>
        <w:t>.2招标文件的澄清、修改、补充书构成招标文件的组成部分，并取代招标文件中被澄清、修改处，对所有投标人均有约束力。</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2.4.3 </w:t>
      </w:r>
      <w:r>
        <w:rPr>
          <w:rFonts w:hint="eastAsia" w:ascii="宋体" w:hAnsi="宋体" w:cs="楷体_GB2312"/>
          <w:color w:val="auto"/>
          <w:sz w:val="24"/>
          <w:highlight w:val="none"/>
          <w:lang w:val="zh-CN"/>
        </w:rPr>
        <w:t>如果投标截止时间前的澄清修改补充发出的时间不满足投标人须知前附表规定时间，并且澄清修改补充内容影响投标文件编制的，代理机构可视采购具体情况延长投标截止时间和开标时间，并将在“招标公告”所述媒体予以公告。</w:t>
      </w: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35" w:name="_Toc165383931"/>
      <w:r>
        <w:rPr>
          <w:rFonts w:ascii="黑体" w:hAnsi="黑体" w:eastAsia="黑体" w:cs="楷体_GB2312"/>
          <w:b/>
          <w:bCs/>
          <w:color w:val="auto"/>
          <w:sz w:val="28"/>
          <w:szCs w:val="28"/>
          <w:highlight w:val="none"/>
          <w:lang w:val="zh-CN"/>
        </w:rPr>
        <w:t xml:space="preserve">3 </w:t>
      </w:r>
      <w:r>
        <w:rPr>
          <w:rFonts w:hint="eastAsia" w:ascii="黑体" w:hAnsi="黑体" w:eastAsia="黑体" w:cs="楷体_GB2312"/>
          <w:b/>
          <w:bCs/>
          <w:color w:val="auto"/>
          <w:sz w:val="28"/>
          <w:szCs w:val="28"/>
          <w:highlight w:val="none"/>
          <w:lang w:val="zh-CN"/>
        </w:rPr>
        <w:t>投标文件</w:t>
      </w:r>
      <w:bookmarkEnd w:id="35"/>
    </w:p>
    <w:p>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r>
        <w:rPr>
          <w:rFonts w:ascii="黑体" w:hAnsi="黑体" w:eastAsia="黑体" w:cs="楷体_GB2312"/>
          <w:b/>
          <w:color w:val="auto"/>
          <w:sz w:val="24"/>
          <w:highlight w:val="none"/>
          <w:lang w:val="zh-CN"/>
        </w:rPr>
        <w:t>3.1</w:t>
      </w:r>
      <w:r>
        <w:rPr>
          <w:rFonts w:hint="eastAsia" w:ascii="宋体" w:hAnsi="宋体" w:cs="楷体_GB2312"/>
          <w:color w:val="auto"/>
          <w:sz w:val="24"/>
          <w:highlight w:val="none"/>
          <w:lang w:val="zh-CN"/>
        </w:rPr>
        <w:t>　投标人应仔细阅读招标文件的所有内容，按招标文件的要求提供投标文件，并保证所提供全部资料的真实性。投标文件应对招标文件实质性要求作出实质性响应。评标委员会对投标文件的有效性、完整性和响应程度进行审查，不满足实质性要求的为</w:t>
      </w:r>
      <w:r>
        <w:rPr>
          <w:rFonts w:hint="eastAsia" w:ascii="宋体" w:hAnsi="宋体" w:cs="楷体_GB2312"/>
          <w:b/>
          <w:color w:val="auto"/>
          <w:sz w:val="24"/>
          <w:highlight w:val="none"/>
          <w:lang w:val="zh-CN"/>
        </w:rPr>
        <w:t>无效投标。</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3.2 </w:t>
      </w:r>
      <w:r>
        <w:rPr>
          <w:rFonts w:hint="eastAsia" w:ascii="黑体" w:hAnsi="黑体" w:eastAsia="黑体" w:cs="楷体_GB2312"/>
          <w:b/>
          <w:color w:val="auto"/>
          <w:sz w:val="24"/>
          <w:highlight w:val="none"/>
          <w:lang w:val="zh-CN"/>
        </w:rPr>
        <w:t>投标文件的组成</w:t>
      </w:r>
    </w:p>
    <w:p>
      <w:pPr>
        <w:adjustRightInd w:val="0"/>
        <w:snapToGrid w:val="0"/>
        <w:spacing w:before="156"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 xml:space="preserve">3.2.1 </w:t>
      </w:r>
      <w:r>
        <w:rPr>
          <w:rFonts w:hint="eastAsia" w:ascii="宋体" w:hAnsi="宋体" w:cs="楷体_GB2312"/>
          <w:color w:val="auto"/>
          <w:sz w:val="24"/>
          <w:highlight w:val="none"/>
          <w:lang w:val="zh-CN"/>
        </w:rPr>
        <w:t>投标文件组成如有缺项，评标委员会按照实质性判断原则（实质性要求和实质性响应两因素）、有权视情况将其作无效投标处理，投标人自负此项风险；投标文件组成内容未对招标文件实质性要求作出实质性响应，评标委员会按照实质性判断原则、视情况将其作无效投标处理，投标人自负此项风险</w:t>
      </w:r>
    </w:p>
    <w:p>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ascii="宋体" w:hAnsi="宋体" w:cs="楷体_GB2312"/>
          <w:color w:val="auto"/>
          <w:sz w:val="24"/>
          <w:highlight w:val="none"/>
          <w:lang w:val="zh-CN"/>
        </w:rPr>
        <w:t>3.2.2</w:t>
      </w:r>
      <w:r>
        <w:rPr>
          <w:rFonts w:hint="eastAsia" w:ascii="宋体" w:hAnsi="宋体" w:cs="楷体_GB2312"/>
          <w:color w:val="auto"/>
          <w:sz w:val="24"/>
          <w:highlight w:val="none"/>
          <w:lang w:val="zh-CN"/>
        </w:rPr>
        <w:t>投标文件应包括下列内容：</w:t>
      </w:r>
    </w:p>
    <w:p>
      <w:pPr>
        <w:adjustRightInd w:val="0"/>
        <w:snapToGrid w:val="0"/>
        <w:spacing w:before="156" w:beforeLines="50" w:line="300" w:lineRule="auto"/>
        <w:ind w:firstLine="539"/>
        <w:textAlignment w:val="top"/>
        <w:rPr>
          <w:rFonts w:ascii="黑体" w:hAnsi="黑体" w:eastAsia="黑体"/>
          <w:b/>
          <w:color w:val="auto"/>
          <w:highlight w:val="none"/>
        </w:rPr>
      </w:pPr>
      <w:r>
        <w:rPr>
          <w:rFonts w:hint="eastAsia" w:ascii="黑体" w:hAnsi="黑体" w:eastAsia="黑体" w:cs="楷体_GB2312"/>
          <w:b/>
          <w:color w:val="auto"/>
          <w:sz w:val="24"/>
          <w:highlight w:val="none"/>
          <w:lang w:val="zh-CN"/>
        </w:rPr>
        <w:t>符</w:t>
      </w:r>
      <w:r>
        <w:rPr>
          <w:rFonts w:ascii="黑体" w:hAnsi="黑体" w:eastAsia="黑体" w:cs="楷体_GB2312"/>
          <w:b/>
          <w:color w:val="auto"/>
          <w:sz w:val="24"/>
          <w:highlight w:val="none"/>
          <w:lang w:val="zh-CN"/>
        </w:rPr>
        <w:t>合性</w:t>
      </w:r>
      <w:r>
        <w:rPr>
          <w:rFonts w:hint="eastAsia" w:ascii="黑体" w:hAnsi="黑体" w:eastAsia="黑体" w:cs="楷体_GB2312"/>
          <w:b/>
          <w:color w:val="auto"/>
          <w:sz w:val="24"/>
          <w:highlight w:val="none"/>
          <w:lang w:val="zh-CN"/>
        </w:rPr>
        <w:t>响应</w:t>
      </w:r>
      <w:r>
        <w:rPr>
          <w:rFonts w:ascii="黑体" w:hAnsi="黑体" w:eastAsia="黑体" w:cs="楷体_GB2312"/>
          <w:b/>
          <w:color w:val="auto"/>
          <w:sz w:val="24"/>
          <w:highlight w:val="none"/>
          <w:lang w:val="zh-CN"/>
        </w:rPr>
        <w:t>文件</w:t>
      </w:r>
    </w:p>
    <w:p>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）投标书。</w:t>
      </w:r>
    </w:p>
    <w:p>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color w:val="auto"/>
          <w:sz w:val="24"/>
          <w:highlight w:val="none"/>
        </w:rPr>
        <w:t>开标一览表（报价一览表）</w:t>
      </w:r>
    </w:p>
    <w:p>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w:t>
      </w:r>
      <w:r>
        <w:rPr>
          <w:rFonts w:hint="eastAsia"/>
          <w:color w:val="auto"/>
          <w:sz w:val="24"/>
          <w:highlight w:val="none"/>
        </w:rPr>
        <w:t>投标报价明细表</w:t>
      </w:r>
    </w:p>
    <w:p>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w:t>
      </w:r>
      <w:r>
        <w:rPr>
          <w:rFonts w:hint="eastAsia"/>
          <w:color w:val="auto"/>
          <w:sz w:val="24"/>
          <w:highlight w:val="none"/>
        </w:rPr>
        <w:t>投标产品清单及其技术参数，调试方案</w:t>
      </w:r>
    </w:p>
    <w:p>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5</w:t>
      </w:r>
      <w:r>
        <w:rPr>
          <w:rFonts w:hint="eastAsia"/>
          <w:color w:val="auto"/>
          <w:sz w:val="24"/>
          <w:highlight w:val="none"/>
        </w:rPr>
        <w:t>）技术偏差表。</w:t>
      </w:r>
    </w:p>
    <w:p>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w:t>
      </w:r>
      <w:r>
        <w:rPr>
          <w:rFonts w:hint="eastAsia"/>
          <w:color w:val="auto"/>
          <w:sz w:val="24"/>
          <w:highlight w:val="none"/>
        </w:rPr>
        <w:t>其他偏差表</w:t>
      </w:r>
    </w:p>
    <w:p>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w:t>
      </w:r>
      <w:r>
        <w:rPr>
          <w:rFonts w:hint="eastAsia"/>
          <w:color w:val="auto"/>
          <w:sz w:val="24"/>
          <w:highlight w:val="none"/>
        </w:rPr>
        <w:t>售后服务计划</w:t>
      </w:r>
    </w:p>
    <w:p>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color w:val="auto"/>
          <w:sz w:val="24"/>
          <w:highlight w:val="none"/>
        </w:rPr>
        <w:t>反商业贿赂承诺书。</w:t>
      </w:r>
    </w:p>
    <w:p>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color w:val="auto"/>
          <w:sz w:val="24"/>
          <w:highlight w:val="none"/>
        </w:rPr>
        <w:t>履约承诺书。</w:t>
      </w:r>
    </w:p>
    <w:p>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10</w:t>
      </w:r>
      <w:r>
        <w:rPr>
          <w:rFonts w:hint="eastAsia"/>
          <w:color w:val="auto"/>
          <w:sz w:val="24"/>
          <w:highlight w:val="none"/>
        </w:rPr>
        <w:t>）招标项目要求及采购需求所需的其他材料（按条款需要）</w:t>
      </w:r>
    </w:p>
    <w:p>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11</w:t>
      </w:r>
      <w:r>
        <w:rPr>
          <w:rFonts w:hint="eastAsia"/>
          <w:color w:val="auto"/>
          <w:sz w:val="24"/>
          <w:highlight w:val="none"/>
        </w:rPr>
        <w:t>）投标人须知所需的其他材料（按条款需要）</w:t>
      </w:r>
    </w:p>
    <w:p>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12</w:t>
      </w:r>
      <w:r>
        <w:rPr>
          <w:rFonts w:hint="eastAsia"/>
          <w:color w:val="auto"/>
          <w:sz w:val="24"/>
          <w:highlight w:val="none"/>
        </w:rPr>
        <w:t>）评标办法所需的其他材料（按条款需要）</w:t>
      </w:r>
    </w:p>
    <w:p>
      <w:pPr>
        <w:autoSpaceDE w:val="0"/>
        <w:autoSpaceDN w:val="0"/>
        <w:adjustRightInd w:val="0"/>
        <w:snapToGrid w:val="0"/>
        <w:spacing w:line="300" w:lineRule="auto"/>
        <w:ind w:firstLine="520" w:firstLineChars="217"/>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w:t>
      </w:r>
      <w:r>
        <w:rPr>
          <w:rFonts w:hint="eastAsia" w:ascii="宋体" w:hAnsi="宋体"/>
          <w:color w:val="auto"/>
          <w:sz w:val="24"/>
          <w:highlight w:val="none"/>
        </w:rPr>
        <w:t>投标人认为有必要提交的其它材料</w:t>
      </w:r>
    </w:p>
    <w:p>
      <w:pPr>
        <w:adjustRightInd w:val="0"/>
        <w:snapToGrid w:val="0"/>
        <w:spacing w:before="156" w:beforeLines="50" w:line="300" w:lineRule="auto"/>
        <w:ind w:firstLine="539"/>
        <w:textAlignment w:val="top"/>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资</w:t>
      </w:r>
      <w:r>
        <w:rPr>
          <w:rFonts w:ascii="黑体" w:hAnsi="黑体" w:eastAsia="黑体" w:cs="楷体_GB2312"/>
          <w:b/>
          <w:color w:val="auto"/>
          <w:sz w:val="24"/>
          <w:highlight w:val="none"/>
          <w:lang w:val="zh-CN"/>
        </w:rPr>
        <w:t>格性</w:t>
      </w:r>
      <w:r>
        <w:rPr>
          <w:rFonts w:hint="eastAsia" w:ascii="黑体" w:hAnsi="黑体" w:eastAsia="黑体" w:cs="楷体_GB2312"/>
          <w:b/>
          <w:color w:val="auto"/>
          <w:sz w:val="24"/>
          <w:highlight w:val="none"/>
          <w:lang w:val="zh-CN"/>
        </w:rPr>
        <w:t>证明文件</w:t>
      </w:r>
    </w:p>
    <w:p>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14</w:t>
      </w:r>
      <w:r>
        <w:rPr>
          <w:rFonts w:hint="eastAsia" w:ascii="宋体" w:hAnsi="宋体" w:cs="楷体_GB2312"/>
          <w:color w:val="auto"/>
          <w:sz w:val="24"/>
          <w:highlight w:val="none"/>
          <w:lang w:val="zh-CN"/>
        </w:rPr>
        <w:t>）</w:t>
      </w:r>
      <w:r>
        <w:rPr>
          <w:rFonts w:hint="eastAsia"/>
          <w:color w:val="auto"/>
          <w:sz w:val="24"/>
          <w:highlight w:val="none"/>
        </w:rPr>
        <w:t>关于资格的声明函</w:t>
      </w:r>
    </w:p>
    <w:p>
      <w:pPr>
        <w:autoSpaceDE w:val="0"/>
        <w:autoSpaceDN w:val="0"/>
        <w:adjustRightInd w:val="0"/>
        <w:snapToGrid w:val="0"/>
        <w:spacing w:line="300" w:lineRule="auto"/>
        <w:ind w:firstLine="520" w:firstLineChars="217"/>
        <w:rPr>
          <w:rFonts w:ascii="宋体" w:cs="楷体_GB2312"/>
          <w:color w:val="auto"/>
          <w:sz w:val="24"/>
          <w:highlight w:val="none"/>
          <w:lang w:val="zh-CN"/>
        </w:rPr>
      </w:pPr>
      <w:r>
        <w:rPr>
          <w:rFonts w:hint="eastAsia"/>
          <w:color w:val="auto"/>
          <w:sz w:val="24"/>
          <w:highlight w:val="none"/>
        </w:rPr>
        <w:t>（</w:t>
      </w:r>
      <w:r>
        <w:rPr>
          <w:color w:val="auto"/>
          <w:sz w:val="24"/>
          <w:highlight w:val="none"/>
        </w:rPr>
        <w:t>15</w:t>
      </w:r>
      <w:r>
        <w:rPr>
          <w:rFonts w:hint="eastAsia"/>
          <w:color w:val="auto"/>
          <w:sz w:val="24"/>
          <w:highlight w:val="none"/>
        </w:rPr>
        <w:t>）资格要求相关证明材料（文件）</w:t>
      </w:r>
    </w:p>
    <w:p>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3.2.3</w:t>
      </w:r>
      <w:r>
        <w:rPr>
          <w:rFonts w:hint="eastAsia" w:ascii="宋体" w:hAnsi="宋体" w:cs="楷体_GB2312"/>
          <w:color w:val="auto"/>
          <w:sz w:val="24"/>
          <w:highlight w:val="none"/>
          <w:lang w:val="zh-CN"/>
        </w:rPr>
        <w:t>按照本章第</w:t>
      </w:r>
      <w:r>
        <w:rPr>
          <w:rFonts w:ascii="宋体" w:hAnsi="宋体" w:cs="楷体_GB2312"/>
          <w:color w:val="auto"/>
          <w:sz w:val="24"/>
          <w:highlight w:val="none"/>
          <w:lang w:val="zh-CN"/>
        </w:rPr>
        <w:t>4.3</w:t>
      </w:r>
      <w:r>
        <w:rPr>
          <w:rFonts w:hint="eastAsia" w:ascii="宋体" w:hAnsi="宋体" w:cs="楷体_GB2312"/>
          <w:color w:val="auto"/>
          <w:sz w:val="24"/>
          <w:highlight w:val="none"/>
          <w:lang w:val="zh-CN"/>
        </w:rPr>
        <w:t>款、第四章第</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3款规定，对投标文件的补充、修改、澄清、说明或者更正构成投标文件的组成部分，并取代投标文件中被澄清、修改处。</w:t>
      </w:r>
    </w:p>
    <w:p>
      <w:pPr>
        <w:topLinePunct/>
        <w:adjustRightInd w:val="0"/>
        <w:snapToGrid w:val="0"/>
        <w:spacing w:before="156" w:beforeLines="50" w:line="300" w:lineRule="auto"/>
        <w:ind w:firstLine="566" w:firstLineChars="235"/>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3.3 </w:t>
      </w:r>
      <w:r>
        <w:rPr>
          <w:rFonts w:hint="eastAsia" w:ascii="黑体" w:hAnsi="黑体" w:eastAsia="黑体" w:cs="楷体_GB2312"/>
          <w:b/>
          <w:color w:val="auto"/>
          <w:sz w:val="24"/>
          <w:highlight w:val="none"/>
          <w:lang w:val="zh-CN"/>
        </w:rPr>
        <w:t>投标报价</w:t>
      </w:r>
      <w:r>
        <w:rPr>
          <w:rFonts w:hint="eastAsia" w:ascii="宋体" w:hAnsi="宋体" w:cs="楷体_GB2312"/>
          <w:color w:val="auto"/>
          <w:sz w:val="24"/>
          <w:highlight w:val="none"/>
          <w:lang w:val="zh-CN"/>
        </w:rPr>
        <w:t>（价格构成）：见第二章</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款。</w:t>
      </w:r>
    </w:p>
    <w:p>
      <w:pPr>
        <w:topLinePunct/>
        <w:adjustRightInd w:val="0"/>
        <w:snapToGrid w:val="0"/>
        <w:spacing w:before="156"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3.4 </w:t>
      </w:r>
      <w:r>
        <w:rPr>
          <w:rFonts w:hint="eastAsia" w:ascii="黑体" w:hAnsi="黑体" w:eastAsia="黑体" w:cs="楷体_GB2312"/>
          <w:b/>
          <w:color w:val="auto"/>
          <w:sz w:val="24"/>
          <w:highlight w:val="none"/>
          <w:lang w:val="zh-CN"/>
        </w:rPr>
        <w:t>投标有效期</w:t>
      </w:r>
    </w:p>
    <w:p>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3.4.1</w:t>
      </w:r>
      <w:r>
        <w:rPr>
          <w:rFonts w:hint="eastAsia" w:ascii="宋体" w:hAnsi="宋体" w:cs="楷体_GB2312"/>
          <w:color w:val="auto"/>
          <w:sz w:val="24"/>
          <w:highlight w:val="none"/>
          <w:lang w:val="zh-CN"/>
        </w:rPr>
        <w:t>投标有效期见投标人须知前附表。投标有效期从提交投标文件的截止之日起算。投标文件中承诺的投标有效期应当不少于招标文件中载明的投标有效期。投标文件在投标有效期内保持不变（包括价格等投标文件各项条款）。</w:t>
      </w:r>
    </w:p>
    <w:p>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3.4.2</w:t>
      </w:r>
      <w:r>
        <w:rPr>
          <w:rFonts w:hint="eastAsia" w:ascii="宋体" w:hAnsi="宋体" w:cs="楷体_GB2312"/>
          <w:color w:val="auto"/>
          <w:sz w:val="24"/>
          <w:highlight w:val="none"/>
          <w:lang w:val="zh-CN"/>
        </w:rPr>
        <w:t>在投标有效期内，投标人撤销或修改其投标文件的，依据招标文件“第三章3.5.5 违背承诺的责任追究措施”，投标人承担相应法律责任及违约责任。</w:t>
      </w:r>
    </w:p>
    <w:p>
      <w:pPr>
        <w:topLinePunct/>
        <w:adjustRightInd w:val="0"/>
        <w:snapToGrid w:val="0"/>
        <w:spacing w:before="156"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3.5 </w:t>
      </w:r>
      <w:r>
        <w:rPr>
          <w:rFonts w:hint="eastAsia" w:ascii="黑体" w:hAnsi="黑体" w:eastAsia="黑体" w:cs="楷体_GB2312"/>
          <w:b/>
          <w:color w:val="auto"/>
          <w:sz w:val="24"/>
          <w:highlight w:val="none"/>
        </w:rPr>
        <w:t>投标承诺函</w:t>
      </w:r>
      <w:r>
        <w:rPr>
          <w:rFonts w:hint="eastAsia" w:ascii="黑体" w:hAnsi="黑体" w:eastAsia="黑体" w:cs="楷体_GB2312"/>
          <w:b/>
          <w:color w:val="auto"/>
          <w:sz w:val="24"/>
          <w:highlight w:val="none"/>
          <w:lang w:val="zh-CN"/>
        </w:rPr>
        <w:t>（</w:t>
      </w:r>
      <w:r>
        <w:rPr>
          <w:rFonts w:hint="eastAsia" w:ascii="黑体" w:hAnsi="黑体" w:eastAsia="黑体" w:cs="楷体_GB2312"/>
          <w:b/>
          <w:color w:val="auto"/>
          <w:sz w:val="24"/>
          <w:highlight w:val="none"/>
        </w:rPr>
        <w:t>替代</w:t>
      </w:r>
      <w:r>
        <w:rPr>
          <w:rFonts w:hint="eastAsia" w:ascii="黑体" w:hAnsi="黑体" w:eastAsia="黑体" w:cs="楷体_GB2312"/>
          <w:b/>
          <w:color w:val="auto"/>
          <w:sz w:val="24"/>
          <w:highlight w:val="none"/>
          <w:lang w:val="zh-CN"/>
        </w:rPr>
        <w:t>投标保证金）：</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zh-CN"/>
        </w:rPr>
        <w:t xml:space="preserve">3.5.1 </w:t>
      </w:r>
      <w:r>
        <w:rPr>
          <w:rFonts w:hint="eastAsia" w:ascii="宋体" w:hAnsi="宋体"/>
          <w:color w:val="auto"/>
          <w:sz w:val="24"/>
          <w:szCs w:val="24"/>
          <w:highlight w:val="none"/>
        </w:rPr>
        <w:t>按照豫财购〔2019〕4号文件规定，本项目以投标承诺函的形式替代投标保证金，供应商应按附件格式进行投标承诺，违背承诺的将承担相应的法律责任及违约责任。</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3.5.2 未提供投标承诺函的为</w:t>
      </w:r>
      <w:r>
        <w:rPr>
          <w:rFonts w:hint="eastAsia" w:ascii="宋体" w:hAnsi="宋体"/>
          <w:b/>
          <w:bCs/>
          <w:color w:val="auto"/>
          <w:sz w:val="24"/>
          <w:szCs w:val="24"/>
          <w:highlight w:val="none"/>
        </w:rPr>
        <w:t>无效投标</w:t>
      </w:r>
      <w:r>
        <w:rPr>
          <w:rFonts w:hint="eastAsia" w:ascii="宋体" w:hAnsi="宋体"/>
          <w:color w:val="auto"/>
          <w:sz w:val="24"/>
          <w:szCs w:val="24"/>
          <w:highlight w:val="none"/>
        </w:rPr>
        <w:t>。</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3.5.3 投标人的投标承诺函包含投标人承诺的事项及违背承诺的责任追究措施。</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 承诺事项：</w:t>
      </w:r>
    </w:p>
    <w:p>
      <w:pPr>
        <w:widowControl w:val="0"/>
        <w:tabs>
          <w:tab w:val="left" w:pos="65"/>
        </w:tabs>
        <w:spacing w:line="460" w:lineRule="atLeas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3.5.4.1、投标人应遵循公开、公平、公正和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的原则自愿参加项目的投标；</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 xml:space="preserve">    3.5.4.2、投标人在政府采购活动中应提供真实、准确、有效、合法的材料，不</w:t>
      </w:r>
      <w:r>
        <w:rPr>
          <w:rFonts w:hint="eastAsia" w:ascii="宋体" w:hAnsi="宋体"/>
          <w:color w:val="auto"/>
          <w:sz w:val="24"/>
          <w:szCs w:val="24"/>
          <w:highlight w:val="none"/>
          <w:lang w:val="zh-CN"/>
        </w:rPr>
        <w:t>提供虚假材料；</w:t>
      </w:r>
    </w:p>
    <w:p>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3.5.4.3、投标人</w:t>
      </w:r>
      <w:r>
        <w:rPr>
          <w:rFonts w:hint="eastAsia" w:ascii="宋体" w:hAnsi="宋体"/>
          <w:color w:val="auto"/>
          <w:sz w:val="24"/>
          <w:szCs w:val="24"/>
          <w:highlight w:val="none"/>
          <w:lang w:val="zh-CN"/>
        </w:rPr>
        <w:t>按照招标文件规定，在提交投标文件截止时间后，在招标文件规定的投标有效期限内不</w:t>
      </w:r>
      <w:r>
        <w:rPr>
          <w:rFonts w:hint="eastAsia" w:ascii="宋体" w:hAnsi="宋体"/>
          <w:color w:val="auto"/>
          <w:sz w:val="24"/>
          <w:szCs w:val="24"/>
          <w:highlight w:val="none"/>
        </w:rPr>
        <w:t>应</w:t>
      </w:r>
      <w:r>
        <w:rPr>
          <w:rFonts w:hint="eastAsia" w:ascii="宋体" w:hAnsi="宋体"/>
          <w:color w:val="auto"/>
          <w:sz w:val="24"/>
          <w:szCs w:val="24"/>
          <w:highlight w:val="none"/>
          <w:lang w:val="zh-CN"/>
        </w:rPr>
        <w:t>撤回投标文件；</w:t>
      </w:r>
    </w:p>
    <w:p>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3.5.4.4、不应</w:t>
      </w:r>
      <w:r>
        <w:rPr>
          <w:rFonts w:hint="eastAsia" w:ascii="宋体" w:hAnsi="宋体"/>
          <w:color w:val="auto"/>
          <w:sz w:val="24"/>
          <w:szCs w:val="24"/>
          <w:highlight w:val="none"/>
          <w:lang w:val="zh-CN"/>
        </w:rPr>
        <w:t>与其他投标人、采购人或采购代理机构串通或恶意串通。</w:t>
      </w:r>
    </w:p>
    <w:p>
      <w:pPr>
        <w:widowControl w:val="0"/>
        <w:tabs>
          <w:tab w:val="left" w:pos="65"/>
        </w:tabs>
        <w:spacing w:line="460" w:lineRule="atLeast"/>
        <w:ind w:firstLine="480" w:firstLineChars="200"/>
        <w:textAlignment w:val="auto"/>
        <w:rPr>
          <w:rFonts w:hint="eastAsia" w:ascii="宋体" w:hAnsi="宋体" w:eastAsia="宋体"/>
          <w:color w:val="auto"/>
          <w:sz w:val="24"/>
          <w:szCs w:val="24"/>
          <w:highlight w:val="none"/>
          <w:lang w:val="zh-CN" w:eastAsia="zh-CN"/>
        </w:rPr>
      </w:pPr>
      <w:r>
        <w:rPr>
          <w:rFonts w:hint="eastAsia" w:ascii="宋体" w:hAnsi="宋体"/>
          <w:color w:val="auto"/>
          <w:sz w:val="24"/>
          <w:szCs w:val="24"/>
          <w:highlight w:val="none"/>
        </w:rPr>
        <w:t>3.5.4.5、中标后</w:t>
      </w:r>
      <w:r>
        <w:rPr>
          <w:rFonts w:hint="eastAsia" w:ascii="宋体" w:hAnsi="宋体"/>
          <w:color w:val="auto"/>
          <w:sz w:val="24"/>
          <w:szCs w:val="24"/>
          <w:highlight w:val="none"/>
          <w:lang w:val="zh-CN"/>
        </w:rPr>
        <w:t>除不可抗拒力或</w:t>
      </w:r>
      <w:r>
        <w:rPr>
          <w:rFonts w:hint="eastAsia" w:ascii="宋体" w:hAnsi="宋体"/>
          <w:color w:val="auto"/>
          <w:sz w:val="24"/>
          <w:szCs w:val="24"/>
          <w:highlight w:val="none"/>
        </w:rPr>
        <w:t>招标</w:t>
      </w:r>
      <w:r>
        <w:rPr>
          <w:rFonts w:hint="eastAsia" w:ascii="宋体" w:hAnsi="宋体"/>
          <w:color w:val="auto"/>
          <w:sz w:val="24"/>
          <w:szCs w:val="24"/>
          <w:highlight w:val="none"/>
          <w:lang w:val="zh-CN"/>
        </w:rPr>
        <w:t>文件认可的情形外</w:t>
      </w:r>
      <w:r>
        <w:rPr>
          <w:rFonts w:hint="eastAsia" w:ascii="宋体" w:hAnsi="宋体"/>
          <w:color w:val="auto"/>
          <w:sz w:val="24"/>
          <w:szCs w:val="24"/>
          <w:highlight w:val="none"/>
        </w:rPr>
        <w:t>，投标人应及时领取中标通知书，</w:t>
      </w:r>
      <w:r>
        <w:rPr>
          <w:rFonts w:hint="eastAsia" w:ascii="宋体" w:hAnsi="宋体"/>
          <w:color w:val="auto"/>
          <w:sz w:val="24"/>
          <w:szCs w:val="24"/>
          <w:highlight w:val="none"/>
          <w:lang w:val="zh-CN"/>
        </w:rPr>
        <w:t>在成交通知书规定时间、地点与采购人签订合同；</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 xml:space="preserve">    3.5.4.6、投标人应</w:t>
      </w:r>
      <w:r>
        <w:rPr>
          <w:rFonts w:hint="eastAsia" w:ascii="宋体" w:hAnsi="宋体"/>
          <w:color w:val="auto"/>
          <w:sz w:val="24"/>
          <w:szCs w:val="24"/>
          <w:highlight w:val="none"/>
          <w:lang w:val="zh-CN"/>
        </w:rPr>
        <w:t>遵守法律法规及招标文件规定的其他情况；</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3.5.4.7、投标人应按招标文件规定及时缴纳中标服务费。</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 违背承诺的责任追究措施</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投标人如违背上述承诺事项，应无条件接受以下责任追究：</w:t>
      </w:r>
    </w:p>
    <w:p>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3.5.5.1</w:t>
      </w:r>
      <w:r>
        <w:rPr>
          <w:rFonts w:hint="eastAsia" w:ascii="宋体" w:hAnsi="宋体"/>
          <w:color w:val="auto"/>
          <w:sz w:val="24"/>
          <w:szCs w:val="24"/>
          <w:highlight w:val="none"/>
          <w:lang w:val="zh-CN"/>
        </w:rPr>
        <w:t>法定责任：</w:t>
      </w:r>
      <w:r>
        <w:rPr>
          <w:rFonts w:hint="eastAsia" w:ascii="宋体" w:hAnsi="宋体"/>
          <w:color w:val="auto"/>
          <w:sz w:val="24"/>
          <w:szCs w:val="24"/>
          <w:highlight w:val="none"/>
        </w:rPr>
        <w:t>按照政府采购相关法规，</w:t>
      </w:r>
      <w:r>
        <w:rPr>
          <w:rFonts w:hint="eastAsia" w:ascii="宋体" w:hAnsi="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给采购人及他人造成损失的，应承担相应的赔偿责任。</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w:t>
      </w:r>
      <w:r>
        <w:rPr>
          <w:rFonts w:hint="eastAsia" w:ascii="宋体" w:hAnsi="宋体"/>
          <w:color w:val="auto"/>
          <w:sz w:val="24"/>
          <w:szCs w:val="24"/>
          <w:highlight w:val="none"/>
          <w:lang w:val="zh-CN"/>
        </w:rPr>
        <w:t>违约责任：</w:t>
      </w:r>
      <w:r>
        <w:rPr>
          <w:rFonts w:hint="eastAsia" w:ascii="宋体" w:hAnsi="宋体"/>
          <w:color w:val="auto"/>
          <w:sz w:val="24"/>
          <w:szCs w:val="24"/>
          <w:highlight w:val="none"/>
        </w:rPr>
        <w:t xml:space="preserve"> </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3.5.5.2.1 已中标的，中标（成交）无效；</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3.5.5.2.2 支付采购人违约标的预算金额2%的</w:t>
      </w:r>
      <w:r>
        <w:rPr>
          <w:rFonts w:hint="eastAsia" w:ascii="宋体" w:hAnsi="宋体"/>
          <w:color w:val="auto"/>
          <w:sz w:val="24"/>
          <w:szCs w:val="24"/>
          <w:highlight w:val="none"/>
          <w:lang w:val="zh-CN"/>
        </w:rPr>
        <w:t>违约金</w:t>
      </w:r>
      <w:r>
        <w:rPr>
          <w:rFonts w:hint="eastAsia" w:ascii="宋体" w:hAnsi="宋体"/>
          <w:color w:val="auto"/>
          <w:sz w:val="24"/>
          <w:szCs w:val="24"/>
          <w:highlight w:val="none"/>
        </w:rPr>
        <w:t>；</w:t>
      </w:r>
    </w:p>
    <w:p>
      <w:pPr>
        <w:widowControl w:val="0"/>
        <w:tabs>
          <w:tab w:val="left" w:pos="65"/>
        </w:tabs>
        <w:spacing w:line="460" w:lineRule="atLeast"/>
        <w:ind w:firstLine="480" w:firstLineChars="200"/>
        <w:textAlignment w:val="auto"/>
        <w:rPr>
          <w:rFonts w:ascii="宋体" w:cs="楷体_GB2312"/>
          <w:color w:val="auto"/>
          <w:sz w:val="24"/>
          <w:highlight w:val="none"/>
          <w:lang w:val="zh-CN"/>
        </w:rPr>
      </w:pPr>
      <w:r>
        <w:rPr>
          <w:rFonts w:hint="eastAsia" w:ascii="宋体" w:hAnsi="宋体"/>
          <w:color w:val="auto"/>
          <w:sz w:val="24"/>
          <w:szCs w:val="24"/>
          <w:highlight w:val="none"/>
        </w:rPr>
        <w:t>3.5.5.2.3中标后未缴中标服务费的，作为违约及违背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原则，在履行承诺前，代理机构将视该单位为失信企业、不予办理其后相关业务。</w:t>
      </w:r>
    </w:p>
    <w:p>
      <w:pPr>
        <w:autoSpaceDE w:val="0"/>
        <w:autoSpaceDN w:val="0"/>
        <w:adjustRightInd w:val="0"/>
        <w:spacing w:before="156" w:beforeLines="50" w:line="360" w:lineRule="auto"/>
        <w:ind w:firstLine="539"/>
        <w:rPr>
          <w:rFonts w:ascii="黑体" w:hAnsi="黑体" w:eastAsia="黑体" w:cs="楷体_GB2312"/>
          <w:b/>
          <w:bCs/>
          <w:color w:val="auto"/>
          <w:sz w:val="28"/>
          <w:szCs w:val="28"/>
          <w:highlight w:val="none"/>
          <w:lang w:val="zh-CN"/>
        </w:rPr>
      </w:pPr>
      <w:r>
        <w:rPr>
          <w:rFonts w:ascii="黑体" w:hAnsi="黑体" w:eastAsia="黑体" w:cs="楷体_GB2312"/>
          <w:b/>
          <w:color w:val="auto"/>
          <w:sz w:val="24"/>
          <w:highlight w:val="none"/>
          <w:lang w:val="zh-CN"/>
        </w:rPr>
        <w:t xml:space="preserve">3.6 </w:t>
      </w:r>
      <w:r>
        <w:rPr>
          <w:rFonts w:hint="eastAsia" w:ascii="黑体" w:hAnsi="黑体" w:eastAsia="黑体" w:cs="楷体_GB2312"/>
          <w:b/>
          <w:color w:val="auto"/>
          <w:sz w:val="24"/>
          <w:highlight w:val="none"/>
          <w:lang w:val="zh-CN"/>
        </w:rPr>
        <w:t>投标资格文件：</w:t>
      </w:r>
      <w:r>
        <w:rPr>
          <w:rFonts w:hint="eastAsia" w:ascii="宋体" w:hAnsi="宋体" w:cs="楷体_GB2312"/>
          <w:color w:val="auto"/>
          <w:sz w:val="24"/>
          <w:highlight w:val="none"/>
          <w:lang w:val="zh-CN"/>
        </w:rPr>
        <w:t>要求见招标公告</w:t>
      </w:r>
    </w:p>
    <w:p>
      <w:pPr>
        <w:topLinePunct/>
        <w:adjustRightInd w:val="0"/>
        <w:snapToGrid w:val="0"/>
        <w:spacing w:before="156" w:beforeLines="50" w:line="300" w:lineRule="auto"/>
        <w:ind w:left="561" w:leftChars="267" w:firstLine="5" w:firstLineChars="2"/>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3.7</w:t>
      </w:r>
      <w:r>
        <w:rPr>
          <w:rFonts w:hint="eastAsia" w:ascii="黑体" w:hAnsi="黑体" w:eastAsia="黑体" w:cs="楷体_GB2312"/>
          <w:b/>
          <w:color w:val="auto"/>
          <w:sz w:val="24"/>
          <w:highlight w:val="none"/>
          <w:lang w:val="zh-CN"/>
        </w:rPr>
        <w:t>投标文件的编制</w:t>
      </w:r>
    </w:p>
    <w:p>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ascii="宋体" w:hAnsi="宋体" w:cs="楷体_GB2312"/>
          <w:color w:val="auto"/>
          <w:sz w:val="24"/>
          <w:highlight w:val="none"/>
          <w:lang w:val="zh-CN"/>
        </w:rPr>
        <w:t>3.7.1</w:t>
      </w:r>
      <w:r>
        <w:rPr>
          <w:rFonts w:hint="eastAsia" w:ascii="宋体" w:hAnsi="宋体" w:cs="楷体_GB2312"/>
          <w:color w:val="auto"/>
          <w:sz w:val="24"/>
          <w:highlight w:val="none"/>
          <w:lang w:val="zh-CN"/>
        </w:rPr>
        <w:t>投标文件应按第六章“投标文件格式”进行编写，如有必要，可以增加附页，作为投标文件的组成部分。招标文件中未列明格式的，由投标人按一般通用格式自行设计编写。</w:t>
      </w:r>
    </w:p>
    <w:p>
      <w:pPr>
        <w:widowControl w:val="0"/>
        <w:adjustRightInd w:val="0"/>
        <w:spacing w:before="156" w:beforeLines="50" w:line="300" w:lineRule="auto"/>
        <w:ind w:left="-145" w:right="-41"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投标文件编制后</w:t>
      </w:r>
      <w:r>
        <w:rPr>
          <w:rFonts w:ascii="宋体" w:hAnsi="宋体" w:cs="楷体_GB2312"/>
          <w:color w:val="auto"/>
          <w:sz w:val="24"/>
          <w:highlight w:val="none"/>
          <w:lang w:val="zh-CN"/>
        </w:rPr>
        <w:t>，</w:t>
      </w:r>
      <w:r>
        <w:rPr>
          <w:rFonts w:hint="eastAsia" w:ascii="宋体" w:hAnsi="宋体"/>
          <w:color w:val="auto"/>
          <w:sz w:val="24"/>
          <w:szCs w:val="24"/>
          <w:highlight w:val="none"/>
        </w:rPr>
        <w:t>投标人应在投标截止时间前上传加密的电子投标文件（*.aytf）到安阳市电子招投标交易平台（http://222.139.28.234:2345/tpbidder）。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w:t>
      </w:r>
    </w:p>
    <w:p>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 xml:space="preserve">3.7.2 </w:t>
      </w:r>
      <w:r>
        <w:rPr>
          <w:rFonts w:hint="eastAsia" w:ascii="宋体" w:hAnsi="宋体" w:cs="楷体_GB2312"/>
          <w:color w:val="auto"/>
          <w:sz w:val="24"/>
          <w:highlight w:val="none"/>
          <w:lang w:val="zh-CN"/>
        </w:rPr>
        <w:t>“投标文件格式”仅为对投标文件部分内容的格式化规范，并非投标文件所应具备的全部内容。投标人应按本章“</w:t>
      </w:r>
      <w:r>
        <w:rPr>
          <w:rFonts w:ascii="宋体" w:hAnsi="宋体" w:cs="楷体_GB2312"/>
          <w:color w:val="auto"/>
          <w:sz w:val="24"/>
          <w:highlight w:val="none"/>
          <w:lang w:val="zh-CN"/>
        </w:rPr>
        <w:t>3.2</w:t>
      </w:r>
      <w:r>
        <w:rPr>
          <w:rFonts w:hint="eastAsia" w:ascii="宋体" w:hAnsi="宋体" w:cs="楷体_GB2312"/>
          <w:color w:val="auto"/>
          <w:sz w:val="24"/>
          <w:highlight w:val="none"/>
          <w:lang w:val="zh-CN"/>
        </w:rPr>
        <w:t>投标文件的组成”列示内容编制投标文件。</w:t>
      </w:r>
    </w:p>
    <w:p>
      <w:pPr>
        <w:adjustRightInd w:val="0"/>
        <w:snapToGrid w:val="0"/>
        <w:spacing w:before="156" w:beforeLines="50" w:line="300" w:lineRule="auto"/>
        <w:ind w:firstLine="480" w:firstLineChars="200"/>
        <w:rPr>
          <w:rFonts w:ascii="宋体" w:hAnsi="宋体" w:cs="楷体_GB2312"/>
          <w:color w:val="auto"/>
          <w:sz w:val="24"/>
          <w:highlight w:val="none"/>
          <w:lang w:val="zh-CN"/>
        </w:rPr>
      </w:pPr>
      <w:r>
        <w:rPr>
          <w:rFonts w:ascii="宋体" w:hAnsi="宋体" w:cs="楷体_GB2312"/>
          <w:color w:val="auto"/>
          <w:sz w:val="24"/>
          <w:highlight w:val="none"/>
          <w:lang w:val="zh-CN"/>
        </w:rPr>
        <w:t>3.7</w:t>
      </w:r>
      <w:r>
        <w:rPr>
          <w:rFonts w:asci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投标文件应当对招标文件有关标段（包）内容（范围）、采购需求（技术要求、售后服务、交付（实施）期等）、投标有效期等实质性内容作出响应。在满足招标文件实质性要求的基础上，可以提出比招标文件要求更有利于采购人的承诺。并符合招标文件偏差规定。</w:t>
      </w:r>
    </w:p>
    <w:p>
      <w:pPr>
        <w:adjustRightInd w:val="0"/>
        <w:snapToGrid w:val="0"/>
        <w:spacing w:before="156" w:beforeLines="50" w:line="300" w:lineRule="auto"/>
        <w:ind w:firstLine="482" w:firstLineChars="200"/>
        <w:rPr>
          <w:rFonts w:asciiTheme="minorEastAsia" w:hAnsiTheme="minorEastAsia" w:eastAsiaTheme="minorEastAsia"/>
          <w:b/>
          <w:color w:val="auto"/>
          <w:sz w:val="24"/>
          <w:szCs w:val="24"/>
          <w:highlight w:val="none"/>
        </w:rPr>
      </w:pPr>
      <w:r>
        <w:rPr>
          <w:rFonts w:hint="eastAsia" w:cs="楷体_GB2312" w:asciiTheme="minorEastAsia" w:hAnsiTheme="minorEastAsia" w:eastAsiaTheme="minorEastAsia"/>
          <w:b/>
          <w:color w:val="auto"/>
          <w:sz w:val="24"/>
          <w:highlight w:val="none"/>
          <w:lang w:val="zh-CN"/>
        </w:rPr>
        <w:t>技术要求的偏离按第二章“</w:t>
      </w:r>
      <w:r>
        <w:rPr>
          <w:rFonts w:asciiTheme="minorEastAsia" w:hAnsiTheme="minorEastAsia" w:eastAsiaTheme="minorEastAsia"/>
          <w:b/>
          <w:color w:val="auto"/>
          <w:sz w:val="24"/>
          <w:szCs w:val="24"/>
          <w:highlight w:val="none"/>
        </w:rPr>
        <w:t>2.</w:t>
      </w:r>
      <w:r>
        <w:rPr>
          <w:rFonts w:hint="eastAsia" w:asciiTheme="minorEastAsia" w:hAnsiTheme="minorEastAsia" w:eastAsiaTheme="minorEastAsia"/>
          <w:b/>
          <w:color w:val="auto"/>
          <w:sz w:val="24"/>
          <w:szCs w:val="24"/>
          <w:highlight w:val="none"/>
        </w:rPr>
        <w:t>7技术偏离”执行；其他条款如未标明为非实质性要求的，均为实质性要求，不接受负偏离。</w:t>
      </w:r>
    </w:p>
    <w:p>
      <w:pPr>
        <w:adjustRightInd w:val="0"/>
        <w:snapToGrid w:val="0"/>
        <w:spacing w:before="156" w:beforeLines="50" w:line="300" w:lineRule="auto"/>
        <w:ind w:firstLine="480" w:firstLineChars="200"/>
        <w:rPr>
          <w:rFonts w:ascii="宋体" w:cs="楷体_GB2312"/>
          <w:color w:val="auto"/>
          <w:sz w:val="24"/>
          <w:highlight w:val="none"/>
          <w:lang w:val="zh-CN"/>
        </w:rPr>
      </w:pPr>
      <w:r>
        <w:rPr>
          <w:rFonts w:hint="eastAsia" w:ascii="宋体" w:hAnsi="宋体" w:cs="楷体_GB2312"/>
          <w:color w:val="auto"/>
          <w:sz w:val="24"/>
          <w:highlight w:val="none"/>
          <w:lang w:val="zh-CN"/>
        </w:rPr>
        <w:t>投标文件的所有条款与招标文件要求有任何不同之处，应按《技术偏差表》、《其他偏差表》格式逐一填列。投标文件与招标文件所有要求存在偏差而未填列的，评标委员会有权按照实质性判断原则（实质性要求和实质性响应两因素）评定其为</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。投标人应认真编制投标文件并自负此项风险。</w:t>
      </w:r>
    </w:p>
    <w:p>
      <w:pPr>
        <w:autoSpaceDE w:val="0"/>
        <w:autoSpaceDN w:val="0"/>
        <w:adjustRightInd w:val="0"/>
        <w:snapToGrid w:val="0"/>
        <w:spacing w:before="156" w:beforeLines="50" w:line="300" w:lineRule="auto"/>
        <w:ind w:firstLine="539"/>
        <w:rPr>
          <w:rFonts w:ascii="宋体" w:cs="楷体_GB2312"/>
          <w:b/>
          <w:color w:val="auto"/>
          <w:sz w:val="24"/>
          <w:highlight w:val="none"/>
        </w:rPr>
      </w:pPr>
      <w:r>
        <w:rPr>
          <w:rFonts w:ascii="宋体" w:hAnsi="宋体" w:cs="楷体_GB2312"/>
          <w:b/>
          <w:color w:val="auto"/>
          <w:sz w:val="24"/>
          <w:highlight w:val="none"/>
          <w:lang w:val="zh-CN"/>
        </w:rPr>
        <w:t>3.7.</w:t>
      </w:r>
      <w:r>
        <w:rPr>
          <w:rFonts w:hint="eastAsia" w:ascii="宋体" w:hAnsi="宋体" w:cs="楷体_GB2312"/>
          <w:b/>
          <w:color w:val="auto"/>
          <w:sz w:val="24"/>
          <w:highlight w:val="none"/>
          <w:lang w:val="zh-CN"/>
        </w:rPr>
        <w:t>4</w:t>
      </w:r>
      <w:r>
        <w:rPr>
          <w:rFonts w:ascii="宋体" w:hAnsi="宋体" w:cs="楷体_GB2312"/>
          <w:b/>
          <w:color w:val="auto"/>
          <w:sz w:val="24"/>
          <w:highlight w:val="none"/>
          <w:lang w:val="zh-CN"/>
        </w:rPr>
        <w:t xml:space="preserve"> </w:t>
      </w:r>
      <w:r>
        <w:rPr>
          <w:rFonts w:hint="eastAsia" w:ascii="宋体" w:hAnsi="宋体" w:cs="楷体_GB2312"/>
          <w:b/>
          <w:color w:val="auto"/>
          <w:sz w:val="24"/>
          <w:highlight w:val="none"/>
          <w:lang w:val="zh-CN"/>
        </w:rPr>
        <w:t>投标文件</w:t>
      </w:r>
      <w:r>
        <w:rPr>
          <w:rFonts w:hint="eastAsia" w:ascii="宋体" w:hAnsi="宋体" w:cs="楷体_GB2312"/>
          <w:b/>
          <w:color w:val="auto"/>
          <w:sz w:val="24"/>
          <w:highlight w:val="none"/>
        </w:rPr>
        <w:t>应</w:t>
      </w:r>
      <w:r>
        <w:rPr>
          <w:rFonts w:hint="eastAsia" w:ascii="宋体" w:hAnsi="宋体" w:cs="楷体_GB2312"/>
          <w:b/>
          <w:color w:val="auto"/>
          <w:sz w:val="24"/>
          <w:highlight w:val="none"/>
          <w:lang w:val="zh-CN"/>
        </w:rPr>
        <w:t>按招标文件相关要求（含格式上标注的要求）、</w:t>
      </w:r>
      <w:r>
        <w:rPr>
          <w:rFonts w:hint="eastAsia" w:ascii="宋体" w:hAnsi="宋体" w:cs="楷体_GB2312"/>
          <w:b/>
          <w:color w:val="auto"/>
          <w:sz w:val="24"/>
          <w:highlight w:val="none"/>
        </w:rPr>
        <w:t>使用供应商企业数字证书进行电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签章和供应商法定代表人数字证书进行电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签名（签章）、并加密，没有使用供应商企业数字证书和供应商法定代表人数字证书进行电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签名（签章）并加密的投标文件，属于未按照招标文件要求进行签署。</w:t>
      </w:r>
    </w:p>
    <w:p>
      <w:pPr>
        <w:adjustRightInd w:val="0"/>
        <w:snapToGrid w:val="0"/>
        <w:spacing w:before="156" w:beforeLines="50" w:line="300" w:lineRule="auto"/>
        <w:ind w:firstLine="482" w:firstLineChars="200"/>
        <w:rPr>
          <w:rFonts w:ascii="宋体" w:hAnsi="宋体" w:cs="楷体_GB2312"/>
          <w:color w:val="auto"/>
          <w:sz w:val="24"/>
          <w:highlight w:val="none"/>
          <w:lang w:val="zh-CN"/>
        </w:rPr>
      </w:pPr>
      <w:r>
        <w:rPr>
          <w:rFonts w:hint="eastAsia" w:ascii="宋体" w:hAnsi="宋体" w:cs="楷体_GB2312"/>
          <w:b/>
          <w:color w:val="auto"/>
          <w:sz w:val="24"/>
          <w:highlight w:val="none"/>
        </w:rPr>
        <w:t>根据《中华人民共和国电子签名法》规定，可靠的电子签名与手写签名或者盖章具有同等的法律效力。本次采购活动中，供应商使用有效的企业数字证书对投标文件进行电子签章与加盖投标</w:t>
      </w:r>
      <w:r>
        <w:rPr>
          <w:rFonts w:ascii="宋体" w:hAnsi="宋体" w:cs="楷体_GB2312"/>
          <w:b/>
          <w:color w:val="auto"/>
          <w:sz w:val="24"/>
          <w:highlight w:val="none"/>
        </w:rPr>
        <w:t>人公</w:t>
      </w:r>
      <w:r>
        <w:rPr>
          <w:rFonts w:hint="eastAsia" w:ascii="宋体" w:hAnsi="宋体" w:cs="楷体_GB2312"/>
          <w:b/>
          <w:color w:val="auto"/>
          <w:sz w:val="24"/>
          <w:highlight w:val="none"/>
        </w:rPr>
        <w:t>章具有同等法律效力；供应商法定代表人使用有效的个人数字证书对投标文件进行签名（签章）与法人签章具有同等法律效力。</w:t>
      </w:r>
    </w:p>
    <w:p>
      <w:pPr>
        <w:adjustRightInd w:val="0"/>
        <w:snapToGrid w:val="0"/>
        <w:spacing w:before="156"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w:t>
      </w:r>
      <w:r>
        <w:rPr>
          <w:rFonts w:hint="eastAsia" w:ascii="宋体" w:hAnsi="宋体" w:cs="楷体_GB2312"/>
          <w:color w:val="auto"/>
          <w:sz w:val="24"/>
          <w:highlight w:val="none"/>
          <w:lang w:val="zh-CN"/>
        </w:rPr>
        <w:t>5投标人可对本招标文件中所列的所有标段（包）进行分别投标，也可选择其中一个标段（包）或几个标段（包）投标，但不得将招标文件规定的同一标段（包）的内容拆开投标，否则将按</w:t>
      </w:r>
      <w:r>
        <w:rPr>
          <w:rFonts w:hint="eastAsia" w:ascii="宋体" w:hAnsi="宋体" w:cs="楷体_GB2312"/>
          <w:b/>
          <w:color w:val="auto"/>
          <w:sz w:val="24"/>
          <w:highlight w:val="none"/>
          <w:lang w:val="zh-CN"/>
        </w:rPr>
        <w:t>无效投标处理</w:t>
      </w:r>
      <w:r>
        <w:rPr>
          <w:rFonts w:hint="eastAsia" w:ascii="宋体" w:hAnsi="宋体" w:cs="楷体_GB2312"/>
          <w:color w:val="auto"/>
          <w:sz w:val="24"/>
          <w:highlight w:val="none"/>
          <w:lang w:val="zh-CN"/>
        </w:rPr>
        <w:t>。</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3.7.6 </w:t>
      </w:r>
      <w:r>
        <w:rPr>
          <w:rFonts w:hint="eastAsia" w:ascii="宋体" w:hAnsi="宋体" w:cs="楷体_GB2312"/>
          <w:color w:val="auto"/>
          <w:sz w:val="24"/>
          <w:highlight w:val="none"/>
          <w:lang w:val="zh-CN"/>
        </w:rPr>
        <w:t>投标文件因字迹或表述不清所引起的后果由投标人自行负责。</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3.7.7 </w:t>
      </w:r>
      <w:r>
        <w:rPr>
          <w:rFonts w:hint="eastAsia" w:ascii="宋体" w:hAnsi="宋体" w:cs="楷体_GB2312"/>
          <w:color w:val="auto"/>
          <w:sz w:val="24"/>
          <w:highlight w:val="none"/>
          <w:lang w:val="zh-CN"/>
        </w:rPr>
        <w:t>未按上述要求提供的投标文件将视为</w:t>
      </w:r>
      <w:r>
        <w:rPr>
          <w:rFonts w:hint="eastAsia" w:ascii="宋体" w:hAnsi="宋体" w:cs="楷体_GB2312"/>
          <w:b/>
          <w:color w:val="auto"/>
          <w:sz w:val="24"/>
          <w:highlight w:val="none"/>
          <w:lang w:val="zh-CN"/>
        </w:rPr>
        <w:t>无效投标。</w:t>
      </w:r>
    </w:p>
    <w:p>
      <w:pPr>
        <w:autoSpaceDE w:val="0"/>
        <w:autoSpaceDN w:val="0"/>
        <w:adjustRightInd w:val="0"/>
        <w:spacing w:line="360" w:lineRule="auto"/>
        <w:ind w:firstLine="539"/>
        <w:rPr>
          <w:rFonts w:ascii="黑体" w:hAnsi="黑体" w:eastAsia="黑体" w:cs="楷体_GB2312"/>
          <w:b/>
          <w:bCs/>
          <w:color w:val="auto"/>
          <w:sz w:val="28"/>
          <w:szCs w:val="28"/>
          <w:highlight w:val="none"/>
          <w:lang w:val="zh-CN"/>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36" w:name="_Toc165383932"/>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投标</w:t>
      </w:r>
      <w:bookmarkEnd w:id="36"/>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4.1 </w:t>
      </w:r>
      <w:r>
        <w:rPr>
          <w:rFonts w:hint="eastAsia" w:ascii="黑体" w:hAnsi="黑体" w:eastAsia="黑体" w:cs="楷体_GB2312"/>
          <w:b/>
          <w:color w:val="auto"/>
          <w:sz w:val="24"/>
          <w:highlight w:val="none"/>
          <w:lang w:val="zh-CN"/>
        </w:rPr>
        <w:t>投标文件的密封和标记：</w:t>
      </w:r>
    </w:p>
    <w:p>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bookmarkStart w:id="37" w:name="OLE_LINK2"/>
      <w:r>
        <w:rPr>
          <w:rFonts w:ascii="宋体" w:hAnsi="宋体" w:cs="楷体_GB2312"/>
          <w:b/>
          <w:color w:val="auto"/>
          <w:sz w:val="24"/>
          <w:highlight w:val="none"/>
          <w:lang w:val="zh-CN"/>
        </w:rPr>
        <w:t xml:space="preserve">4.1.1 </w:t>
      </w:r>
      <w:r>
        <w:rPr>
          <w:rFonts w:hint="eastAsia" w:ascii="宋体" w:hAnsi="宋体" w:cs="楷体_GB2312"/>
          <w:b/>
          <w:color w:val="auto"/>
          <w:sz w:val="24"/>
          <w:highlight w:val="none"/>
          <w:lang w:val="zh-CN"/>
        </w:rPr>
        <w:t>投标文件应</w:t>
      </w:r>
      <w:r>
        <w:rPr>
          <w:rFonts w:ascii="宋体" w:hAnsi="宋体" w:cs="楷体_GB2312"/>
          <w:b/>
          <w:color w:val="auto"/>
          <w:sz w:val="24"/>
          <w:highlight w:val="none"/>
          <w:lang w:val="zh-CN"/>
        </w:rPr>
        <w:t>当</w:t>
      </w:r>
      <w:r>
        <w:rPr>
          <w:rFonts w:hint="eastAsia" w:ascii="宋体" w:hAnsi="宋体" w:cs="楷体_GB2312"/>
          <w:b/>
          <w:color w:val="auto"/>
          <w:sz w:val="24"/>
          <w:highlight w:val="none"/>
          <w:lang w:val="zh-CN"/>
        </w:rPr>
        <w:t>按网上电子交易系统要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进行</w:t>
      </w:r>
      <w:r>
        <w:rPr>
          <w:rFonts w:ascii="宋体" w:hAnsi="宋体" w:cs="楷体_GB2312"/>
          <w:b/>
          <w:color w:val="auto"/>
          <w:sz w:val="24"/>
          <w:highlight w:val="none"/>
          <w:lang w:val="zh-CN"/>
        </w:rPr>
        <w:t>加密</w:t>
      </w:r>
      <w:r>
        <w:rPr>
          <w:rFonts w:hint="eastAsia" w:ascii="宋体" w:hAnsi="宋体" w:cs="楷体_GB2312"/>
          <w:b/>
          <w:color w:val="auto"/>
          <w:sz w:val="24"/>
          <w:highlight w:val="none"/>
          <w:lang w:val="zh-CN"/>
        </w:rPr>
        <w:t>和标记，</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投标文件提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截止时间前，将</w:t>
      </w:r>
      <w:r>
        <w:rPr>
          <w:rFonts w:ascii="宋体" w:hAnsi="宋体" w:cs="楷体_GB2312"/>
          <w:b/>
          <w:color w:val="auto"/>
          <w:sz w:val="24"/>
          <w:highlight w:val="none"/>
          <w:lang w:val="zh-CN"/>
        </w:rPr>
        <w:t>加密的</w:t>
      </w:r>
      <w:r>
        <w:rPr>
          <w:rFonts w:hint="eastAsia" w:ascii="宋体" w:hAnsi="宋体" w:cs="楷体_GB2312"/>
          <w:b/>
          <w:color w:val="auto"/>
          <w:sz w:val="24"/>
          <w:highlight w:val="none"/>
          <w:lang w:val="zh-CN"/>
        </w:rPr>
        <w:t>投标文件</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传至招标公告所述网上电子交易系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w:t>
      </w:r>
    </w:p>
    <w:p>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bookmarkStart w:id="38" w:name="OLE_LINK1"/>
      <w:r>
        <w:rPr>
          <w:rFonts w:ascii="宋体" w:hAnsi="宋体" w:cs="楷体_GB2312"/>
          <w:b/>
          <w:color w:val="auto"/>
          <w:sz w:val="24"/>
          <w:highlight w:val="none"/>
          <w:lang w:val="zh-CN"/>
        </w:rPr>
        <w:t xml:space="preserve">4.1.2 </w:t>
      </w:r>
      <w:r>
        <w:rPr>
          <w:rFonts w:hint="eastAsia" w:ascii="宋体" w:hAnsi="宋体" w:cs="楷体_GB2312"/>
          <w:b/>
          <w:color w:val="auto"/>
          <w:sz w:val="24"/>
          <w:highlight w:val="none"/>
          <w:lang w:val="zh-CN"/>
        </w:rPr>
        <w:t>投标文件没有按照上述要求进行</w:t>
      </w:r>
      <w:r>
        <w:rPr>
          <w:rFonts w:ascii="宋体" w:hAnsi="宋体" w:cs="楷体_GB2312"/>
          <w:b/>
          <w:color w:val="auto"/>
          <w:sz w:val="24"/>
          <w:highlight w:val="none"/>
          <w:lang w:val="zh-CN"/>
        </w:rPr>
        <w:t>加密</w:t>
      </w:r>
      <w:r>
        <w:rPr>
          <w:rFonts w:hint="eastAsia" w:ascii="黑体" w:hAnsi="黑体" w:eastAsia="黑体" w:cs="楷体_GB2312"/>
          <w:b/>
          <w:color w:val="auto"/>
          <w:sz w:val="24"/>
          <w:highlight w:val="none"/>
          <w:lang w:val="zh-CN"/>
        </w:rPr>
        <w:t>和标记</w:t>
      </w:r>
      <w:r>
        <w:rPr>
          <w:rFonts w:hint="eastAsia" w:ascii="宋体" w:hAnsi="宋体" w:cs="楷体_GB2312"/>
          <w:b/>
          <w:color w:val="auto"/>
          <w:sz w:val="24"/>
          <w:highlight w:val="none"/>
          <w:lang w:val="zh-CN"/>
        </w:rPr>
        <w:t>的、网上电子交易系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将</w:t>
      </w:r>
      <w:r>
        <w:rPr>
          <w:rFonts w:ascii="宋体" w:hAnsi="宋体" w:cs="楷体_GB2312"/>
          <w:b/>
          <w:color w:val="auto"/>
          <w:sz w:val="24"/>
          <w:highlight w:val="none"/>
          <w:lang w:val="zh-CN"/>
        </w:rPr>
        <w:t>据系统设定</w:t>
      </w:r>
      <w:r>
        <w:rPr>
          <w:rFonts w:hint="eastAsia" w:ascii="宋体" w:hAnsi="宋体" w:cs="楷体_GB2312"/>
          <w:b/>
          <w:color w:val="auto"/>
          <w:sz w:val="24"/>
          <w:highlight w:val="none"/>
          <w:lang w:val="zh-CN"/>
        </w:rPr>
        <w:t>拒收其投标文件，投标人应自负该项风险，采购代理机构对可能产</w:t>
      </w:r>
      <w:r>
        <w:rPr>
          <w:rFonts w:ascii="宋体" w:hAnsi="宋体" w:cs="楷体_GB2312"/>
          <w:b/>
          <w:color w:val="auto"/>
          <w:sz w:val="24"/>
          <w:highlight w:val="none"/>
          <w:lang w:val="zh-CN"/>
        </w:rPr>
        <w:t>生的</w:t>
      </w:r>
      <w:r>
        <w:rPr>
          <w:rFonts w:hint="eastAsia" w:ascii="宋体" w:hAnsi="宋体" w:cs="楷体_GB2312"/>
          <w:b/>
          <w:color w:val="auto"/>
          <w:sz w:val="24"/>
          <w:highlight w:val="none"/>
          <w:lang w:val="zh-CN"/>
        </w:rPr>
        <w:t>误投或提前启封概不负责。</w:t>
      </w:r>
      <w:bookmarkEnd w:id="38"/>
    </w:p>
    <w:bookmarkEnd w:id="37"/>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4.2 </w:t>
      </w:r>
      <w:r>
        <w:rPr>
          <w:rFonts w:hint="eastAsia" w:ascii="黑体" w:hAnsi="黑体" w:eastAsia="黑体" w:cs="楷体_GB2312"/>
          <w:b/>
          <w:color w:val="auto"/>
          <w:sz w:val="24"/>
          <w:highlight w:val="none"/>
          <w:lang w:val="zh-CN"/>
        </w:rPr>
        <w:t>投标文件的递交</w:t>
      </w:r>
    </w:p>
    <w:p>
      <w:pPr>
        <w:autoSpaceDE w:val="0"/>
        <w:autoSpaceDN w:val="0"/>
        <w:adjustRightInd w:val="0"/>
        <w:snapToGrid w:val="0"/>
        <w:spacing w:before="156" w:beforeLines="50" w:line="300" w:lineRule="auto"/>
        <w:ind w:left="-145" w:right="-41" w:firstLine="542"/>
        <w:rPr>
          <w:rFonts w:ascii="宋体" w:hAnsi="宋体" w:cs="楷体_GB2312"/>
          <w:b/>
          <w:color w:val="auto"/>
          <w:sz w:val="24"/>
          <w:highlight w:val="none"/>
          <w:lang w:val="zh-CN"/>
        </w:rPr>
      </w:pPr>
      <w:r>
        <w:rPr>
          <w:rFonts w:ascii="宋体" w:hAnsi="宋体" w:cs="楷体_GB2312"/>
          <w:color w:val="auto"/>
          <w:sz w:val="24"/>
          <w:highlight w:val="none"/>
          <w:lang w:val="zh-CN"/>
        </w:rPr>
        <w:t>4.2.1</w:t>
      </w:r>
      <w:r>
        <w:rPr>
          <w:rFonts w:hint="eastAsia" w:ascii="宋体" w:hAnsi="宋体"/>
          <w:color w:val="auto"/>
          <w:sz w:val="24"/>
          <w:szCs w:val="24"/>
          <w:highlight w:val="none"/>
        </w:rPr>
        <w:t>投标人应在投标截止时间前上传加密的电子投标文件（*.aytf）到安阳市电子招投标交易平台（http://222.139.28.234:2345/tpbidder）。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4.2.</w:t>
      </w:r>
      <w:r>
        <w:rPr>
          <w:rFonts w:hint="eastAsia" w:ascii="宋体" w:hAnsi="宋体" w:cs="楷体_GB2312"/>
          <w:color w:val="auto"/>
          <w:sz w:val="24"/>
          <w:highlight w:val="none"/>
          <w:lang w:val="zh-CN"/>
        </w:rPr>
        <w:t>2</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由于不可抗拒的原因，代理机构对投标文件的遗失和损坏不负任何责任。</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4.2.</w:t>
      </w:r>
      <w:r>
        <w:rPr>
          <w:rFonts w:hint="eastAsia" w:ascii="宋体" w:hAnsi="宋体" w:cs="楷体_GB2312"/>
          <w:color w:val="auto"/>
          <w:sz w:val="24"/>
          <w:highlight w:val="none"/>
          <w:lang w:val="zh-CN"/>
        </w:rPr>
        <w:t>3</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除投标人须知前附表另有规定外，投标人所递交的投标文件不予退还。</w:t>
      </w:r>
    </w:p>
    <w:p>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4.2.</w:t>
      </w:r>
      <w:r>
        <w:rPr>
          <w:rFonts w:hint="eastAsia" w:ascii="宋体" w:hAnsi="宋体" w:cs="楷体_GB2312"/>
          <w:b/>
          <w:color w:val="auto"/>
          <w:sz w:val="24"/>
          <w:highlight w:val="none"/>
          <w:lang w:val="zh-CN"/>
        </w:rPr>
        <w:t>4</w:t>
      </w:r>
      <w:r>
        <w:rPr>
          <w:rFonts w:ascii="宋体" w:hAnsi="宋体" w:cs="楷体_GB2312"/>
          <w:b/>
          <w:color w:val="auto"/>
          <w:sz w:val="24"/>
          <w:highlight w:val="none"/>
          <w:lang w:val="zh-CN"/>
        </w:rPr>
        <w:t xml:space="preserve"> </w:t>
      </w:r>
      <w:r>
        <w:rPr>
          <w:rFonts w:hint="eastAsia" w:ascii="宋体" w:hAnsi="宋体" w:cs="楷体_GB2312"/>
          <w:b/>
          <w:color w:val="auto"/>
          <w:sz w:val="24"/>
          <w:highlight w:val="none"/>
          <w:lang w:val="zh-CN"/>
        </w:rPr>
        <w:t>基于</w:t>
      </w:r>
      <w:r>
        <w:rPr>
          <w:rFonts w:ascii="宋体" w:hAnsi="宋体" w:cs="楷体_GB2312"/>
          <w:b/>
          <w:color w:val="auto"/>
          <w:sz w:val="24"/>
          <w:highlight w:val="none"/>
          <w:lang w:val="zh-CN"/>
        </w:rPr>
        <w:t>网上电子交易的</w:t>
      </w:r>
      <w:r>
        <w:rPr>
          <w:rFonts w:hint="eastAsia" w:ascii="宋体" w:hAnsi="宋体" w:cs="楷体_GB2312"/>
          <w:b/>
          <w:color w:val="auto"/>
          <w:sz w:val="24"/>
          <w:highlight w:val="none"/>
          <w:lang w:val="zh-CN"/>
        </w:rPr>
        <w:t>系统</w:t>
      </w:r>
      <w:r>
        <w:rPr>
          <w:rFonts w:ascii="宋体" w:hAnsi="宋体" w:cs="楷体_GB2312"/>
          <w:b/>
          <w:color w:val="auto"/>
          <w:sz w:val="24"/>
          <w:highlight w:val="none"/>
          <w:lang w:val="zh-CN"/>
        </w:rPr>
        <w:t>要求及</w:t>
      </w:r>
      <w:r>
        <w:rPr>
          <w:rFonts w:hint="eastAsia" w:ascii="宋体" w:hAnsi="宋体" w:cs="楷体_GB2312"/>
          <w:b/>
          <w:color w:val="auto"/>
          <w:sz w:val="24"/>
          <w:highlight w:val="none"/>
          <w:lang w:val="zh-CN"/>
        </w:rPr>
        <w:t>特点</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只</w:t>
      </w:r>
      <w:r>
        <w:rPr>
          <w:rFonts w:ascii="宋体" w:hAnsi="宋体" w:cs="楷体_GB2312"/>
          <w:b/>
          <w:color w:val="auto"/>
          <w:sz w:val="24"/>
          <w:highlight w:val="none"/>
          <w:lang w:val="zh-CN"/>
        </w:rPr>
        <w:t>接受基于</w:t>
      </w:r>
      <w:r>
        <w:rPr>
          <w:rFonts w:hint="eastAsia" w:ascii="宋体" w:hAnsi="宋体" w:cs="楷体_GB2312"/>
          <w:b/>
          <w:color w:val="auto"/>
          <w:sz w:val="24"/>
          <w:highlight w:val="none"/>
          <w:lang w:val="zh-CN"/>
        </w:rPr>
        <w:t>符</w:t>
      </w:r>
      <w:r>
        <w:rPr>
          <w:rFonts w:ascii="宋体" w:hAnsi="宋体" w:cs="楷体_GB2312"/>
          <w:b/>
          <w:color w:val="auto"/>
          <w:sz w:val="24"/>
          <w:highlight w:val="none"/>
          <w:lang w:val="zh-CN"/>
        </w:rPr>
        <w:t>合</w:t>
      </w:r>
      <w:r>
        <w:rPr>
          <w:rFonts w:hint="eastAsia" w:ascii="宋体" w:hAnsi="宋体" w:cs="楷体_GB2312"/>
          <w:b/>
          <w:color w:val="auto"/>
          <w:sz w:val="24"/>
          <w:highlight w:val="none"/>
          <w:lang w:val="zh-CN"/>
        </w:rPr>
        <w:t>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的</w:t>
      </w:r>
      <w:r>
        <w:rPr>
          <w:rFonts w:ascii="宋体" w:hAnsi="宋体" w:cs="楷体_GB2312"/>
          <w:b/>
          <w:color w:val="auto"/>
          <w:sz w:val="24"/>
          <w:highlight w:val="none"/>
          <w:lang w:val="zh-CN"/>
        </w:rPr>
        <w:t>投标</w:t>
      </w:r>
      <w:r>
        <w:rPr>
          <w:rFonts w:hint="eastAsia" w:ascii="宋体" w:hAnsi="宋体" w:cs="楷体_GB2312"/>
          <w:b/>
          <w:color w:val="auto"/>
          <w:sz w:val="24"/>
          <w:highlight w:val="none"/>
          <w:lang w:val="zh-CN"/>
        </w:rPr>
        <w:t>，</w:t>
      </w:r>
      <w:r>
        <w:rPr>
          <w:rFonts w:ascii="宋体" w:hAnsi="宋体" w:cs="楷体_GB2312"/>
          <w:b/>
          <w:color w:val="auto"/>
          <w:sz w:val="24"/>
          <w:highlight w:val="none"/>
          <w:lang w:val="zh-CN"/>
        </w:rPr>
        <w:t>其他如纸制、送达、</w:t>
      </w:r>
      <w:r>
        <w:rPr>
          <w:rFonts w:hint="eastAsia" w:ascii="宋体" w:hAnsi="宋体" w:cs="楷体_GB2312"/>
          <w:b/>
          <w:color w:val="auto"/>
          <w:sz w:val="24"/>
          <w:highlight w:val="none"/>
          <w:lang w:val="zh-CN"/>
        </w:rPr>
        <w:t>电报、电话、电子邮件等形式的投标概不接受。</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4.3 </w:t>
      </w:r>
      <w:r>
        <w:rPr>
          <w:rFonts w:hint="eastAsia" w:ascii="黑体" w:hAnsi="黑体" w:eastAsia="黑体" w:cs="楷体_GB2312"/>
          <w:b/>
          <w:color w:val="auto"/>
          <w:sz w:val="24"/>
          <w:highlight w:val="none"/>
          <w:lang w:val="zh-CN"/>
        </w:rPr>
        <w:t>投标文件的修改与撤回</w:t>
      </w:r>
      <w:r>
        <w:rPr>
          <w:rFonts w:hint="eastAsia" w:ascii="宋体" w:hAnsi="宋体" w:cs="楷体_GB2312"/>
          <w:color w:val="auto"/>
          <w:sz w:val="24"/>
          <w:highlight w:val="none"/>
          <w:lang w:val="zh-CN"/>
        </w:rPr>
        <w:t>：</w:t>
      </w:r>
    </w:p>
    <w:p>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4.3.1</w:t>
      </w:r>
      <w:r>
        <w:rPr>
          <w:rFonts w:hint="eastAsia" w:ascii="宋体" w:hAnsi="宋体" w:cs="楷体_GB2312"/>
          <w:b/>
          <w:color w:val="auto"/>
          <w:sz w:val="24"/>
          <w:highlight w:val="none"/>
          <w:lang w:val="zh-CN"/>
        </w:rPr>
        <w:t xml:space="preserve"> 投标人于提交投标文件截止时间前如对投标文件进行补充、修改，可以上传新的投标文件进行覆盖。投标人如撤回投标文件，应及时书面通知采购代理机构进行办理。</w:t>
      </w:r>
    </w:p>
    <w:p>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w:t>
      </w:r>
      <w:r>
        <w:rPr>
          <w:rFonts w:hint="eastAsia" w:ascii="宋体" w:hAnsi="宋体" w:cs="楷体_GB2312"/>
          <w:b/>
          <w:color w:val="auto"/>
          <w:sz w:val="24"/>
          <w:highlight w:val="none"/>
          <w:lang w:val="zh-CN"/>
        </w:rPr>
        <w:t>2 投标人在投标文件提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截止时间后不得自行修改或撤回其投标，否则依据招标文件“第三章3.5.5 违背承诺的责任追究措施”，投标人承担相应法律责任及违约责任。</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pPr>
        <w:autoSpaceDE w:val="0"/>
        <w:autoSpaceDN w:val="0"/>
        <w:adjustRightInd w:val="0"/>
        <w:snapToGrid w:val="0"/>
        <w:spacing w:before="156" w:beforeLines="50" w:line="300" w:lineRule="auto"/>
        <w:ind w:firstLine="539"/>
        <w:outlineLvl w:val="1"/>
        <w:rPr>
          <w:rFonts w:ascii="宋体" w:cs="楷体_GB2312"/>
          <w:color w:val="auto"/>
          <w:sz w:val="24"/>
          <w:highlight w:val="none"/>
          <w:lang w:val="zh-CN"/>
        </w:rPr>
      </w:pPr>
      <w:bookmarkStart w:id="39" w:name="_Toc165383933"/>
      <w:r>
        <w:rPr>
          <w:rFonts w:ascii="黑体" w:hAnsi="黑体" w:eastAsia="黑体" w:cs="楷体_GB2312"/>
          <w:b/>
          <w:bCs/>
          <w:color w:val="auto"/>
          <w:sz w:val="28"/>
          <w:szCs w:val="28"/>
          <w:highlight w:val="none"/>
          <w:lang w:val="zh-CN"/>
        </w:rPr>
        <w:t xml:space="preserve">5 </w:t>
      </w:r>
      <w:r>
        <w:rPr>
          <w:rFonts w:hint="eastAsia" w:ascii="黑体" w:hAnsi="黑体" w:eastAsia="黑体" w:cs="楷体_GB2312"/>
          <w:b/>
          <w:bCs/>
          <w:color w:val="auto"/>
          <w:sz w:val="28"/>
          <w:szCs w:val="28"/>
          <w:highlight w:val="none"/>
          <w:lang w:val="zh-CN"/>
        </w:rPr>
        <w:t>开标</w:t>
      </w:r>
      <w:bookmarkEnd w:id="39"/>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5.1 </w:t>
      </w:r>
      <w:r>
        <w:rPr>
          <w:rFonts w:hint="eastAsia" w:ascii="黑体" w:hAnsi="黑体" w:eastAsia="黑体" w:cs="楷体_GB2312"/>
          <w:b/>
          <w:color w:val="auto"/>
          <w:sz w:val="24"/>
          <w:highlight w:val="none"/>
          <w:lang w:val="zh-CN"/>
        </w:rPr>
        <w:t>开标时间和地点、开标程序</w:t>
      </w:r>
    </w:p>
    <w:p>
      <w:pPr>
        <w:autoSpaceDE w:val="0"/>
        <w:autoSpaceDN w:val="0"/>
        <w:adjustRightInd w:val="0"/>
        <w:snapToGrid w:val="0"/>
        <w:spacing w:before="156" w:beforeLines="50" w:line="300" w:lineRule="auto"/>
        <w:ind w:left="-145" w:right="-41" w:firstLine="540"/>
        <w:rPr>
          <w:rFonts w:ascii="宋体" w:hAnsi="宋体" w:cs="楷体_GB2312"/>
          <w:b/>
          <w:color w:val="auto"/>
          <w:sz w:val="24"/>
          <w:highlight w:val="none"/>
          <w:lang w:val="zh-CN"/>
        </w:rPr>
      </w:pPr>
      <w:r>
        <w:rPr>
          <w:rFonts w:ascii="宋体" w:hAnsi="宋体" w:cs="楷体_GB2312"/>
          <w:color w:val="auto"/>
          <w:sz w:val="24"/>
          <w:highlight w:val="none"/>
          <w:lang w:val="zh-CN"/>
        </w:rPr>
        <w:t>5.1.1</w:t>
      </w:r>
      <w:r>
        <w:rPr>
          <w:rFonts w:hint="eastAsia" w:ascii="宋体" w:hAnsi="宋体"/>
          <w:color w:val="auto"/>
          <w:sz w:val="24"/>
          <w:szCs w:val="24"/>
          <w:highlight w:val="none"/>
        </w:rPr>
        <w:t>本项目采用远程不见面交易的模式，开标当日，投标人无需到开标现场参加开标会议，投标人应当在投标截止时间前，使用IE浏览器登录到安阳市公共资源交易不见面开标大厅（http://222.139.28.234:2345/BidOpening），点击右上方【登录】按钮进入，在线准时参加开标活动并进行投标文件解密等。因投标人原因未能解密、解密失败或解密超时的将被拒绝。</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5.</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w:t>
      </w:r>
      <w:r>
        <w:rPr>
          <w:rFonts w:hint="eastAsia" w:ascii="宋体" w:hAnsi="宋体" w:cs="楷体_GB2312"/>
          <w:color w:val="auto"/>
          <w:sz w:val="24"/>
          <w:highlight w:val="none"/>
          <w:lang w:val="zh-CN"/>
        </w:rPr>
        <w:t>2</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投标人不足</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家的，将不予开标。</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40" w:name="_Toc165383934"/>
      <w:r>
        <w:rPr>
          <w:rFonts w:ascii="黑体" w:hAnsi="黑体" w:eastAsia="黑体" w:cs="楷体_GB2312"/>
          <w:b/>
          <w:bCs/>
          <w:color w:val="auto"/>
          <w:sz w:val="28"/>
          <w:szCs w:val="28"/>
          <w:highlight w:val="none"/>
          <w:lang w:val="zh-CN"/>
        </w:rPr>
        <w:t xml:space="preserve">6 </w:t>
      </w:r>
      <w:r>
        <w:rPr>
          <w:rFonts w:hint="eastAsia" w:ascii="黑体" w:hAnsi="黑体" w:eastAsia="黑体" w:cs="楷体_GB2312"/>
          <w:b/>
          <w:bCs/>
          <w:color w:val="auto"/>
          <w:sz w:val="28"/>
          <w:szCs w:val="28"/>
          <w:highlight w:val="none"/>
          <w:lang w:val="zh-CN"/>
        </w:rPr>
        <w:t>资格性审查</w:t>
      </w:r>
      <w:bookmarkEnd w:id="40"/>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6.1 </w:t>
      </w:r>
      <w:r>
        <w:rPr>
          <w:rFonts w:hint="eastAsia" w:ascii="黑体" w:hAnsi="黑体" w:eastAsia="黑体" w:cs="楷体_GB2312"/>
          <w:b/>
          <w:color w:val="auto"/>
          <w:sz w:val="24"/>
          <w:highlight w:val="none"/>
          <w:lang w:val="zh-CN"/>
        </w:rPr>
        <w:t>资格性审查环节</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公开招标采购项目开标结束后，采购人或者采购代理机构将依法对投标人的资格进行审查。</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6.2 </w:t>
      </w:r>
      <w:r>
        <w:rPr>
          <w:rFonts w:hint="eastAsia" w:ascii="黑体" w:hAnsi="黑体" w:eastAsia="黑体" w:cs="楷体_GB2312"/>
          <w:b/>
          <w:color w:val="auto"/>
          <w:sz w:val="24"/>
          <w:highlight w:val="none"/>
          <w:lang w:val="zh-CN"/>
        </w:rPr>
        <w:t>资格性审查内容</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1</w:t>
      </w:r>
      <w:r>
        <w:rPr>
          <w:rFonts w:hint="eastAsia" w:ascii="宋体" w:cs="楷体_GB2312"/>
          <w:color w:val="auto"/>
          <w:sz w:val="24"/>
          <w:highlight w:val="none"/>
          <w:lang w:val="zh-CN"/>
        </w:rPr>
        <w:t>）按照第一章“招标公告”第</w:t>
      </w:r>
      <w:r>
        <w:rPr>
          <w:rFonts w:ascii="宋体" w:cs="楷体_GB2312"/>
          <w:color w:val="auto"/>
          <w:sz w:val="24"/>
          <w:highlight w:val="none"/>
          <w:lang w:val="zh-CN"/>
        </w:rPr>
        <w:t>2</w:t>
      </w:r>
      <w:r>
        <w:rPr>
          <w:rFonts w:hint="eastAsia" w:ascii="宋体" w:cs="楷体_GB2312"/>
          <w:color w:val="auto"/>
          <w:sz w:val="24"/>
          <w:highlight w:val="none"/>
          <w:lang w:val="zh-CN"/>
        </w:rPr>
        <w:t>条各项资格要求规定，审查投标人是否符合第一章“招标公告”第</w:t>
      </w:r>
      <w:r>
        <w:rPr>
          <w:rFonts w:ascii="宋体" w:cs="楷体_GB2312"/>
          <w:color w:val="auto"/>
          <w:sz w:val="24"/>
          <w:highlight w:val="none"/>
          <w:lang w:val="zh-CN"/>
        </w:rPr>
        <w:t>2</w:t>
      </w:r>
      <w:r>
        <w:rPr>
          <w:rFonts w:hint="eastAsia" w:ascii="宋体" w:cs="楷体_GB2312"/>
          <w:color w:val="auto"/>
          <w:sz w:val="24"/>
          <w:highlight w:val="none"/>
          <w:lang w:val="zh-CN"/>
        </w:rPr>
        <w:t>条各项资格要求及所需证件材料、证明材料要求，不符合的、投标无效。</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2</w:t>
      </w:r>
      <w:r>
        <w:rPr>
          <w:rFonts w:hint="eastAsia" w:ascii="宋体" w:cs="楷体_GB2312"/>
          <w:color w:val="auto"/>
          <w:sz w:val="24"/>
          <w:highlight w:val="none"/>
          <w:lang w:val="zh-CN"/>
        </w:rPr>
        <w:t>）投标</w:t>
      </w:r>
      <w:r>
        <w:rPr>
          <w:rFonts w:hint="eastAsia" w:ascii="宋体" w:cs="楷体_GB2312"/>
          <w:color w:val="auto"/>
          <w:sz w:val="24"/>
          <w:highlight w:val="none"/>
        </w:rPr>
        <w:t>承诺函（替代投标</w:t>
      </w:r>
      <w:r>
        <w:rPr>
          <w:rFonts w:hint="eastAsia" w:ascii="宋体" w:cs="楷体_GB2312"/>
          <w:color w:val="auto"/>
          <w:sz w:val="24"/>
          <w:highlight w:val="none"/>
          <w:lang w:val="zh-CN"/>
        </w:rPr>
        <w:t>保证金</w:t>
      </w:r>
      <w:r>
        <w:rPr>
          <w:rFonts w:hint="eastAsia" w:ascii="宋体" w:cs="楷体_GB2312"/>
          <w:color w:val="auto"/>
          <w:sz w:val="24"/>
          <w:highlight w:val="none"/>
        </w:rPr>
        <w:t>）</w:t>
      </w:r>
      <w:r>
        <w:rPr>
          <w:rFonts w:hint="eastAsia" w:ascii="宋体" w:cs="楷体_GB2312"/>
          <w:color w:val="auto"/>
          <w:sz w:val="24"/>
          <w:highlight w:val="none"/>
          <w:lang w:val="zh-CN"/>
        </w:rPr>
        <w:t>。按照招标文件第三章“投标人须知”</w:t>
      </w:r>
      <w:r>
        <w:rPr>
          <w:rFonts w:ascii="宋体" w:cs="楷体_GB2312"/>
          <w:color w:val="auto"/>
          <w:sz w:val="24"/>
          <w:highlight w:val="none"/>
          <w:lang w:val="zh-CN"/>
        </w:rPr>
        <w:t>3.5</w:t>
      </w:r>
      <w:r>
        <w:rPr>
          <w:rFonts w:hint="eastAsia" w:ascii="宋体" w:cs="楷体_GB2312"/>
          <w:color w:val="auto"/>
          <w:sz w:val="24"/>
          <w:highlight w:val="none"/>
          <w:lang w:val="zh-CN"/>
        </w:rPr>
        <w:t>款规定审查，不符合的、投标无效。</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3</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招标公告、资格预审公告或者投标邀请书中载明</w:t>
      </w:r>
      <w:r>
        <w:rPr>
          <w:rFonts w:hint="eastAsia" w:ascii="宋体" w:cs="楷体_GB2312"/>
          <w:color w:val="auto"/>
          <w:sz w:val="24"/>
          <w:highlight w:val="none"/>
          <w:lang w:val="zh-CN"/>
        </w:rPr>
        <w:t>接受联合体投标的，按照招标文件第三章“</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1.4</w:t>
      </w:r>
      <w:r>
        <w:rPr>
          <w:rFonts w:hint="eastAsia" w:ascii="宋体" w:hAnsi="宋体" w:cs="楷体_GB2312"/>
          <w:color w:val="auto"/>
          <w:sz w:val="24"/>
          <w:highlight w:val="none"/>
          <w:lang w:val="zh-CN"/>
        </w:rPr>
        <w:t>款</w:t>
      </w:r>
      <w:r>
        <w:rPr>
          <w:rFonts w:hint="eastAsia" w:ascii="宋体" w:cs="楷体_GB2312"/>
          <w:color w:val="auto"/>
          <w:sz w:val="24"/>
          <w:highlight w:val="none"/>
          <w:lang w:val="zh-CN"/>
        </w:rPr>
        <w:t>规定进行审查，不符合的、投标无效。</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6.3 </w:t>
      </w:r>
      <w:r>
        <w:rPr>
          <w:rFonts w:hint="eastAsia" w:ascii="黑体" w:hAnsi="黑体" w:eastAsia="黑体" w:cs="楷体_GB2312"/>
          <w:b/>
          <w:color w:val="auto"/>
          <w:sz w:val="24"/>
          <w:highlight w:val="none"/>
          <w:lang w:val="zh-CN"/>
        </w:rPr>
        <w:t>资格性审查结果</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cs="楷体_GB2312"/>
          <w:color w:val="auto"/>
          <w:sz w:val="24"/>
          <w:highlight w:val="none"/>
          <w:lang w:val="zh-CN"/>
        </w:rPr>
        <w:t xml:space="preserve">6.3.1 </w:t>
      </w:r>
      <w:r>
        <w:rPr>
          <w:rFonts w:hint="eastAsia" w:ascii="宋体" w:cs="楷体_GB2312"/>
          <w:color w:val="auto"/>
          <w:sz w:val="24"/>
          <w:highlight w:val="none"/>
          <w:lang w:val="zh-CN"/>
        </w:rPr>
        <w:t>对未通过资格审查的投标人，将告知其未通过的原因。</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cs="楷体_GB2312"/>
          <w:color w:val="auto"/>
          <w:sz w:val="24"/>
          <w:highlight w:val="none"/>
          <w:lang w:val="zh-CN"/>
        </w:rPr>
        <w:t xml:space="preserve">6.3.2 </w:t>
      </w:r>
      <w:r>
        <w:rPr>
          <w:rFonts w:hint="eastAsia" w:ascii="宋体" w:cs="楷体_GB2312"/>
          <w:color w:val="auto"/>
          <w:sz w:val="24"/>
          <w:highlight w:val="none"/>
          <w:lang w:val="zh-CN"/>
        </w:rPr>
        <w:t>资格性审查合格投标人不足</w:t>
      </w:r>
      <w:r>
        <w:rPr>
          <w:rFonts w:ascii="宋体" w:cs="楷体_GB2312"/>
          <w:color w:val="auto"/>
          <w:sz w:val="24"/>
          <w:highlight w:val="none"/>
          <w:lang w:val="zh-CN"/>
        </w:rPr>
        <w:t>3</w:t>
      </w:r>
      <w:r>
        <w:rPr>
          <w:rFonts w:hint="eastAsia" w:ascii="宋体" w:cs="楷体_GB2312"/>
          <w:color w:val="auto"/>
          <w:sz w:val="24"/>
          <w:highlight w:val="none"/>
          <w:lang w:val="zh-CN"/>
        </w:rPr>
        <w:t>家的，将不再评标。</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pPr>
        <w:autoSpaceDE w:val="0"/>
        <w:autoSpaceDN w:val="0"/>
        <w:adjustRightInd w:val="0"/>
        <w:snapToGrid w:val="0"/>
        <w:spacing w:before="156" w:beforeLines="50" w:line="300" w:lineRule="auto"/>
        <w:ind w:firstLine="539"/>
        <w:outlineLvl w:val="1"/>
        <w:rPr>
          <w:rFonts w:ascii="宋体" w:cs="楷体_GB2312"/>
          <w:color w:val="auto"/>
          <w:sz w:val="24"/>
          <w:highlight w:val="none"/>
          <w:lang w:val="zh-CN"/>
        </w:rPr>
      </w:pPr>
      <w:bookmarkStart w:id="41" w:name="_Toc165383935"/>
      <w:r>
        <w:rPr>
          <w:rFonts w:ascii="黑体" w:hAnsi="黑体" w:eastAsia="黑体" w:cs="楷体_GB2312"/>
          <w:b/>
          <w:bCs/>
          <w:color w:val="auto"/>
          <w:sz w:val="28"/>
          <w:szCs w:val="28"/>
          <w:highlight w:val="none"/>
          <w:lang w:val="zh-CN"/>
        </w:rPr>
        <w:t xml:space="preserve">7 </w:t>
      </w:r>
      <w:r>
        <w:rPr>
          <w:rFonts w:hint="eastAsia" w:ascii="黑体" w:hAnsi="黑体" w:eastAsia="黑体" w:cs="楷体_GB2312"/>
          <w:b/>
          <w:bCs/>
          <w:color w:val="auto"/>
          <w:sz w:val="28"/>
          <w:szCs w:val="28"/>
          <w:highlight w:val="none"/>
          <w:lang w:val="zh-CN"/>
        </w:rPr>
        <w:t>评审</w:t>
      </w:r>
      <w:bookmarkEnd w:id="41"/>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7.1 </w:t>
      </w:r>
      <w:r>
        <w:rPr>
          <w:rFonts w:hint="eastAsia" w:ascii="黑体" w:hAnsi="黑体" w:eastAsia="黑体" w:cs="楷体_GB2312"/>
          <w:b/>
          <w:color w:val="auto"/>
          <w:sz w:val="24"/>
          <w:highlight w:val="none"/>
          <w:lang w:val="zh-CN"/>
        </w:rPr>
        <w:t>评标委员会</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评标工作由依法组建的评标委员会负责。评标委员会由采购人代表和评审专家共</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人及以上单数组成，其中评审专家人数不少于评标委员会成员总数的</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评审专家是在监督部门监督下从政府采购专家库中随机抽取产生。技术复杂、专业性强的采购项目，通过随机方式难以确定合适评审专家的，经主管预算单位同意，报经批准后，采购人自行选定相应专业领域的评审专家。</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7.2 </w:t>
      </w:r>
      <w:r>
        <w:rPr>
          <w:rFonts w:hint="eastAsia" w:ascii="黑体" w:hAnsi="黑体" w:eastAsia="黑体" w:cs="楷体_GB2312"/>
          <w:b/>
          <w:color w:val="auto"/>
          <w:sz w:val="24"/>
          <w:highlight w:val="none"/>
          <w:lang w:val="zh-CN"/>
        </w:rPr>
        <w:t>评审原则</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7.2.1 </w:t>
      </w:r>
      <w:r>
        <w:rPr>
          <w:rFonts w:hint="eastAsia" w:ascii="宋体" w:hAnsi="宋体" w:cs="楷体_GB2312"/>
          <w:color w:val="auto"/>
          <w:sz w:val="24"/>
          <w:highlight w:val="none"/>
          <w:lang w:val="zh-CN"/>
        </w:rPr>
        <w:t>坚持公开、公平、公正地对待所有投标人。</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7.2.2 </w:t>
      </w:r>
      <w:r>
        <w:rPr>
          <w:rFonts w:hint="eastAsia" w:ascii="宋体" w:hAnsi="宋体" w:cs="楷体_GB2312"/>
          <w:color w:val="auto"/>
          <w:sz w:val="24"/>
          <w:highlight w:val="none"/>
          <w:lang w:val="zh-CN"/>
        </w:rPr>
        <w:t>按照同一评审程序及方法审查所有投标人的投标文件。</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7.2.3 </w:t>
      </w:r>
      <w:r>
        <w:rPr>
          <w:rFonts w:hint="eastAsia" w:ascii="宋体" w:hAnsi="宋体" w:cs="楷体_GB2312"/>
          <w:color w:val="auto"/>
          <w:sz w:val="24"/>
          <w:highlight w:val="none"/>
          <w:lang w:val="zh-CN"/>
        </w:rPr>
        <w:t>反对不正当竞争</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7.3 </w:t>
      </w:r>
      <w:r>
        <w:rPr>
          <w:rFonts w:hint="eastAsia" w:ascii="黑体" w:hAnsi="黑体" w:eastAsia="黑体" w:cs="楷体_GB2312"/>
          <w:b/>
          <w:color w:val="auto"/>
          <w:sz w:val="24"/>
          <w:highlight w:val="none"/>
          <w:lang w:val="zh-CN"/>
        </w:rPr>
        <w:t>评审</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7.3.1</w:t>
      </w:r>
      <w:r>
        <w:rPr>
          <w:rFonts w:hint="eastAsia" w:ascii="宋体" w:hAnsi="宋体" w:cs="楷体_GB2312"/>
          <w:color w:val="auto"/>
          <w:sz w:val="24"/>
          <w:highlight w:val="none"/>
          <w:lang w:val="zh-CN"/>
        </w:rPr>
        <w:t>评审工作在评标委员会内独立进行。评标委员会按照第四章“评标办法”规定的方法、评标因素、标准和程序对投标文件进行评审。第四章“评标办法”没有规定的方法、评标因素和标准，不作为评审依据。</w:t>
      </w:r>
    </w:p>
    <w:p>
      <w:pPr>
        <w:adjustRightInd w:val="0"/>
        <w:snapToGrid w:val="0"/>
        <w:spacing w:line="300" w:lineRule="auto"/>
        <w:ind w:firstLine="480" w:firstLineChars="200"/>
        <w:jc w:val="left"/>
        <w:rPr>
          <w:rFonts w:ascii="宋体" w:cs="楷体_GB2312"/>
          <w:color w:val="auto"/>
          <w:sz w:val="24"/>
          <w:highlight w:val="none"/>
          <w:lang w:val="zh-CN"/>
        </w:rPr>
      </w:pPr>
      <w:r>
        <w:rPr>
          <w:rFonts w:ascii="宋体" w:hAnsi="宋体" w:cs="宋体"/>
          <w:color w:val="auto"/>
          <w:sz w:val="24"/>
          <w:highlight w:val="none"/>
        </w:rPr>
        <w:t xml:space="preserve">7.3.2 </w:t>
      </w:r>
      <w:r>
        <w:rPr>
          <w:rFonts w:hint="eastAsia" w:ascii="宋体" w:hAnsi="宋体" w:cs="宋体"/>
          <w:color w:val="auto"/>
          <w:sz w:val="24"/>
          <w:highlight w:val="none"/>
        </w:rPr>
        <w:t>评标中因评标委员会成员缺席、回避或者健康等特殊原因导致评标委员会组成不符政府采购法规规定的，无法及时补足评标委员会成员的，采购代理机构将停止评标活动，封存所有投标文件和开标、评标资料，依法重新组建评标委员会进行评标。原评标委员会所作出的评标意见无效。</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7.3.3 </w:t>
      </w:r>
      <w:r>
        <w:rPr>
          <w:rFonts w:hint="eastAsia" w:ascii="宋体" w:hAnsi="宋体" w:cs="楷体_GB2312"/>
          <w:color w:val="auto"/>
          <w:sz w:val="24"/>
          <w:highlight w:val="none"/>
          <w:lang w:val="zh-CN"/>
        </w:rPr>
        <w:t>在开标、评审期间，投标人不得向评标委员会成员询问情况，不得进行旨在影响评审结果的活动。</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42" w:name="_Toc165383936"/>
      <w:r>
        <w:rPr>
          <w:rFonts w:ascii="黑体" w:hAnsi="黑体" w:eastAsia="黑体" w:cs="楷体_GB2312"/>
          <w:b/>
          <w:bCs/>
          <w:color w:val="auto"/>
          <w:sz w:val="28"/>
          <w:szCs w:val="28"/>
          <w:highlight w:val="none"/>
          <w:lang w:val="zh-CN"/>
        </w:rPr>
        <w:t xml:space="preserve">8 </w:t>
      </w:r>
      <w:r>
        <w:rPr>
          <w:rFonts w:hint="eastAsia" w:ascii="黑体" w:hAnsi="黑体" w:eastAsia="黑体" w:cs="楷体_GB2312"/>
          <w:b/>
          <w:bCs/>
          <w:color w:val="auto"/>
          <w:sz w:val="28"/>
          <w:szCs w:val="28"/>
          <w:highlight w:val="none"/>
          <w:lang w:val="zh-CN"/>
        </w:rPr>
        <w:t>授予合同</w:t>
      </w:r>
      <w:bookmarkEnd w:id="42"/>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8.1 </w:t>
      </w:r>
      <w:r>
        <w:rPr>
          <w:rFonts w:hint="eastAsia" w:ascii="黑体" w:hAnsi="黑体" w:eastAsia="黑体" w:cs="楷体_GB2312"/>
          <w:b/>
          <w:color w:val="auto"/>
          <w:sz w:val="24"/>
          <w:highlight w:val="none"/>
          <w:lang w:val="zh-CN"/>
        </w:rPr>
        <w:t>确定中标人方式</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除投标人须知前附表规定授权评标委员会直接确定中标人外，采购人应当自收到评标报告之日起</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个工作日内在评标报告推荐的中标候选人中按顺序确定中标人。若排名第一的中标候选人放弃中标，或者因不可抗力不能履行合同，或者被查实存在影响中标结果的违法行为等情形、不符合中标条件的，采购人可以按照评标委员会提出的中标候选人名单排序依次确定其他中标候选人为中标人，也可以重新采购。</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8.2 </w:t>
      </w:r>
      <w:r>
        <w:rPr>
          <w:rFonts w:hint="eastAsia" w:ascii="黑体" w:hAnsi="黑体" w:eastAsia="黑体" w:cs="楷体_GB2312"/>
          <w:b/>
          <w:color w:val="auto"/>
          <w:sz w:val="24"/>
          <w:highlight w:val="none"/>
          <w:lang w:val="zh-CN"/>
        </w:rPr>
        <w:t>中标结果公告</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采购代理机构在中标人当天在招标公告所述媒体公告中标结果。同时向中标人发出中标通知书。中标结果公告期限为</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个工作日。</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8.3 </w:t>
      </w:r>
      <w:r>
        <w:rPr>
          <w:rFonts w:hint="eastAsia" w:ascii="黑体" w:hAnsi="黑体" w:eastAsia="黑体" w:cs="楷体_GB2312"/>
          <w:b/>
          <w:color w:val="auto"/>
          <w:sz w:val="24"/>
          <w:highlight w:val="none"/>
          <w:lang w:val="zh-CN"/>
        </w:rPr>
        <w:t>质疑、投诉：</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olor w:val="auto"/>
          <w:sz w:val="24"/>
          <w:highlight w:val="none"/>
        </w:rPr>
        <w:t>8.3.1</w:t>
      </w:r>
      <w:r>
        <w:rPr>
          <w:rFonts w:ascii="黑体" w:hAnsi="黑体" w:eastAsia="黑体" w:cs="楷体_GB2312"/>
          <w:b/>
          <w:color w:val="auto"/>
          <w:sz w:val="24"/>
          <w:highlight w:val="none"/>
          <w:lang w:val="zh-CN"/>
        </w:rPr>
        <w:t xml:space="preserve"> </w:t>
      </w:r>
      <w:r>
        <w:rPr>
          <w:rFonts w:hint="eastAsia" w:ascii="宋体" w:hAnsi="宋体" w:cs="楷体_GB2312"/>
          <w:color w:val="auto"/>
          <w:sz w:val="24"/>
          <w:highlight w:val="none"/>
          <w:lang w:val="zh-CN"/>
        </w:rPr>
        <w:t>见投标人须知前附表</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8.3.2 </w:t>
      </w:r>
      <w:r>
        <w:rPr>
          <w:rFonts w:hint="eastAsia" w:ascii="宋体" w:hAnsi="宋体" w:cs="楷体_GB2312"/>
          <w:color w:val="auto"/>
          <w:sz w:val="24"/>
          <w:highlight w:val="none"/>
          <w:lang w:val="zh-CN"/>
        </w:rPr>
        <w:t>依据政府采购法规规定，招标公告、资格预审公告的公告期限为</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个工作日，中标公告期限为</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个工作日，投标人应在法定期限内提出质疑，逾期提交或未按照要求提交的质疑函将不予受理。</w:t>
      </w:r>
    </w:p>
    <w:p>
      <w:pPr>
        <w:adjustRightInd w:val="0"/>
        <w:snapToGrid w:val="0"/>
        <w:spacing w:before="156" w:beforeLines="50" w:line="300" w:lineRule="auto"/>
        <w:ind w:firstLine="600" w:firstLineChars="250"/>
        <w:rPr>
          <w:rFonts w:ascii="宋体"/>
          <w:color w:val="auto"/>
          <w:sz w:val="24"/>
          <w:highlight w:val="none"/>
        </w:rPr>
      </w:pPr>
      <w:r>
        <w:rPr>
          <w:rFonts w:ascii="宋体" w:hAnsi="宋体"/>
          <w:color w:val="auto"/>
          <w:sz w:val="24"/>
          <w:highlight w:val="none"/>
        </w:rPr>
        <w:t xml:space="preserve">8.3.3 </w:t>
      </w:r>
      <w:r>
        <w:rPr>
          <w:rFonts w:hint="eastAsia" w:ascii="宋体" w:hAnsi="宋体"/>
          <w:color w:val="auto"/>
          <w:sz w:val="24"/>
          <w:highlight w:val="none"/>
        </w:rPr>
        <w:t>询问或者质疑事项可能影响中标结果的，采购人应当暂停签订合同，已经签订合同的，应当中止履行合同。</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8.4 </w:t>
      </w:r>
      <w:r>
        <w:rPr>
          <w:rFonts w:hint="eastAsia" w:ascii="黑体" w:hAnsi="黑体" w:eastAsia="黑体" w:cs="楷体_GB2312"/>
          <w:b/>
          <w:color w:val="auto"/>
          <w:sz w:val="24"/>
          <w:highlight w:val="none"/>
          <w:lang w:val="zh-CN"/>
        </w:rPr>
        <w:t>中标通知：</w:t>
      </w:r>
      <w:r>
        <w:rPr>
          <w:rFonts w:hint="eastAsia" w:ascii="宋体" w:hAnsi="宋体" w:cs="楷体_GB2312"/>
          <w:color w:val="auto"/>
          <w:sz w:val="24"/>
          <w:highlight w:val="none"/>
          <w:lang w:val="zh-CN"/>
        </w:rPr>
        <w:t>见投标人须知前附表</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8.5 </w:t>
      </w:r>
      <w:r>
        <w:rPr>
          <w:rFonts w:hint="eastAsia" w:ascii="黑体" w:hAnsi="黑体" w:eastAsia="黑体" w:cs="楷体_GB2312"/>
          <w:b/>
          <w:color w:val="auto"/>
          <w:sz w:val="24"/>
          <w:highlight w:val="none"/>
          <w:lang w:val="zh-CN"/>
        </w:rPr>
        <w:t>履约保证金</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8.5.1</w:t>
      </w:r>
      <w:r>
        <w:rPr>
          <w:rFonts w:hint="eastAsia" w:ascii="宋体" w:hAnsi="宋体" w:cs="楷体_GB2312"/>
          <w:color w:val="auto"/>
          <w:sz w:val="24"/>
          <w:highlight w:val="none"/>
          <w:lang w:val="zh-CN"/>
        </w:rPr>
        <w:t>在签订合同时，中标人应按投标人须知前附表规定向采购人提交履约保证金。</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8.5.2 </w:t>
      </w:r>
      <w:r>
        <w:rPr>
          <w:rFonts w:hint="eastAsia" w:ascii="宋体" w:hAnsi="宋体" w:cs="楷体_GB2312"/>
          <w:color w:val="auto"/>
          <w:sz w:val="24"/>
          <w:highlight w:val="none"/>
          <w:lang w:val="zh-CN"/>
        </w:rPr>
        <w:t>中标人不能按本章第8</w:t>
      </w:r>
      <w:r>
        <w:rPr>
          <w:rFonts w:ascii="宋体" w:hAnsi="宋体" w:cs="楷体_GB2312"/>
          <w:color w:val="auto"/>
          <w:sz w:val="24"/>
          <w:highlight w:val="none"/>
          <w:lang w:val="zh-CN"/>
        </w:rPr>
        <w:t>.5.1</w:t>
      </w:r>
      <w:r>
        <w:rPr>
          <w:rFonts w:hint="eastAsia" w:ascii="宋体" w:hAnsi="宋体" w:cs="楷体_GB2312"/>
          <w:color w:val="auto"/>
          <w:sz w:val="24"/>
          <w:highlight w:val="none"/>
          <w:lang w:val="zh-CN"/>
        </w:rPr>
        <w:t>项要求提交履约保证金的，视为放弃中标资格，</w:t>
      </w:r>
      <w:r>
        <w:rPr>
          <w:rFonts w:hint="eastAsia" w:ascii="宋体" w:hAnsi="宋体"/>
          <w:color w:val="auto"/>
          <w:sz w:val="24"/>
          <w:szCs w:val="24"/>
          <w:highlight w:val="none"/>
        </w:rPr>
        <w:t>依据招标文件“第三章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”，投标人</w:t>
      </w:r>
      <w:r>
        <w:rPr>
          <w:rFonts w:hint="eastAsia" w:ascii="宋体" w:hAnsi="宋体" w:cs="楷体_GB2312"/>
          <w:color w:val="auto"/>
          <w:sz w:val="24"/>
          <w:szCs w:val="22"/>
          <w:highlight w:val="none"/>
        </w:rPr>
        <w:t>承担相应法律责任及违约责任。</w:t>
      </w:r>
      <w:r>
        <w:rPr>
          <w:rFonts w:hint="eastAsia" w:ascii="宋体" w:hAnsi="宋体" w:cs="楷体_GB2312"/>
          <w:color w:val="auto"/>
          <w:sz w:val="24"/>
          <w:highlight w:val="none"/>
          <w:lang w:val="zh-CN"/>
        </w:rPr>
        <w:t>给采购人及采购代理机构造成的损失，中标人应当予以赔偿。</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8.6 </w:t>
      </w:r>
      <w:r>
        <w:rPr>
          <w:rFonts w:hint="eastAsia" w:ascii="黑体" w:hAnsi="黑体" w:eastAsia="黑体" w:cs="楷体_GB2312"/>
          <w:b/>
          <w:color w:val="auto"/>
          <w:sz w:val="24"/>
          <w:highlight w:val="none"/>
          <w:lang w:val="zh-CN"/>
        </w:rPr>
        <w:t>签订合同</w:t>
      </w:r>
    </w:p>
    <w:p>
      <w:pPr>
        <w:autoSpaceDE w:val="0"/>
        <w:autoSpaceDN w:val="0"/>
        <w:adjustRightInd w:val="0"/>
        <w:snapToGrid w:val="0"/>
        <w:spacing w:before="156" w:beforeLines="50" w:line="300" w:lineRule="auto"/>
        <w:ind w:firstLine="539"/>
        <w:rPr>
          <w:rFonts w:ascii="宋体" w:hAnsi="宋体"/>
          <w:color w:val="auto"/>
          <w:sz w:val="24"/>
          <w:highlight w:val="none"/>
        </w:rPr>
      </w:pPr>
      <w:r>
        <w:rPr>
          <w:rFonts w:ascii="宋体" w:hAnsi="宋体"/>
          <w:color w:val="auto"/>
          <w:sz w:val="24"/>
          <w:highlight w:val="none"/>
        </w:rPr>
        <w:t xml:space="preserve">8.6.1 </w:t>
      </w:r>
      <w:r>
        <w:rPr>
          <w:rFonts w:hint="eastAsia" w:ascii="宋体" w:hAnsi="宋体"/>
          <w:color w:val="auto"/>
          <w:sz w:val="24"/>
          <w:highlight w:val="none"/>
        </w:rPr>
        <w:t>据优化营商环境精神，中标人应在《中标通知书》发出后2个工作日内，按照招标文件确定的合同文本以及中标标的、技术和服务等事项与采购人签订</w:t>
      </w:r>
      <w:r>
        <w:rPr>
          <w:rFonts w:hint="eastAsia" w:ascii="宋体" w:hAnsi="宋体" w:cs="楷体_GB2312"/>
          <w:color w:val="auto"/>
          <w:sz w:val="24"/>
          <w:highlight w:val="none"/>
          <w:lang w:val="zh-CN"/>
        </w:rPr>
        <w:t>书面</w:t>
      </w:r>
      <w:r>
        <w:rPr>
          <w:rFonts w:hint="eastAsia" w:ascii="宋体" w:hAnsi="宋体"/>
          <w:color w:val="auto"/>
          <w:sz w:val="24"/>
          <w:highlight w:val="none"/>
        </w:rPr>
        <w:t>政府采购合同。</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olor w:val="auto"/>
          <w:sz w:val="24"/>
          <w:highlight w:val="none"/>
        </w:rPr>
        <w:t xml:space="preserve">8.6.2 </w:t>
      </w:r>
      <w:r>
        <w:rPr>
          <w:rFonts w:hint="eastAsia" w:ascii="宋体" w:hAnsi="宋体"/>
          <w:color w:val="auto"/>
          <w:sz w:val="24"/>
          <w:highlight w:val="none"/>
        </w:rPr>
        <w:t>如中标人不按时签订合同、</w:t>
      </w:r>
      <w:r>
        <w:rPr>
          <w:rFonts w:hint="eastAsia" w:ascii="宋体" w:hAnsi="宋体" w:cs="楷体_GB2312"/>
          <w:color w:val="auto"/>
          <w:sz w:val="24"/>
          <w:highlight w:val="none"/>
          <w:lang w:val="zh-CN"/>
        </w:rPr>
        <w:t>拒签合同的，取消其中标资格，依据招标文件“第三章3.5.5 违背承诺的责任追究措施”，投标人承担相应法律责任及违约责任。</w:t>
      </w:r>
    </w:p>
    <w:p>
      <w:pPr>
        <w:widowControl w:val="0"/>
        <w:adjustRightInd w:val="0"/>
        <w:snapToGrid w:val="0"/>
        <w:spacing w:before="156" w:beforeLines="50" w:line="300" w:lineRule="auto"/>
        <w:ind w:firstLine="566"/>
        <w:rPr>
          <w:rFonts w:ascii="宋体" w:hAnsi="宋体" w:cs="宋体"/>
          <w:color w:val="auto"/>
          <w:sz w:val="24"/>
          <w:highlight w:val="none"/>
        </w:rPr>
      </w:pPr>
      <w:r>
        <w:rPr>
          <w:color w:val="auto"/>
          <w:sz w:val="24"/>
          <w:szCs w:val="24"/>
          <w:highlight w:val="none"/>
        </w:rPr>
        <w:t>8.6.3</w:t>
      </w:r>
      <w:r>
        <w:rPr>
          <w:rFonts w:hint="eastAsia"/>
          <w:color w:val="auto"/>
          <w:sz w:val="24"/>
          <w:szCs w:val="24"/>
          <w:highlight w:val="none"/>
        </w:rPr>
        <w:t>合同生效：中标人与采购人签订的合同，双方签字后盖章生效。</w:t>
      </w:r>
      <w:r>
        <w:rPr>
          <w:rFonts w:hint="eastAsia" w:ascii="宋体" w:hAnsi="宋体" w:cs="宋体"/>
          <w:color w:val="auto"/>
          <w:sz w:val="24"/>
          <w:highlight w:val="none"/>
        </w:rPr>
        <w:t>采购人</w:t>
      </w:r>
      <w:r>
        <w:rPr>
          <w:rFonts w:hint="eastAsia" w:ascii="宋体" w:hAnsi="宋体"/>
          <w:color w:val="auto"/>
          <w:sz w:val="24"/>
          <w:szCs w:val="24"/>
          <w:highlight w:val="none"/>
        </w:rPr>
        <w:t>要在合同签订后1个工作日内登陆安阳市政府采购网进行备案并公告</w:t>
      </w:r>
      <w:r>
        <w:rPr>
          <w:rFonts w:hint="eastAsia" w:ascii="宋体" w:hAnsi="宋体" w:cs="宋体"/>
          <w:color w:val="auto"/>
          <w:sz w:val="24"/>
          <w:highlight w:val="none"/>
        </w:rPr>
        <w:t>。</w:t>
      </w:r>
    </w:p>
    <w:p>
      <w:pPr>
        <w:widowControl w:val="0"/>
        <w:adjustRightInd w:val="0"/>
        <w:snapToGrid w:val="0"/>
        <w:spacing w:before="156" w:beforeLines="50" w:line="300" w:lineRule="auto"/>
        <w:ind w:firstLine="566"/>
        <w:rPr>
          <w:color w:val="auto"/>
          <w:sz w:val="24"/>
          <w:szCs w:val="24"/>
          <w:highlight w:val="none"/>
        </w:rPr>
      </w:pPr>
      <w:r>
        <w:rPr>
          <w:color w:val="auto"/>
          <w:sz w:val="24"/>
          <w:szCs w:val="24"/>
          <w:highlight w:val="none"/>
        </w:rPr>
        <w:t xml:space="preserve">8.6.4 </w:t>
      </w:r>
      <w:r>
        <w:rPr>
          <w:rFonts w:hint="eastAsia"/>
          <w:color w:val="auto"/>
          <w:sz w:val="24"/>
          <w:szCs w:val="24"/>
          <w:highlight w:val="none"/>
        </w:rPr>
        <w:t>《中标通知书》、招标文件</w:t>
      </w:r>
      <w:r>
        <w:rPr>
          <w:rFonts w:hint="eastAsia"/>
          <w:color w:val="auto"/>
          <w:spacing w:val="20"/>
          <w:sz w:val="24"/>
          <w:szCs w:val="24"/>
          <w:highlight w:val="none"/>
        </w:rPr>
        <w:t>及其修改补充澄清</w:t>
      </w:r>
      <w:r>
        <w:rPr>
          <w:rFonts w:hint="eastAsia"/>
          <w:color w:val="auto"/>
          <w:sz w:val="24"/>
          <w:szCs w:val="24"/>
          <w:highlight w:val="none"/>
        </w:rPr>
        <w:t>、中标人的投标文件及</w:t>
      </w:r>
      <w:r>
        <w:rPr>
          <w:rFonts w:hint="eastAsia"/>
          <w:color w:val="auto"/>
          <w:spacing w:val="20"/>
          <w:sz w:val="24"/>
          <w:szCs w:val="24"/>
          <w:highlight w:val="none"/>
        </w:rPr>
        <w:t>其修改补充澄清</w:t>
      </w:r>
      <w:r>
        <w:rPr>
          <w:rFonts w:hint="eastAsia"/>
          <w:color w:val="auto"/>
          <w:sz w:val="24"/>
          <w:szCs w:val="24"/>
          <w:highlight w:val="none"/>
        </w:rPr>
        <w:t>等，均为签订合同的依据。所定合同不得对招标文件和中标人的投标文件作实质性修改，采购人和中标人不得私下订立背离合同实质性内容的协议。</w:t>
      </w:r>
    </w:p>
    <w:p>
      <w:pPr>
        <w:widowControl w:val="0"/>
        <w:adjustRightInd w:val="0"/>
        <w:snapToGrid w:val="0"/>
        <w:spacing w:before="156" w:beforeLines="50" w:line="300" w:lineRule="auto"/>
        <w:ind w:firstLine="549"/>
        <w:rPr>
          <w:color w:val="auto"/>
          <w:sz w:val="24"/>
          <w:szCs w:val="24"/>
          <w:highlight w:val="none"/>
        </w:rPr>
      </w:pPr>
      <w:r>
        <w:rPr>
          <w:color w:val="auto"/>
          <w:sz w:val="24"/>
          <w:szCs w:val="24"/>
          <w:highlight w:val="none"/>
        </w:rPr>
        <w:t xml:space="preserve">8.6.5 </w:t>
      </w:r>
      <w:r>
        <w:rPr>
          <w:rFonts w:hint="eastAsia"/>
          <w:color w:val="auto"/>
          <w:sz w:val="24"/>
          <w:szCs w:val="24"/>
          <w:highlight w:val="none"/>
        </w:rPr>
        <w:t>评审会后，中标人、采购人之间擅自私下谈判、变更中标标的、价格及招投标文件实质性内容的，有关部门将按《中华人民共和国政府采购法》及相关法规的规定处理。</w:t>
      </w:r>
    </w:p>
    <w:p>
      <w:pPr>
        <w:widowControl w:val="0"/>
        <w:adjustRightInd w:val="0"/>
        <w:snapToGrid w:val="0"/>
        <w:spacing w:before="156" w:beforeLines="50" w:line="300" w:lineRule="auto"/>
        <w:ind w:firstLine="549"/>
        <w:rPr>
          <w:color w:val="auto"/>
          <w:sz w:val="24"/>
          <w:szCs w:val="24"/>
          <w:highlight w:val="none"/>
        </w:rPr>
      </w:pPr>
      <w:r>
        <w:rPr>
          <w:color w:val="auto"/>
          <w:sz w:val="24"/>
          <w:szCs w:val="24"/>
          <w:highlight w:val="none"/>
        </w:rPr>
        <w:t>8.6.</w:t>
      </w:r>
      <w:r>
        <w:rPr>
          <w:rFonts w:hint="eastAsia"/>
          <w:color w:val="auto"/>
          <w:sz w:val="24"/>
          <w:szCs w:val="24"/>
          <w:highlight w:val="none"/>
        </w:rPr>
        <w:t>6</w:t>
      </w:r>
      <w:r>
        <w:rPr>
          <w:color w:val="auto"/>
          <w:sz w:val="24"/>
          <w:szCs w:val="24"/>
          <w:highlight w:val="none"/>
        </w:rPr>
        <w:t xml:space="preserve"> </w:t>
      </w:r>
      <w:r>
        <w:rPr>
          <w:rFonts w:hint="eastAsia"/>
          <w:color w:val="auto"/>
          <w:sz w:val="24"/>
          <w:szCs w:val="24"/>
          <w:highlight w:val="none"/>
        </w:rPr>
        <w:t>采购人与中标人签订《政府采购合同》后，合同履行中产生的纠纷、争议，由采购人与中标人按合同条款及《中华人民共和国民法典》处理。</w:t>
      </w:r>
    </w:p>
    <w:p>
      <w:pPr>
        <w:widowControl w:val="0"/>
        <w:adjustRightInd w:val="0"/>
        <w:snapToGrid w:val="0"/>
        <w:spacing w:before="156" w:beforeLines="50" w:line="300" w:lineRule="auto"/>
        <w:ind w:firstLine="556"/>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8.7 </w:t>
      </w:r>
      <w:r>
        <w:rPr>
          <w:rFonts w:hint="eastAsia" w:ascii="黑体" w:hAnsi="黑体" w:eastAsia="黑体" w:cs="楷体_GB2312"/>
          <w:b/>
          <w:color w:val="auto"/>
          <w:sz w:val="24"/>
          <w:highlight w:val="none"/>
          <w:lang w:val="zh-CN"/>
        </w:rPr>
        <w:t>合同补充变更</w:t>
      </w:r>
    </w:p>
    <w:p>
      <w:pPr>
        <w:widowControl w:val="0"/>
        <w:adjustRightInd w:val="0"/>
        <w:snapToGrid w:val="0"/>
        <w:spacing w:before="156" w:beforeLines="50" w:line="300" w:lineRule="auto"/>
        <w:ind w:firstLine="555"/>
        <w:rPr>
          <w:color w:val="auto"/>
          <w:sz w:val="24"/>
          <w:szCs w:val="24"/>
          <w:highlight w:val="none"/>
        </w:rPr>
      </w:pPr>
      <w:r>
        <w:rPr>
          <w:color w:val="auto"/>
          <w:sz w:val="24"/>
          <w:szCs w:val="24"/>
          <w:highlight w:val="none"/>
        </w:rPr>
        <w:t>8.7.1</w:t>
      </w:r>
      <w:r>
        <w:rPr>
          <w:rFonts w:hint="eastAsia"/>
          <w:color w:val="auto"/>
          <w:sz w:val="24"/>
          <w:szCs w:val="24"/>
          <w:highlight w:val="none"/>
        </w:rPr>
        <w:t>政府采购合同履行中，采购人需追加或减少与合同标的相同的货物、</w:t>
      </w:r>
      <w:r>
        <w:rPr>
          <w:rFonts w:hint="eastAsia" w:ascii="宋体" w:hAnsi="宋体"/>
          <w:color w:val="auto"/>
          <w:sz w:val="24"/>
          <w:szCs w:val="24"/>
          <w:highlight w:val="none"/>
        </w:rPr>
        <w:t>工程和服务的</w:t>
      </w:r>
      <w:r>
        <w:rPr>
          <w:rFonts w:hint="eastAsia"/>
          <w:color w:val="auto"/>
          <w:sz w:val="24"/>
          <w:szCs w:val="24"/>
          <w:highlight w:val="none"/>
        </w:rPr>
        <w:t>（即追加或减少原合同标的数量），在不改变合同条款（包括原合同单价）的前提下，双方可以协商签订补充合同，但所有补充合同总金额不得超过原合同采购金额的</w:t>
      </w:r>
      <w:r>
        <w:rPr>
          <w:color w:val="auto"/>
          <w:sz w:val="24"/>
          <w:szCs w:val="24"/>
          <w:highlight w:val="none"/>
        </w:rPr>
        <w:t>10%</w:t>
      </w:r>
      <w:r>
        <w:rPr>
          <w:rFonts w:hint="eastAsia"/>
          <w:color w:val="auto"/>
          <w:sz w:val="24"/>
          <w:szCs w:val="24"/>
          <w:highlight w:val="none"/>
        </w:rPr>
        <w:t>，不得调增原合同单价，不得超出项目预算，超过原合同采购金额的</w:t>
      </w:r>
      <w:r>
        <w:rPr>
          <w:color w:val="auto"/>
          <w:sz w:val="24"/>
          <w:szCs w:val="24"/>
          <w:highlight w:val="none"/>
        </w:rPr>
        <w:t>10%</w:t>
      </w:r>
      <w:r>
        <w:rPr>
          <w:rFonts w:hint="eastAsia"/>
          <w:color w:val="auto"/>
          <w:sz w:val="24"/>
          <w:szCs w:val="24"/>
          <w:highlight w:val="none"/>
        </w:rPr>
        <w:t>，应重新组织采购活动。</w:t>
      </w:r>
    </w:p>
    <w:p>
      <w:pPr>
        <w:widowControl w:val="0"/>
        <w:adjustRightInd w:val="0"/>
        <w:snapToGrid w:val="0"/>
        <w:spacing w:before="156" w:beforeLines="50" w:line="300" w:lineRule="auto"/>
        <w:ind w:firstLine="555"/>
        <w:rPr>
          <w:color w:val="auto"/>
          <w:sz w:val="24"/>
          <w:szCs w:val="24"/>
          <w:highlight w:val="none"/>
        </w:rPr>
      </w:pPr>
      <w:r>
        <w:rPr>
          <w:b/>
          <w:color w:val="auto"/>
          <w:sz w:val="24"/>
          <w:szCs w:val="24"/>
          <w:highlight w:val="none"/>
        </w:rPr>
        <w:t>8.7.2</w:t>
      </w:r>
      <w:r>
        <w:rPr>
          <w:rFonts w:hint="eastAsia"/>
          <w:color w:val="auto"/>
          <w:sz w:val="24"/>
          <w:szCs w:val="24"/>
          <w:highlight w:val="none"/>
        </w:rPr>
        <w:t>采购人需追加或减少的货物</w:t>
      </w:r>
      <w:r>
        <w:rPr>
          <w:rFonts w:hint="eastAsia" w:ascii="宋体" w:hAnsi="宋体"/>
          <w:color w:val="auto"/>
          <w:sz w:val="24"/>
          <w:szCs w:val="24"/>
          <w:highlight w:val="none"/>
        </w:rPr>
        <w:t>、工程和服务的</w:t>
      </w:r>
      <w:r>
        <w:rPr>
          <w:rFonts w:hint="eastAsia"/>
          <w:color w:val="auto"/>
          <w:sz w:val="24"/>
          <w:szCs w:val="24"/>
          <w:highlight w:val="none"/>
        </w:rPr>
        <w:t>金额达到</w:t>
      </w:r>
      <w:r>
        <w:rPr>
          <w:color w:val="auto"/>
          <w:sz w:val="24"/>
          <w:szCs w:val="24"/>
          <w:highlight w:val="none"/>
        </w:rPr>
        <w:t>50</w:t>
      </w:r>
      <w:r>
        <w:rPr>
          <w:rFonts w:hint="eastAsia"/>
          <w:color w:val="auto"/>
          <w:sz w:val="24"/>
          <w:szCs w:val="24"/>
          <w:highlight w:val="none"/>
        </w:rPr>
        <w:t>万元以上（含</w:t>
      </w:r>
      <w:r>
        <w:rPr>
          <w:color w:val="auto"/>
          <w:sz w:val="24"/>
          <w:szCs w:val="24"/>
          <w:highlight w:val="none"/>
        </w:rPr>
        <w:t>50</w:t>
      </w:r>
      <w:r>
        <w:rPr>
          <w:rFonts w:hint="eastAsia"/>
          <w:color w:val="auto"/>
          <w:sz w:val="24"/>
          <w:szCs w:val="24"/>
          <w:highlight w:val="none"/>
        </w:rPr>
        <w:t>万元）、且超过中标价</w:t>
      </w:r>
      <w:r>
        <w:rPr>
          <w:color w:val="auto"/>
          <w:sz w:val="24"/>
          <w:szCs w:val="24"/>
          <w:highlight w:val="none"/>
        </w:rPr>
        <w:t>3%</w:t>
      </w:r>
      <w:r>
        <w:rPr>
          <w:rFonts w:hint="eastAsia"/>
          <w:color w:val="auto"/>
          <w:sz w:val="24"/>
          <w:szCs w:val="24"/>
          <w:highlight w:val="none"/>
        </w:rPr>
        <w:t>的，采购人应当自确定变更之日起</w:t>
      </w:r>
      <w:r>
        <w:rPr>
          <w:color w:val="auto"/>
          <w:sz w:val="24"/>
          <w:szCs w:val="24"/>
          <w:highlight w:val="none"/>
        </w:rPr>
        <w:t>5</w:t>
      </w:r>
      <w:r>
        <w:rPr>
          <w:rFonts w:hint="eastAsia"/>
          <w:color w:val="auto"/>
          <w:sz w:val="24"/>
          <w:szCs w:val="24"/>
          <w:highlight w:val="none"/>
        </w:rPr>
        <w:t>个工作日内将变更情况及事由报送同级监察机关。</w:t>
      </w:r>
    </w:p>
    <w:p>
      <w:pPr>
        <w:widowControl w:val="0"/>
        <w:adjustRightInd w:val="0"/>
        <w:snapToGrid w:val="0"/>
        <w:spacing w:before="156" w:beforeLines="50" w:line="300" w:lineRule="auto"/>
        <w:ind w:firstLine="555"/>
        <w:rPr>
          <w:color w:val="auto"/>
          <w:sz w:val="24"/>
          <w:szCs w:val="24"/>
          <w:highlight w:val="none"/>
        </w:rPr>
      </w:pPr>
      <w:r>
        <w:rPr>
          <w:rFonts w:hint="eastAsia"/>
          <w:color w:val="auto"/>
          <w:sz w:val="24"/>
          <w:szCs w:val="24"/>
          <w:highlight w:val="none"/>
        </w:rPr>
        <w:t>招标项目在中标后经有关行政机关批准变更的，批准的行政机关应当自批准之日起</w:t>
      </w:r>
      <w:r>
        <w:rPr>
          <w:color w:val="auto"/>
          <w:sz w:val="24"/>
          <w:szCs w:val="24"/>
          <w:highlight w:val="none"/>
        </w:rPr>
        <w:t>3</w:t>
      </w:r>
      <w:r>
        <w:rPr>
          <w:rFonts w:hint="eastAsia"/>
          <w:color w:val="auto"/>
          <w:sz w:val="24"/>
          <w:szCs w:val="24"/>
          <w:highlight w:val="none"/>
        </w:rPr>
        <w:t>个工作日内将批准文件抄送同级监察机关备案。</w:t>
      </w:r>
    </w:p>
    <w:p>
      <w:pPr>
        <w:widowControl w:val="0"/>
        <w:adjustRightInd w:val="0"/>
        <w:snapToGrid w:val="0"/>
        <w:spacing w:before="156" w:beforeLines="50" w:line="300" w:lineRule="auto"/>
        <w:ind w:firstLine="555"/>
        <w:rPr>
          <w:color w:val="auto"/>
          <w:sz w:val="24"/>
          <w:szCs w:val="24"/>
          <w:highlight w:val="none"/>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43" w:name="_Toc165383937"/>
      <w:r>
        <w:rPr>
          <w:rFonts w:ascii="黑体" w:hAnsi="黑体" w:eastAsia="黑体" w:cs="楷体_GB2312"/>
          <w:b/>
          <w:bCs/>
          <w:color w:val="auto"/>
          <w:sz w:val="28"/>
          <w:szCs w:val="28"/>
          <w:highlight w:val="none"/>
          <w:lang w:val="zh-CN"/>
        </w:rPr>
        <w:t xml:space="preserve">9 </w:t>
      </w:r>
      <w:r>
        <w:rPr>
          <w:rFonts w:hint="eastAsia" w:ascii="黑体" w:hAnsi="黑体" w:eastAsia="黑体" w:cs="楷体_GB2312"/>
          <w:b/>
          <w:bCs/>
          <w:color w:val="auto"/>
          <w:sz w:val="28"/>
          <w:szCs w:val="28"/>
          <w:highlight w:val="none"/>
          <w:lang w:val="zh-CN"/>
        </w:rPr>
        <w:t>验收</w:t>
      </w:r>
      <w:bookmarkEnd w:id="43"/>
    </w:p>
    <w:p>
      <w:pPr>
        <w:widowControl w:val="0"/>
        <w:adjustRightInd w:val="0"/>
        <w:snapToGrid w:val="0"/>
        <w:spacing w:before="156"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rPr>
        <w:t>9</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验收时间：所供货物安装调试结束、具备正常使用及验收条件时，由采购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成立验收工作组负责验收。</w:t>
      </w:r>
      <w:r>
        <w:rPr>
          <w:rFonts w:hint="eastAsia" w:ascii="宋体" w:hAnsi="宋体" w:cs="楷体_GB2312"/>
          <w:color w:val="auto"/>
          <w:sz w:val="24"/>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rPr>
        <w:t>9</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验收工作组：合同履约验收工作应成立验收工作组专门负责。</w:t>
      </w:r>
    </w:p>
    <w:p>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lang w:val="zh-CN"/>
        </w:rPr>
        <w:t>直接参与该项目政府采购活动的主要负责人不得作为验收工作的主要负责人。</w:t>
      </w:r>
      <w:r>
        <w:rPr>
          <w:rFonts w:hint="eastAsia" w:ascii="宋体" w:hAnsi="宋体" w:cs="楷体_GB2312"/>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9.2.1</w:t>
      </w:r>
      <w:r>
        <w:rPr>
          <w:rFonts w:hint="eastAsia" w:ascii="宋体" w:hAnsi="宋体" w:cs="楷体_GB2312"/>
          <w:color w:val="auto"/>
          <w:sz w:val="24"/>
          <w:highlight w:val="none"/>
          <w:lang w:val="zh-CN"/>
        </w:rPr>
        <w:t>政府采购合同金额</w:t>
      </w:r>
      <w:r>
        <w:rPr>
          <w:rFonts w:hint="eastAsia" w:ascii="宋体" w:hAnsi="宋体" w:cs="楷体_GB2312"/>
          <w:color w:val="auto"/>
          <w:sz w:val="24"/>
          <w:highlight w:val="none"/>
        </w:rPr>
        <w:t>在</w:t>
      </w:r>
      <w:r>
        <w:rPr>
          <w:rFonts w:hint="eastAsia" w:ascii="宋体" w:hAnsi="宋体" w:cs="楷体_GB2312"/>
          <w:color w:val="auto"/>
          <w:sz w:val="24"/>
          <w:highlight w:val="none"/>
          <w:lang w:val="zh-CN"/>
        </w:rPr>
        <w:t>10万元以下（</w:t>
      </w:r>
      <w:r>
        <w:rPr>
          <w:rFonts w:hint="eastAsia" w:ascii="宋体" w:hAnsi="宋体" w:cs="楷体_GB2312"/>
          <w:color w:val="auto"/>
          <w:sz w:val="24"/>
          <w:highlight w:val="none"/>
        </w:rPr>
        <w:t>含10万元</w:t>
      </w:r>
      <w:r>
        <w:rPr>
          <w:rFonts w:hint="eastAsia" w:ascii="宋体" w:hAnsi="宋体" w:cs="楷体_GB2312"/>
          <w:color w:val="auto"/>
          <w:sz w:val="24"/>
          <w:highlight w:val="none"/>
          <w:lang w:val="zh-CN"/>
        </w:rPr>
        <w:t>）的项目，原则上可以不邀请评审专家参加，组织方成立验收小组自行验收。</w:t>
      </w:r>
      <w:r>
        <w:rPr>
          <w:rFonts w:hint="eastAsia" w:ascii="宋体" w:hAnsi="宋体" w:cs="楷体_GB2312"/>
          <w:color w:val="auto"/>
          <w:sz w:val="24"/>
          <w:highlight w:val="none"/>
        </w:rPr>
        <w:t>自行验收时，验收小组应仔细对照采购文件及合同，对标的物的数量、质量、规格、型号等参数逐一核对，并编制验收报告。组织方认为不能独立完成验收任务的，可以邀请评审专家参与验收。</w:t>
      </w:r>
    </w:p>
    <w:p>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9.2.2</w:t>
      </w:r>
      <w:r>
        <w:rPr>
          <w:rFonts w:hint="eastAsia" w:ascii="宋体" w:hAnsi="宋体" w:cs="楷体_GB2312"/>
          <w:color w:val="auto"/>
          <w:sz w:val="24"/>
          <w:highlight w:val="none"/>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领导牵头，财务、审计、监察、资产管理、技术等部门人员参与，成员不少于五人。验收工作</w:t>
      </w:r>
      <w:r>
        <w:rPr>
          <w:rFonts w:hint="eastAsia" w:ascii="宋体" w:hAnsi="宋体" w:cs="楷体_GB2312"/>
          <w:color w:val="auto"/>
          <w:sz w:val="24"/>
          <w:highlight w:val="none"/>
        </w:rPr>
        <w:t>原则上</w:t>
      </w:r>
      <w:r>
        <w:rPr>
          <w:rFonts w:hint="eastAsia" w:ascii="宋体" w:hAnsi="宋体" w:cs="楷体_GB2312"/>
          <w:color w:val="auto"/>
          <w:sz w:val="24"/>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必须委托国家认可专业检测机构进行验收。</w:t>
      </w:r>
    </w:p>
    <w:p>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9.3验收时，验收小组按照采购合同的约定对每一项技术、服务、安全标准的履约情况进行确认。</w:t>
      </w:r>
      <w:r>
        <w:rPr>
          <w:rFonts w:hint="eastAsia" w:ascii="宋体" w:hAnsi="宋体" w:cs="楷体_GB2312"/>
          <w:color w:val="auto"/>
          <w:sz w:val="24"/>
          <w:highlight w:val="none"/>
          <w:lang w:val="zh-CN"/>
        </w:rPr>
        <w:t>验收时需要进行破坏性试验的，供应商应进行充分的配合并提供备品备件。</w:t>
      </w:r>
    </w:p>
    <w:p>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9</w:t>
      </w:r>
      <w:r>
        <w:rPr>
          <w:rFonts w:ascii="宋体" w:hAnsi="宋体" w:cs="楷体_GB2312"/>
          <w:color w:val="auto"/>
          <w:sz w:val="24"/>
          <w:highlight w:val="none"/>
          <w:lang w:val="zh-CN"/>
        </w:rPr>
        <w:t>.</w:t>
      </w:r>
      <w:r>
        <w:rPr>
          <w:rFonts w:hint="eastAsia" w:ascii="宋体" w:hAnsi="宋体" w:cs="楷体_GB2312"/>
          <w:color w:val="auto"/>
          <w:sz w:val="24"/>
          <w:highlight w:val="none"/>
        </w:rPr>
        <w:t>4</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验收报告：验收后，由采购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及专家等出具验收报告（</w:t>
      </w:r>
      <w:r>
        <w:rPr>
          <w:rFonts w:hint="eastAsia" w:ascii="宋体" w:hAnsi="宋体" w:cs="楷体_GB2312"/>
          <w:color w:val="auto"/>
          <w:sz w:val="24"/>
          <w:highlight w:val="none"/>
        </w:rPr>
        <w:t>自行验收的，由采购人出具</w:t>
      </w:r>
      <w:r>
        <w:rPr>
          <w:rFonts w:hint="eastAsia" w:ascii="宋体" w:hAnsi="宋体" w:cs="楷体_GB2312"/>
          <w:color w:val="auto"/>
          <w:sz w:val="24"/>
          <w:highlight w:val="none"/>
          <w:lang w:val="zh-CN"/>
        </w:rPr>
        <w:t>），国家规定强制性检测的采购项目应附国家认可的专业检测机构出具的验收报告。</w:t>
      </w:r>
    </w:p>
    <w:p>
      <w:pPr>
        <w:widowControl w:val="0"/>
        <w:adjustRightInd w:val="0"/>
        <w:snapToGrid w:val="0"/>
        <w:spacing w:before="156"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rPr>
        <w:t>9</w:t>
      </w:r>
      <w:r>
        <w:rPr>
          <w:rFonts w:hint="eastAsia" w:ascii="宋体" w:hAnsi="宋体" w:cs="楷体_GB2312"/>
          <w:color w:val="auto"/>
          <w:sz w:val="24"/>
          <w:highlight w:val="none"/>
          <w:lang w:val="zh-CN"/>
        </w:rPr>
        <w:t>.</w:t>
      </w:r>
      <w:r>
        <w:rPr>
          <w:rFonts w:hint="eastAsia" w:ascii="宋体" w:hAnsi="宋体" w:cs="楷体_GB2312"/>
          <w:color w:val="auto"/>
          <w:sz w:val="24"/>
          <w:highlight w:val="none"/>
        </w:rPr>
        <w:t>5</w:t>
      </w:r>
      <w:r>
        <w:rPr>
          <w:rFonts w:hint="eastAsia" w:ascii="宋体" w:hAnsi="宋体" w:cs="楷体_GB2312"/>
          <w:color w:val="auto"/>
          <w:sz w:val="24"/>
          <w:highlight w:val="none"/>
          <w:lang w:val="zh-CN"/>
        </w:rPr>
        <w:t>验收中发现</w:t>
      </w:r>
      <w:r>
        <w:rPr>
          <w:rFonts w:hint="eastAsia" w:ascii="宋体" w:hAnsi="宋体" w:cs="楷体_GB2312"/>
          <w:color w:val="auto"/>
          <w:sz w:val="24"/>
          <w:highlight w:val="none"/>
        </w:rPr>
        <w:t>中标单位</w:t>
      </w:r>
      <w:r>
        <w:rPr>
          <w:rFonts w:hint="eastAsia" w:ascii="宋体" w:hAnsi="宋体" w:cs="楷体_GB2312"/>
          <w:color w:val="auto"/>
          <w:sz w:val="24"/>
          <w:highlight w:val="none"/>
          <w:lang w:val="zh-CN"/>
        </w:rPr>
        <w:t>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9.6 验收公告的时限：采购人要在政府采购项目验收完成后1个工作日内登陆安阳市政府采购网进行验收公告。</w:t>
      </w:r>
    </w:p>
    <w:p>
      <w:pPr>
        <w:widowControl w:val="0"/>
        <w:adjustRightInd w:val="0"/>
        <w:snapToGrid w:val="0"/>
        <w:spacing w:before="156" w:beforeLines="50" w:line="300" w:lineRule="auto"/>
        <w:ind w:firstLine="561"/>
        <w:rPr>
          <w:rFonts w:ascii="宋体" w:cs="楷体_GB2312"/>
          <w:color w:val="auto"/>
          <w:sz w:val="24"/>
          <w:highlight w:val="none"/>
          <w:lang w:val="zh-CN"/>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44" w:name="_Toc165383938"/>
      <w:r>
        <w:rPr>
          <w:rFonts w:ascii="黑体" w:hAnsi="黑体" w:eastAsia="黑体" w:cs="楷体_GB2312"/>
          <w:b/>
          <w:bCs/>
          <w:color w:val="auto"/>
          <w:sz w:val="28"/>
          <w:szCs w:val="28"/>
          <w:highlight w:val="none"/>
          <w:lang w:val="zh-CN"/>
        </w:rPr>
        <w:t xml:space="preserve">10 </w:t>
      </w:r>
      <w:r>
        <w:rPr>
          <w:rFonts w:hint="eastAsia" w:ascii="黑体" w:hAnsi="黑体" w:eastAsia="黑体" w:cs="楷体_GB2312"/>
          <w:b/>
          <w:bCs/>
          <w:color w:val="auto"/>
          <w:sz w:val="28"/>
          <w:szCs w:val="28"/>
          <w:highlight w:val="none"/>
          <w:lang w:val="zh-CN"/>
        </w:rPr>
        <w:t>付款</w:t>
      </w:r>
      <w:bookmarkEnd w:id="44"/>
    </w:p>
    <w:p>
      <w:pPr>
        <w:widowControl w:val="0"/>
        <w:adjustRightInd w:val="0"/>
        <w:snapToGrid w:val="0"/>
        <w:spacing w:before="156"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见投标人须知前附表</w:t>
      </w:r>
    </w:p>
    <w:p>
      <w:pPr>
        <w:widowControl w:val="0"/>
        <w:adjustRightInd w:val="0"/>
        <w:snapToGrid w:val="0"/>
        <w:spacing w:before="156" w:beforeLines="50" w:line="300" w:lineRule="auto"/>
        <w:ind w:firstLine="561"/>
        <w:rPr>
          <w:rFonts w:ascii="黑体" w:hAnsi="黑体" w:eastAsia="黑体" w:cs="楷体_GB2312"/>
          <w:b/>
          <w:bCs/>
          <w:color w:val="auto"/>
          <w:sz w:val="28"/>
          <w:szCs w:val="28"/>
          <w:highlight w:val="none"/>
          <w:lang w:val="zh-CN"/>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45" w:name="_Toc165383939"/>
      <w:r>
        <w:rPr>
          <w:rFonts w:ascii="黑体" w:hAnsi="黑体" w:eastAsia="黑体" w:cs="楷体_GB2312"/>
          <w:b/>
          <w:bCs/>
          <w:color w:val="auto"/>
          <w:sz w:val="28"/>
          <w:szCs w:val="28"/>
          <w:highlight w:val="none"/>
          <w:lang w:val="zh-CN"/>
        </w:rPr>
        <w:t xml:space="preserve">11 </w:t>
      </w:r>
      <w:r>
        <w:rPr>
          <w:rFonts w:hint="eastAsia" w:ascii="黑体" w:hAnsi="黑体" w:eastAsia="黑体" w:cs="楷体_GB2312"/>
          <w:b/>
          <w:bCs/>
          <w:color w:val="auto"/>
          <w:sz w:val="28"/>
          <w:szCs w:val="28"/>
          <w:highlight w:val="none"/>
          <w:lang w:val="zh-CN"/>
        </w:rPr>
        <w:t>其他</w:t>
      </w:r>
      <w:bookmarkEnd w:id="45"/>
    </w:p>
    <w:p>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w:t>
      </w:r>
      <w:r>
        <w:rPr>
          <w:rFonts w:ascii="宋体" w:cs="楷体_GB2312"/>
          <w:color w:val="auto"/>
          <w:sz w:val="24"/>
          <w:highlight w:val="none"/>
          <w:lang w:val="zh-CN"/>
        </w:rPr>
        <w:t>1</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中标服务费等：见投标人须知前附表</w:t>
      </w:r>
    </w:p>
    <w:p>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w:t>
      </w:r>
      <w:r>
        <w:rPr>
          <w:rFonts w:ascii="宋体" w:cs="楷体_GB2312"/>
          <w:color w:val="auto"/>
          <w:sz w:val="24"/>
          <w:highlight w:val="none"/>
          <w:lang w:val="zh-CN"/>
        </w:rPr>
        <w:t>1.</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投标人资格条件中包含非法人单位的，招标文件中法定代表人一词相应包含表示证照标示的负责人；</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投标人资格条件中包含自然人的，招标文件中法定代表人一词相应包含表示自然人，自然人应由其本人签署投标文件、参加投标，不应再授权他人。</w:t>
      </w:r>
    </w:p>
    <w:p>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highlight w:val="none"/>
          <w:lang w:val="zh-CN"/>
        </w:rPr>
      </w:pPr>
      <w:r>
        <w:rPr>
          <w:rFonts w:ascii="宋体" w:hAnsi="宋体" w:cs="楷体_GB2312"/>
          <w:color w:val="auto"/>
          <w:sz w:val="24"/>
          <w:highlight w:val="none"/>
          <w:lang w:val="zh-CN"/>
        </w:rPr>
        <w:t xml:space="preserve">11.3 </w:t>
      </w:r>
      <w:r>
        <w:rPr>
          <w:rFonts w:hint="eastAsia" w:ascii="宋体" w:hAnsi="宋体" w:cs="楷体_GB2312"/>
          <w:color w:val="auto"/>
          <w:sz w:val="24"/>
          <w:highlight w:val="none"/>
          <w:lang w:val="zh-CN"/>
        </w:rPr>
        <w:t>招标文件第一章至第四章各章中，用序号标示条、款、项、目，例如：</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条，</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款（简称</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款），</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项（简称</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项）。“条”包含款、项、目；“款”包含项、目；“项”包含目。</w:t>
      </w:r>
      <w:bookmarkStart w:id="46" w:name="_Toc58855443"/>
      <w:bookmarkStart w:id="47" w:name="_Toc427683909"/>
      <w:bookmarkStart w:id="48" w:name="_Toc423723402"/>
      <w:bookmarkStart w:id="49" w:name="_Toc427683952"/>
    </w:p>
    <w:p>
      <w:pPr>
        <w:widowControl w:val="0"/>
        <w:autoSpaceDE w:val="0"/>
        <w:autoSpaceDN w:val="0"/>
        <w:adjustRightInd w:val="0"/>
        <w:spacing w:before="156" w:beforeLines="50" w:line="300" w:lineRule="auto"/>
        <w:ind w:firstLine="883" w:firstLineChars="200"/>
        <w:jc w:val="left"/>
        <w:textAlignment w:val="auto"/>
        <w:rPr>
          <w:rFonts w:eastAsia="黑体"/>
          <w:b/>
          <w:color w:val="auto"/>
          <w:sz w:val="44"/>
          <w:highlight w:val="none"/>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50" w:name="_Toc165383940"/>
      <w:r>
        <w:rPr>
          <w:rFonts w:ascii="黑体" w:hAnsi="黑体" w:eastAsia="黑体" w:cs="楷体_GB2312"/>
          <w:b/>
          <w:bCs/>
          <w:color w:val="auto"/>
          <w:sz w:val="28"/>
          <w:szCs w:val="28"/>
          <w:highlight w:val="none"/>
          <w:lang w:val="zh-CN"/>
        </w:rPr>
        <w:t>1</w:t>
      </w:r>
      <w:r>
        <w:rPr>
          <w:rFonts w:hint="eastAsia" w:ascii="黑体" w:hAnsi="黑体" w:eastAsia="黑体" w:cs="楷体_GB2312"/>
          <w:b/>
          <w:bCs/>
          <w:color w:val="auto"/>
          <w:sz w:val="28"/>
          <w:szCs w:val="28"/>
          <w:highlight w:val="none"/>
          <w:lang w:val="zh-CN"/>
        </w:rPr>
        <w:t>2 河南省政府采购合同融资政策告知函</w:t>
      </w:r>
      <w:bookmarkEnd w:id="46"/>
      <w:bookmarkEnd w:id="50"/>
    </w:p>
    <w:p>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各供应商：</w:t>
      </w:r>
    </w:p>
    <w:p>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欢迎贵公司参与河南省政府采购活动！</w:t>
      </w:r>
    </w:p>
    <w:p>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val="0"/>
        <w:adjustRightInd w:val="0"/>
        <w:snapToGrid w:val="0"/>
        <w:spacing w:before="156" w:beforeLines="50" w:line="300" w:lineRule="auto"/>
        <w:ind w:firstLine="555"/>
        <w:rPr>
          <w:rFonts w:eastAsia="黑体"/>
          <w:b/>
          <w:color w:val="auto"/>
          <w:sz w:val="44"/>
          <w:highlight w:val="none"/>
        </w:rPr>
      </w:pPr>
      <w:r>
        <w:rPr>
          <w:rFonts w:hint="eastAsia" w:ascii="宋体" w:hAnsi="宋体"/>
          <w:color w:val="auto"/>
          <w:sz w:val="24"/>
          <w:szCs w:val="24"/>
          <w:highlight w:val="none"/>
        </w:rPr>
        <w:t>贷款渠道和提供贷款的金融机构，可在河南省政府采购网“河南省政府采购合同融资平台”查询联系。</w:t>
      </w:r>
    </w:p>
    <w:p>
      <w:pPr>
        <w:widowControl w:val="0"/>
        <w:autoSpaceDE w:val="0"/>
        <w:autoSpaceDN w:val="0"/>
        <w:adjustRightInd w:val="0"/>
        <w:spacing w:before="156" w:beforeLines="50" w:line="300" w:lineRule="auto"/>
        <w:jc w:val="left"/>
        <w:textAlignment w:val="auto"/>
        <w:rPr>
          <w:rFonts w:eastAsia="黑体"/>
          <w:b/>
          <w:color w:val="auto"/>
          <w:sz w:val="44"/>
          <w:highlight w:val="none"/>
        </w:rPr>
      </w:pPr>
      <w:r>
        <w:rPr>
          <w:rFonts w:eastAsia="黑体"/>
          <w:b/>
          <w:color w:val="auto"/>
          <w:sz w:val="44"/>
          <w:highlight w:val="none"/>
        </w:rPr>
        <w:br w:type="page"/>
      </w:r>
      <w:bookmarkEnd w:id="47"/>
      <w:bookmarkEnd w:id="48"/>
      <w:bookmarkEnd w:id="49"/>
    </w:p>
    <w:p>
      <w:pPr>
        <w:keepNext/>
        <w:keepLines/>
        <w:widowControl w:val="0"/>
        <w:spacing w:before="624" w:beforeLines="200" w:after="624" w:afterLines="200" w:line="360" w:lineRule="auto"/>
        <w:jc w:val="center"/>
        <w:textAlignment w:val="auto"/>
        <w:outlineLvl w:val="0"/>
        <w:rPr>
          <w:rFonts w:ascii="黑体" w:hAnsi="黑体" w:eastAsia="黑体"/>
          <w:b/>
          <w:bCs/>
          <w:color w:val="auto"/>
          <w:kern w:val="44"/>
          <w:sz w:val="24"/>
          <w:szCs w:val="44"/>
          <w:highlight w:val="none"/>
        </w:rPr>
      </w:pPr>
      <w:bookmarkStart w:id="51" w:name="_Toc427683914"/>
      <w:bookmarkStart w:id="52" w:name="_Toc427683957"/>
      <w:bookmarkStart w:id="53" w:name="_Toc165383941"/>
      <w:r>
        <w:rPr>
          <w:rFonts w:hint="eastAsia" w:ascii="黑体" w:hAnsi="黑体" w:eastAsia="黑体"/>
          <w:b/>
          <w:bCs/>
          <w:color w:val="auto"/>
          <w:kern w:val="44"/>
          <w:sz w:val="36"/>
          <w:szCs w:val="36"/>
          <w:highlight w:val="none"/>
          <w:lang w:val="zh-CN"/>
        </w:rPr>
        <w:t>第四章</w:t>
      </w:r>
      <w:r>
        <w:rPr>
          <w:rFonts w:ascii="黑体" w:hAnsi="黑体" w:eastAsia="黑体"/>
          <w:b/>
          <w:bCs/>
          <w:color w:val="auto"/>
          <w:kern w:val="44"/>
          <w:sz w:val="36"/>
          <w:szCs w:val="36"/>
          <w:highlight w:val="none"/>
          <w:lang w:val="zh-CN"/>
        </w:rPr>
        <w:t xml:space="preserve">  </w:t>
      </w:r>
      <w:r>
        <w:rPr>
          <w:rFonts w:hint="eastAsia" w:ascii="黑体" w:hAnsi="黑体" w:eastAsia="黑体"/>
          <w:b/>
          <w:bCs/>
          <w:color w:val="auto"/>
          <w:kern w:val="44"/>
          <w:sz w:val="36"/>
          <w:szCs w:val="36"/>
          <w:highlight w:val="none"/>
          <w:lang w:val="zh-CN"/>
        </w:rPr>
        <w:t>评标办法（综合评分法）</w:t>
      </w:r>
      <w:bookmarkEnd w:id="51"/>
      <w:bookmarkEnd w:id="52"/>
      <w:bookmarkEnd w:id="53"/>
    </w:p>
    <w:p>
      <w:pPr>
        <w:spacing w:line="500" w:lineRule="exact"/>
        <w:ind w:firstLine="420"/>
        <w:jc w:val="left"/>
        <w:outlineLvl w:val="1"/>
        <w:rPr>
          <w:rFonts w:ascii="黑体" w:hAnsi="黑体" w:eastAsia="黑体"/>
          <w:b/>
          <w:color w:val="auto"/>
          <w:sz w:val="28"/>
          <w:szCs w:val="28"/>
          <w:highlight w:val="none"/>
          <w:lang w:val="zh-CN"/>
        </w:rPr>
      </w:pPr>
      <w:bookmarkStart w:id="54" w:name="_Toc165383942"/>
      <w:r>
        <w:rPr>
          <w:rFonts w:hint="eastAsia" w:ascii="黑体" w:hAnsi="黑体" w:eastAsia="黑体"/>
          <w:b/>
          <w:color w:val="auto"/>
          <w:sz w:val="28"/>
          <w:szCs w:val="28"/>
          <w:highlight w:val="none"/>
        </w:rPr>
        <w:t>评标办法前附表</w:t>
      </w:r>
      <w:bookmarkEnd w:id="54"/>
    </w:p>
    <w:tbl>
      <w:tblPr>
        <w:tblStyle w:val="20"/>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7"/>
        <w:gridCol w:w="1134"/>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84" w:type="dxa"/>
            <w:gridSpan w:val="2"/>
            <w:vAlign w:val="center"/>
          </w:tcPr>
          <w:p>
            <w:pPr>
              <w:widowControl w:val="0"/>
              <w:autoSpaceDE w:val="0"/>
              <w:autoSpaceDN w:val="0"/>
              <w:adjustRightInd w:val="0"/>
              <w:spacing w:line="240" w:lineRule="auto"/>
              <w:jc w:val="center"/>
              <w:textAlignment w:val="auto"/>
              <w:rPr>
                <w:rFonts w:ascii="宋体" w:cs="宋体"/>
                <w:b/>
                <w:color w:val="auto"/>
                <w:sz w:val="24"/>
                <w:szCs w:val="24"/>
                <w:highlight w:val="none"/>
              </w:rPr>
            </w:pPr>
            <w:r>
              <w:rPr>
                <w:rFonts w:hint="eastAsia" w:ascii="宋体" w:hAnsi="宋体" w:cs="宋体"/>
                <w:b/>
                <w:color w:val="auto"/>
                <w:sz w:val="24"/>
                <w:szCs w:val="24"/>
                <w:highlight w:val="none"/>
              </w:rPr>
              <w:t>条款号</w:t>
            </w:r>
          </w:p>
        </w:tc>
        <w:tc>
          <w:tcPr>
            <w:tcW w:w="2835" w:type="dxa"/>
            <w:gridSpan w:val="2"/>
            <w:vAlign w:val="center"/>
          </w:tcPr>
          <w:p>
            <w:pPr>
              <w:widowControl w:val="0"/>
              <w:autoSpaceDE w:val="0"/>
              <w:autoSpaceDN w:val="0"/>
              <w:adjustRightInd w:val="0"/>
              <w:spacing w:line="240" w:lineRule="auto"/>
              <w:jc w:val="center"/>
              <w:textAlignment w:val="auto"/>
              <w:rPr>
                <w:rFonts w:ascii="宋体" w:cs="宋体"/>
                <w:b/>
                <w:color w:val="auto"/>
                <w:sz w:val="24"/>
                <w:szCs w:val="24"/>
                <w:highlight w:val="none"/>
              </w:rPr>
            </w:pPr>
            <w:r>
              <w:rPr>
                <w:rFonts w:hint="eastAsia" w:ascii="宋体" w:hAnsi="宋体" w:cs="宋体"/>
                <w:b/>
                <w:color w:val="auto"/>
                <w:sz w:val="24"/>
                <w:szCs w:val="24"/>
                <w:highlight w:val="none"/>
              </w:rPr>
              <w:t>评标因素</w:t>
            </w:r>
          </w:p>
        </w:tc>
        <w:tc>
          <w:tcPr>
            <w:tcW w:w="5670" w:type="dxa"/>
            <w:vAlign w:val="center"/>
          </w:tcPr>
          <w:p>
            <w:pPr>
              <w:widowControl w:val="0"/>
              <w:autoSpaceDE w:val="0"/>
              <w:autoSpaceDN w:val="0"/>
              <w:adjustRightInd w:val="0"/>
              <w:spacing w:line="240" w:lineRule="auto"/>
              <w:jc w:val="center"/>
              <w:textAlignment w:val="auto"/>
              <w:rPr>
                <w:rFonts w:ascii="宋体" w:cs="宋体"/>
                <w:b/>
                <w:color w:val="auto"/>
                <w:sz w:val="24"/>
                <w:szCs w:val="24"/>
                <w:highlight w:val="none"/>
              </w:rPr>
            </w:pPr>
            <w:r>
              <w:rPr>
                <w:rFonts w:hint="eastAsia" w:ascii="宋体" w:hAnsi="宋体" w:cs="宋体"/>
                <w:b/>
                <w:color w:val="auto"/>
                <w:sz w:val="24"/>
                <w:szCs w:val="24"/>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7" w:type="dxa"/>
            <w:vMerge w:val="restart"/>
            <w:vAlign w:val="center"/>
          </w:tcPr>
          <w:p>
            <w:pPr>
              <w:widowControl w:val="0"/>
              <w:autoSpaceDE w:val="0"/>
              <w:autoSpaceDN w:val="0"/>
              <w:adjustRightInd w:val="0"/>
              <w:spacing w:line="360" w:lineRule="auto"/>
              <w:ind w:right="-147" w:rightChars="-70"/>
              <w:rPr>
                <w:rFonts w:ascii="微软雅黑" w:hAnsi="微软雅黑" w:eastAsia="微软雅黑" w:cs="楷体_GB2312"/>
                <w:b/>
                <w:bCs/>
                <w:color w:val="auto"/>
                <w:szCs w:val="21"/>
                <w:highlight w:val="none"/>
                <w:lang w:val="zh-CN"/>
              </w:rPr>
            </w:pPr>
            <w:r>
              <w:rPr>
                <w:rFonts w:ascii="微软雅黑" w:hAnsi="微软雅黑" w:eastAsia="微软雅黑" w:cs="楷体_GB2312"/>
                <w:b/>
                <w:bCs/>
                <w:color w:val="auto"/>
                <w:szCs w:val="21"/>
                <w:highlight w:val="none"/>
                <w:lang w:val="zh-CN"/>
              </w:rPr>
              <w:t>2.1</w:t>
            </w:r>
          </w:p>
        </w:tc>
        <w:tc>
          <w:tcPr>
            <w:tcW w:w="567" w:type="dxa"/>
            <w:vMerge w:val="restart"/>
            <w:vAlign w:val="center"/>
          </w:tcPr>
          <w:p>
            <w:pPr>
              <w:widowControl w:val="0"/>
              <w:autoSpaceDE w:val="0"/>
              <w:autoSpaceDN w:val="0"/>
              <w:adjustRightInd w:val="0"/>
              <w:spacing w:line="360" w:lineRule="auto"/>
              <w:textAlignment w:val="auto"/>
              <w:rPr>
                <w:rFonts w:ascii="宋体" w:cs="宋体"/>
                <w:color w:val="auto"/>
                <w:sz w:val="24"/>
                <w:szCs w:val="24"/>
                <w:highlight w:val="none"/>
              </w:rPr>
            </w:pPr>
            <w:r>
              <w:rPr>
                <w:rFonts w:hint="eastAsia" w:ascii="宋体" w:hAnsi="宋体" w:cs="宋体"/>
                <w:color w:val="auto"/>
                <w:sz w:val="24"/>
                <w:szCs w:val="24"/>
                <w:highlight w:val="none"/>
              </w:rPr>
              <w:t>符</w:t>
            </w:r>
          </w:p>
          <w:p>
            <w:pPr>
              <w:widowControl w:val="0"/>
              <w:autoSpaceDE w:val="0"/>
              <w:autoSpaceDN w:val="0"/>
              <w:adjustRightInd w:val="0"/>
              <w:spacing w:line="360" w:lineRule="auto"/>
              <w:textAlignment w:val="auto"/>
              <w:rPr>
                <w:rFonts w:ascii="宋体" w:cs="宋体"/>
                <w:color w:val="auto"/>
                <w:sz w:val="24"/>
                <w:szCs w:val="24"/>
                <w:highlight w:val="none"/>
              </w:rPr>
            </w:pPr>
            <w:r>
              <w:rPr>
                <w:rFonts w:hint="eastAsia" w:ascii="宋体" w:hAnsi="宋体" w:cs="宋体"/>
                <w:color w:val="auto"/>
                <w:sz w:val="24"/>
                <w:szCs w:val="24"/>
                <w:highlight w:val="none"/>
              </w:rPr>
              <w:t>合</w:t>
            </w:r>
          </w:p>
          <w:p>
            <w:pPr>
              <w:widowControl w:val="0"/>
              <w:autoSpaceDE w:val="0"/>
              <w:autoSpaceDN w:val="0"/>
              <w:adjustRightInd w:val="0"/>
              <w:spacing w:line="360" w:lineRule="auto"/>
              <w:textAlignment w:val="auto"/>
              <w:rPr>
                <w:rFonts w:ascii="宋体" w:cs="宋体"/>
                <w:color w:val="auto"/>
                <w:sz w:val="24"/>
                <w:szCs w:val="24"/>
                <w:highlight w:val="none"/>
              </w:rPr>
            </w:pPr>
            <w:r>
              <w:rPr>
                <w:rFonts w:hint="eastAsia" w:ascii="宋体" w:hAnsi="宋体" w:cs="宋体"/>
                <w:color w:val="auto"/>
                <w:sz w:val="24"/>
                <w:szCs w:val="24"/>
                <w:highlight w:val="none"/>
              </w:rPr>
              <w:t>性</w:t>
            </w:r>
          </w:p>
          <w:p>
            <w:pPr>
              <w:widowControl w:val="0"/>
              <w:autoSpaceDE w:val="0"/>
              <w:autoSpaceDN w:val="0"/>
              <w:adjustRightInd w:val="0"/>
              <w:spacing w:line="360" w:lineRule="auto"/>
              <w:textAlignment w:val="auto"/>
              <w:rPr>
                <w:rFonts w:ascii="宋体" w:cs="宋体"/>
                <w:color w:val="auto"/>
                <w:sz w:val="24"/>
                <w:szCs w:val="24"/>
                <w:highlight w:val="none"/>
              </w:rPr>
            </w:pPr>
            <w:r>
              <w:rPr>
                <w:rFonts w:hint="eastAsia" w:ascii="宋体" w:hAnsi="宋体" w:cs="宋体"/>
                <w:color w:val="auto"/>
                <w:sz w:val="24"/>
                <w:szCs w:val="24"/>
                <w:highlight w:val="none"/>
              </w:rPr>
              <w:t>审</w:t>
            </w:r>
          </w:p>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r>
              <w:rPr>
                <w:rFonts w:hint="eastAsia" w:hAnsi="宋体"/>
                <w:color w:val="auto"/>
                <w:sz w:val="24"/>
                <w:szCs w:val="24"/>
                <w:highlight w:val="none"/>
              </w:rPr>
              <w:t>查</w:t>
            </w:r>
          </w:p>
        </w:tc>
        <w:tc>
          <w:tcPr>
            <w:tcW w:w="1134" w:type="dxa"/>
            <w:vMerge w:val="restart"/>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r>
              <w:rPr>
                <w:rFonts w:hint="eastAsia" w:hAnsi="宋体"/>
                <w:color w:val="auto"/>
                <w:sz w:val="24"/>
                <w:szCs w:val="24"/>
                <w:highlight w:val="none"/>
              </w:rPr>
              <w:t>有效性</w:t>
            </w: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投标人名称</w:t>
            </w:r>
          </w:p>
        </w:tc>
        <w:tc>
          <w:tcPr>
            <w:tcW w:w="5670" w:type="dxa"/>
            <w:vAlign w:val="center"/>
          </w:tcPr>
          <w:p>
            <w:pPr>
              <w:widowControl w:val="0"/>
              <w:autoSpaceDE w:val="0"/>
              <w:autoSpaceDN w:val="0"/>
              <w:snapToGrid w:val="0"/>
              <w:spacing w:line="240" w:lineRule="auto"/>
              <w:jc w:val="left"/>
              <w:textAlignment w:val="auto"/>
              <w:rPr>
                <w:rFonts w:ascii="宋体" w:cs="宋体"/>
                <w:color w:val="auto"/>
                <w:sz w:val="24"/>
                <w:szCs w:val="24"/>
                <w:highlight w:val="none"/>
              </w:rPr>
            </w:pPr>
            <w:r>
              <w:rPr>
                <w:rFonts w:hint="eastAsia" w:ascii="宋体" w:hAnsi="宋体" w:cs="宋体"/>
                <w:color w:val="auto"/>
                <w:sz w:val="24"/>
                <w:szCs w:val="24"/>
                <w:highlight w:val="none"/>
              </w:rPr>
              <w:t>与营业执照证等证照及签章一致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签字或盖章</w:t>
            </w:r>
          </w:p>
        </w:tc>
        <w:tc>
          <w:tcPr>
            <w:tcW w:w="5670" w:type="dxa"/>
            <w:vAlign w:val="center"/>
          </w:tcPr>
          <w:p>
            <w:pPr>
              <w:widowControl w:val="0"/>
              <w:autoSpaceDE w:val="0"/>
              <w:autoSpaceDN w:val="0"/>
              <w:snapToGrid w:val="0"/>
              <w:spacing w:line="240" w:lineRule="auto"/>
              <w:jc w:val="left"/>
              <w:textAlignment w:val="auto"/>
              <w:rPr>
                <w:rFonts w:ascii="宋体" w:cs="宋体"/>
                <w:color w:val="auto"/>
                <w:sz w:val="24"/>
                <w:szCs w:val="24"/>
                <w:highlight w:val="none"/>
              </w:rPr>
            </w:pPr>
            <w:r>
              <w:rPr>
                <w:rFonts w:hint="eastAsia" w:ascii="宋体" w:hAnsi="宋体" w:cs="宋体"/>
                <w:color w:val="auto"/>
                <w:sz w:val="24"/>
                <w:szCs w:val="24"/>
                <w:highlight w:val="none"/>
              </w:rPr>
              <w:t>符合第三章“投标人须知”</w:t>
            </w:r>
            <w:r>
              <w:rPr>
                <w:rFonts w:ascii="宋体" w:hAnsi="宋体" w:cs="宋体"/>
                <w:color w:val="auto"/>
                <w:sz w:val="24"/>
                <w:szCs w:val="24"/>
                <w:highlight w:val="none"/>
              </w:rPr>
              <w:t>3.7.</w:t>
            </w:r>
            <w:r>
              <w:rPr>
                <w:rFonts w:hint="eastAsia" w:ascii="宋体" w:hAnsi="宋体" w:cs="宋体"/>
                <w:color w:val="auto"/>
                <w:sz w:val="24"/>
                <w:szCs w:val="24"/>
                <w:highlight w:val="none"/>
              </w:rPr>
              <w:t>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Align w:val="center"/>
          </w:tcPr>
          <w:p>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完整性</w:t>
            </w: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投标文件组成</w:t>
            </w:r>
          </w:p>
        </w:tc>
        <w:tc>
          <w:tcPr>
            <w:tcW w:w="5670" w:type="dxa"/>
            <w:vAlign w:val="center"/>
          </w:tcPr>
          <w:p>
            <w:pPr>
              <w:widowControl w:val="0"/>
              <w:autoSpaceDE w:val="0"/>
              <w:autoSpaceDN w:val="0"/>
              <w:snapToGrid w:val="0"/>
              <w:spacing w:line="240" w:lineRule="auto"/>
              <w:jc w:val="left"/>
              <w:textAlignment w:val="auto"/>
              <w:rPr>
                <w:rFonts w:ascii="宋体" w:cs="宋体"/>
                <w:color w:val="auto"/>
                <w:sz w:val="24"/>
                <w:szCs w:val="24"/>
                <w:highlight w:val="none"/>
              </w:rPr>
            </w:pPr>
            <w:r>
              <w:rPr>
                <w:rFonts w:hint="eastAsia" w:ascii="宋体" w:hAnsi="宋体" w:cs="宋体"/>
                <w:color w:val="auto"/>
                <w:sz w:val="24"/>
                <w:szCs w:val="24"/>
                <w:highlight w:val="none"/>
              </w:rPr>
              <w:t>符合第三章“投标人须知”</w:t>
            </w:r>
            <w:r>
              <w:rPr>
                <w:rFonts w:ascii="宋体" w:hAnsi="宋体" w:cs="宋体"/>
                <w:color w:val="auto"/>
                <w:sz w:val="24"/>
                <w:szCs w:val="24"/>
                <w:highlight w:val="none"/>
              </w:rPr>
              <w:t>3.2</w:t>
            </w:r>
            <w:r>
              <w:rPr>
                <w:rFonts w:hint="eastAsia" w:ascii="宋体" w:hAnsi="宋体" w:cs="宋体"/>
                <w:color w:val="auto"/>
                <w:sz w:val="24"/>
                <w:szCs w:val="24"/>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restart"/>
            <w:vAlign w:val="center"/>
          </w:tcPr>
          <w:p>
            <w:pPr>
              <w:widowControl w:val="0"/>
              <w:autoSpaceDE w:val="0"/>
              <w:autoSpaceDN w:val="0"/>
              <w:adjustRightInd w:val="0"/>
              <w:spacing w:line="360" w:lineRule="auto"/>
              <w:rPr>
                <w:rFonts w:hAnsi="宋体"/>
                <w:color w:val="auto"/>
                <w:sz w:val="24"/>
                <w:szCs w:val="24"/>
                <w:highlight w:val="none"/>
              </w:rPr>
            </w:pPr>
            <w:r>
              <w:rPr>
                <w:rFonts w:hint="eastAsia" w:hAnsi="宋体"/>
                <w:color w:val="auto"/>
                <w:sz w:val="24"/>
                <w:szCs w:val="24"/>
                <w:highlight w:val="none"/>
              </w:rPr>
              <w:t>响应</w:t>
            </w:r>
          </w:p>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r>
              <w:rPr>
                <w:rFonts w:hint="eastAsia" w:hAnsi="宋体"/>
                <w:color w:val="auto"/>
                <w:sz w:val="24"/>
                <w:szCs w:val="24"/>
                <w:highlight w:val="none"/>
              </w:rPr>
              <w:t>程度</w:t>
            </w: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投标报价</w:t>
            </w:r>
          </w:p>
        </w:tc>
        <w:tc>
          <w:tcPr>
            <w:tcW w:w="5670" w:type="dxa"/>
            <w:vAlign w:val="center"/>
          </w:tcPr>
          <w:p>
            <w:pPr>
              <w:widowControl w:val="0"/>
              <w:autoSpaceDE w:val="0"/>
              <w:autoSpaceDN w:val="0"/>
              <w:snapToGrid w:val="0"/>
              <w:spacing w:line="240" w:lineRule="auto"/>
              <w:jc w:val="left"/>
              <w:textAlignment w:val="auto"/>
              <w:rPr>
                <w:rFonts w:ascii="宋体" w:cs="宋体"/>
                <w:color w:val="auto"/>
                <w:sz w:val="24"/>
                <w:szCs w:val="24"/>
                <w:highlight w:val="none"/>
              </w:rPr>
            </w:pPr>
            <w:r>
              <w:rPr>
                <w:rFonts w:hint="eastAsia" w:ascii="宋体" w:hAnsi="宋体" w:cs="宋体"/>
                <w:color w:val="auto"/>
                <w:sz w:val="24"/>
                <w:szCs w:val="24"/>
                <w:highlight w:val="none"/>
              </w:rPr>
              <w:t>符合第二章“招标项目要求及采购需求”</w:t>
            </w:r>
            <w:r>
              <w:rPr>
                <w:rFonts w:ascii="宋体" w:hAnsi="宋体" w:cs="宋体"/>
                <w:color w:val="auto"/>
                <w:sz w:val="24"/>
                <w:szCs w:val="24"/>
                <w:highlight w:val="none"/>
              </w:rPr>
              <w:t>1.3</w:t>
            </w:r>
            <w:r>
              <w:rPr>
                <w:rFonts w:hint="eastAsia" w:ascii="宋体" w:hAnsi="宋体" w:cs="宋体"/>
                <w:color w:val="auto"/>
                <w:sz w:val="24"/>
                <w:szCs w:val="24"/>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投标内容</w:t>
            </w:r>
          </w:p>
        </w:tc>
        <w:tc>
          <w:tcPr>
            <w:tcW w:w="5670" w:type="dxa"/>
            <w:vAlign w:val="center"/>
          </w:tcPr>
          <w:p>
            <w:pPr>
              <w:widowControl w:val="0"/>
              <w:autoSpaceDE w:val="0"/>
              <w:autoSpaceDN w:val="0"/>
              <w:snapToGrid w:val="0"/>
              <w:spacing w:line="240" w:lineRule="auto"/>
              <w:jc w:val="left"/>
              <w:textAlignment w:val="auto"/>
              <w:rPr>
                <w:rFonts w:ascii="宋体" w:cs="宋体"/>
                <w:color w:val="auto"/>
                <w:sz w:val="24"/>
                <w:szCs w:val="24"/>
                <w:highlight w:val="none"/>
              </w:rPr>
            </w:pPr>
            <w:r>
              <w:rPr>
                <w:rFonts w:hint="eastAsia" w:ascii="宋体" w:hAnsi="宋体" w:cs="宋体"/>
                <w:color w:val="auto"/>
                <w:sz w:val="24"/>
                <w:szCs w:val="24"/>
                <w:highlight w:val="none"/>
              </w:rPr>
              <w:t>符合第二章“招标项目要求及采购需求”第</w:t>
            </w:r>
            <w:r>
              <w:rPr>
                <w:rFonts w:ascii="宋体" w:hAnsi="宋体" w:cs="宋体"/>
                <w:color w:val="auto"/>
                <w:sz w:val="24"/>
                <w:szCs w:val="24"/>
                <w:highlight w:val="none"/>
              </w:rPr>
              <w:t>2</w:t>
            </w:r>
            <w:r>
              <w:rPr>
                <w:rFonts w:hint="eastAsia" w:ascii="宋体" w:hAnsi="宋体" w:cs="宋体"/>
                <w:color w:val="auto"/>
                <w:sz w:val="24"/>
                <w:szCs w:val="24"/>
                <w:highlight w:val="none"/>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交付（实施）期、交付（实施）地</w:t>
            </w:r>
          </w:p>
        </w:tc>
        <w:tc>
          <w:tcPr>
            <w:tcW w:w="5670" w:type="dxa"/>
            <w:vAlign w:val="center"/>
          </w:tcPr>
          <w:p>
            <w:pPr>
              <w:widowControl w:val="0"/>
              <w:autoSpaceDE w:val="0"/>
              <w:autoSpaceDN w:val="0"/>
              <w:snapToGrid w:val="0"/>
              <w:spacing w:line="240" w:lineRule="auto"/>
              <w:jc w:val="left"/>
              <w:textAlignment w:val="auto"/>
              <w:rPr>
                <w:rFonts w:ascii="宋体" w:cs="宋体"/>
                <w:color w:val="auto"/>
                <w:sz w:val="24"/>
                <w:szCs w:val="24"/>
                <w:highlight w:val="none"/>
              </w:rPr>
            </w:pPr>
            <w:r>
              <w:rPr>
                <w:rFonts w:hint="eastAsia" w:ascii="宋体" w:hAnsi="宋体" w:cs="宋体"/>
                <w:color w:val="auto"/>
                <w:sz w:val="24"/>
                <w:szCs w:val="24"/>
                <w:highlight w:val="none"/>
              </w:rPr>
              <w:t>符合第二章“招标项目要求及采购需求”</w:t>
            </w:r>
            <w:r>
              <w:rPr>
                <w:rFonts w:ascii="宋体" w:hAnsi="宋体" w:cs="宋体"/>
                <w:color w:val="auto"/>
                <w:sz w:val="24"/>
                <w:szCs w:val="24"/>
                <w:highlight w:val="none"/>
              </w:rPr>
              <w:t>1.2</w:t>
            </w:r>
            <w:r>
              <w:rPr>
                <w:rFonts w:hint="eastAsia" w:ascii="宋体" w:hAnsi="宋体" w:cs="宋体"/>
                <w:color w:val="auto"/>
                <w:sz w:val="24"/>
                <w:szCs w:val="24"/>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技术要求</w:t>
            </w:r>
          </w:p>
        </w:tc>
        <w:tc>
          <w:tcPr>
            <w:tcW w:w="5670" w:type="dxa"/>
            <w:vAlign w:val="center"/>
          </w:tcPr>
          <w:p>
            <w:pPr>
              <w:widowControl w:val="0"/>
              <w:autoSpaceDE w:val="0"/>
              <w:autoSpaceDN w:val="0"/>
              <w:snapToGrid w:val="0"/>
              <w:spacing w:line="240" w:lineRule="auto"/>
              <w:jc w:val="left"/>
              <w:textAlignment w:val="auto"/>
              <w:rPr>
                <w:rFonts w:ascii="宋体" w:cs="宋体"/>
                <w:color w:val="auto"/>
                <w:sz w:val="24"/>
                <w:szCs w:val="24"/>
                <w:highlight w:val="none"/>
              </w:rPr>
            </w:pPr>
            <w:r>
              <w:rPr>
                <w:rFonts w:hint="eastAsia" w:ascii="宋体" w:hAnsi="宋体" w:cs="宋体"/>
                <w:color w:val="auto"/>
                <w:sz w:val="24"/>
                <w:szCs w:val="24"/>
                <w:highlight w:val="none"/>
              </w:rPr>
              <w:t>符合第二章“招标项目要求及采购需求”第</w:t>
            </w:r>
            <w:r>
              <w:rPr>
                <w:rFonts w:ascii="宋体" w:hAnsi="宋体" w:cs="宋体"/>
                <w:color w:val="auto"/>
                <w:sz w:val="24"/>
                <w:szCs w:val="24"/>
                <w:highlight w:val="none"/>
              </w:rPr>
              <w:t>2</w:t>
            </w:r>
            <w:r>
              <w:rPr>
                <w:rFonts w:hint="eastAsia" w:ascii="宋体" w:hAnsi="宋体" w:cs="宋体"/>
                <w:color w:val="auto"/>
                <w:sz w:val="24"/>
                <w:szCs w:val="24"/>
                <w:highlight w:val="none"/>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售后服务</w:t>
            </w:r>
          </w:p>
        </w:tc>
        <w:tc>
          <w:tcPr>
            <w:tcW w:w="5670" w:type="dxa"/>
            <w:vAlign w:val="center"/>
          </w:tcPr>
          <w:p>
            <w:pPr>
              <w:widowControl w:val="0"/>
              <w:autoSpaceDE w:val="0"/>
              <w:autoSpaceDN w:val="0"/>
              <w:snapToGrid w:val="0"/>
              <w:spacing w:line="240" w:lineRule="auto"/>
              <w:jc w:val="left"/>
              <w:textAlignment w:val="auto"/>
              <w:rPr>
                <w:rFonts w:ascii="宋体" w:cs="宋体"/>
                <w:color w:val="auto"/>
                <w:sz w:val="24"/>
                <w:szCs w:val="24"/>
                <w:highlight w:val="none"/>
              </w:rPr>
            </w:pPr>
            <w:r>
              <w:rPr>
                <w:rFonts w:hint="eastAsia" w:ascii="宋体" w:hAnsi="宋体" w:cs="宋体"/>
                <w:color w:val="auto"/>
                <w:sz w:val="24"/>
                <w:szCs w:val="24"/>
                <w:highlight w:val="none"/>
              </w:rPr>
              <w:t>符合第二章“招标项目要求及采购需求”</w:t>
            </w:r>
            <w:r>
              <w:rPr>
                <w:rFonts w:ascii="宋体" w:hAnsi="宋体" w:cs="宋体"/>
                <w:color w:val="auto"/>
                <w:sz w:val="24"/>
                <w:szCs w:val="24"/>
                <w:highlight w:val="none"/>
              </w:rPr>
              <w:t xml:space="preserve"> 2.</w:t>
            </w:r>
            <w:r>
              <w:rPr>
                <w:rFonts w:hint="eastAsia" w:ascii="宋体" w:hAnsi="宋体" w:cs="宋体"/>
                <w:color w:val="auto"/>
                <w:sz w:val="24"/>
                <w:szCs w:val="24"/>
                <w:highlight w:val="none"/>
              </w:rPr>
              <w:t>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投标有效期</w:t>
            </w:r>
          </w:p>
        </w:tc>
        <w:tc>
          <w:tcPr>
            <w:tcW w:w="5670" w:type="dxa"/>
            <w:vAlign w:val="center"/>
          </w:tcPr>
          <w:p>
            <w:pPr>
              <w:widowControl w:val="0"/>
              <w:snapToGrid w:val="0"/>
              <w:spacing w:line="240" w:lineRule="auto"/>
              <w:jc w:val="left"/>
              <w:rPr>
                <w:rFonts w:ascii="宋体"/>
                <w:color w:val="auto"/>
                <w:sz w:val="24"/>
                <w:szCs w:val="24"/>
                <w:highlight w:val="none"/>
              </w:rPr>
            </w:pPr>
            <w:r>
              <w:rPr>
                <w:rFonts w:hint="eastAsia" w:ascii="宋体" w:hAnsi="宋体"/>
                <w:color w:val="auto"/>
                <w:sz w:val="24"/>
                <w:szCs w:val="24"/>
                <w:highlight w:val="none"/>
              </w:rPr>
              <w:t>符合第</w:t>
            </w:r>
            <w:r>
              <w:rPr>
                <w:rFonts w:hint="eastAsia" w:ascii="宋体" w:hAnsi="宋体"/>
                <w:color w:val="auto"/>
                <w:sz w:val="24"/>
                <w:highlight w:val="none"/>
              </w:rPr>
              <w:t>三</w:t>
            </w:r>
            <w:r>
              <w:rPr>
                <w:rFonts w:hint="eastAsia" w:ascii="宋体" w:hAnsi="宋体"/>
                <w:color w:val="auto"/>
                <w:sz w:val="24"/>
                <w:szCs w:val="24"/>
                <w:highlight w:val="none"/>
              </w:rPr>
              <w:t>章“投标人须知”</w:t>
            </w:r>
            <w:r>
              <w:rPr>
                <w:rFonts w:ascii="宋体" w:hAnsi="宋体"/>
                <w:color w:val="auto"/>
                <w:sz w:val="24"/>
                <w:szCs w:val="24"/>
                <w:highlight w:val="none"/>
              </w:rPr>
              <w:t>3.4</w:t>
            </w:r>
            <w:r>
              <w:rPr>
                <w:rFonts w:hint="eastAsia" w:ascii="宋体" w:hAnsi="宋体"/>
                <w:color w:val="auto"/>
                <w:sz w:val="24"/>
                <w:szCs w:val="24"/>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投标文件格式</w:t>
            </w:r>
          </w:p>
        </w:tc>
        <w:tc>
          <w:tcPr>
            <w:tcW w:w="5670" w:type="dxa"/>
            <w:vAlign w:val="center"/>
          </w:tcPr>
          <w:p>
            <w:pPr>
              <w:widowControl w:val="0"/>
              <w:autoSpaceDE w:val="0"/>
              <w:autoSpaceDN w:val="0"/>
              <w:snapToGrid w:val="0"/>
              <w:spacing w:line="240" w:lineRule="auto"/>
              <w:jc w:val="left"/>
              <w:textAlignment w:val="auto"/>
              <w:rPr>
                <w:rFonts w:ascii="宋体" w:cs="宋体"/>
                <w:color w:val="auto"/>
                <w:sz w:val="24"/>
                <w:szCs w:val="24"/>
                <w:highlight w:val="none"/>
              </w:rPr>
            </w:pPr>
            <w:r>
              <w:rPr>
                <w:rFonts w:hint="eastAsia" w:ascii="宋体" w:hAnsi="宋体" w:cs="宋体"/>
                <w:color w:val="auto"/>
                <w:sz w:val="24"/>
                <w:szCs w:val="24"/>
                <w:highlight w:val="none"/>
              </w:rPr>
              <w:t>符合第六章“投标文件格式”规定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付款</w:t>
            </w:r>
          </w:p>
        </w:tc>
        <w:tc>
          <w:tcPr>
            <w:tcW w:w="5670" w:type="dxa"/>
            <w:vAlign w:val="center"/>
          </w:tcPr>
          <w:p>
            <w:pPr>
              <w:widowControl w:val="0"/>
              <w:snapToGrid w:val="0"/>
              <w:spacing w:line="240" w:lineRule="auto"/>
              <w:jc w:val="left"/>
              <w:rPr>
                <w:rFonts w:ascii="宋体"/>
                <w:color w:val="auto"/>
                <w:sz w:val="24"/>
                <w:szCs w:val="24"/>
                <w:highlight w:val="none"/>
              </w:rPr>
            </w:pPr>
            <w:r>
              <w:rPr>
                <w:rFonts w:hint="eastAsia" w:ascii="宋体" w:hAnsi="宋体"/>
                <w:color w:val="auto"/>
                <w:sz w:val="24"/>
                <w:szCs w:val="24"/>
                <w:highlight w:val="none"/>
              </w:rPr>
              <w:t>符合第三章“投标人须知”第</w:t>
            </w:r>
            <w:r>
              <w:rPr>
                <w:rFonts w:ascii="宋体" w:hAnsi="宋体"/>
                <w:color w:val="auto"/>
                <w:sz w:val="24"/>
                <w:szCs w:val="24"/>
                <w:highlight w:val="none"/>
              </w:rPr>
              <w:t>10</w:t>
            </w:r>
            <w:r>
              <w:rPr>
                <w:rFonts w:hint="eastAsia" w:ascii="宋体" w:hAnsi="宋体"/>
                <w:color w:val="auto"/>
                <w:sz w:val="24"/>
                <w:szCs w:val="24"/>
                <w:highlight w:val="none"/>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偏差描述</w:t>
            </w:r>
          </w:p>
        </w:tc>
        <w:tc>
          <w:tcPr>
            <w:tcW w:w="5670" w:type="dxa"/>
            <w:vAlign w:val="center"/>
          </w:tcPr>
          <w:p>
            <w:pPr>
              <w:widowControl w:val="0"/>
              <w:snapToGrid w:val="0"/>
              <w:spacing w:line="240" w:lineRule="auto"/>
              <w:jc w:val="left"/>
              <w:rPr>
                <w:rFonts w:ascii="宋体"/>
                <w:color w:val="auto"/>
                <w:sz w:val="24"/>
                <w:szCs w:val="24"/>
                <w:highlight w:val="none"/>
              </w:rPr>
            </w:pPr>
            <w:r>
              <w:rPr>
                <w:rFonts w:hint="eastAsia" w:ascii="宋体" w:hAnsi="宋体"/>
                <w:color w:val="auto"/>
                <w:sz w:val="24"/>
                <w:szCs w:val="24"/>
                <w:highlight w:val="none"/>
              </w:rPr>
              <w:t>符合第三章“投标人须知”</w:t>
            </w:r>
            <w:r>
              <w:rPr>
                <w:rFonts w:ascii="宋体" w:hAnsi="宋体"/>
                <w:color w:val="auto"/>
                <w:sz w:val="24"/>
                <w:szCs w:val="24"/>
                <w:highlight w:val="none"/>
              </w:rPr>
              <w:t>3.7.3</w:t>
            </w:r>
            <w:r>
              <w:rPr>
                <w:rFonts w:hint="eastAsia" w:ascii="宋体" w:hAnsi="宋体"/>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pPr>
              <w:pStyle w:val="55"/>
              <w:adjustRightInd/>
              <w:snapToGrid w:val="0"/>
              <w:jc w:val="center"/>
              <w:rPr>
                <w:rFonts w:hAnsi="宋体"/>
                <w:color w:val="auto"/>
                <w:highlight w:val="none"/>
              </w:rPr>
            </w:pPr>
            <w:r>
              <w:rPr>
                <w:rFonts w:hint="eastAsia" w:hAnsi="宋体"/>
                <w:color w:val="auto"/>
                <w:highlight w:val="none"/>
              </w:rPr>
              <w:t>小微企业承诺的一致性</w:t>
            </w:r>
          </w:p>
        </w:tc>
        <w:tc>
          <w:tcPr>
            <w:tcW w:w="5670" w:type="dxa"/>
            <w:vAlign w:val="center"/>
          </w:tcPr>
          <w:p>
            <w:pPr>
              <w:snapToGrid w:val="0"/>
              <w:spacing w:line="240" w:lineRule="auto"/>
              <w:rPr>
                <w:rFonts w:ascii="宋体" w:hAnsi="宋体"/>
                <w:color w:val="auto"/>
                <w:sz w:val="24"/>
                <w:highlight w:val="none"/>
              </w:rPr>
            </w:pPr>
            <w:r>
              <w:rPr>
                <w:rFonts w:hint="eastAsia" w:ascii="宋体" w:hAnsi="宋体"/>
                <w:color w:val="auto"/>
                <w:sz w:val="24"/>
                <w:highlight w:val="none"/>
              </w:rPr>
              <w:t>《小微企业声明函》中产品承诺与投标产品不一致的为无效投标。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pPr>
              <w:widowControl w:val="0"/>
              <w:snapToGrid w:val="0"/>
              <w:spacing w:line="240" w:lineRule="auto"/>
              <w:rPr>
                <w:rFonts w:ascii="宋体"/>
                <w:color w:val="auto"/>
                <w:sz w:val="24"/>
                <w:szCs w:val="24"/>
                <w:highlight w:val="none"/>
              </w:rPr>
            </w:pPr>
            <w:r>
              <w:rPr>
                <w:rFonts w:hint="eastAsia"/>
                <w:color w:val="auto"/>
                <w:sz w:val="24"/>
                <w:szCs w:val="24"/>
                <w:highlight w:val="none"/>
              </w:rPr>
              <w:t>招标</w:t>
            </w:r>
            <w:r>
              <w:rPr>
                <w:rFonts w:hint="eastAsia" w:ascii="宋体" w:hAnsi="宋体"/>
                <w:color w:val="auto"/>
                <w:sz w:val="24"/>
                <w:szCs w:val="24"/>
                <w:highlight w:val="none"/>
              </w:rPr>
              <w:t>文件总体响应</w:t>
            </w:r>
          </w:p>
        </w:tc>
        <w:tc>
          <w:tcPr>
            <w:tcW w:w="5670" w:type="dxa"/>
            <w:vAlign w:val="center"/>
          </w:tcPr>
          <w:p>
            <w:pPr>
              <w:widowControl w:val="0"/>
              <w:autoSpaceDE w:val="0"/>
              <w:autoSpaceDN w:val="0"/>
              <w:snapToGrid w:val="0"/>
              <w:spacing w:line="240" w:lineRule="auto"/>
              <w:jc w:val="left"/>
              <w:rPr>
                <w:rFonts w:ascii="宋体"/>
                <w:color w:val="auto"/>
                <w:sz w:val="24"/>
                <w:szCs w:val="24"/>
                <w:highlight w:val="none"/>
              </w:rPr>
            </w:pPr>
            <w:r>
              <w:rPr>
                <w:rFonts w:hint="eastAsia" w:ascii="宋体" w:hAnsi="宋体"/>
                <w:color w:val="auto"/>
                <w:sz w:val="24"/>
                <w:szCs w:val="24"/>
                <w:highlight w:val="none"/>
              </w:rPr>
              <w:t>符合第三章“投标人须知”</w:t>
            </w:r>
            <w:r>
              <w:rPr>
                <w:rFonts w:ascii="宋体" w:hAnsi="宋体"/>
                <w:color w:val="auto"/>
                <w:sz w:val="24"/>
                <w:szCs w:val="24"/>
                <w:highlight w:val="none"/>
              </w:rPr>
              <w:t>1.3</w:t>
            </w:r>
            <w:r>
              <w:rPr>
                <w:rFonts w:hint="eastAsia" w:ascii="宋体" w:hAnsi="宋体"/>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pPr>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其他</w:t>
            </w:r>
          </w:p>
        </w:tc>
        <w:tc>
          <w:tcPr>
            <w:tcW w:w="5670" w:type="dxa"/>
            <w:vAlign w:val="center"/>
          </w:tcPr>
          <w:p>
            <w:pPr>
              <w:autoSpaceDE w:val="0"/>
              <w:autoSpaceDN w:val="0"/>
              <w:snapToGrid w:val="0"/>
              <w:spacing w:line="240" w:lineRule="auto"/>
              <w:rPr>
                <w:rFonts w:ascii="宋体" w:hAnsi="宋体"/>
                <w:color w:val="auto"/>
                <w:sz w:val="24"/>
                <w:szCs w:val="24"/>
                <w:highlight w:val="none"/>
              </w:rPr>
            </w:pPr>
            <w:r>
              <w:rPr>
                <w:rFonts w:hint="eastAsia" w:ascii="宋体" w:hAnsi="宋体"/>
                <w:color w:val="auto"/>
                <w:sz w:val="24"/>
                <w:szCs w:val="24"/>
                <w:highlight w:val="none"/>
              </w:rPr>
              <w:t>如涉及台式计算机、便携式计算机、一体式计算机、工作站、通用服务器、操作系统、数据库的，符合第六章12-2附件要求。</w:t>
            </w:r>
          </w:p>
        </w:tc>
      </w:tr>
    </w:tbl>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黑体" w:hAnsi="黑体" w:eastAsia="黑体" w:cs="楷体_GB2312"/>
          <w:b/>
          <w:bCs/>
          <w:color w:val="auto"/>
          <w:sz w:val="28"/>
          <w:szCs w:val="28"/>
          <w:highlight w:val="none"/>
          <w:lang w:val="zh-CN"/>
        </w:rPr>
        <w:t>注：</w:t>
      </w:r>
      <w:r>
        <w:rPr>
          <w:rFonts w:hint="eastAsia" w:ascii="宋体" w:cs="楷体_GB2312"/>
          <w:color w:val="auto"/>
          <w:sz w:val="24"/>
          <w:highlight w:val="none"/>
          <w:lang w:val="zh-CN"/>
        </w:rPr>
        <w:t>公开招标采购项目开标结束后、评标工作前，采购人或者采购代理机构将依法对投标人的资格进行审查。资格性审查不合格的、投标无效。合格资格性审查合格投标人不足</w:t>
      </w:r>
      <w:r>
        <w:rPr>
          <w:rFonts w:ascii="宋体" w:cs="楷体_GB2312"/>
          <w:color w:val="auto"/>
          <w:sz w:val="24"/>
          <w:highlight w:val="none"/>
          <w:lang w:val="zh-CN"/>
        </w:rPr>
        <w:t>3</w:t>
      </w:r>
      <w:r>
        <w:rPr>
          <w:rFonts w:hint="eastAsia" w:ascii="宋体" w:cs="楷体_GB2312"/>
          <w:color w:val="auto"/>
          <w:sz w:val="24"/>
          <w:highlight w:val="none"/>
          <w:lang w:val="zh-CN"/>
        </w:rPr>
        <w:t>家的，将不再评标。</w:t>
      </w:r>
    </w:p>
    <w:p>
      <w:pPr>
        <w:autoSpaceDE w:val="0"/>
        <w:autoSpaceDN w:val="0"/>
        <w:adjustRightInd w:val="0"/>
        <w:snapToGrid w:val="0"/>
        <w:spacing w:before="156" w:beforeLines="50" w:line="300" w:lineRule="auto"/>
        <w:ind w:firstLine="539"/>
        <w:rPr>
          <w:rFonts w:ascii="黑体" w:hAnsi="黑体" w:eastAsia="黑体"/>
          <w:b/>
          <w:color w:val="auto"/>
          <w:sz w:val="28"/>
          <w:szCs w:val="28"/>
          <w:highlight w:val="none"/>
        </w:rPr>
      </w:pPr>
      <w:r>
        <w:rPr>
          <w:rFonts w:ascii="宋体" w:hAnsi="宋体" w:cs="楷体_GB2312"/>
          <w:b/>
          <w:color w:val="auto"/>
          <w:sz w:val="24"/>
          <w:highlight w:val="none"/>
          <w:lang w:val="zh-CN"/>
        </w:rPr>
        <w:br w:type="page"/>
      </w:r>
      <w:r>
        <w:rPr>
          <w:rFonts w:hint="eastAsia" w:ascii="黑体" w:hAnsi="黑体" w:eastAsia="黑体"/>
          <w:b/>
          <w:color w:val="auto"/>
          <w:sz w:val="28"/>
          <w:szCs w:val="28"/>
          <w:highlight w:val="none"/>
        </w:rPr>
        <w:t>评标办法前附表</w:t>
      </w:r>
      <w:r>
        <w:rPr>
          <w:rFonts w:ascii="黑体" w:hAnsi="黑体" w:eastAsia="黑体"/>
          <w:b/>
          <w:color w:val="auto"/>
          <w:sz w:val="28"/>
          <w:szCs w:val="28"/>
          <w:highlight w:val="none"/>
        </w:rPr>
        <w:t>------</w:t>
      </w:r>
      <w:r>
        <w:rPr>
          <w:rFonts w:hint="eastAsia" w:ascii="黑体" w:hAnsi="黑体" w:eastAsia="黑体"/>
          <w:b/>
          <w:color w:val="auto"/>
          <w:sz w:val="28"/>
          <w:szCs w:val="28"/>
          <w:highlight w:val="none"/>
        </w:rPr>
        <w:t>标段（包）1分值构成与评分标准</w:t>
      </w:r>
      <w:r>
        <w:rPr>
          <w:rFonts w:ascii="黑体" w:hAnsi="黑体" w:eastAsia="黑体"/>
          <w:b/>
          <w:color w:val="auto"/>
          <w:sz w:val="28"/>
          <w:szCs w:val="28"/>
          <w:highlight w:val="none"/>
        </w:rPr>
        <w:t xml:space="preserve">   </w:t>
      </w:r>
    </w:p>
    <w:tbl>
      <w:tblPr>
        <w:tblStyle w:val="20"/>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512"/>
        <w:gridCol w:w="1224"/>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4" w:type="dxa"/>
            <w:vAlign w:val="center"/>
          </w:tcPr>
          <w:p>
            <w:pPr>
              <w:widowControl w:val="0"/>
              <w:autoSpaceDE w:val="0"/>
              <w:autoSpaceDN w:val="0"/>
              <w:adjustRightInd w:val="0"/>
              <w:spacing w:line="24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p>
        </w:tc>
        <w:tc>
          <w:tcPr>
            <w:tcW w:w="1512" w:type="dxa"/>
            <w:vAlign w:val="center"/>
          </w:tcPr>
          <w:p>
            <w:pPr>
              <w:spacing w:line="351" w:lineRule="atLeas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条款内容</w:t>
            </w:r>
          </w:p>
        </w:tc>
        <w:tc>
          <w:tcPr>
            <w:tcW w:w="7377" w:type="dxa"/>
            <w:gridSpan w:val="2"/>
            <w:vAlign w:val="center"/>
          </w:tcPr>
          <w:p>
            <w:pPr>
              <w:spacing w:line="351" w:lineRule="atLeas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1124" w:type="dxa"/>
            <w:vAlign w:val="center"/>
          </w:tcPr>
          <w:p>
            <w:pPr>
              <w:widowControl w:val="0"/>
              <w:autoSpaceDE w:val="0"/>
              <w:autoSpaceDN w:val="0"/>
              <w:adjustRightIn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w:t>
            </w:r>
          </w:p>
        </w:tc>
        <w:tc>
          <w:tcPr>
            <w:tcW w:w="1512" w:type="dxa"/>
            <w:vAlign w:val="center"/>
          </w:tcPr>
          <w:p>
            <w:pPr>
              <w:widowControl w:val="0"/>
              <w:autoSpaceDE w:val="0"/>
              <w:autoSpaceDN w:val="0"/>
              <w:adjustRightIn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分值构成</w:t>
            </w:r>
          </w:p>
          <w:p>
            <w:pPr>
              <w:widowControl w:val="0"/>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（总分100 分）</w:t>
            </w:r>
          </w:p>
        </w:tc>
        <w:tc>
          <w:tcPr>
            <w:tcW w:w="7377" w:type="dxa"/>
            <w:gridSpan w:val="2"/>
            <w:vAlign w:val="center"/>
          </w:tcPr>
          <w:p>
            <w:pPr>
              <w:widowControl w:val="0"/>
              <w:snapToGrid w:val="0"/>
              <w:spacing w:line="24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价格：</w:t>
            </w:r>
            <w:r>
              <w:rPr>
                <w:rFonts w:hint="eastAsia" w:asciiTheme="minorEastAsia" w:hAnsiTheme="minorEastAsia" w:eastAsiaTheme="minorEastAsia" w:cstheme="minorEastAsia"/>
                <w:color w:val="auto"/>
                <w:sz w:val="24"/>
                <w:szCs w:val="24"/>
                <w:highlight w:val="none"/>
                <w:u w:val="single"/>
                <w:lang w:val="en-US" w:eastAsia="zh-CN"/>
              </w:rPr>
              <w:t>3</w:t>
            </w:r>
            <w:r>
              <w:rPr>
                <w:rFonts w:hint="eastAsia" w:asciiTheme="minorEastAsia" w:hAnsiTheme="minorEastAsia" w:eastAsiaTheme="minorEastAsia" w:cstheme="minorEastAsia"/>
                <w:color w:val="auto"/>
                <w:sz w:val="24"/>
                <w:szCs w:val="24"/>
                <w:highlight w:val="none"/>
                <w:u w:val="single"/>
              </w:rPr>
              <w:t xml:space="preserve">0 </w:t>
            </w:r>
            <w:r>
              <w:rPr>
                <w:rFonts w:hint="eastAsia" w:asciiTheme="minorEastAsia" w:hAnsiTheme="minorEastAsia" w:eastAsiaTheme="minorEastAsia" w:cstheme="minorEastAsia"/>
                <w:color w:val="auto"/>
                <w:sz w:val="24"/>
                <w:szCs w:val="24"/>
                <w:highlight w:val="none"/>
              </w:rPr>
              <w:t>分</w:t>
            </w:r>
          </w:p>
          <w:p>
            <w:pPr>
              <w:widowControl w:val="0"/>
              <w:snapToGrid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w:t>
            </w:r>
            <w:r>
              <w:rPr>
                <w:rFonts w:hint="eastAsia" w:asciiTheme="minorEastAsia" w:hAnsiTheme="minorEastAsia" w:eastAsiaTheme="minorEastAsia" w:cstheme="minorEastAsia"/>
                <w:color w:val="auto"/>
                <w:sz w:val="24"/>
                <w:szCs w:val="24"/>
                <w:highlight w:val="none"/>
                <w:u w:val="single"/>
              </w:rPr>
              <w:t xml:space="preserve"> 30 </w:t>
            </w:r>
            <w:r>
              <w:rPr>
                <w:rFonts w:hint="eastAsia" w:asciiTheme="minorEastAsia" w:hAnsiTheme="minorEastAsia" w:eastAsiaTheme="minorEastAsia" w:cstheme="minorEastAsia"/>
                <w:color w:val="auto"/>
                <w:sz w:val="24"/>
                <w:szCs w:val="24"/>
                <w:highlight w:val="none"/>
              </w:rPr>
              <w:t>分</w:t>
            </w:r>
          </w:p>
          <w:p>
            <w:pPr>
              <w:widowControl w:val="0"/>
              <w:snapToGrid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履约能力：</w:t>
            </w:r>
            <w:r>
              <w:rPr>
                <w:rFonts w:hint="eastAsia" w:asciiTheme="minorEastAsia" w:hAnsiTheme="minorEastAsia" w:eastAsiaTheme="minorEastAsia" w:cstheme="minorEastAsia"/>
                <w:color w:val="auto"/>
                <w:sz w:val="24"/>
                <w:szCs w:val="24"/>
                <w:highlight w:val="none"/>
                <w:u w:val="single"/>
                <w:lang w:val="en-US" w:eastAsia="zh-CN"/>
              </w:rPr>
              <w:t>3</w:t>
            </w:r>
            <w:r>
              <w:rPr>
                <w:rFonts w:hint="eastAsia" w:asciiTheme="minorEastAsia" w:hAnsiTheme="minorEastAsia" w:eastAsiaTheme="minorEastAsia" w:cstheme="minorEastAsia"/>
                <w:color w:val="auto"/>
                <w:sz w:val="24"/>
                <w:szCs w:val="24"/>
                <w:highlight w:val="none"/>
                <w:u w:val="single"/>
              </w:rPr>
              <w:t xml:space="preserve">1 </w:t>
            </w:r>
            <w:r>
              <w:rPr>
                <w:rFonts w:hint="eastAsia" w:asciiTheme="minorEastAsia" w:hAnsiTheme="minorEastAsia" w:eastAsiaTheme="minorEastAsia" w:cstheme="minorEastAsia"/>
                <w:color w:val="auto"/>
                <w:sz w:val="24"/>
                <w:szCs w:val="24"/>
                <w:highlight w:val="none"/>
              </w:rPr>
              <w:t>分</w:t>
            </w:r>
          </w:p>
          <w:p>
            <w:pPr>
              <w:widowControl w:val="0"/>
              <w:snapToGrid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售后服务：</w:t>
            </w:r>
            <w:r>
              <w:rPr>
                <w:rFonts w:hint="eastAsia" w:asciiTheme="minorEastAsia" w:hAnsiTheme="minorEastAsia" w:eastAsiaTheme="minorEastAsia" w:cstheme="minorEastAsia"/>
                <w:color w:val="auto"/>
                <w:sz w:val="24"/>
                <w:szCs w:val="24"/>
                <w:highlight w:val="none"/>
                <w:u w:val="single"/>
              </w:rPr>
              <w:t>9</w:t>
            </w:r>
            <w:r>
              <w:rPr>
                <w:rFonts w:hint="eastAsia" w:asciiTheme="minorEastAsia" w:hAnsiTheme="minorEastAsia" w:eastAsiaTheme="minorEastAsia" w:cstheme="minorEastAsia"/>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124" w:type="dxa"/>
            <w:vAlign w:val="center"/>
          </w:tcPr>
          <w:p>
            <w:pPr>
              <w:widowControl w:val="0"/>
              <w:autoSpaceDE w:val="0"/>
              <w:autoSpaceDN w:val="0"/>
              <w:adjustRightInd w:val="0"/>
              <w:spacing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p>
        </w:tc>
        <w:tc>
          <w:tcPr>
            <w:tcW w:w="1512" w:type="dxa"/>
            <w:vAlign w:val="center"/>
          </w:tcPr>
          <w:p>
            <w:pPr>
              <w:widowControl w:val="0"/>
              <w:snapToGrid w:val="0"/>
              <w:spacing w:line="240" w:lineRule="auto"/>
              <w:ind w:hanging="13"/>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评分因素</w:t>
            </w:r>
          </w:p>
        </w:tc>
        <w:tc>
          <w:tcPr>
            <w:tcW w:w="7377" w:type="dxa"/>
            <w:gridSpan w:val="2"/>
            <w:vAlign w:val="center"/>
          </w:tcPr>
          <w:p>
            <w:pPr>
              <w:widowControl w:val="0"/>
              <w:snapToGrid w:val="0"/>
              <w:spacing w:line="24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124" w:type="dxa"/>
            <w:vAlign w:val="center"/>
          </w:tcPr>
          <w:p>
            <w:pPr>
              <w:widowControl w:val="0"/>
              <w:autoSpaceDE w:val="0"/>
              <w:autoSpaceDN w:val="0"/>
              <w:adjustRightInd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2.2.2.1</w:t>
            </w:r>
          </w:p>
          <w:p>
            <w:pPr>
              <w:widowControl w:val="0"/>
              <w:autoSpaceDE w:val="0"/>
              <w:autoSpaceDN w:val="0"/>
              <w:adjustRightInd w:val="0"/>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1512" w:type="dxa"/>
            <w:vAlign w:val="center"/>
          </w:tcPr>
          <w:p>
            <w:pPr>
              <w:widowControl w:val="0"/>
              <w:autoSpaceDE w:val="0"/>
              <w:autoSpaceDN w:val="0"/>
              <w:adjustRightInd w:val="0"/>
              <w:snapToGrid w:val="0"/>
              <w:spacing w:line="30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w:t>
            </w:r>
          </w:p>
        </w:tc>
        <w:tc>
          <w:tcPr>
            <w:tcW w:w="7377" w:type="dxa"/>
            <w:gridSpan w:val="2"/>
            <w:vAlign w:val="center"/>
          </w:tcPr>
          <w:p>
            <w:pPr>
              <w:widowControl w:val="0"/>
              <w:snapToGrid w:val="0"/>
              <w:spacing w:line="240" w:lineRule="auto"/>
              <w:ind w:firstLine="5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价格因素评分</w:t>
            </w:r>
          </w:p>
          <w:p>
            <w:pPr>
              <w:widowControl w:val="0"/>
              <w:snapToGrid w:val="0"/>
              <w:spacing w:line="240" w:lineRule="auto"/>
              <w:ind w:firstLine="5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所有有效投标人的投标报价中，价格最低的投标报价为评标基准值。</w:t>
            </w:r>
          </w:p>
          <w:p>
            <w:pPr>
              <w:widowControl w:val="0"/>
              <w:snapToGrid w:val="0"/>
              <w:spacing w:line="240" w:lineRule="auto"/>
              <w:ind w:firstLine="5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有效投标报价等于评标基准值得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0分。</w:t>
            </w:r>
          </w:p>
          <w:p>
            <w:pPr>
              <w:widowControl w:val="0"/>
              <w:snapToGrid w:val="0"/>
              <w:spacing w:line="240" w:lineRule="auto"/>
              <w:ind w:firstLine="5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其他投标人投标报价得分=（评标基准价/投标报价）×</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124" w:type="dxa"/>
            <w:vMerge w:val="restart"/>
            <w:vAlign w:val="center"/>
          </w:tcPr>
          <w:p>
            <w:pPr>
              <w:widowControl w:val="0"/>
              <w:autoSpaceDE w:val="0"/>
              <w:autoSpaceDN w:val="0"/>
              <w:adjustRightInd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2.2.2.2</w:t>
            </w:r>
          </w:p>
        </w:tc>
        <w:tc>
          <w:tcPr>
            <w:tcW w:w="1512" w:type="dxa"/>
            <w:vMerge w:val="restart"/>
            <w:vAlign w:val="center"/>
          </w:tcPr>
          <w:p>
            <w:pPr>
              <w:widowControl w:val="0"/>
              <w:autoSpaceDE w:val="0"/>
              <w:autoSpaceDN w:val="0"/>
              <w:adjustRightInd w:val="0"/>
              <w:snapToGrid w:val="0"/>
              <w:spacing w:line="30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技术</w:t>
            </w:r>
          </w:p>
        </w:tc>
        <w:tc>
          <w:tcPr>
            <w:tcW w:w="1224" w:type="dxa"/>
            <w:vAlign w:val="center"/>
          </w:tcPr>
          <w:p>
            <w:pPr>
              <w:spacing w:line="276" w:lineRule="auto"/>
              <w:jc w:val="center"/>
              <w:rPr>
                <w:rFonts w:hint="eastAsia" w:asciiTheme="minorEastAsia" w:hAnsiTheme="minorEastAsia" w:eastAsiaTheme="minorEastAsia" w:cstheme="minorEastAsia"/>
                <w:iCs/>
                <w:color w:val="auto"/>
                <w:sz w:val="24"/>
                <w:szCs w:val="24"/>
                <w:highlight w:val="none"/>
              </w:rPr>
            </w:pPr>
            <w:r>
              <w:rPr>
                <w:rFonts w:hint="eastAsia" w:asciiTheme="minorEastAsia" w:hAnsiTheme="minorEastAsia" w:eastAsiaTheme="minorEastAsia" w:cstheme="minorEastAsia"/>
                <w:iCs/>
                <w:color w:val="auto"/>
                <w:sz w:val="24"/>
                <w:szCs w:val="24"/>
                <w:highlight w:val="none"/>
              </w:rPr>
              <w:t>投标产品主要技术指标的响应程度（20分）</w:t>
            </w:r>
          </w:p>
        </w:tc>
        <w:tc>
          <w:tcPr>
            <w:tcW w:w="6153" w:type="dxa"/>
            <w:vAlign w:val="center"/>
          </w:tcPr>
          <w:p>
            <w:pPr>
              <w:widowControl w:val="0"/>
              <w:snapToGrid w:val="0"/>
              <w:spacing w:line="276"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（1）完全符合《招标文件》第二章“2.4 基本技术要求”的，得基本分20分；</w:t>
            </w:r>
          </w:p>
          <w:p>
            <w:pPr>
              <w:spacing w:line="276"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（2）《招标文件》第二章“2.4基本技术要求”中每有1项负偏离</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或未响应</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则在基本分基础上扣4分。</w:t>
            </w:r>
            <w:r>
              <w:rPr>
                <w:rFonts w:hint="eastAsia" w:asciiTheme="minorEastAsia" w:hAnsiTheme="minorEastAsia" w:eastAsiaTheme="minorEastAsia" w:cstheme="minorEastAsia"/>
                <w:bCs/>
                <w:color w:val="auto"/>
                <w:sz w:val="24"/>
                <w:szCs w:val="24"/>
                <w:highlight w:val="none"/>
                <w:lang w:val="en-US" w:eastAsia="zh-CN"/>
              </w:rPr>
              <w:t>本项分值扣完为止</w:t>
            </w:r>
            <w:r>
              <w:rPr>
                <w:rFonts w:hint="eastAsia" w:asciiTheme="minorEastAsia" w:hAnsiTheme="minorEastAsia" w:eastAsiaTheme="minorEastAsia" w:cstheme="minorEastAsia"/>
                <w:bCs/>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7" w:hRule="atLeast"/>
          <w:jc w:val="center"/>
        </w:trPr>
        <w:tc>
          <w:tcPr>
            <w:tcW w:w="1124" w:type="dxa"/>
            <w:vMerge w:val="continue"/>
            <w:vAlign w:val="center"/>
          </w:tcPr>
          <w:p>
            <w:pPr>
              <w:widowControl w:val="0"/>
              <w:autoSpaceDE w:val="0"/>
              <w:autoSpaceDN w:val="0"/>
              <w:adjustRightInd w:val="0"/>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1512" w:type="dxa"/>
            <w:vMerge w:val="continue"/>
            <w:vAlign w:val="center"/>
          </w:tcPr>
          <w:p>
            <w:pPr>
              <w:widowControl w:val="0"/>
              <w:autoSpaceDE w:val="0"/>
              <w:autoSpaceDN w:val="0"/>
              <w:adjustRightInd w:val="0"/>
              <w:snapToGrid w:val="0"/>
              <w:spacing w:line="300" w:lineRule="auto"/>
              <w:jc w:val="center"/>
              <w:textAlignment w:val="auto"/>
              <w:rPr>
                <w:rFonts w:hint="eastAsia" w:asciiTheme="minorEastAsia" w:hAnsiTheme="minorEastAsia" w:eastAsiaTheme="minorEastAsia" w:cstheme="minorEastAsia"/>
                <w:color w:val="auto"/>
                <w:sz w:val="24"/>
                <w:szCs w:val="24"/>
                <w:highlight w:val="none"/>
              </w:rPr>
            </w:pPr>
          </w:p>
        </w:tc>
        <w:tc>
          <w:tcPr>
            <w:tcW w:w="1224" w:type="dxa"/>
            <w:vMerge w:val="restart"/>
            <w:vAlign w:val="center"/>
          </w:tcPr>
          <w:p>
            <w:pPr>
              <w:spacing w:line="276" w:lineRule="auto"/>
              <w:jc w:val="center"/>
              <w:rPr>
                <w:rFonts w:hint="eastAsia" w:asciiTheme="minorEastAsia" w:hAnsiTheme="minorEastAsia" w:eastAsiaTheme="minorEastAsia" w:cstheme="minorEastAsia"/>
                <w:iCs/>
                <w:color w:val="auto"/>
                <w:sz w:val="24"/>
                <w:szCs w:val="24"/>
                <w:highlight w:val="none"/>
              </w:rPr>
            </w:pPr>
            <w:r>
              <w:rPr>
                <w:rFonts w:hint="eastAsia" w:asciiTheme="minorEastAsia" w:hAnsiTheme="minorEastAsia" w:eastAsiaTheme="minorEastAsia" w:cstheme="minorEastAsia"/>
                <w:iCs/>
                <w:color w:val="auto"/>
                <w:sz w:val="24"/>
                <w:szCs w:val="24"/>
                <w:highlight w:val="none"/>
              </w:rPr>
              <w:t>技术方案</w:t>
            </w:r>
          </w:p>
          <w:p>
            <w:pPr>
              <w:spacing w:line="276" w:lineRule="auto"/>
              <w:jc w:val="center"/>
              <w:rPr>
                <w:rFonts w:hint="eastAsia" w:asciiTheme="minorEastAsia" w:hAnsiTheme="minorEastAsia" w:eastAsiaTheme="minorEastAsia" w:cstheme="minorEastAsia"/>
                <w:iCs/>
                <w:color w:val="auto"/>
                <w:sz w:val="24"/>
                <w:szCs w:val="24"/>
                <w:highlight w:val="none"/>
              </w:rPr>
            </w:pPr>
            <w:r>
              <w:rPr>
                <w:rFonts w:hint="eastAsia" w:asciiTheme="minorEastAsia" w:hAnsiTheme="minorEastAsia" w:eastAsiaTheme="minorEastAsia" w:cstheme="minorEastAsia"/>
                <w:iCs/>
                <w:color w:val="auto"/>
                <w:sz w:val="24"/>
                <w:szCs w:val="24"/>
                <w:highlight w:val="none"/>
              </w:rPr>
              <w:t>（10分）</w:t>
            </w:r>
          </w:p>
        </w:tc>
        <w:tc>
          <w:tcPr>
            <w:tcW w:w="6153" w:type="dxa"/>
            <w:vAlign w:val="center"/>
          </w:tcPr>
          <w:p>
            <w:pPr>
              <w:spacing w:line="276"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投标人针对本项目重难点分析及设备特色功能介绍进行综合评价：</w:t>
            </w:r>
          </w:p>
          <w:p>
            <w:pPr>
              <w:snapToGrid w:val="0"/>
              <w:spacing w:line="276"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a、科学、详尽、全面的，得5分；</w:t>
            </w:r>
          </w:p>
          <w:p>
            <w:pPr>
              <w:snapToGrid w:val="0"/>
              <w:spacing w:line="276"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b、合理、完整、可行的，得3分；</w:t>
            </w:r>
          </w:p>
          <w:p>
            <w:pPr>
              <w:snapToGrid w:val="0"/>
              <w:spacing w:line="276"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c、能满足项目基本要求的，得1分；</w:t>
            </w:r>
          </w:p>
          <w:p>
            <w:pPr>
              <w:widowControl w:val="0"/>
              <w:snapToGrid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d、缺项的，得0分。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124" w:type="dxa"/>
            <w:vMerge w:val="continue"/>
            <w:vAlign w:val="center"/>
          </w:tcPr>
          <w:p>
            <w:pPr>
              <w:widowControl w:val="0"/>
              <w:autoSpaceDE w:val="0"/>
              <w:autoSpaceDN w:val="0"/>
              <w:adjustRightInd w:val="0"/>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1512" w:type="dxa"/>
            <w:vMerge w:val="continue"/>
            <w:vAlign w:val="center"/>
          </w:tcPr>
          <w:p>
            <w:pPr>
              <w:widowControl w:val="0"/>
              <w:autoSpaceDE w:val="0"/>
              <w:autoSpaceDN w:val="0"/>
              <w:adjustRightInd w:val="0"/>
              <w:snapToGrid w:val="0"/>
              <w:spacing w:line="300" w:lineRule="auto"/>
              <w:jc w:val="center"/>
              <w:textAlignment w:val="auto"/>
              <w:rPr>
                <w:rFonts w:hint="eastAsia" w:asciiTheme="minorEastAsia" w:hAnsiTheme="minorEastAsia" w:eastAsiaTheme="minorEastAsia" w:cstheme="minorEastAsia"/>
                <w:color w:val="auto"/>
                <w:sz w:val="24"/>
                <w:szCs w:val="24"/>
                <w:highlight w:val="none"/>
              </w:rPr>
            </w:pPr>
          </w:p>
        </w:tc>
        <w:tc>
          <w:tcPr>
            <w:tcW w:w="1224" w:type="dxa"/>
            <w:vMerge w:val="continue"/>
            <w:vAlign w:val="center"/>
          </w:tcPr>
          <w:p>
            <w:pPr>
              <w:widowControl w:val="0"/>
              <w:snapToGrid w:val="0"/>
              <w:spacing w:line="240" w:lineRule="auto"/>
              <w:ind w:firstLine="555"/>
              <w:rPr>
                <w:rFonts w:hint="eastAsia" w:asciiTheme="minorEastAsia" w:hAnsiTheme="minorEastAsia" w:eastAsiaTheme="minorEastAsia" w:cstheme="minorEastAsia"/>
                <w:color w:val="auto"/>
                <w:sz w:val="24"/>
                <w:szCs w:val="24"/>
                <w:highlight w:val="none"/>
              </w:rPr>
            </w:pPr>
          </w:p>
        </w:tc>
        <w:tc>
          <w:tcPr>
            <w:tcW w:w="6153" w:type="dxa"/>
            <w:vAlign w:val="center"/>
          </w:tcPr>
          <w:p>
            <w:pPr>
              <w:spacing w:line="276"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投标人提供的协助“安阳市住房和城乡建设局安阳市东区污水处理厂初沉淀池改造工程项目（采购编号：安财磋商采购-2024-20）”施工项目成交供应商对设备安装、调试的方案进行综合评价：</w:t>
            </w:r>
          </w:p>
          <w:p>
            <w:pPr>
              <w:snapToGrid w:val="0"/>
              <w:spacing w:line="276"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a、科学、详尽、全面的，得5分；</w:t>
            </w:r>
          </w:p>
          <w:p>
            <w:pPr>
              <w:snapToGrid w:val="0"/>
              <w:spacing w:line="276"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b、合理、完整、可行的，得3分；</w:t>
            </w:r>
          </w:p>
          <w:p>
            <w:pPr>
              <w:snapToGrid w:val="0"/>
              <w:spacing w:line="276"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c、能满足项目基本要求的，得1分；</w:t>
            </w:r>
          </w:p>
          <w:p>
            <w:pPr>
              <w:widowControl w:val="0"/>
              <w:snapToGrid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d、缺项的，得0分。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1124" w:type="dxa"/>
            <w:vMerge w:val="restart"/>
            <w:vAlign w:val="center"/>
          </w:tcPr>
          <w:p>
            <w:pPr>
              <w:widowControl w:val="0"/>
              <w:autoSpaceDE w:val="0"/>
              <w:autoSpaceDN w:val="0"/>
              <w:adjustRightIn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2.2.2.3</w:t>
            </w:r>
          </w:p>
        </w:tc>
        <w:tc>
          <w:tcPr>
            <w:tcW w:w="1512" w:type="dxa"/>
            <w:vMerge w:val="restart"/>
            <w:vAlign w:val="center"/>
          </w:tcPr>
          <w:p>
            <w:pPr>
              <w:widowControl w:val="0"/>
              <w:autoSpaceDE w:val="0"/>
              <w:autoSpaceDN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履约能力</w:t>
            </w:r>
          </w:p>
        </w:tc>
        <w:tc>
          <w:tcPr>
            <w:tcW w:w="1224" w:type="dxa"/>
            <w:vAlign w:val="center"/>
          </w:tcPr>
          <w:p>
            <w:pPr>
              <w:spacing w:line="276" w:lineRule="auto"/>
              <w:jc w:val="center"/>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企业业绩（9分）</w:t>
            </w:r>
          </w:p>
        </w:tc>
        <w:tc>
          <w:tcPr>
            <w:tcW w:w="6153" w:type="dxa"/>
            <w:vAlign w:val="center"/>
          </w:tcPr>
          <w:p>
            <w:pPr>
              <w:autoSpaceDE w:val="0"/>
              <w:autoSpaceDN w:val="0"/>
              <w:spacing w:line="276"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投标人</w:t>
            </w:r>
            <w:r>
              <w:rPr>
                <w:rFonts w:hint="eastAsia" w:asciiTheme="minorEastAsia" w:hAnsiTheme="minorEastAsia" w:eastAsiaTheme="minorEastAsia" w:cstheme="minorEastAsia"/>
                <w:color w:val="auto"/>
                <w:sz w:val="24"/>
                <w:szCs w:val="24"/>
                <w:highlight w:val="none"/>
              </w:rPr>
              <w:t>2019年1月1日以来的中心传动单管吸泥机项目业绩合同，每一套业绩得3分，最多得9分。（提供业绩合同、成交（中标）通知书、结算发票，前述三项中任意两项为一套，否则不得分，以合同签订时间准）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1124" w:type="dxa"/>
            <w:vMerge w:val="continue"/>
            <w:vAlign w:val="center"/>
          </w:tcPr>
          <w:p>
            <w:pPr>
              <w:widowControl w:val="0"/>
              <w:autoSpaceDE w:val="0"/>
              <w:autoSpaceDN w:val="0"/>
              <w:adjustRightInd w:val="0"/>
              <w:spacing w:line="240" w:lineRule="auto"/>
              <w:jc w:val="center"/>
              <w:textAlignment w:val="auto"/>
              <w:rPr>
                <w:rFonts w:hint="eastAsia" w:asciiTheme="minorEastAsia" w:hAnsiTheme="minorEastAsia" w:eastAsiaTheme="minorEastAsia" w:cstheme="minorEastAsia"/>
                <w:color w:val="auto"/>
                <w:sz w:val="24"/>
                <w:szCs w:val="24"/>
                <w:highlight w:val="none"/>
              </w:rPr>
            </w:pPr>
          </w:p>
        </w:tc>
        <w:tc>
          <w:tcPr>
            <w:tcW w:w="1512" w:type="dxa"/>
            <w:vMerge w:val="continue"/>
            <w:vAlign w:val="center"/>
          </w:tcPr>
          <w:p>
            <w:pPr>
              <w:widowControl w:val="0"/>
              <w:autoSpaceDE w:val="0"/>
              <w:autoSpaceDN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p>
        </w:tc>
        <w:tc>
          <w:tcPr>
            <w:tcW w:w="1224" w:type="dxa"/>
            <w:vMerge w:val="restart"/>
            <w:vAlign w:val="center"/>
          </w:tcPr>
          <w:p>
            <w:pPr>
              <w:spacing w:line="276" w:lineRule="auto"/>
              <w:jc w:val="center"/>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综合实力（1</w:t>
            </w:r>
            <w:r>
              <w:rPr>
                <w:rFonts w:hint="eastAsia" w:asciiTheme="minorEastAsia" w:hAnsiTheme="minorEastAsia" w:eastAsiaTheme="minorEastAsia" w:cstheme="minorEastAsia"/>
                <w:color w:val="auto"/>
                <w:spacing w:val="-4"/>
                <w:sz w:val="24"/>
                <w:szCs w:val="24"/>
                <w:highlight w:val="none"/>
                <w:lang w:val="en-US" w:eastAsia="zh-CN"/>
              </w:rPr>
              <w:t>7</w:t>
            </w:r>
            <w:r>
              <w:rPr>
                <w:rFonts w:hint="eastAsia" w:asciiTheme="minorEastAsia" w:hAnsiTheme="minorEastAsia" w:eastAsiaTheme="minorEastAsia" w:cstheme="minorEastAsia"/>
                <w:color w:val="auto"/>
                <w:spacing w:val="-4"/>
                <w:sz w:val="24"/>
                <w:szCs w:val="24"/>
                <w:highlight w:val="none"/>
              </w:rPr>
              <w:t>分）</w:t>
            </w:r>
          </w:p>
        </w:tc>
        <w:tc>
          <w:tcPr>
            <w:tcW w:w="6153" w:type="dxa"/>
            <w:vAlign w:val="center"/>
          </w:tcPr>
          <w:p>
            <w:pPr>
              <w:widowControl w:val="0"/>
              <w:snapToGrid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投标人通过 ISO9001质量管理体系认证、ISO14001环境管理体系认证、ISO45001职业健康安全管理体系认证三项，得9分，缺一项不得分（须在有效期内，认证范围和本项目相关）。</w:t>
            </w:r>
            <w:r>
              <w:rPr>
                <w:rFonts w:hint="eastAsia" w:asciiTheme="minorEastAsia" w:hAnsiTheme="minorEastAsia" w:eastAsiaTheme="minorEastAsia" w:cstheme="minorEastAsia"/>
                <w:color w:val="auto"/>
                <w:sz w:val="24"/>
                <w:szCs w:val="24"/>
                <w:highlight w:val="none"/>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1124" w:type="dxa"/>
            <w:vMerge w:val="continue"/>
            <w:vAlign w:val="center"/>
          </w:tcPr>
          <w:p>
            <w:pPr>
              <w:widowControl w:val="0"/>
              <w:autoSpaceDE w:val="0"/>
              <w:autoSpaceDN w:val="0"/>
              <w:adjustRightInd w:val="0"/>
              <w:spacing w:line="240" w:lineRule="auto"/>
              <w:jc w:val="center"/>
              <w:textAlignment w:val="auto"/>
              <w:rPr>
                <w:rFonts w:hint="eastAsia" w:asciiTheme="minorEastAsia" w:hAnsiTheme="minorEastAsia" w:eastAsiaTheme="minorEastAsia" w:cstheme="minorEastAsia"/>
                <w:color w:val="auto"/>
                <w:sz w:val="24"/>
                <w:szCs w:val="24"/>
                <w:highlight w:val="none"/>
              </w:rPr>
            </w:pPr>
          </w:p>
        </w:tc>
        <w:tc>
          <w:tcPr>
            <w:tcW w:w="1512" w:type="dxa"/>
            <w:vMerge w:val="continue"/>
            <w:vAlign w:val="center"/>
          </w:tcPr>
          <w:p>
            <w:pPr>
              <w:widowControl w:val="0"/>
              <w:autoSpaceDE w:val="0"/>
              <w:autoSpaceDN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p>
        </w:tc>
        <w:tc>
          <w:tcPr>
            <w:tcW w:w="1224" w:type="dxa"/>
            <w:vMerge w:val="continue"/>
            <w:vAlign w:val="center"/>
          </w:tcPr>
          <w:p>
            <w:pPr>
              <w:widowControl w:val="0"/>
              <w:snapToGrid w:val="0"/>
              <w:spacing w:line="240" w:lineRule="auto"/>
              <w:ind w:firstLine="489" w:firstLineChars="204"/>
              <w:rPr>
                <w:rFonts w:hint="eastAsia" w:asciiTheme="minorEastAsia" w:hAnsiTheme="minorEastAsia" w:eastAsiaTheme="minorEastAsia" w:cstheme="minorEastAsia"/>
                <w:color w:val="auto"/>
                <w:sz w:val="24"/>
                <w:szCs w:val="24"/>
                <w:highlight w:val="none"/>
              </w:rPr>
            </w:pPr>
          </w:p>
        </w:tc>
        <w:tc>
          <w:tcPr>
            <w:tcW w:w="6153" w:type="dxa"/>
            <w:vAlign w:val="center"/>
          </w:tcPr>
          <w:p>
            <w:pPr>
              <w:spacing w:line="30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投标产品具有国家权威检验机构出具的给排水设备产品质量检验报告 (二沉池染料示踪试验报告证明布水吸泥均匀、无短流现象)的，得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分。（提供检验报告）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1124" w:type="dxa"/>
            <w:vMerge w:val="continue"/>
            <w:vAlign w:val="center"/>
          </w:tcPr>
          <w:p>
            <w:pPr>
              <w:widowControl w:val="0"/>
              <w:autoSpaceDE w:val="0"/>
              <w:autoSpaceDN w:val="0"/>
              <w:adjustRightInd w:val="0"/>
              <w:spacing w:line="240" w:lineRule="auto"/>
              <w:jc w:val="center"/>
              <w:textAlignment w:val="auto"/>
              <w:rPr>
                <w:rFonts w:hint="eastAsia" w:asciiTheme="minorEastAsia" w:hAnsiTheme="minorEastAsia" w:eastAsiaTheme="minorEastAsia" w:cstheme="minorEastAsia"/>
                <w:color w:val="auto"/>
                <w:sz w:val="24"/>
                <w:szCs w:val="24"/>
                <w:highlight w:val="none"/>
              </w:rPr>
            </w:pPr>
          </w:p>
        </w:tc>
        <w:tc>
          <w:tcPr>
            <w:tcW w:w="1512" w:type="dxa"/>
            <w:vMerge w:val="continue"/>
            <w:vAlign w:val="center"/>
          </w:tcPr>
          <w:p>
            <w:pPr>
              <w:widowControl w:val="0"/>
              <w:autoSpaceDE w:val="0"/>
              <w:autoSpaceDN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p>
        </w:tc>
        <w:tc>
          <w:tcPr>
            <w:tcW w:w="1224" w:type="dxa"/>
            <w:vMerge w:val="continue"/>
            <w:vAlign w:val="center"/>
          </w:tcPr>
          <w:p>
            <w:pPr>
              <w:widowControl w:val="0"/>
              <w:snapToGrid w:val="0"/>
              <w:spacing w:line="240" w:lineRule="auto"/>
              <w:ind w:firstLine="489" w:firstLineChars="204"/>
              <w:rPr>
                <w:rFonts w:hint="eastAsia" w:asciiTheme="minorEastAsia" w:hAnsiTheme="minorEastAsia" w:eastAsiaTheme="minorEastAsia" w:cstheme="minorEastAsia"/>
                <w:color w:val="auto"/>
                <w:sz w:val="24"/>
                <w:szCs w:val="24"/>
                <w:highlight w:val="none"/>
              </w:rPr>
            </w:pPr>
          </w:p>
        </w:tc>
        <w:tc>
          <w:tcPr>
            <w:tcW w:w="6153" w:type="dxa"/>
            <w:vAlign w:val="center"/>
          </w:tcPr>
          <w:p>
            <w:pPr>
              <w:spacing w:line="30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投标人</w:t>
            </w:r>
            <w:r>
              <w:rPr>
                <w:rFonts w:hint="eastAsia" w:asciiTheme="minorEastAsia" w:hAnsiTheme="minorEastAsia" w:eastAsiaTheme="minorEastAsia" w:cstheme="minorEastAsia"/>
                <w:bCs/>
                <w:color w:val="auto"/>
                <w:sz w:val="24"/>
                <w:szCs w:val="24"/>
                <w:highlight w:val="none"/>
                <w:lang w:val="en-US" w:eastAsia="zh-CN"/>
              </w:rPr>
              <w:t>具有</w:t>
            </w:r>
            <w:r>
              <w:rPr>
                <w:rFonts w:hint="eastAsia" w:asciiTheme="minorEastAsia" w:hAnsiTheme="minorEastAsia" w:eastAsiaTheme="minorEastAsia" w:cstheme="minorEastAsia"/>
                <w:color w:val="auto"/>
                <w:sz w:val="24"/>
                <w:szCs w:val="24"/>
                <w:highlight w:val="none"/>
              </w:rPr>
              <w:t>AAA信用等级证书、高新技术企业证书、国内知名品牌、刮泥机用户满意品牌等。</w:t>
            </w:r>
            <w:r>
              <w:rPr>
                <w:rFonts w:hint="eastAsia" w:asciiTheme="minorEastAsia" w:hAnsiTheme="minorEastAsia" w:eastAsiaTheme="minorEastAsia" w:cstheme="minorEastAsia"/>
                <w:color w:val="auto"/>
                <w:sz w:val="24"/>
                <w:szCs w:val="24"/>
                <w:highlight w:val="none"/>
                <w:lang w:val="en-US" w:eastAsia="zh-CN"/>
              </w:rPr>
              <w:t>具有</w:t>
            </w:r>
            <w:r>
              <w:rPr>
                <w:rFonts w:hint="eastAsia" w:asciiTheme="minorEastAsia" w:hAnsiTheme="minorEastAsia" w:eastAsiaTheme="minorEastAsia" w:cstheme="minorEastAsia"/>
                <w:color w:val="auto"/>
                <w:sz w:val="24"/>
                <w:szCs w:val="24"/>
                <w:highlight w:val="none"/>
              </w:rPr>
              <w:t>一项</w:t>
            </w:r>
            <w:r>
              <w:rPr>
                <w:rFonts w:hint="eastAsia" w:asciiTheme="minorEastAsia" w:hAnsiTheme="minorEastAsia" w:eastAsiaTheme="minorEastAsia" w:cstheme="minorEastAsia"/>
                <w:color w:val="auto"/>
                <w:sz w:val="24"/>
                <w:szCs w:val="24"/>
                <w:highlight w:val="none"/>
                <w:lang w:val="en-US" w:eastAsia="zh-CN"/>
              </w:rPr>
              <w:t>得</w:t>
            </w:r>
            <w:r>
              <w:rPr>
                <w:rFonts w:hint="eastAsia" w:asciiTheme="minorEastAsia" w:hAnsiTheme="minorEastAsia" w:eastAsiaTheme="minorEastAsia" w:cstheme="minorEastAsia"/>
                <w:color w:val="auto"/>
                <w:sz w:val="24"/>
                <w:szCs w:val="24"/>
                <w:highlight w:val="none"/>
              </w:rPr>
              <w:t>1分，最</w:t>
            </w:r>
            <w:r>
              <w:rPr>
                <w:rFonts w:hint="eastAsia" w:asciiTheme="minorEastAsia" w:hAnsiTheme="minorEastAsia" w:eastAsiaTheme="minorEastAsia" w:cstheme="minorEastAsia"/>
                <w:color w:val="auto"/>
                <w:sz w:val="24"/>
                <w:szCs w:val="24"/>
                <w:highlight w:val="none"/>
                <w:lang w:val="en-US" w:eastAsia="zh-CN"/>
              </w:rPr>
              <w:t>多得</w:t>
            </w:r>
            <w:r>
              <w:rPr>
                <w:rFonts w:hint="eastAsia" w:asciiTheme="minorEastAsia" w:hAnsiTheme="minorEastAsia" w:eastAsiaTheme="minorEastAsia" w:cstheme="minorEastAsia"/>
                <w:color w:val="auto"/>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1124" w:type="dxa"/>
            <w:vMerge w:val="continue"/>
            <w:vAlign w:val="center"/>
          </w:tcPr>
          <w:p>
            <w:pPr>
              <w:widowControl w:val="0"/>
              <w:autoSpaceDE w:val="0"/>
              <w:autoSpaceDN w:val="0"/>
              <w:adjustRightInd w:val="0"/>
              <w:spacing w:line="240" w:lineRule="auto"/>
              <w:jc w:val="center"/>
              <w:textAlignment w:val="auto"/>
              <w:rPr>
                <w:rFonts w:hint="eastAsia" w:asciiTheme="minorEastAsia" w:hAnsiTheme="minorEastAsia" w:eastAsiaTheme="minorEastAsia" w:cstheme="minorEastAsia"/>
                <w:color w:val="auto"/>
                <w:sz w:val="24"/>
                <w:szCs w:val="24"/>
                <w:highlight w:val="none"/>
              </w:rPr>
            </w:pPr>
          </w:p>
        </w:tc>
        <w:tc>
          <w:tcPr>
            <w:tcW w:w="1512" w:type="dxa"/>
            <w:vMerge w:val="continue"/>
            <w:vAlign w:val="center"/>
          </w:tcPr>
          <w:p>
            <w:pPr>
              <w:widowControl w:val="0"/>
              <w:autoSpaceDE w:val="0"/>
              <w:autoSpaceDN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p>
        </w:tc>
        <w:tc>
          <w:tcPr>
            <w:tcW w:w="1224" w:type="dxa"/>
            <w:vAlign w:val="center"/>
          </w:tcPr>
          <w:p>
            <w:pPr>
              <w:widowControl w:val="0"/>
              <w:snapToGrid w:val="0"/>
              <w:spacing w:line="24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供货期</w:t>
            </w:r>
          </w:p>
          <w:p>
            <w:pPr>
              <w:widowControl w:val="0"/>
              <w:snapToGrid w:val="0"/>
              <w:spacing w:line="24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（5分）</w:t>
            </w:r>
          </w:p>
        </w:tc>
        <w:tc>
          <w:tcPr>
            <w:tcW w:w="6153" w:type="dxa"/>
            <w:vAlign w:val="center"/>
          </w:tcPr>
          <w:p>
            <w:pPr>
              <w:spacing w:line="300" w:lineRule="auto"/>
              <w:rPr>
                <w:rFonts w:hint="default" w:eastAsia="宋体"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承诺投标文件中的“</w:t>
            </w:r>
            <w:r>
              <w:rPr>
                <w:rFonts w:hint="eastAsia" w:ascii="宋体" w:hAnsi="宋体"/>
                <w:color w:val="auto"/>
                <w:sz w:val="24"/>
                <w:szCs w:val="24"/>
                <w:highlight w:val="none"/>
              </w:rPr>
              <w:t>合同履行期限</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为供货期，在满足15日的基础上，且每提前1日得1分，本项最高得5分。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1124" w:type="dxa"/>
            <w:vMerge w:val="restart"/>
            <w:vAlign w:val="center"/>
          </w:tcPr>
          <w:p>
            <w:pPr>
              <w:widowControl w:val="0"/>
              <w:autoSpaceDE w:val="0"/>
              <w:autoSpaceDN w:val="0"/>
              <w:adjustRightIn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2.2.2.4</w:t>
            </w:r>
          </w:p>
        </w:tc>
        <w:tc>
          <w:tcPr>
            <w:tcW w:w="1512" w:type="dxa"/>
            <w:vMerge w:val="restart"/>
            <w:vAlign w:val="center"/>
          </w:tcPr>
          <w:p>
            <w:pPr>
              <w:widowControl w:val="0"/>
              <w:autoSpaceDE w:val="0"/>
              <w:autoSpaceDN w:val="0"/>
              <w:snapToGrid w:val="0"/>
              <w:spacing w:line="24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售后服务</w:t>
            </w:r>
          </w:p>
        </w:tc>
        <w:tc>
          <w:tcPr>
            <w:tcW w:w="7377" w:type="dxa"/>
            <w:gridSpan w:val="2"/>
            <w:vAlign w:val="center"/>
          </w:tcPr>
          <w:p>
            <w:pPr>
              <w:spacing w:line="276"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color w:val="auto"/>
                <w:sz w:val="24"/>
                <w:szCs w:val="24"/>
                <w:highlight w:val="none"/>
              </w:rPr>
              <w:t>投标人的售后服务及技术培训方案进行综合评价：</w:t>
            </w:r>
          </w:p>
          <w:p>
            <w:pPr>
              <w:snapToGrid w:val="0"/>
              <w:spacing w:line="276"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a、科学、详尽、全面的，得5分；</w:t>
            </w:r>
          </w:p>
          <w:p>
            <w:pPr>
              <w:snapToGrid w:val="0"/>
              <w:spacing w:line="276"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b、合理、完整、可行的，得3分；</w:t>
            </w:r>
          </w:p>
          <w:p>
            <w:pPr>
              <w:snapToGrid w:val="0"/>
              <w:spacing w:line="276"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c、能满足项目基本要求的，得1分；</w:t>
            </w:r>
          </w:p>
          <w:p>
            <w:pPr>
              <w:widowControl w:val="0"/>
              <w:snapToGrid w:val="0"/>
              <w:spacing w:line="276"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d、缺项的，得0分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124" w:type="dxa"/>
            <w:vMerge w:val="continue"/>
            <w:vAlign w:val="center"/>
          </w:tcPr>
          <w:p>
            <w:pPr>
              <w:widowControl w:val="0"/>
              <w:autoSpaceDE w:val="0"/>
              <w:autoSpaceDN w:val="0"/>
              <w:adjustRightInd w:val="0"/>
              <w:spacing w:line="240" w:lineRule="auto"/>
              <w:jc w:val="center"/>
              <w:textAlignment w:val="auto"/>
              <w:rPr>
                <w:rFonts w:hint="eastAsia" w:asciiTheme="minorEastAsia" w:hAnsiTheme="minorEastAsia" w:eastAsiaTheme="minorEastAsia" w:cstheme="minorEastAsia"/>
                <w:color w:val="auto"/>
                <w:sz w:val="24"/>
                <w:szCs w:val="24"/>
                <w:highlight w:val="none"/>
              </w:rPr>
            </w:pPr>
          </w:p>
        </w:tc>
        <w:tc>
          <w:tcPr>
            <w:tcW w:w="1512" w:type="dxa"/>
            <w:vMerge w:val="continue"/>
            <w:vAlign w:val="center"/>
          </w:tcPr>
          <w:p>
            <w:pPr>
              <w:widowControl w:val="0"/>
              <w:autoSpaceDE w:val="0"/>
              <w:autoSpaceDN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p>
        </w:tc>
        <w:tc>
          <w:tcPr>
            <w:tcW w:w="7377" w:type="dxa"/>
            <w:gridSpan w:val="2"/>
            <w:vAlign w:val="center"/>
          </w:tcPr>
          <w:p>
            <w:pPr>
              <w:spacing w:line="276"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（2）承诺本项目</w:t>
            </w:r>
            <w:r>
              <w:rPr>
                <w:rFonts w:hint="eastAsia" w:asciiTheme="minorEastAsia" w:hAnsiTheme="minorEastAsia" w:eastAsiaTheme="minorEastAsia" w:cstheme="minorEastAsia"/>
                <w:bCs/>
                <w:color w:val="auto"/>
                <w:sz w:val="24"/>
                <w:szCs w:val="24"/>
                <w:highlight w:val="none"/>
              </w:rPr>
              <w:t>质保期在1年基础上，每增加1年得2分，本项最高4分。</w:t>
            </w:r>
          </w:p>
        </w:tc>
      </w:tr>
    </w:tbl>
    <w:p>
      <w:pPr>
        <w:autoSpaceDE w:val="0"/>
        <w:autoSpaceDN w:val="0"/>
        <w:adjustRightInd w:val="0"/>
        <w:snapToGrid w:val="0"/>
        <w:spacing w:before="156" w:beforeLines="50" w:line="300" w:lineRule="auto"/>
        <w:ind w:firstLine="619" w:firstLineChars="257"/>
        <w:jc w:val="left"/>
        <w:rPr>
          <w:rFonts w:cs="宋体"/>
          <w:b/>
          <w:bCs/>
          <w:color w:val="auto"/>
          <w:sz w:val="24"/>
          <w:szCs w:val="24"/>
          <w:highlight w:val="none"/>
        </w:rPr>
      </w:pPr>
      <w:r>
        <w:rPr>
          <w:rFonts w:hint="eastAsia" w:cs="宋体"/>
          <w:b/>
          <w:bCs/>
          <w:color w:val="auto"/>
          <w:sz w:val="24"/>
          <w:szCs w:val="24"/>
          <w:highlight w:val="none"/>
        </w:rPr>
        <w:t>注：以上打分细则中所需要的证件、证书、合同等证明资料，应按上述评分标准中的要求提供、并附在投标文件中，否则对应项不得分。</w:t>
      </w:r>
    </w:p>
    <w:p>
      <w:pPr>
        <w:spacing w:line="240" w:lineRule="auto"/>
        <w:ind w:firstLine="590" w:firstLineChars="245"/>
        <w:jc w:val="left"/>
        <w:textAlignment w:val="auto"/>
        <w:rPr>
          <w:rFonts w:cs="宋体"/>
          <w:b/>
          <w:bCs/>
          <w:color w:val="auto"/>
          <w:sz w:val="24"/>
          <w:szCs w:val="24"/>
          <w:highlight w:val="none"/>
        </w:rPr>
      </w:pPr>
      <w:r>
        <w:rPr>
          <w:rFonts w:hint="eastAsia" w:cs="宋体"/>
          <w:b/>
          <w:bCs/>
          <w:color w:val="auto"/>
          <w:sz w:val="24"/>
          <w:szCs w:val="24"/>
          <w:highlight w:val="none"/>
        </w:rPr>
        <w:t>投标人应对提供的承诺及证明材料的真实性负责，否则，按《政府采购法》提供虚假材料的有关规定给予处罚。</w:t>
      </w:r>
    </w:p>
    <w:p>
      <w:pPr>
        <w:spacing w:line="240" w:lineRule="auto"/>
        <w:jc w:val="left"/>
        <w:textAlignment w:val="auto"/>
        <w:rPr>
          <w:rFonts w:ascii="黑体" w:hAnsi="黑体" w:eastAsia="黑体" w:cs="楷体_GB2312"/>
          <w:b/>
          <w:bCs/>
          <w:color w:val="auto"/>
          <w:sz w:val="28"/>
          <w:szCs w:val="28"/>
          <w:highlight w:val="none"/>
        </w:rPr>
      </w:pPr>
    </w:p>
    <w:p>
      <w:pPr>
        <w:spacing w:line="240" w:lineRule="auto"/>
        <w:jc w:val="left"/>
        <w:textAlignment w:val="auto"/>
        <w:rPr>
          <w:rFonts w:ascii="黑体" w:hAnsi="黑体" w:eastAsia="黑体" w:cs="楷体_GB2312"/>
          <w:b/>
          <w:bCs/>
          <w:color w:val="auto"/>
          <w:sz w:val="28"/>
          <w:szCs w:val="28"/>
          <w:highlight w:val="none"/>
          <w:lang w:val="zh-CN"/>
        </w:rPr>
      </w:pPr>
    </w:p>
    <w:p>
      <w:pPr>
        <w:spacing w:line="240" w:lineRule="auto"/>
        <w:ind w:firstLine="419"/>
        <w:jc w:val="left"/>
        <w:textAlignment w:val="auto"/>
        <w:rPr>
          <w:rFonts w:ascii="黑体" w:hAnsi="黑体" w:eastAsia="黑体" w:cs="楷体_GB2312"/>
          <w:b/>
          <w:bCs/>
          <w:color w:val="auto"/>
          <w:sz w:val="28"/>
          <w:szCs w:val="28"/>
          <w:highlight w:val="none"/>
          <w:lang w:val="zh-CN"/>
        </w:rPr>
      </w:pPr>
    </w:p>
    <w:p>
      <w:pPr>
        <w:spacing w:line="240" w:lineRule="auto"/>
        <w:ind w:firstLine="419"/>
        <w:jc w:val="left"/>
        <w:textAlignment w:val="auto"/>
        <w:rPr>
          <w:rFonts w:ascii="黑体" w:hAnsi="黑体" w:eastAsia="黑体" w:cs="楷体_GB2312"/>
          <w:b/>
          <w:bCs/>
          <w:color w:val="auto"/>
          <w:sz w:val="28"/>
          <w:szCs w:val="28"/>
          <w:highlight w:val="none"/>
          <w:lang w:val="zh-CN"/>
        </w:rPr>
      </w:pPr>
    </w:p>
    <w:p>
      <w:pPr>
        <w:autoSpaceDE w:val="0"/>
        <w:autoSpaceDN w:val="0"/>
        <w:adjustRightInd w:val="0"/>
        <w:snapToGrid w:val="0"/>
        <w:spacing w:before="156" w:beforeLines="50" w:line="300" w:lineRule="auto"/>
        <w:rPr>
          <w:rFonts w:ascii="宋体" w:cs="楷体_GB2312"/>
          <w:color w:val="auto"/>
          <w:sz w:val="24"/>
          <w:highlight w:val="none"/>
        </w:rPr>
      </w:pPr>
    </w:p>
    <w:p>
      <w:pPr>
        <w:spacing w:line="500" w:lineRule="exact"/>
        <w:jc w:val="left"/>
        <w:rPr>
          <w:rFonts w:ascii="黑体" w:hAnsi="黑体" w:eastAsia="黑体" w:cs="楷体_GB2312"/>
          <w:b/>
          <w:bCs/>
          <w:color w:val="auto"/>
          <w:sz w:val="28"/>
          <w:szCs w:val="28"/>
          <w:highlight w:val="none"/>
          <w:lang w:val="zh-CN"/>
        </w:rPr>
      </w:pPr>
      <w:r>
        <w:rPr>
          <w:rFonts w:ascii="黑体" w:hAnsi="黑体" w:eastAsia="黑体" w:cs="楷体_GB2312"/>
          <w:b/>
          <w:bCs/>
          <w:color w:val="auto"/>
          <w:sz w:val="28"/>
          <w:szCs w:val="28"/>
          <w:highlight w:val="none"/>
          <w:lang w:val="zh-CN"/>
        </w:rPr>
        <w:t xml:space="preserve"> </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pPr>
        <w:spacing w:line="500" w:lineRule="exact"/>
        <w:jc w:val="left"/>
        <w:rPr>
          <w:rFonts w:ascii="黑体" w:hAnsi="黑体" w:eastAsia="黑体" w:cs="楷体_GB2312"/>
          <w:b/>
          <w:bCs/>
          <w:color w:val="auto"/>
          <w:sz w:val="28"/>
          <w:szCs w:val="28"/>
          <w:highlight w:val="none"/>
          <w:lang w:val="zh-CN"/>
        </w:rPr>
      </w:pPr>
    </w:p>
    <w:p>
      <w:pPr>
        <w:spacing w:line="240" w:lineRule="auto"/>
        <w:jc w:val="left"/>
        <w:textAlignment w:val="auto"/>
        <w:rPr>
          <w:rFonts w:ascii="黑体" w:hAnsi="黑体" w:eastAsia="黑体" w:cs="楷体_GB2312"/>
          <w:b/>
          <w:bCs/>
          <w:color w:val="auto"/>
          <w:sz w:val="28"/>
          <w:szCs w:val="28"/>
          <w:highlight w:val="none"/>
          <w:lang w:val="zh-CN"/>
        </w:rPr>
      </w:pPr>
    </w:p>
    <w:p>
      <w:pPr>
        <w:autoSpaceDE w:val="0"/>
        <w:autoSpaceDN w:val="0"/>
        <w:adjustRightInd w:val="0"/>
        <w:snapToGrid w:val="0"/>
        <w:spacing w:before="156" w:beforeLines="50" w:line="300" w:lineRule="auto"/>
        <w:ind w:firstLine="562" w:firstLineChars="200"/>
        <w:jc w:val="left"/>
        <w:outlineLvl w:val="1"/>
        <w:rPr>
          <w:rFonts w:ascii="黑体" w:hAnsi="黑体" w:eastAsia="黑体" w:cs="楷体_GB2312"/>
          <w:b/>
          <w:bCs/>
          <w:color w:val="auto"/>
          <w:sz w:val="28"/>
          <w:szCs w:val="28"/>
          <w:highlight w:val="none"/>
          <w:lang w:val="zh-CN"/>
        </w:rPr>
        <w:sectPr>
          <w:footerReference r:id="rId9" w:type="default"/>
          <w:pgSz w:w="11905" w:h="16837"/>
          <w:pgMar w:top="1091" w:right="1106" w:bottom="993" w:left="1418" w:header="567" w:footer="567" w:gutter="0"/>
          <w:pgNumType w:fmt="numberInDash" w:start="1"/>
          <w:cols w:space="720" w:num="1"/>
          <w:docGrid w:type="lines" w:linePitch="312" w:charSpace="0"/>
        </w:sectPr>
      </w:pPr>
      <w:bookmarkStart w:id="55" w:name="_Toc165383943"/>
    </w:p>
    <w:p>
      <w:pPr>
        <w:autoSpaceDE w:val="0"/>
        <w:autoSpaceDN w:val="0"/>
        <w:adjustRightInd w:val="0"/>
        <w:snapToGrid w:val="0"/>
        <w:spacing w:before="156" w:beforeLines="50" w:line="300" w:lineRule="auto"/>
        <w:ind w:firstLine="562" w:firstLineChars="200"/>
        <w:jc w:val="left"/>
        <w:outlineLvl w:val="1"/>
        <w:rPr>
          <w:rFonts w:ascii="黑体" w:hAnsi="黑体" w:eastAsia="黑体" w:cs="楷体_GB2312"/>
          <w:b/>
          <w:bCs/>
          <w:color w:val="auto"/>
          <w:sz w:val="28"/>
          <w:szCs w:val="28"/>
          <w:highlight w:val="none"/>
          <w:lang w:val="zh-CN"/>
        </w:rPr>
      </w:pPr>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评标方法</w:t>
      </w:r>
      <w:bookmarkEnd w:id="55"/>
    </w:p>
    <w:p>
      <w:pPr>
        <w:widowControl w:val="0"/>
        <w:adjustRightInd w:val="0"/>
        <w:snapToGrid w:val="0"/>
        <w:spacing w:before="156" w:beforeLines="50" w:line="300" w:lineRule="auto"/>
        <w:ind w:firstLine="480" w:firstLineChars="200"/>
        <w:textAlignment w:val="top"/>
        <w:rPr>
          <w:color w:val="auto"/>
          <w:sz w:val="24"/>
          <w:szCs w:val="24"/>
          <w:highlight w:val="none"/>
        </w:rPr>
      </w:pPr>
      <w:r>
        <w:rPr>
          <w:rFonts w:hint="eastAsia"/>
          <w:color w:val="auto"/>
          <w:sz w:val="24"/>
          <w:szCs w:val="24"/>
          <w:highlight w:val="none"/>
        </w:rPr>
        <w:t>本次招标项目（标段&lt;包&gt;）的评标方法采用《政府采购货物和服务招标投标管理办法》中的“综合评分法”。</w:t>
      </w:r>
    </w:p>
    <w:p>
      <w:pPr>
        <w:widowControl w:val="0"/>
        <w:adjustRightInd w:val="0"/>
        <w:snapToGrid w:val="0"/>
        <w:spacing w:before="156" w:beforeLines="50" w:line="300" w:lineRule="auto"/>
        <w:ind w:firstLine="480" w:firstLineChars="200"/>
        <w:textAlignment w:val="top"/>
        <w:rPr>
          <w:color w:val="auto"/>
          <w:sz w:val="24"/>
          <w:szCs w:val="24"/>
          <w:highlight w:val="none"/>
        </w:rPr>
      </w:pPr>
      <w:r>
        <w:rPr>
          <w:rFonts w:hint="eastAsia"/>
          <w:color w:val="auto"/>
          <w:sz w:val="24"/>
          <w:szCs w:val="24"/>
          <w:highlight w:val="none"/>
        </w:rPr>
        <w:t>投标文件满足招标文件全部实质性要求的，评标委员会按照“评标办法前附表”列示的各项评审因素进行评价、打分，投标人的各项评审因素得分的汇总分值即为投标人该项目（标段&lt;包&gt;）的评审得分，评审得分最高的投标人为该项目（标段&lt;包&gt;）的中标候选人。如有两个投标人评审得分相同、并列第一的，以投标报价得分高者为该项目（标段（包））的中标候选人。</w:t>
      </w:r>
    </w:p>
    <w:p>
      <w:pPr>
        <w:autoSpaceDE w:val="0"/>
        <w:autoSpaceDN w:val="0"/>
        <w:adjustRightInd w:val="0"/>
        <w:snapToGrid w:val="0"/>
        <w:spacing w:before="50" w:line="300" w:lineRule="auto"/>
        <w:ind w:firstLine="480" w:firstLineChars="200"/>
        <w:jc w:val="left"/>
        <w:rPr>
          <w:rFonts w:ascii="宋体"/>
          <w:color w:val="auto"/>
          <w:sz w:val="24"/>
          <w:highlight w:val="none"/>
        </w:rPr>
      </w:pPr>
    </w:p>
    <w:p>
      <w:pPr>
        <w:widowControl w:val="0"/>
        <w:autoSpaceDE w:val="0"/>
        <w:autoSpaceDN w:val="0"/>
        <w:adjustRightInd w:val="0"/>
        <w:snapToGrid w:val="0"/>
        <w:spacing w:before="50" w:line="300" w:lineRule="auto"/>
        <w:ind w:firstLine="562" w:firstLineChars="200"/>
        <w:textAlignment w:val="auto"/>
        <w:outlineLvl w:val="1"/>
        <w:rPr>
          <w:rFonts w:ascii="黑体" w:hAnsi="黑体" w:eastAsia="黑体" w:cs="楷体_GB2312"/>
          <w:b/>
          <w:bCs/>
          <w:color w:val="auto"/>
          <w:sz w:val="28"/>
          <w:szCs w:val="28"/>
          <w:highlight w:val="none"/>
          <w:lang w:val="zh-CN"/>
        </w:rPr>
      </w:pPr>
      <w:bookmarkStart w:id="56" w:name="_Toc427683958"/>
      <w:bookmarkStart w:id="57" w:name="_Toc165383944"/>
      <w:bookmarkStart w:id="58" w:name="_Toc427683915"/>
      <w:r>
        <w:rPr>
          <w:rFonts w:ascii="黑体" w:hAnsi="黑体" w:eastAsia="黑体" w:cs="楷体_GB2312"/>
          <w:b/>
          <w:bCs/>
          <w:color w:val="auto"/>
          <w:sz w:val="28"/>
          <w:szCs w:val="28"/>
          <w:highlight w:val="none"/>
          <w:lang w:val="zh-CN"/>
        </w:rPr>
        <w:t xml:space="preserve">2. </w:t>
      </w:r>
      <w:r>
        <w:rPr>
          <w:rFonts w:hint="eastAsia" w:ascii="黑体" w:hAnsi="黑体" w:eastAsia="黑体" w:cs="楷体_GB2312"/>
          <w:b/>
          <w:bCs/>
          <w:color w:val="auto"/>
          <w:sz w:val="28"/>
          <w:szCs w:val="28"/>
          <w:highlight w:val="none"/>
          <w:lang w:val="zh-CN"/>
        </w:rPr>
        <w:t>评标标准</w:t>
      </w:r>
      <w:bookmarkEnd w:id="56"/>
      <w:bookmarkEnd w:id="57"/>
      <w:bookmarkEnd w:id="58"/>
    </w:p>
    <w:p>
      <w:pPr>
        <w:autoSpaceDE w:val="0"/>
        <w:autoSpaceDN w:val="0"/>
        <w:adjustRightInd w:val="0"/>
        <w:snapToGrid w:val="0"/>
        <w:spacing w:before="50" w:line="300" w:lineRule="auto"/>
        <w:ind w:firstLine="482" w:firstLineChars="200"/>
        <w:jc w:val="left"/>
        <w:rPr>
          <w:rFonts w:ascii="宋体"/>
          <w:color w:val="auto"/>
          <w:sz w:val="24"/>
          <w:highlight w:val="none"/>
        </w:rPr>
      </w:pPr>
      <w:r>
        <w:rPr>
          <w:rFonts w:ascii="黑体" w:hAnsi="黑体" w:eastAsia="黑体"/>
          <w:b/>
          <w:color w:val="auto"/>
          <w:sz w:val="24"/>
          <w:highlight w:val="none"/>
        </w:rPr>
        <w:t xml:space="preserve">2.1 </w:t>
      </w:r>
      <w:r>
        <w:rPr>
          <w:rFonts w:hint="eastAsia" w:ascii="黑体" w:hAnsi="黑体" w:eastAsia="黑体"/>
          <w:b/>
          <w:color w:val="auto"/>
          <w:sz w:val="24"/>
          <w:highlight w:val="none"/>
        </w:rPr>
        <w:t>符合性审查标准：</w:t>
      </w:r>
      <w:r>
        <w:rPr>
          <w:rFonts w:hint="eastAsia" w:ascii="宋体" w:hAnsi="宋体"/>
          <w:color w:val="auto"/>
          <w:sz w:val="24"/>
          <w:highlight w:val="none"/>
        </w:rPr>
        <w:t>见评标办法前附表</w:t>
      </w:r>
    </w:p>
    <w:p>
      <w:pPr>
        <w:autoSpaceDE w:val="0"/>
        <w:autoSpaceDN w:val="0"/>
        <w:adjustRightInd w:val="0"/>
        <w:snapToGrid w:val="0"/>
        <w:spacing w:before="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2.2 </w:t>
      </w:r>
      <w:r>
        <w:rPr>
          <w:rFonts w:hint="eastAsia" w:ascii="黑体" w:hAnsi="黑体" w:eastAsia="黑体"/>
          <w:b/>
          <w:color w:val="auto"/>
          <w:sz w:val="24"/>
          <w:highlight w:val="none"/>
        </w:rPr>
        <w:t>详细评审标准</w:t>
      </w:r>
    </w:p>
    <w:p>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2.2.1 </w:t>
      </w:r>
      <w:r>
        <w:rPr>
          <w:rFonts w:hint="eastAsia" w:ascii="宋体" w:hAnsi="宋体"/>
          <w:color w:val="auto"/>
          <w:sz w:val="24"/>
          <w:highlight w:val="none"/>
        </w:rPr>
        <w:t>分值构成：见评标办法前附表</w:t>
      </w:r>
    </w:p>
    <w:p>
      <w:pPr>
        <w:autoSpaceDE w:val="0"/>
        <w:autoSpaceDN w:val="0"/>
        <w:adjustRightInd w:val="0"/>
        <w:snapToGrid w:val="0"/>
        <w:spacing w:before="50" w:line="300" w:lineRule="auto"/>
        <w:ind w:firstLine="480" w:firstLineChars="200"/>
        <w:jc w:val="left"/>
        <w:rPr>
          <w:rFonts w:ascii="宋体" w:hAnsi="宋体"/>
          <w:color w:val="auto"/>
          <w:sz w:val="24"/>
          <w:highlight w:val="none"/>
        </w:rPr>
      </w:pPr>
      <w:r>
        <w:rPr>
          <w:rFonts w:ascii="宋体" w:hAnsi="宋体"/>
          <w:color w:val="auto"/>
          <w:sz w:val="24"/>
          <w:highlight w:val="none"/>
        </w:rPr>
        <w:t xml:space="preserve">2.2.2 </w:t>
      </w:r>
      <w:r>
        <w:rPr>
          <w:rFonts w:hint="eastAsia" w:ascii="宋体" w:hAnsi="宋体"/>
          <w:color w:val="auto"/>
          <w:sz w:val="24"/>
          <w:highlight w:val="none"/>
        </w:rPr>
        <w:t>评分标准：见评标办法前附表</w:t>
      </w:r>
    </w:p>
    <w:p>
      <w:pPr>
        <w:autoSpaceDE w:val="0"/>
        <w:autoSpaceDN w:val="0"/>
        <w:adjustRightInd w:val="0"/>
        <w:snapToGrid w:val="0"/>
        <w:spacing w:before="50" w:line="300" w:lineRule="auto"/>
        <w:ind w:firstLine="480" w:firstLineChars="200"/>
        <w:jc w:val="left"/>
        <w:rPr>
          <w:rFonts w:ascii="宋体"/>
          <w:color w:val="auto"/>
          <w:sz w:val="24"/>
          <w:highlight w:val="none"/>
        </w:rPr>
      </w:pPr>
    </w:p>
    <w:p>
      <w:pPr>
        <w:widowControl w:val="0"/>
        <w:autoSpaceDE w:val="0"/>
        <w:autoSpaceDN w:val="0"/>
        <w:adjustRightInd w:val="0"/>
        <w:snapToGrid w:val="0"/>
        <w:spacing w:before="50" w:line="300" w:lineRule="auto"/>
        <w:ind w:firstLine="562" w:firstLineChars="200"/>
        <w:textAlignment w:val="auto"/>
        <w:outlineLvl w:val="1"/>
        <w:rPr>
          <w:rFonts w:ascii="黑体" w:hAnsi="黑体" w:eastAsia="黑体" w:cs="楷体_GB2312"/>
          <w:b/>
          <w:bCs/>
          <w:color w:val="auto"/>
          <w:sz w:val="28"/>
          <w:szCs w:val="28"/>
          <w:highlight w:val="none"/>
          <w:lang w:val="zh-CN"/>
        </w:rPr>
      </w:pPr>
      <w:bookmarkStart w:id="59" w:name="_Toc427683916"/>
      <w:bookmarkStart w:id="60" w:name="_Toc165383945"/>
      <w:bookmarkStart w:id="61" w:name="_Toc427683959"/>
      <w:r>
        <w:rPr>
          <w:rFonts w:ascii="黑体" w:hAnsi="黑体" w:eastAsia="黑体" w:cs="楷体_GB2312"/>
          <w:b/>
          <w:bCs/>
          <w:color w:val="auto"/>
          <w:sz w:val="28"/>
          <w:szCs w:val="28"/>
          <w:highlight w:val="none"/>
          <w:lang w:val="zh-CN"/>
        </w:rPr>
        <w:t xml:space="preserve">3. </w:t>
      </w:r>
      <w:r>
        <w:rPr>
          <w:rFonts w:hint="eastAsia" w:ascii="黑体" w:hAnsi="黑体" w:eastAsia="黑体" w:cs="楷体_GB2312"/>
          <w:b/>
          <w:bCs/>
          <w:color w:val="auto"/>
          <w:sz w:val="28"/>
          <w:szCs w:val="28"/>
          <w:highlight w:val="none"/>
          <w:lang w:val="zh-CN"/>
        </w:rPr>
        <w:t>评标程序</w:t>
      </w:r>
      <w:bookmarkEnd w:id="59"/>
      <w:bookmarkEnd w:id="60"/>
      <w:bookmarkEnd w:id="61"/>
    </w:p>
    <w:p>
      <w:pPr>
        <w:autoSpaceDE w:val="0"/>
        <w:autoSpaceDN w:val="0"/>
        <w:adjustRightInd w:val="0"/>
        <w:snapToGrid w:val="0"/>
        <w:spacing w:before="156" w:beforeLines="50" w:line="30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评标委员会按标段（包）进行评审</w:t>
      </w:r>
    </w:p>
    <w:p>
      <w:pPr>
        <w:autoSpaceDE w:val="0"/>
        <w:autoSpaceDN w:val="0"/>
        <w:adjustRightInd w:val="0"/>
        <w:snapToGrid w:val="0"/>
        <w:spacing w:before="156" w:beforeLines="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3.1 </w:t>
      </w:r>
      <w:r>
        <w:rPr>
          <w:rFonts w:hint="eastAsia" w:ascii="黑体" w:hAnsi="黑体" w:eastAsia="黑体"/>
          <w:b/>
          <w:color w:val="auto"/>
          <w:sz w:val="24"/>
          <w:highlight w:val="none"/>
        </w:rPr>
        <w:t>审阅招标文件</w:t>
      </w:r>
    </w:p>
    <w:p>
      <w:pPr>
        <w:pStyle w:val="55"/>
        <w:snapToGrid w:val="0"/>
        <w:spacing w:before="156" w:beforeLines="50" w:line="300" w:lineRule="auto"/>
        <w:ind w:firstLine="480" w:firstLineChars="200"/>
        <w:jc w:val="both"/>
        <w:rPr>
          <w:rFonts w:hAnsi="宋体"/>
          <w:color w:val="auto"/>
          <w:highlight w:val="none"/>
        </w:rPr>
      </w:pPr>
      <w:bookmarkStart w:id="62" w:name="_Toc427683917"/>
      <w:bookmarkStart w:id="63" w:name="_Toc427683960"/>
      <w:r>
        <w:rPr>
          <w:rFonts w:hAnsi="宋体"/>
          <w:color w:val="auto"/>
          <w:highlight w:val="none"/>
        </w:rPr>
        <w:t>3.1.1</w:t>
      </w:r>
      <w:r>
        <w:rPr>
          <w:rFonts w:hint="eastAsia" w:hAnsi="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将修改招标文件，重新组织采购活动。</w:t>
      </w:r>
    </w:p>
    <w:bookmarkEnd w:id="62"/>
    <w:bookmarkEnd w:id="63"/>
    <w:p>
      <w:pPr>
        <w:widowControl w:val="0"/>
        <w:autoSpaceDE w:val="0"/>
        <w:autoSpaceDN w:val="0"/>
        <w:adjustRightInd w:val="0"/>
        <w:snapToGrid w:val="0"/>
        <w:spacing w:before="156" w:beforeLines="50" w:line="300" w:lineRule="auto"/>
        <w:ind w:firstLine="480" w:firstLineChars="200"/>
        <w:textAlignment w:val="auto"/>
        <w:rPr>
          <w:rFonts w:ascii="宋体"/>
          <w:color w:val="auto"/>
          <w:sz w:val="24"/>
          <w:highlight w:val="none"/>
        </w:rPr>
      </w:pPr>
      <w:bookmarkStart w:id="64" w:name="_Toc427683918"/>
      <w:bookmarkStart w:id="65" w:name="_Toc427683961"/>
      <w:r>
        <w:rPr>
          <w:rFonts w:ascii="宋体" w:hAnsi="宋体"/>
          <w:color w:val="auto"/>
          <w:sz w:val="24"/>
          <w:highlight w:val="none"/>
        </w:rPr>
        <w:t xml:space="preserve">3.1.2  </w:t>
      </w:r>
      <w:r>
        <w:rPr>
          <w:rFonts w:hint="eastAsia" w:ascii="宋体" w:hAnsi="宋体"/>
          <w:color w:val="auto"/>
          <w:sz w:val="24"/>
          <w:highlight w:val="none"/>
        </w:rPr>
        <w:t>评标委员会</w:t>
      </w:r>
      <w:r>
        <w:rPr>
          <w:rFonts w:hint="eastAsia" w:ascii="??" w:hAnsi="??" w:cs="宋体"/>
          <w:color w:val="auto"/>
          <w:sz w:val="24"/>
          <w:szCs w:val="21"/>
          <w:highlight w:val="none"/>
        </w:rPr>
        <w:t>要求解释</w:t>
      </w:r>
      <w:r>
        <w:rPr>
          <w:rFonts w:hint="eastAsia" w:ascii="宋体" w:hAnsi="宋体"/>
          <w:color w:val="auto"/>
          <w:sz w:val="24"/>
          <w:highlight w:val="none"/>
        </w:rPr>
        <w:t>招标文件的，书面提出需解释的相关招标文件的具体内容后、由采购代理机构或者采购人进行书面解释。</w:t>
      </w:r>
      <w:bookmarkEnd w:id="64"/>
      <w:bookmarkEnd w:id="65"/>
    </w:p>
    <w:p>
      <w:pPr>
        <w:autoSpaceDE w:val="0"/>
        <w:autoSpaceDN w:val="0"/>
        <w:adjustRightInd w:val="0"/>
        <w:snapToGrid w:val="0"/>
        <w:spacing w:before="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3.2 </w:t>
      </w:r>
      <w:r>
        <w:rPr>
          <w:rFonts w:hint="eastAsia" w:ascii="黑体" w:hAnsi="黑体" w:eastAsia="黑体"/>
          <w:b/>
          <w:color w:val="auto"/>
          <w:sz w:val="24"/>
          <w:highlight w:val="none"/>
        </w:rPr>
        <w:t>符合性审查</w:t>
      </w:r>
    </w:p>
    <w:p>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3.2.1 </w:t>
      </w:r>
      <w:r>
        <w:rPr>
          <w:rFonts w:hint="eastAsia" w:ascii="宋体" w:hAnsi="宋体" w:cs="宋体"/>
          <w:color w:val="auto"/>
          <w:sz w:val="24"/>
          <w:highlight w:val="none"/>
        </w:rPr>
        <w:t>评标委员会对符合资格的投标人的投标文件进行符合性审查，以确定其是否满足招标文件的实质性要求。</w:t>
      </w:r>
    </w:p>
    <w:p>
      <w:pPr>
        <w:autoSpaceDE w:val="0"/>
        <w:autoSpaceDN w:val="0"/>
        <w:adjustRightInd w:val="0"/>
        <w:snapToGrid w:val="0"/>
        <w:spacing w:before="50" w:line="300" w:lineRule="auto"/>
        <w:ind w:firstLine="480" w:firstLineChars="200"/>
        <w:jc w:val="left"/>
        <w:rPr>
          <w:rFonts w:ascii="宋体" w:hAnsi="宋体"/>
          <w:color w:val="auto"/>
          <w:sz w:val="24"/>
          <w:highlight w:val="none"/>
        </w:rPr>
      </w:pPr>
      <w:r>
        <w:rPr>
          <w:rFonts w:hint="eastAsia" w:ascii="宋体" w:hAnsi="宋体"/>
          <w:color w:val="auto"/>
          <w:sz w:val="24"/>
          <w:highlight w:val="none"/>
        </w:rPr>
        <w:t>评标委员会依据本章第</w:t>
      </w:r>
      <w:r>
        <w:rPr>
          <w:rFonts w:ascii="宋体" w:hAnsi="宋体"/>
          <w:color w:val="auto"/>
          <w:sz w:val="24"/>
          <w:highlight w:val="none"/>
        </w:rPr>
        <w:t>2.1</w:t>
      </w:r>
      <w:r>
        <w:rPr>
          <w:rFonts w:hint="eastAsia" w:ascii="宋体" w:hAnsi="宋体"/>
          <w:color w:val="auto"/>
          <w:sz w:val="24"/>
          <w:highlight w:val="none"/>
        </w:rPr>
        <w:t>款规定的标准对投标文件进行符合性评审。有一项不符合评审标准的，作无效投标处理。</w:t>
      </w:r>
    </w:p>
    <w:p>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3.2.2 </w:t>
      </w:r>
      <w:r>
        <w:rPr>
          <w:rFonts w:hint="eastAsia" w:ascii="宋体" w:hAnsi="宋体"/>
          <w:color w:val="auto"/>
          <w:sz w:val="24"/>
          <w:highlight w:val="none"/>
        </w:rPr>
        <w:t>投标人有以下情形之一的，其投标作无效投标处理：</w:t>
      </w:r>
    </w:p>
    <w:p>
      <w:pPr>
        <w:autoSpaceDE w:val="0"/>
        <w:autoSpaceDN w:val="0"/>
        <w:adjustRightInd w:val="0"/>
        <w:snapToGrid w:val="0"/>
        <w:spacing w:line="300" w:lineRule="auto"/>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）投标人不符合国家或者招标文件规定的资格条件；</w:t>
      </w:r>
    </w:p>
    <w:p>
      <w:pPr>
        <w:autoSpaceDE w:val="0"/>
        <w:autoSpaceDN w:val="0"/>
        <w:adjustRightInd w:val="0"/>
        <w:snapToGrid w:val="0"/>
        <w:spacing w:line="300" w:lineRule="auto"/>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）投标人没有按照招标文件要求提供投标承诺函；</w:t>
      </w:r>
    </w:p>
    <w:p>
      <w:pPr>
        <w:autoSpaceDE w:val="0"/>
        <w:autoSpaceDN w:val="0"/>
        <w:adjustRightInd w:val="0"/>
        <w:snapToGrid w:val="0"/>
        <w:spacing w:line="300" w:lineRule="auto"/>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）投标联合体不符合招标文件规定；</w:t>
      </w:r>
    </w:p>
    <w:p>
      <w:pPr>
        <w:autoSpaceDE w:val="0"/>
        <w:autoSpaceDN w:val="0"/>
        <w:adjustRightInd w:val="0"/>
        <w:snapToGrid w:val="0"/>
        <w:spacing w:line="300" w:lineRule="auto"/>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）投标文件的签字盖章不符合招标文件规定；</w:t>
      </w:r>
    </w:p>
    <w:p>
      <w:pPr>
        <w:autoSpaceDE w:val="0"/>
        <w:autoSpaceDN w:val="0"/>
        <w:adjustRightInd w:val="0"/>
        <w:snapToGrid w:val="0"/>
        <w:spacing w:line="300" w:lineRule="auto"/>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）投标报价超过招标文件中规定的预算金额或者最高限价的；</w:t>
      </w:r>
    </w:p>
    <w:p>
      <w:pPr>
        <w:autoSpaceDE w:val="0"/>
        <w:autoSpaceDN w:val="0"/>
        <w:adjustRightInd w:val="0"/>
        <w:snapToGrid w:val="0"/>
        <w:spacing w:line="300" w:lineRule="auto"/>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）同一投标人提交两个以上不同的投标文件或者投标报价，投标文件的每种报价有两个报价或其他选择性报价的。</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）投标文件没有对招标文件的实质性要求和条件作出实质性响应，或不符合招标文件的实质性要求和条件；</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）投标文件附有招标项目不能接受的条件或不符合国家强制性规定的；</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）单位负责人为同一人或者存在控股、管理关系的不同单位，参加同一项目（标段&lt;包&gt;）投标的；</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10</w:t>
      </w:r>
      <w:r>
        <w:rPr>
          <w:rFonts w:hint="eastAsia" w:ascii="宋体" w:hAnsi="宋体"/>
          <w:color w:val="auto"/>
          <w:sz w:val="24"/>
          <w:highlight w:val="none"/>
        </w:rPr>
        <w:t>）为招标项目提供整体设计、规范编制或者项目管理、监理、检测等服务的供应商，不得再参加该招标项目的其他采购活动。</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color w:val="auto"/>
          <w:sz w:val="24"/>
          <w:highlight w:val="none"/>
        </w:rPr>
        <w:t>（11）组成联合体或者接受分包的小微企业与联合体内其他企业、分包企业之间存在直接控股、管理关系的。</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2）提供虚假材料谋取中标的；</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3）不确认本章</w:t>
      </w:r>
      <w:r>
        <w:rPr>
          <w:rFonts w:ascii="宋体" w:hAnsi="宋体"/>
          <w:color w:val="auto"/>
          <w:sz w:val="24"/>
          <w:highlight w:val="none"/>
        </w:rPr>
        <w:t>3.4.1</w:t>
      </w:r>
      <w:r>
        <w:rPr>
          <w:rFonts w:hint="eastAsia" w:ascii="宋体" w:hAnsi="宋体"/>
          <w:color w:val="auto"/>
          <w:sz w:val="24"/>
          <w:highlight w:val="none"/>
        </w:rPr>
        <w:t>项对投标报价的算术修正的；</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4）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5）投标人有串通投标、行贿等违法行为。其中，有下列情形之一的，视为投标人相互串通投标：</w:t>
      </w:r>
    </w:p>
    <w:p>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◆不同投标人的投标文件由同一单位或者个人编制；</w:t>
      </w:r>
    </w:p>
    <w:p>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◆不同投标人委托同一单位或者个人办理投标事宜；</w:t>
      </w:r>
    </w:p>
    <w:p>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◆不同投标人的投标文件载明的项目管理成员为同一人；</w:t>
      </w:r>
    </w:p>
    <w:p>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◆不同投标人的投标文件异常一致或者投标报价呈规律性差异；</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◆不同投标人的投标文件相互混装；</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（16）《小微企业声明函》中产品承诺与投标产品不一致。</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（17）根据豫财购〔2021〕6号文件，参与同一个标段(包)的供应商存在下列情形之一的，其投标(响应)文件无效:</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◆不同供应商的电子投标(响应)文件上传计算机的网卡MAC地址、CPU序列号和硬盘序列号等硬件信息相同的；</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◆不同供应商的投标(响应)文件由同一电子设备编制、打印加密或者上传；</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◆不同供应商的投标(响应)文件由同一电子设备打印、复印；</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◆不同供应商的投标(响应)文件由同一人送达或者分发，或者不同供应商联系人为同一人或不同联系人的联系电话一致的；</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◆不同供应商的投标(响应)文件的内容存在两处以上细节错误一致；</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◆不同供应商的法定代表人、委托代理人、项目经理、项目负责人等由同一个单位缴纳社会保险或者领取报酬的；</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◆不同供应商投标(响应)文件中法定代表人或者负责人签字出自同一人之手；</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◆其它涉嫌串通的情形。</w:t>
      </w:r>
    </w:p>
    <w:p>
      <w:pPr>
        <w:autoSpaceDE w:val="0"/>
        <w:autoSpaceDN w:val="0"/>
        <w:adjustRightInd w:val="0"/>
        <w:snapToGrid w:val="0"/>
        <w:spacing w:before="156" w:beforeLines="50" w:line="300" w:lineRule="auto"/>
        <w:ind w:firstLine="539"/>
        <w:rPr>
          <w:rFonts w:hint="eastAsia" w:ascii="宋体" w:hAnsi="宋体"/>
          <w:color w:val="auto"/>
          <w:sz w:val="24"/>
          <w:highlight w:val="none"/>
        </w:rPr>
      </w:pPr>
      <w:r>
        <w:rPr>
          <w:rFonts w:hint="eastAsia" w:ascii="宋体" w:hAnsi="宋体"/>
          <w:color w:val="auto"/>
          <w:sz w:val="24"/>
          <w:highlight w:val="none"/>
        </w:rPr>
        <w:t>(18)不同投标人上传电子投标(响应)文件的IP地址相同，该供应商投标(响应)文件无效。</w:t>
      </w:r>
    </w:p>
    <w:p>
      <w:pPr>
        <w:autoSpaceDE w:val="0"/>
        <w:autoSpaceDN w:val="0"/>
        <w:adjustRightInd w:val="0"/>
        <w:snapToGrid w:val="0"/>
        <w:spacing w:before="156" w:beforeLines="50" w:line="300" w:lineRule="auto"/>
        <w:ind w:firstLine="539"/>
        <w:rPr>
          <w:rFonts w:ascii="宋体" w:hAnsi="宋体"/>
          <w:color w:val="auto"/>
          <w:sz w:val="24"/>
          <w:highlight w:val="none"/>
        </w:rPr>
      </w:pPr>
      <w:r>
        <w:rPr>
          <w:rFonts w:hint="eastAsia" w:ascii="宋体" w:hAnsi="宋体"/>
          <w:color w:val="auto"/>
          <w:sz w:val="24"/>
          <w:highlight w:val="none"/>
        </w:rPr>
        <w:t>(19)据豫财购〔2021〕6号文件精神，工程领域招标投标行政主管部门对供应商串通投标等予以市场禁入的，在本次政府采购活动中，该供应商投标(响应)文件无效。</w:t>
      </w:r>
    </w:p>
    <w:p>
      <w:pPr>
        <w:autoSpaceDE w:val="0"/>
        <w:autoSpaceDN w:val="0"/>
        <w:adjustRightInd w:val="0"/>
        <w:snapToGrid w:val="0"/>
        <w:spacing w:before="156" w:beforeLines="50" w:line="300" w:lineRule="auto"/>
        <w:ind w:firstLine="539"/>
        <w:rPr>
          <w:rFonts w:ascii="宋体" w:hAnsi="宋体"/>
          <w:color w:val="auto"/>
          <w:sz w:val="24"/>
          <w:highlight w:val="none"/>
        </w:rPr>
      </w:pPr>
      <w:r>
        <w:rPr>
          <w:rFonts w:hint="eastAsia" w:ascii="宋体" w:hAnsi="宋体"/>
          <w:color w:val="auto"/>
          <w:sz w:val="24"/>
          <w:highlight w:val="none"/>
        </w:rPr>
        <w:t>（20）如涉及台式计算机、便携式计算机、一体式计算机、工作站、通用服务器、操作系统、数据库的，不符合第六章12-2附件要求</w:t>
      </w:r>
      <w:r>
        <w:rPr>
          <w:rFonts w:hint="eastAsia" w:ascii="宋体" w:hAnsi="宋体"/>
          <w:color w:val="auto"/>
          <w:sz w:val="24"/>
          <w:szCs w:val="24"/>
          <w:highlight w:val="none"/>
        </w:rPr>
        <w:t>。</w:t>
      </w:r>
    </w:p>
    <w:p>
      <w:pPr>
        <w:autoSpaceDE w:val="0"/>
        <w:autoSpaceDN w:val="0"/>
        <w:adjustRightInd w:val="0"/>
        <w:snapToGrid w:val="0"/>
        <w:spacing w:before="50" w:line="300" w:lineRule="auto"/>
        <w:ind w:firstLine="566" w:firstLineChars="236"/>
        <w:jc w:val="left"/>
        <w:rPr>
          <w:rFonts w:ascii="宋体" w:hAnsi="宋体"/>
          <w:b/>
          <w:color w:val="auto"/>
          <w:sz w:val="24"/>
          <w:highlight w:val="none"/>
        </w:rPr>
      </w:pPr>
      <w:r>
        <w:rPr>
          <w:rFonts w:ascii="宋体" w:hAnsi="宋体"/>
          <w:color w:val="auto"/>
          <w:sz w:val="24"/>
          <w:highlight w:val="none"/>
        </w:rPr>
        <w:t>3.2.3</w:t>
      </w:r>
      <w:r>
        <w:rPr>
          <w:rFonts w:hint="eastAsia" w:ascii="宋体" w:hAnsi="宋体"/>
          <w:color w:val="auto"/>
          <w:sz w:val="24"/>
          <w:highlight w:val="none"/>
        </w:rPr>
        <w:t xml:space="preserve"> </w:t>
      </w:r>
      <w:r>
        <w:rPr>
          <w:rFonts w:hint="eastAsia" w:ascii="宋体" w:hAnsi="宋体"/>
          <w:b/>
          <w:color w:val="auto"/>
          <w:sz w:val="24"/>
          <w:highlight w:val="none"/>
        </w:rPr>
        <w:t>未实质性响应招标文件的投标文件按无效处理，评标委员会应当告知有关供应商。</w:t>
      </w:r>
    </w:p>
    <w:p>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3.2.4 </w:t>
      </w:r>
      <w:r>
        <w:rPr>
          <w:rFonts w:hint="eastAsia" w:ascii="宋体" w:hAnsi="宋体"/>
          <w:color w:val="auto"/>
          <w:sz w:val="24"/>
          <w:highlight w:val="none"/>
        </w:rPr>
        <w:t>评标委员会负责审查确定每一投标项目是否对</w:t>
      </w:r>
      <w:r>
        <w:rPr>
          <w:rFonts w:hint="eastAsia"/>
          <w:color w:val="auto"/>
          <w:sz w:val="24"/>
          <w:szCs w:val="24"/>
          <w:highlight w:val="none"/>
        </w:rPr>
        <w:t>招标</w:t>
      </w:r>
      <w:r>
        <w:rPr>
          <w:rFonts w:hint="eastAsia" w:ascii="宋体" w:hAnsi="宋体"/>
          <w:color w:val="auto"/>
          <w:sz w:val="24"/>
          <w:highlight w:val="none"/>
        </w:rPr>
        <w:t>文件的实质性要求作出了实质性的响应，而没有重大偏离和保留。实质性响应的投标是指投标符合</w:t>
      </w:r>
      <w:r>
        <w:rPr>
          <w:rFonts w:hint="eastAsia"/>
          <w:color w:val="auto"/>
          <w:sz w:val="24"/>
          <w:szCs w:val="24"/>
          <w:highlight w:val="none"/>
        </w:rPr>
        <w:t>招标</w:t>
      </w:r>
      <w:r>
        <w:rPr>
          <w:rFonts w:hint="eastAsia" w:ascii="宋体" w:hAnsi="宋体"/>
          <w:color w:val="auto"/>
          <w:sz w:val="24"/>
          <w:highlight w:val="none"/>
        </w:rPr>
        <w:t>文件的所有条款、条件和规定且没有重大偏离和保留（重大偏离和保留是指影响到</w:t>
      </w:r>
      <w:r>
        <w:rPr>
          <w:rFonts w:hint="eastAsia"/>
          <w:color w:val="auto"/>
          <w:sz w:val="24"/>
          <w:szCs w:val="24"/>
          <w:highlight w:val="none"/>
        </w:rPr>
        <w:t>招标</w:t>
      </w:r>
      <w:r>
        <w:rPr>
          <w:rFonts w:hint="eastAsia" w:ascii="宋体" w:hAnsi="宋体"/>
          <w:color w:val="auto"/>
          <w:sz w:val="24"/>
          <w:highlight w:val="none"/>
        </w:rPr>
        <w:t>文件和投标人的义务的规定，而纠正这些偏离将影响到其他提交实质性响应投标人的公平竞争地位）。</w:t>
      </w:r>
    </w:p>
    <w:p>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3.2.5 </w:t>
      </w:r>
      <w:r>
        <w:rPr>
          <w:rFonts w:hint="eastAsia" w:ascii="宋体" w:hAnsi="宋体"/>
          <w:color w:val="auto"/>
          <w:sz w:val="24"/>
          <w:highlight w:val="none"/>
        </w:rPr>
        <w:t>评标委员会判断投标文件的响应性仅基于投标文件本身而不靠外部证据。</w:t>
      </w:r>
    </w:p>
    <w:p>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3.2.6 </w:t>
      </w:r>
      <w:r>
        <w:rPr>
          <w:rFonts w:hint="eastAsia" w:ascii="宋体" w:hAnsi="宋体"/>
          <w:color w:val="auto"/>
          <w:sz w:val="24"/>
          <w:highlight w:val="none"/>
        </w:rPr>
        <w:t>评标委员会拒绝被确定为非实质性响应的投标人，投标人不得通过修正或撤销不符之处而使其投标成为实质性响应的投标。</w:t>
      </w:r>
    </w:p>
    <w:p>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3.2.7 </w:t>
      </w:r>
      <w:r>
        <w:rPr>
          <w:rFonts w:hint="eastAsia" w:ascii="宋体" w:hAnsi="宋体"/>
          <w:color w:val="auto"/>
          <w:sz w:val="24"/>
          <w:highlight w:val="none"/>
        </w:rPr>
        <w:t>允许投标人修改投标中不构成重大偏离的、微小的、非正规、不一致或不规则的地方。</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3.3 </w:t>
      </w:r>
      <w:r>
        <w:rPr>
          <w:rFonts w:hint="eastAsia" w:ascii="黑体" w:hAnsi="黑体" w:eastAsia="黑体"/>
          <w:b/>
          <w:color w:val="auto"/>
          <w:sz w:val="24"/>
          <w:highlight w:val="none"/>
        </w:rPr>
        <w:t>投标文件的澄清</w:t>
      </w:r>
    </w:p>
    <w:p>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hint="eastAsia" w:ascii="宋体" w:hAnsi="宋体"/>
          <w:b/>
          <w:color w:val="auto"/>
          <w:sz w:val="24"/>
          <w:highlight w:val="none"/>
        </w:rPr>
        <w:t>投标文件的澄清在招标</w:t>
      </w:r>
      <w:r>
        <w:rPr>
          <w:rFonts w:ascii="宋体" w:hAnsi="宋体"/>
          <w:b/>
          <w:color w:val="auto"/>
          <w:sz w:val="24"/>
          <w:highlight w:val="none"/>
        </w:rPr>
        <w:t>公告所述</w:t>
      </w:r>
      <w:r>
        <w:rPr>
          <w:rFonts w:hint="eastAsia" w:ascii="宋体" w:hAnsi="宋体"/>
          <w:b/>
          <w:color w:val="auto"/>
          <w:sz w:val="24"/>
          <w:highlight w:val="none"/>
        </w:rPr>
        <w:t>网</w:t>
      </w:r>
      <w:r>
        <w:rPr>
          <w:rFonts w:ascii="宋体" w:hAnsi="宋体"/>
          <w:b/>
          <w:color w:val="auto"/>
          <w:sz w:val="24"/>
          <w:highlight w:val="none"/>
        </w:rPr>
        <w:t>上</w:t>
      </w:r>
      <w:r>
        <w:rPr>
          <w:rFonts w:hint="eastAsia" w:ascii="宋体" w:hAnsi="宋体"/>
          <w:b/>
          <w:color w:val="auto"/>
          <w:sz w:val="24"/>
          <w:highlight w:val="none"/>
        </w:rPr>
        <w:t>电子交易系统</w:t>
      </w:r>
      <w:r>
        <w:rPr>
          <w:rFonts w:ascii="宋体" w:hAnsi="宋体"/>
          <w:b/>
          <w:color w:val="auto"/>
          <w:sz w:val="24"/>
          <w:highlight w:val="none"/>
        </w:rPr>
        <w:t>进行。</w:t>
      </w:r>
    </w:p>
    <w:p>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3</w:t>
      </w:r>
      <w:r>
        <w:rPr>
          <w:rFonts w:ascii="宋体" w:hAnsi="宋体"/>
          <w:b/>
          <w:color w:val="auto"/>
          <w:sz w:val="24"/>
          <w:highlight w:val="none"/>
        </w:rPr>
        <w:t>.1</w:t>
      </w:r>
      <w:r>
        <w:rPr>
          <w:rFonts w:hint="eastAsia" w:ascii="宋体" w:hAnsi="宋体"/>
          <w:b/>
          <w:color w:val="auto"/>
          <w:sz w:val="24"/>
          <w:highlight w:val="none"/>
        </w:rPr>
        <w:t xml:space="preserve"> 评审期间，投标人法定代表人须时刻关注电子开标室并保持通讯畅通。如因通讯不畅导致投标人无法及时澄清而被认定为无效响应等后果的</w:t>
      </w:r>
      <w:r>
        <w:rPr>
          <w:rFonts w:ascii="宋体" w:hAnsi="宋体"/>
          <w:b/>
          <w:color w:val="auto"/>
          <w:sz w:val="24"/>
          <w:highlight w:val="none"/>
        </w:rPr>
        <w:t>，</w:t>
      </w:r>
      <w:r>
        <w:rPr>
          <w:rFonts w:hint="eastAsia" w:ascii="宋体" w:hAnsi="宋体"/>
          <w:b/>
          <w:color w:val="auto"/>
          <w:sz w:val="24"/>
          <w:highlight w:val="none"/>
        </w:rPr>
        <w:t>由投标人自行承担。</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3.3.2</w:t>
      </w:r>
      <w:r>
        <w:rPr>
          <w:rFonts w:hint="eastAsia" w:ascii="宋体" w:hAnsi="宋体"/>
          <w:color w:val="auto"/>
          <w:sz w:val="24"/>
          <w:highlight w:val="none"/>
        </w:rPr>
        <w:t>　为有助于对投标文件进行审查、评估和比较，评标委员会有权个别的向投标人提出质疑，请投标人澄清其投标内容。</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3.3.3</w:t>
      </w:r>
      <w:r>
        <w:rPr>
          <w:rFonts w:hint="eastAsia" w:ascii="宋体" w:hAnsi="宋体"/>
          <w:color w:val="auto"/>
          <w:sz w:val="24"/>
          <w:highlight w:val="none"/>
        </w:rPr>
        <w:t>　评标委员会可以要求投标人对投标文件中含义不明确、同类问题表述不一致或者有明显文字和计算错误的内容等作出必要的澄清、说明或者更正。投标人的澄清、说明或者更正不得超出投标文件的范围或者改变投标文件的实质性内容。</w:t>
      </w:r>
    </w:p>
    <w:p>
      <w:pPr>
        <w:autoSpaceDE w:val="0"/>
        <w:autoSpaceDN w:val="0"/>
        <w:adjustRightInd w:val="0"/>
        <w:snapToGrid w:val="0"/>
        <w:spacing w:before="156" w:beforeLines="50" w:line="300" w:lineRule="auto"/>
        <w:ind w:firstLine="566" w:firstLineChars="236"/>
        <w:jc w:val="left"/>
        <w:rPr>
          <w:rFonts w:ascii="宋体" w:hAnsi="宋体"/>
          <w:b/>
          <w:color w:val="auto"/>
          <w:sz w:val="24"/>
          <w:highlight w:val="none"/>
        </w:rPr>
      </w:pPr>
      <w:r>
        <w:rPr>
          <w:rFonts w:ascii="宋体" w:hAnsi="宋体"/>
          <w:color w:val="auto"/>
          <w:sz w:val="24"/>
          <w:highlight w:val="none"/>
        </w:rPr>
        <w:t>3.3.4</w:t>
      </w:r>
      <w:r>
        <w:rPr>
          <w:rFonts w:hint="eastAsia" w:ascii="宋体" w:hAnsi="宋体"/>
          <w:color w:val="auto"/>
          <w:sz w:val="24"/>
          <w:highlight w:val="none"/>
        </w:rPr>
        <w:t>　</w:t>
      </w:r>
      <w:r>
        <w:rPr>
          <w:rFonts w:hint="eastAsia" w:ascii="宋体" w:hAnsi="宋体"/>
          <w:b/>
          <w:color w:val="auto"/>
          <w:sz w:val="24"/>
          <w:highlight w:val="none"/>
        </w:rPr>
        <w:t>投标人的澄清、说明或者更正应当采用书面形式，应加</w:t>
      </w:r>
      <w:r>
        <w:rPr>
          <w:rFonts w:ascii="宋体" w:hAnsi="宋体"/>
          <w:b/>
          <w:color w:val="auto"/>
          <w:sz w:val="24"/>
          <w:highlight w:val="none"/>
        </w:rPr>
        <w:t>盖</w:t>
      </w:r>
      <w:r>
        <w:rPr>
          <w:rFonts w:hint="eastAsia" w:ascii="宋体" w:hAnsi="宋体"/>
          <w:b/>
          <w:color w:val="auto"/>
          <w:sz w:val="24"/>
          <w:highlight w:val="none"/>
        </w:rPr>
        <w:t>投</w:t>
      </w:r>
      <w:r>
        <w:rPr>
          <w:rFonts w:ascii="宋体" w:hAnsi="宋体"/>
          <w:b/>
          <w:color w:val="auto"/>
          <w:sz w:val="24"/>
          <w:highlight w:val="none"/>
        </w:rPr>
        <w:t>标人</w:t>
      </w:r>
      <w:r>
        <w:rPr>
          <w:rFonts w:hint="eastAsia" w:ascii="宋体" w:hAnsi="宋体"/>
          <w:b/>
          <w:color w:val="auto"/>
          <w:sz w:val="24"/>
          <w:highlight w:val="none"/>
        </w:rPr>
        <w:t>电子签章或其法定代表人电子签名</w:t>
      </w:r>
      <w:r>
        <w:rPr>
          <w:rFonts w:hint="eastAsia" w:ascii="宋体" w:hAnsi="宋体" w:cs="楷体_GB2312"/>
          <w:b/>
          <w:color w:val="auto"/>
          <w:sz w:val="24"/>
          <w:highlight w:val="none"/>
        </w:rPr>
        <w:t>（签章）</w:t>
      </w:r>
      <w:r>
        <w:rPr>
          <w:rFonts w:hint="eastAsia" w:ascii="宋体" w:hAnsi="宋体"/>
          <w:b/>
          <w:color w:val="auto"/>
          <w:sz w:val="24"/>
          <w:highlight w:val="none"/>
        </w:rPr>
        <w:t>，并将澄清等内容作为附件上传至系统中。</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3.3.5</w:t>
      </w:r>
      <w:r>
        <w:rPr>
          <w:rFonts w:hint="eastAsia" w:ascii="宋体" w:hAnsi="宋体"/>
          <w:color w:val="auto"/>
          <w:sz w:val="24"/>
          <w:highlight w:val="none"/>
        </w:rPr>
        <w:t>　投标人的澄清文件是投标文件的组成部分，并取代投标文件中被澄清的部分。</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3.3.6</w:t>
      </w:r>
      <w:r>
        <w:rPr>
          <w:rFonts w:hint="eastAsia" w:ascii="宋体" w:hAnsi="宋体"/>
          <w:color w:val="auto"/>
          <w:sz w:val="24"/>
          <w:highlight w:val="none"/>
        </w:rPr>
        <w:t>　澄清文件应按评标委员会规定的时间提交。</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3.4 </w:t>
      </w:r>
      <w:r>
        <w:rPr>
          <w:rFonts w:hint="eastAsia" w:ascii="黑体" w:hAnsi="黑体" w:eastAsia="黑体"/>
          <w:b/>
          <w:color w:val="auto"/>
          <w:sz w:val="24"/>
          <w:highlight w:val="none"/>
        </w:rPr>
        <w:t>详细评审</w:t>
      </w:r>
    </w:p>
    <w:p>
      <w:pPr>
        <w:autoSpaceDE w:val="0"/>
        <w:autoSpaceDN w:val="0"/>
        <w:adjustRightInd w:val="0"/>
        <w:snapToGrid w:val="0"/>
        <w:spacing w:before="156" w:beforeLines="50" w:line="300" w:lineRule="auto"/>
        <w:ind w:firstLine="569" w:firstLineChars="236"/>
        <w:jc w:val="left"/>
        <w:rPr>
          <w:rFonts w:ascii="宋体"/>
          <w:color w:val="auto"/>
          <w:sz w:val="24"/>
          <w:highlight w:val="none"/>
        </w:rPr>
      </w:pPr>
      <w:r>
        <w:rPr>
          <w:rFonts w:ascii="黑体" w:hAnsi="黑体" w:eastAsia="黑体"/>
          <w:b/>
          <w:color w:val="auto"/>
          <w:sz w:val="24"/>
          <w:highlight w:val="none"/>
        </w:rPr>
        <w:t xml:space="preserve">3.4.1  </w:t>
      </w:r>
      <w:r>
        <w:rPr>
          <w:rFonts w:hint="eastAsia" w:ascii="宋体" w:hAnsi="宋体"/>
          <w:color w:val="auto"/>
          <w:sz w:val="24"/>
          <w:highlight w:val="none"/>
        </w:rPr>
        <w:t>投标文件报价出现前后不一致的，按照下列规定修正：</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w:t>
      </w:r>
      <w:r>
        <w:rPr>
          <w:rFonts w:hint="eastAsia" w:ascii="宋体" w:hAnsi="宋体"/>
          <w:color w:val="auto"/>
          <w:sz w:val="24"/>
          <w:szCs w:val="24"/>
          <w:highlight w:val="none"/>
        </w:rPr>
        <w:t>“安阳市电子招投标交易平台”系统</w:t>
      </w:r>
      <w:r>
        <w:rPr>
          <w:rFonts w:hint="eastAsia" w:ascii="宋体" w:hAnsi="宋体"/>
          <w:color w:val="auto"/>
          <w:sz w:val="24"/>
          <w:highlight w:val="none"/>
        </w:rPr>
        <w:t>中开标一览表（报价表）内容与投标文件中相应内容不一致的，以开标一览表（报价表）为准；</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）大写金额和小写金额不一致的，以大写金额为准；</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）单价金额小数点或者百分比有明显错位的，以开标一览表的总价为准，并修改单价；</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）总价金额与按单价汇总金额不一致的，以单价金额计算结果为准。</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hint="eastAsia" w:ascii="宋体" w:hAnsi="宋体"/>
          <w:color w:val="auto"/>
          <w:sz w:val="24"/>
          <w:highlight w:val="none"/>
        </w:rPr>
        <w:t>同时出现两种以上不一致的，按照前款规定的顺序修正。修正后的报价按照本章</w:t>
      </w:r>
      <w:r>
        <w:rPr>
          <w:rFonts w:ascii="宋体" w:hAnsi="宋体"/>
          <w:color w:val="auto"/>
          <w:sz w:val="24"/>
          <w:highlight w:val="none"/>
        </w:rPr>
        <w:t>3.3.4</w:t>
      </w:r>
      <w:r>
        <w:rPr>
          <w:rFonts w:hint="eastAsia" w:ascii="宋体" w:hAnsi="宋体"/>
          <w:color w:val="auto"/>
          <w:sz w:val="24"/>
          <w:highlight w:val="none"/>
        </w:rPr>
        <w:t>项规定经投标人确认后产生约束力，投标人不确认的，其投标无效。</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3.4.2 </w:t>
      </w:r>
      <w:r>
        <w:rPr>
          <w:rFonts w:hint="eastAsia" w:ascii="宋体" w:hAnsi="宋体"/>
          <w:color w:val="auto"/>
          <w:sz w:val="24"/>
          <w:highlight w:val="none"/>
        </w:rPr>
        <w:t>按本章第</w:t>
      </w:r>
      <w:r>
        <w:rPr>
          <w:rFonts w:ascii="宋体" w:hAnsi="宋体"/>
          <w:color w:val="auto"/>
          <w:sz w:val="24"/>
          <w:highlight w:val="none"/>
        </w:rPr>
        <w:t xml:space="preserve">4 </w:t>
      </w:r>
      <w:r>
        <w:rPr>
          <w:rFonts w:hint="eastAsia" w:ascii="宋体" w:hAnsi="宋体"/>
          <w:color w:val="auto"/>
          <w:sz w:val="24"/>
          <w:highlight w:val="none"/>
        </w:rPr>
        <w:t>条规定执行促进中小企业发展扶持政策。</w:t>
      </w:r>
    </w:p>
    <w:p>
      <w:pPr>
        <w:autoSpaceDE w:val="0"/>
        <w:autoSpaceDN w:val="0"/>
        <w:adjustRightInd w:val="0"/>
        <w:snapToGrid w:val="0"/>
        <w:spacing w:before="156" w:beforeLines="50" w:line="300" w:lineRule="auto"/>
        <w:ind w:firstLine="566" w:firstLineChars="236"/>
        <w:jc w:val="left"/>
        <w:rPr>
          <w:rFonts w:ascii="宋体" w:cs="宋体"/>
          <w:color w:val="auto"/>
          <w:sz w:val="24"/>
          <w:highlight w:val="none"/>
        </w:rPr>
      </w:pPr>
      <w:r>
        <w:rPr>
          <w:rFonts w:ascii="宋体" w:hAnsi="宋体"/>
          <w:color w:val="auto"/>
          <w:sz w:val="24"/>
          <w:highlight w:val="none"/>
        </w:rPr>
        <w:t xml:space="preserve">3.4.3 </w:t>
      </w:r>
      <w:r>
        <w:rPr>
          <w:rFonts w:hint="eastAsia" w:ascii="宋体" w:hAnsi="宋体" w:cs="宋体"/>
          <w:color w:val="auto"/>
          <w:sz w:val="24"/>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napToGrid w:val="0"/>
        <w:spacing w:line="300" w:lineRule="auto"/>
        <w:ind w:firstLine="480"/>
        <w:jc w:val="left"/>
        <w:rPr>
          <w:rFonts w:ascii="宋体" w:cs="宋体"/>
          <w:color w:val="auto"/>
          <w:sz w:val="24"/>
          <w:highlight w:val="none"/>
        </w:rPr>
      </w:pPr>
      <w:r>
        <w:rPr>
          <w:rFonts w:hint="eastAsia" w:ascii="宋体" w:hAnsi="宋体" w:cs="宋体"/>
          <w:color w:val="auto"/>
          <w:sz w:val="24"/>
          <w:highlight w:val="none"/>
        </w:rPr>
        <w:t>多家投标人提供的核心产品品牌相同的，按前项规定处理。</w:t>
      </w:r>
    </w:p>
    <w:p>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hint="eastAsia" w:ascii="宋体" w:hAnsi="宋体"/>
          <w:color w:val="auto"/>
          <w:sz w:val="24"/>
          <w:highlight w:val="none"/>
        </w:rPr>
        <w:t>4 评标委员会按本章第</w:t>
      </w:r>
      <w:r>
        <w:rPr>
          <w:rFonts w:ascii="宋体" w:hAnsi="宋体"/>
          <w:color w:val="auto"/>
          <w:sz w:val="24"/>
          <w:highlight w:val="none"/>
        </w:rPr>
        <w:t xml:space="preserve">2.2 </w:t>
      </w:r>
      <w:r>
        <w:rPr>
          <w:rFonts w:hint="eastAsia" w:ascii="宋体" w:hAnsi="宋体"/>
          <w:color w:val="auto"/>
          <w:sz w:val="24"/>
          <w:highlight w:val="none"/>
        </w:rPr>
        <w:t>款规定的量化因素和分值进行打分，并计算出综合评标得分。</w:t>
      </w:r>
    </w:p>
    <w:p>
      <w:pPr>
        <w:widowControl w:val="0"/>
        <w:adjustRightInd w:val="0"/>
        <w:snapToGrid w:val="0"/>
        <w:spacing w:before="50" w:line="300" w:lineRule="auto"/>
        <w:ind w:firstLine="623"/>
        <w:textAlignment w:val="top"/>
        <w:rPr>
          <w:color w:val="auto"/>
          <w:sz w:val="24"/>
          <w:szCs w:val="24"/>
          <w:highlight w:val="none"/>
        </w:rPr>
      </w:pPr>
      <w:r>
        <w:rPr>
          <w:color w:val="auto"/>
          <w:sz w:val="24"/>
          <w:szCs w:val="24"/>
          <w:highlight w:val="none"/>
        </w:rPr>
        <w:t>3.4.</w:t>
      </w:r>
      <w:r>
        <w:rPr>
          <w:rFonts w:hint="eastAsia"/>
          <w:color w:val="auto"/>
          <w:sz w:val="24"/>
          <w:szCs w:val="24"/>
          <w:highlight w:val="none"/>
        </w:rPr>
        <w:t>5评分计算保留</w:t>
      </w:r>
      <w:r>
        <w:rPr>
          <w:color w:val="auto"/>
          <w:sz w:val="24"/>
          <w:szCs w:val="24"/>
          <w:highlight w:val="none"/>
        </w:rPr>
        <w:t>2</w:t>
      </w:r>
      <w:r>
        <w:rPr>
          <w:rFonts w:hint="eastAsia"/>
          <w:color w:val="auto"/>
          <w:sz w:val="24"/>
          <w:szCs w:val="24"/>
          <w:highlight w:val="none"/>
        </w:rPr>
        <w:t>位小数，第三位小数四舍五入。评分计算中出现中间值时按插入法计算得分。</w:t>
      </w:r>
    </w:p>
    <w:p>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hint="eastAsia" w:ascii="宋体" w:hAnsi="宋体"/>
          <w:color w:val="auto"/>
          <w:sz w:val="24"/>
          <w:highlight w:val="none"/>
        </w:rPr>
        <w:t>6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autoSpaceDE w:val="0"/>
        <w:autoSpaceDN w:val="0"/>
        <w:adjustRightInd w:val="0"/>
        <w:snapToGrid w:val="0"/>
        <w:spacing w:before="50" w:line="300" w:lineRule="auto"/>
        <w:ind w:firstLine="566" w:firstLineChars="236"/>
        <w:jc w:val="left"/>
        <w:rPr>
          <w:color w:val="auto"/>
          <w:sz w:val="24"/>
          <w:szCs w:val="24"/>
          <w:highlight w:val="none"/>
        </w:rPr>
      </w:pPr>
      <w:r>
        <w:rPr>
          <w:color w:val="auto"/>
          <w:sz w:val="24"/>
          <w:szCs w:val="24"/>
          <w:highlight w:val="none"/>
        </w:rPr>
        <w:t>3.4.</w:t>
      </w:r>
      <w:r>
        <w:rPr>
          <w:rFonts w:hint="eastAsia"/>
          <w:color w:val="auto"/>
          <w:sz w:val="24"/>
          <w:szCs w:val="24"/>
          <w:highlight w:val="none"/>
        </w:rPr>
        <w:t>7　在评标过程中，凡遇到《招标文件》中无界定或界定不清，前后不一致，使评委成员意见有分歧且又难于协商一致的问题，均由评委予以表决。</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hint="eastAsia" w:ascii="宋体" w:hAnsi="宋体"/>
          <w:color w:val="auto"/>
          <w:sz w:val="24"/>
          <w:highlight w:val="none"/>
        </w:rPr>
        <w:t>8</w:t>
      </w:r>
      <w:r>
        <w:rPr>
          <w:rFonts w:ascii="宋体" w:hAnsi="宋体"/>
          <w:color w:val="auto"/>
          <w:sz w:val="24"/>
          <w:highlight w:val="none"/>
        </w:rPr>
        <w:t xml:space="preserve"> </w:t>
      </w:r>
      <w:r>
        <w:rPr>
          <w:rFonts w:hint="eastAsia" w:ascii="宋体" w:hAnsi="宋体"/>
          <w:color w:val="auto"/>
          <w:sz w:val="24"/>
          <w:highlight w:val="none"/>
        </w:rPr>
        <w:t>除了算术修正和落实政府采购政策需进行的价格扣除外，评标委员会不对投标人的投标价格进行任何调整。</w:t>
      </w:r>
    </w:p>
    <w:p>
      <w:pPr>
        <w:autoSpaceDE w:val="0"/>
        <w:autoSpaceDN w:val="0"/>
        <w:adjustRightInd w:val="0"/>
        <w:snapToGrid w:val="0"/>
        <w:spacing w:before="50" w:line="300" w:lineRule="auto"/>
        <w:ind w:firstLine="569" w:firstLineChars="236"/>
        <w:jc w:val="left"/>
        <w:rPr>
          <w:rFonts w:ascii="宋体"/>
          <w:color w:val="auto"/>
          <w:sz w:val="24"/>
          <w:highlight w:val="none"/>
        </w:rPr>
      </w:pPr>
      <w:r>
        <w:rPr>
          <w:rFonts w:ascii="黑体" w:hAnsi="黑体" w:eastAsia="黑体"/>
          <w:b/>
          <w:color w:val="auto"/>
          <w:sz w:val="24"/>
          <w:highlight w:val="none"/>
        </w:rPr>
        <w:t xml:space="preserve">3.5 </w:t>
      </w:r>
      <w:r>
        <w:rPr>
          <w:rFonts w:hint="eastAsia" w:ascii="黑体" w:hAnsi="黑体" w:eastAsia="黑体"/>
          <w:b/>
          <w:color w:val="auto"/>
          <w:sz w:val="24"/>
          <w:highlight w:val="none"/>
        </w:rPr>
        <w:t>复核</w:t>
      </w:r>
      <w:r>
        <w:rPr>
          <w:rFonts w:hint="eastAsia" w:ascii="宋体" w:hAnsi="宋体"/>
          <w:color w:val="auto"/>
          <w:sz w:val="24"/>
          <w:highlight w:val="none"/>
        </w:rPr>
        <w:t>：</w:t>
      </w:r>
    </w:p>
    <w:p>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3.5.1  </w:t>
      </w:r>
      <w:r>
        <w:rPr>
          <w:rFonts w:hint="eastAsia" w:ascii="宋体" w:hAnsi="宋体"/>
          <w:color w:val="auto"/>
          <w:sz w:val="24"/>
          <w:highlight w:val="none"/>
        </w:rPr>
        <w:t>评标委员会对供应商的价格分等客观评分项的评分应当一致，对其他需要借助专业知识评判的主观评分项，应当严格按照评分细则公正评分，不得超出评分标准范围，对畸高、畸低的重大差异评分书面说明理由。</w:t>
      </w:r>
    </w:p>
    <w:p>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3.5.2 </w:t>
      </w:r>
      <w:r>
        <w:rPr>
          <w:rFonts w:hint="eastAsia" w:ascii="宋体" w:hAnsi="宋体"/>
          <w:color w:val="auto"/>
          <w:sz w:val="24"/>
          <w:highlight w:val="none"/>
        </w:rPr>
        <w:t>评标委员会要对评分汇总情况进行复核，特别是对排名第一的、报价最低的、投标或相应文件被认定为无效的情形进行重点复核。评标结果汇总完成后评标报告签署前，经评标委员会复核存在分值汇总计算错误的、分项评分超出评分标准范围的、评标委员会成员对客观评审因素评分不一致的、经评标委员会认定评分畸高、畸低的，有前述情形之一的，评标委员会应当当场修改评标结果，并在评标报告中记载。</w:t>
      </w:r>
    </w:p>
    <w:p>
      <w:pPr>
        <w:autoSpaceDE w:val="0"/>
        <w:autoSpaceDN w:val="0"/>
        <w:adjustRightInd w:val="0"/>
        <w:snapToGrid w:val="0"/>
        <w:spacing w:before="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3.6 </w:t>
      </w:r>
      <w:r>
        <w:rPr>
          <w:rFonts w:hint="eastAsia" w:ascii="黑体" w:hAnsi="黑体" w:eastAsia="黑体"/>
          <w:b/>
          <w:color w:val="auto"/>
          <w:sz w:val="24"/>
          <w:highlight w:val="none"/>
        </w:rPr>
        <w:t>评标结果</w:t>
      </w:r>
    </w:p>
    <w:p>
      <w:pPr>
        <w:autoSpaceDE w:val="0"/>
        <w:autoSpaceDN w:val="0"/>
        <w:adjustRightInd w:val="0"/>
        <w:snapToGrid w:val="0"/>
        <w:spacing w:before="50" w:line="300" w:lineRule="auto"/>
        <w:ind w:firstLine="616" w:firstLineChars="257"/>
        <w:jc w:val="left"/>
        <w:rPr>
          <w:rFonts w:ascii="宋体" w:hAnsi="宋体"/>
          <w:color w:val="auto"/>
          <w:sz w:val="24"/>
          <w:highlight w:val="none"/>
        </w:rPr>
      </w:pPr>
      <w:r>
        <w:rPr>
          <w:rFonts w:ascii="宋体" w:hAnsi="宋体"/>
          <w:color w:val="auto"/>
          <w:sz w:val="24"/>
          <w:highlight w:val="none"/>
        </w:rPr>
        <w:t xml:space="preserve">3.6.1 </w:t>
      </w:r>
      <w:r>
        <w:rPr>
          <w:rFonts w:hint="eastAsia" w:ascii="宋体" w:hAnsi="宋体"/>
          <w:color w:val="auto"/>
          <w:sz w:val="24"/>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autoSpaceDE w:val="0"/>
        <w:autoSpaceDN w:val="0"/>
        <w:adjustRightInd w:val="0"/>
        <w:snapToGrid w:val="0"/>
        <w:spacing w:before="50" w:line="300" w:lineRule="auto"/>
        <w:ind w:firstLine="616" w:firstLineChars="257"/>
        <w:jc w:val="left"/>
        <w:rPr>
          <w:rFonts w:ascii="宋体"/>
          <w:color w:val="auto"/>
          <w:sz w:val="24"/>
          <w:highlight w:val="none"/>
        </w:rPr>
      </w:pPr>
      <w:r>
        <w:rPr>
          <w:rFonts w:ascii="宋体" w:hAnsi="宋体"/>
          <w:color w:val="auto"/>
          <w:sz w:val="24"/>
          <w:highlight w:val="none"/>
        </w:rPr>
        <w:t xml:space="preserve">3.6.2 </w:t>
      </w:r>
      <w:r>
        <w:rPr>
          <w:rFonts w:hint="eastAsia" w:ascii="宋体" w:hAnsi="宋体"/>
          <w:color w:val="auto"/>
          <w:sz w:val="24"/>
          <w:highlight w:val="none"/>
        </w:rPr>
        <w:t>评标委员会按照评审得分由高到低的顺序提出</w:t>
      </w:r>
      <w:r>
        <w:rPr>
          <w:rFonts w:ascii="宋体" w:hAnsi="宋体"/>
          <w:color w:val="auto"/>
          <w:sz w:val="24"/>
          <w:highlight w:val="none"/>
        </w:rPr>
        <w:t>3</w:t>
      </w:r>
      <w:r>
        <w:rPr>
          <w:rFonts w:hint="eastAsia" w:ascii="宋体" w:hAnsi="宋体"/>
          <w:color w:val="auto"/>
          <w:sz w:val="24"/>
          <w:highlight w:val="none"/>
        </w:rPr>
        <w:t>名中标候选人，并编写书面评标报告。</w:t>
      </w:r>
    </w:p>
    <w:p>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3.6.3 </w:t>
      </w:r>
      <w:r>
        <w:rPr>
          <w:rFonts w:hint="eastAsia" w:ascii="宋体" w:hAnsi="宋体"/>
          <w:color w:val="auto"/>
          <w:sz w:val="24"/>
          <w:highlight w:val="none"/>
        </w:rPr>
        <w:t>确定中标人：按第三章“投标人须知前附表”8</w:t>
      </w:r>
      <w:r>
        <w:rPr>
          <w:rFonts w:ascii="宋体" w:hAnsi="宋体"/>
          <w:color w:val="auto"/>
          <w:sz w:val="24"/>
          <w:highlight w:val="none"/>
        </w:rPr>
        <w:t>.1</w:t>
      </w:r>
      <w:r>
        <w:rPr>
          <w:rFonts w:hint="eastAsia" w:ascii="宋体" w:hAnsi="宋体"/>
          <w:color w:val="auto"/>
          <w:sz w:val="24"/>
          <w:highlight w:val="none"/>
        </w:rPr>
        <w:t>款规定及本章第</w:t>
      </w:r>
      <w:r>
        <w:rPr>
          <w:rFonts w:ascii="宋体" w:hAnsi="宋体"/>
          <w:color w:val="auto"/>
          <w:sz w:val="24"/>
          <w:highlight w:val="none"/>
        </w:rPr>
        <w:t>1</w:t>
      </w:r>
      <w:r>
        <w:rPr>
          <w:rFonts w:hint="eastAsia" w:ascii="宋体" w:hAnsi="宋体"/>
          <w:color w:val="auto"/>
          <w:sz w:val="24"/>
          <w:highlight w:val="none"/>
        </w:rPr>
        <w:t>条规定。</w:t>
      </w:r>
    </w:p>
    <w:p>
      <w:pPr>
        <w:autoSpaceDE w:val="0"/>
        <w:autoSpaceDN w:val="0"/>
        <w:adjustRightInd w:val="0"/>
        <w:snapToGrid w:val="0"/>
        <w:spacing w:before="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3.7 </w:t>
      </w:r>
      <w:r>
        <w:rPr>
          <w:rFonts w:hint="eastAsia" w:ascii="黑体" w:hAnsi="黑体" w:eastAsia="黑体"/>
          <w:b/>
          <w:color w:val="auto"/>
          <w:sz w:val="24"/>
          <w:highlight w:val="none"/>
        </w:rPr>
        <w:t>废标</w:t>
      </w:r>
    </w:p>
    <w:p>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3.7.1 </w:t>
      </w:r>
      <w:r>
        <w:rPr>
          <w:rFonts w:hint="eastAsia" w:ascii="宋体" w:hAnsi="宋体"/>
          <w:color w:val="auto"/>
          <w:sz w:val="24"/>
          <w:highlight w:val="none"/>
        </w:rPr>
        <w:t>出现下列情形之一的，应予废标：</w:t>
      </w:r>
    </w:p>
    <w:p>
      <w:pPr>
        <w:autoSpaceDE w:val="0"/>
        <w:autoSpaceDN w:val="0"/>
        <w:adjustRightInd w:val="0"/>
        <w:snapToGrid w:val="0"/>
        <w:spacing w:before="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）符合专业条件的供应商或者对招标文件作实质响应的供应商不足三家的；</w:t>
      </w:r>
      <w:r>
        <w:rPr>
          <w:rFonts w:ascii="宋体" w:hAnsi="宋体"/>
          <w:color w:val="auto"/>
          <w:sz w:val="24"/>
          <w:highlight w:val="none"/>
        </w:rPr>
        <w:t xml:space="preserve"> </w:t>
      </w:r>
    </w:p>
    <w:p>
      <w:pPr>
        <w:autoSpaceDE w:val="0"/>
        <w:autoSpaceDN w:val="0"/>
        <w:adjustRightInd w:val="0"/>
        <w:snapToGrid w:val="0"/>
        <w:spacing w:before="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）出现影响采购公正的违法、违规行为的；</w:t>
      </w:r>
      <w:r>
        <w:rPr>
          <w:rFonts w:ascii="宋体" w:hAnsi="宋体"/>
          <w:color w:val="auto"/>
          <w:sz w:val="24"/>
          <w:highlight w:val="none"/>
        </w:rPr>
        <w:t xml:space="preserve"> </w:t>
      </w:r>
    </w:p>
    <w:p>
      <w:pPr>
        <w:autoSpaceDE w:val="0"/>
        <w:autoSpaceDN w:val="0"/>
        <w:adjustRightInd w:val="0"/>
        <w:snapToGrid w:val="0"/>
        <w:spacing w:before="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）未超过预算金额的供应商不足</w:t>
      </w:r>
      <w:r>
        <w:rPr>
          <w:rFonts w:ascii="宋体" w:hAnsi="宋体"/>
          <w:color w:val="auto"/>
          <w:sz w:val="24"/>
          <w:highlight w:val="none"/>
        </w:rPr>
        <w:t>3</w:t>
      </w:r>
      <w:r>
        <w:rPr>
          <w:rFonts w:hint="eastAsia" w:ascii="宋体" w:hAnsi="宋体"/>
          <w:color w:val="auto"/>
          <w:sz w:val="24"/>
          <w:highlight w:val="none"/>
        </w:rPr>
        <w:t>家的；</w:t>
      </w:r>
      <w:r>
        <w:rPr>
          <w:rFonts w:ascii="宋体" w:hAnsi="宋体"/>
          <w:color w:val="auto"/>
          <w:sz w:val="24"/>
          <w:highlight w:val="none"/>
        </w:rPr>
        <w:t xml:space="preserve"> </w:t>
      </w:r>
    </w:p>
    <w:p>
      <w:pPr>
        <w:autoSpaceDE w:val="0"/>
        <w:autoSpaceDN w:val="0"/>
        <w:adjustRightInd w:val="0"/>
        <w:snapToGrid w:val="0"/>
        <w:spacing w:before="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）因重大变故，采购任务取消的。</w:t>
      </w:r>
      <w:r>
        <w:rPr>
          <w:rFonts w:ascii="宋体" w:hAnsi="宋体"/>
          <w:color w:val="auto"/>
          <w:sz w:val="24"/>
          <w:highlight w:val="none"/>
        </w:rPr>
        <w:t xml:space="preserve"> </w:t>
      </w:r>
    </w:p>
    <w:p>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3.7.2 </w:t>
      </w:r>
      <w:r>
        <w:rPr>
          <w:rFonts w:hint="eastAsia" w:ascii="宋体" w:hAnsi="宋体"/>
          <w:color w:val="auto"/>
          <w:sz w:val="24"/>
          <w:highlight w:val="none"/>
        </w:rPr>
        <w:t>评标委员会要在废标时，出具招标文件是否存在不合理条款的论证意见，要协助采购人、采购代理机构、财政部门答复质疑或处理投诉事项。　</w:t>
      </w:r>
    </w:p>
    <w:p>
      <w:pPr>
        <w:autoSpaceDE w:val="0"/>
        <w:autoSpaceDN w:val="0"/>
        <w:adjustRightInd w:val="0"/>
        <w:snapToGrid w:val="0"/>
        <w:spacing w:before="50" w:line="300" w:lineRule="auto"/>
        <w:ind w:firstLine="566" w:firstLineChars="236"/>
        <w:jc w:val="left"/>
        <w:rPr>
          <w:rFonts w:ascii="宋体"/>
          <w:color w:val="auto"/>
          <w:sz w:val="24"/>
          <w:highlight w:val="none"/>
        </w:rPr>
      </w:pPr>
    </w:p>
    <w:p>
      <w:pPr>
        <w:widowControl w:val="0"/>
        <w:adjustRightInd w:val="0"/>
        <w:snapToGrid w:val="0"/>
        <w:spacing w:before="156" w:beforeLines="50" w:line="300" w:lineRule="auto"/>
        <w:ind w:left="23" w:firstLine="556"/>
        <w:jc w:val="left"/>
        <w:outlineLvl w:val="1"/>
        <w:rPr>
          <w:rFonts w:ascii="黑体" w:hAnsi="黑体" w:eastAsia="黑体" w:cs="楷体_GB2312"/>
          <w:b/>
          <w:bCs/>
          <w:color w:val="auto"/>
          <w:sz w:val="28"/>
          <w:szCs w:val="28"/>
          <w:highlight w:val="none"/>
          <w:lang w:val="zh-CN"/>
        </w:rPr>
      </w:pPr>
      <w:bookmarkStart w:id="66" w:name="_Toc165383946"/>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政府采购促进中小企业发展扶持政策</w:t>
      </w:r>
      <w:bookmarkEnd w:id="66"/>
    </w:p>
    <w:p>
      <w:pPr>
        <w:autoSpaceDE w:val="0"/>
        <w:autoSpaceDN w:val="0"/>
        <w:adjustRightInd w:val="0"/>
        <w:snapToGrid w:val="0"/>
        <w:spacing w:before="156" w:beforeLines="50" w:line="300" w:lineRule="auto"/>
        <w:ind w:firstLine="566" w:firstLineChars="236"/>
        <w:jc w:val="left"/>
        <w:rPr>
          <w:rFonts w:hint="eastAsia" w:ascii="宋体" w:hAnsi="宋体" w:eastAsia="宋体"/>
          <w:color w:val="auto"/>
          <w:sz w:val="24"/>
          <w:highlight w:val="none"/>
          <w:lang w:eastAsia="zh-CN"/>
        </w:rPr>
      </w:pPr>
      <w:r>
        <w:rPr>
          <w:rFonts w:hint="eastAsia" w:ascii="宋体" w:hAnsi="宋体"/>
          <w:color w:val="auto"/>
          <w:sz w:val="24"/>
          <w:highlight w:val="none"/>
        </w:rPr>
        <w:t>4.1</w:t>
      </w:r>
      <w:r>
        <w:rPr>
          <w:rFonts w:ascii="宋体" w:hAnsi="宋体"/>
          <w:color w:val="auto"/>
          <w:sz w:val="24"/>
          <w:highlight w:val="none"/>
        </w:rPr>
        <w:t>在政府采购活动中，供应商提供的货物、工程或者服务符合下列情形的， 享受</w:t>
      </w:r>
      <w:r>
        <w:rPr>
          <w:rFonts w:hint="eastAsia" w:ascii="宋体" w:hAnsi="宋体"/>
          <w:color w:val="auto"/>
          <w:sz w:val="24"/>
          <w:highlight w:val="none"/>
        </w:rPr>
        <w:t>《政府采购促进中小企业发展管理办法》</w:t>
      </w:r>
      <w:r>
        <w:rPr>
          <w:rFonts w:ascii="宋体" w:hAnsi="宋体"/>
          <w:color w:val="auto"/>
          <w:sz w:val="24"/>
          <w:highlight w:val="none"/>
        </w:rPr>
        <w:t>规定的中小企业扶持政策：</w:t>
      </w:r>
    </w:p>
    <w:p>
      <w:pPr>
        <w:autoSpaceDE w:val="0"/>
        <w:autoSpaceDN w:val="0"/>
        <w:adjustRightInd w:val="0"/>
        <w:snapToGrid w:val="0"/>
        <w:spacing w:before="156" w:beforeLines="50" w:line="300" w:lineRule="auto"/>
        <w:ind w:firstLine="566" w:firstLineChars="236"/>
        <w:jc w:val="left"/>
        <w:rPr>
          <w:rFonts w:hint="eastAsia" w:ascii="宋体" w:hAnsi="宋体" w:eastAsia="宋体"/>
          <w:color w:val="auto"/>
          <w:sz w:val="24"/>
          <w:highlight w:val="none"/>
          <w:lang w:eastAsia="zh-CN"/>
        </w:rPr>
      </w:pPr>
      <w:r>
        <w:rPr>
          <w:rFonts w:hint="eastAsia" w:ascii="宋体" w:hAnsi="宋体"/>
          <w:color w:val="auto"/>
          <w:sz w:val="24"/>
          <w:highlight w:val="none"/>
        </w:rPr>
        <w:t xml:space="preserve">   </w:t>
      </w:r>
      <w:r>
        <w:rPr>
          <w:rFonts w:ascii="宋体" w:hAnsi="宋体"/>
          <w:color w:val="auto"/>
          <w:sz w:val="24"/>
          <w:highlight w:val="none"/>
        </w:rPr>
        <w:t>（一） 在货物采购项目中，货物由中小企业制造，即货物由中小企业生产且使用该中小企业商号或者注册商标；</w:t>
      </w:r>
    </w:p>
    <w:p>
      <w:pPr>
        <w:autoSpaceDE w:val="0"/>
        <w:autoSpaceDN w:val="0"/>
        <w:adjustRightInd w:val="0"/>
        <w:snapToGrid w:val="0"/>
        <w:spacing w:before="156" w:beforeLines="50" w:line="300" w:lineRule="auto"/>
        <w:ind w:firstLine="566" w:firstLineChars="236"/>
        <w:jc w:val="left"/>
        <w:rPr>
          <w:rFonts w:hint="eastAsia" w:ascii="宋体" w:hAnsi="宋体" w:eastAsia="宋体"/>
          <w:color w:val="auto"/>
          <w:sz w:val="24"/>
          <w:highlight w:val="none"/>
          <w:lang w:eastAsia="zh-CN"/>
        </w:rPr>
      </w:pPr>
      <w:r>
        <w:rPr>
          <w:rFonts w:hint="eastAsia" w:ascii="宋体" w:hAnsi="宋体"/>
          <w:color w:val="auto"/>
          <w:sz w:val="24"/>
          <w:highlight w:val="none"/>
        </w:rPr>
        <w:t xml:space="preserve">   </w:t>
      </w:r>
      <w:r>
        <w:rPr>
          <w:rFonts w:ascii="宋体" w:hAnsi="宋体"/>
          <w:color w:val="auto"/>
          <w:sz w:val="24"/>
          <w:highlight w:val="none"/>
        </w:rPr>
        <w:t>（二） 在工程采购项目中，工程由中小企业承建，即工程施工单位为中小企业；</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（三）在服务采购项目中，服务由中小企业承接，即提供服务的人员为中小企业依照《中华人民共和国劳动合同法》订立劳动合同的从业人员</w:t>
      </w:r>
      <w:r>
        <w:rPr>
          <w:rFonts w:hint="eastAsia" w:ascii="宋体" w:hAnsi="宋体"/>
          <w:color w:val="auto"/>
          <w:sz w:val="24"/>
          <w:highlight w:val="none"/>
        </w:rPr>
        <w:t>。</w:t>
      </w:r>
    </w:p>
    <w:p>
      <w:pPr>
        <w:autoSpaceDE w:val="0"/>
        <w:autoSpaceDN w:val="0"/>
        <w:adjustRightInd w:val="0"/>
        <w:snapToGrid w:val="0"/>
        <w:spacing w:before="156" w:beforeLines="50" w:line="300" w:lineRule="auto"/>
        <w:ind w:firstLine="566" w:firstLineChars="236"/>
        <w:jc w:val="left"/>
        <w:rPr>
          <w:rFonts w:hint="eastAsia" w:ascii="宋体" w:hAnsi="宋体" w:eastAsia="宋体"/>
          <w:color w:val="auto"/>
          <w:sz w:val="24"/>
          <w:highlight w:val="none"/>
          <w:lang w:eastAsia="zh-CN"/>
        </w:rPr>
      </w:pPr>
      <w:r>
        <w:rPr>
          <w:rFonts w:ascii="宋体" w:hAnsi="宋体"/>
          <w:color w:val="auto"/>
          <w:sz w:val="24"/>
          <w:highlight w:val="none"/>
        </w:rPr>
        <w:t>在货物采购项目中，供应商提供的货物既有中小企业制造货物，也有大型企业制造货物的，不享受中小企业扶持政策。</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4.2 符合中小企业划分标准的个体工商户，在政府采购活动中视同中小企业。</w:t>
      </w:r>
    </w:p>
    <w:p>
      <w:pPr>
        <w:adjustRightInd w:val="0"/>
        <w:snapToGrid w:val="0"/>
        <w:spacing w:before="156" w:beforeLines="50" w:line="300" w:lineRule="auto"/>
        <w:ind w:firstLine="55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3监狱企业、符合法</w:t>
      </w:r>
      <w:r>
        <w:rPr>
          <w:rFonts w:ascii="宋体" w:hAnsi="宋体"/>
          <w:color w:val="auto"/>
          <w:sz w:val="24"/>
          <w:highlight w:val="none"/>
        </w:rPr>
        <w:t>定</w:t>
      </w:r>
      <w:r>
        <w:rPr>
          <w:rFonts w:hint="eastAsia" w:ascii="宋体" w:hAnsi="宋体"/>
          <w:color w:val="auto"/>
          <w:sz w:val="24"/>
          <w:highlight w:val="none"/>
        </w:rPr>
        <w:t>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pPr>
        <w:adjustRightInd w:val="0"/>
        <w:snapToGrid w:val="0"/>
        <w:spacing w:before="156" w:beforeLines="50" w:line="300" w:lineRule="auto"/>
        <w:ind w:firstLine="55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3</w:t>
      </w:r>
      <w:r>
        <w:rPr>
          <w:rFonts w:ascii="宋体" w:hAnsi="宋体"/>
          <w:color w:val="auto"/>
          <w:sz w:val="24"/>
          <w:highlight w:val="none"/>
        </w:rPr>
        <w:t>.1</w:t>
      </w:r>
      <w:r>
        <w:rPr>
          <w:rFonts w:hint="eastAsia" w:ascii="宋体" w:hAnsi="宋体"/>
          <w:color w:val="auto"/>
          <w:sz w:val="24"/>
          <w:highlight w:val="none"/>
        </w:rPr>
        <w:t xml:space="preserve"> 享受政府采购支持政策的残疾人福利性单位应当同时满足以下条件：</w:t>
      </w:r>
    </w:p>
    <w:p>
      <w:pPr>
        <w:adjustRightInd w:val="0"/>
        <w:snapToGrid w:val="0"/>
        <w:spacing w:before="156" w:beforeLines="50" w:line="300" w:lineRule="auto"/>
        <w:ind w:firstLine="555"/>
        <w:rPr>
          <w:rFonts w:ascii="宋体" w:hAnsi="宋体"/>
          <w:color w:val="auto"/>
          <w:sz w:val="24"/>
          <w:highlight w:val="none"/>
        </w:rPr>
      </w:pPr>
      <w:r>
        <w:rPr>
          <w:rFonts w:hint="eastAsia" w:ascii="宋体" w:hAnsi="宋体"/>
          <w:color w:val="auto"/>
          <w:sz w:val="24"/>
          <w:highlight w:val="none"/>
        </w:rPr>
        <w:t>（1）安置的残疾人占本单位在职职工人数的比例不低于25%（含25%），并且安置的残疾人人数不少于10人（含10人）；</w:t>
      </w:r>
    </w:p>
    <w:p>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（2）依法与安置的每位残疾人签订了一年以上（含一年）的劳动合同或服务协议；</w:t>
      </w:r>
    </w:p>
    <w:p>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（3）为安置的每位残疾人按月足额缴纳了基本养老保险、基本医疗保险、失业保险、工伤保险和生育保险等社会保险费；</w:t>
      </w:r>
    </w:p>
    <w:p>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（4）通过银行等金融机构向安置的每位残疾人，按月支付了不低于单位所在区县适用的经省级人民政府批准的月最低工资标准的工资；</w:t>
      </w:r>
    </w:p>
    <w:p>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（5）提供本单位制造的货物、承担的工程或者服务（以下简称产品），或者提供其他残疾人福利性单位制造的货物（不包括使用非残疾人福利性单位注册商标的货物）。</w:t>
      </w:r>
    </w:p>
    <w:p>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4.4 参加本次政府招标项目的小微企业应按附件格式提供《小微企业声明函》。如招标文件接受以联合体形式参加投标的，联合体各方均应按附件格式提供《小微企业声明函》。</w:t>
      </w:r>
    </w:p>
    <w:p>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供应商按照财库〔2020〕46号规定及招标文件要求提供声明函内容不实的，属于提供虚假材料谋取中标、成交，依照《中华人民共和国政府采购法》等国家有关规定追究相应责任。</w:t>
      </w:r>
    </w:p>
    <w:p>
      <w:pPr>
        <w:adjustRightInd w:val="0"/>
        <w:snapToGrid w:val="0"/>
        <w:spacing w:before="156" w:beforeLines="50" w:line="300" w:lineRule="auto"/>
        <w:ind w:firstLine="55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5本次政府招标项目专门面向小微企业，专门面向小微企业的采购项目无价格扣除。</w:t>
      </w:r>
    </w:p>
    <w:p>
      <w:pPr>
        <w:adjustRightInd w:val="0"/>
        <w:snapToGrid w:val="0"/>
        <w:spacing w:before="156" w:beforeLines="50" w:line="300" w:lineRule="auto"/>
        <w:ind w:firstLine="555"/>
        <w:rPr>
          <w:rFonts w:ascii="宋体" w:hAnsi="宋体"/>
          <w:color w:val="auto"/>
          <w:sz w:val="24"/>
          <w:highlight w:val="none"/>
        </w:rPr>
      </w:pPr>
      <w:r>
        <w:rPr>
          <w:rFonts w:hint="eastAsia" w:ascii="宋体" w:hAnsi="宋体"/>
          <w:color w:val="auto"/>
          <w:sz w:val="24"/>
          <w:highlight w:val="none"/>
        </w:rPr>
        <w:t>4.6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pPr>
        <w:adjustRightInd w:val="0"/>
        <w:snapToGrid w:val="0"/>
        <w:spacing w:before="156" w:beforeLines="50" w:line="300" w:lineRule="auto"/>
        <w:ind w:firstLine="555"/>
        <w:rPr>
          <w:rFonts w:ascii="宋体" w:hAnsi="宋体"/>
          <w:color w:val="auto"/>
          <w:sz w:val="24"/>
          <w:highlight w:val="none"/>
        </w:rPr>
      </w:pPr>
      <w:r>
        <w:rPr>
          <w:rFonts w:hint="eastAsia" w:ascii="宋体" w:hAnsi="宋体"/>
          <w:color w:val="auto"/>
          <w:sz w:val="24"/>
          <w:highlight w:val="none"/>
        </w:rPr>
        <w:t>4.7中标、成交供应商享受中小企业扶持政策的，中标、成交供应商的《小微企业声明函》将随中标、成交结果公开。</w:t>
      </w:r>
    </w:p>
    <w:p>
      <w:pPr>
        <w:adjustRightInd w:val="0"/>
        <w:snapToGrid w:val="0"/>
        <w:spacing w:before="156" w:beforeLines="50" w:line="300" w:lineRule="auto"/>
        <w:ind w:firstLine="555"/>
        <w:rPr>
          <w:rFonts w:ascii="宋体" w:hAnsi="宋体"/>
          <w:color w:val="auto"/>
          <w:sz w:val="24"/>
          <w:highlight w:val="none"/>
        </w:rPr>
      </w:pPr>
      <w:r>
        <w:rPr>
          <w:rFonts w:hint="eastAsia" w:ascii="宋体" w:hAnsi="宋体"/>
          <w:color w:val="auto"/>
          <w:sz w:val="24"/>
          <w:highlight w:val="none"/>
        </w:rPr>
        <w:t>4.8依法享受扶持政策获得政府采购合同的，小微企业不得将合同分包给大中型企业，中型企业不得将合同分包给大型企业。</w:t>
      </w:r>
    </w:p>
    <w:p>
      <w:pPr>
        <w:adjustRightInd w:val="0"/>
        <w:snapToGrid w:val="0"/>
        <w:spacing w:before="156" w:beforeLines="50" w:line="300" w:lineRule="auto"/>
        <w:ind w:firstLine="555"/>
        <w:rPr>
          <w:rFonts w:ascii="宋体" w:hAnsi="宋体"/>
          <w:color w:val="auto"/>
          <w:sz w:val="24"/>
          <w:highlight w:val="none"/>
        </w:rPr>
      </w:pPr>
      <w:r>
        <w:rPr>
          <w:rFonts w:hint="eastAsia" w:ascii="宋体" w:hAnsi="宋体"/>
          <w:color w:val="auto"/>
          <w:sz w:val="24"/>
          <w:highlight w:val="none"/>
        </w:rPr>
        <w:t>4.9政府采购监督检查、投诉处理及政府采购行政处罚中对中小企业的认定，由货物制造商或者工程、服务供应商注册登记所在地的县级以上人民政府中小企业主管部门负责。</w:t>
      </w:r>
      <w:r>
        <w:rPr>
          <w:rFonts w:ascii="宋体" w:hAnsi="宋体"/>
          <w:color w:val="auto"/>
          <w:sz w:val="24"/>
          <w:highlight w:val="none"/>
        </w:rPr>
        <w:br w:type="page"/>
      </w:r>
    </w:p>
    <w:p>
      <w:pPr>
        <w:widowControl w:val="0"/>
        <w:snapToGrid w:val="0"/>
        <w:spacing w:line="657" w:lineRule="atLeast"/>
        <w:outlineLvl w:val="0"/>
        <w:rPr>
          <w:rFonts w:ascii="黑体" w:eastAsia="黑体"/>
          <w:b/>
          <w:color w:val="auto"/>
          <w:spacing w:val="20"/>
          <w:sz w:val="36"/>
          <w:szCs w:val="36"/>
          <w:highlight w:val="none"/>
        </w:rPr>
      </w:pPr>
    </w:p>
    <w:p>
      <w:pPr>
        <w:widowControl w:val="0"/>
        <w:snapToGrid w:val="0"/>
        <w:spacing w:line="657" w:lineRule="atLeast"/>
        <w:jc w:val="center"/>
        <w:outlineLvl w:val="0"/>
        <w:rPr>
          <w:rFonts w:ascii="黑体" w:eastAsia="黑体"/>
          <w:b/>
          <w:color w:val="auto"/>
          <w:sz w:val="36"/>
          <w:szCs w:val="36"/>
          <w:highlight w:val="none"/>
        </w:rPr>
      </w:pPr>
      <w:r>
        <w:rPr>
          <w:rFonts w:ascii="黑体" w:eastAsia="黑体"/>
          <w:b/>
          <w:color w:val="auto"/>
          <w:spacing w:val="20"/>
          <w:sz w:val="36"/>
          <w:szCs w:val="36"/>
          <w:highlight w:val="none"/>
        </w:rPr>
        <w:t xml:space="preserve"> </w:t>
      </w:r>
      <w:bookmarkStart w:id="67" w:name="_Toc165383947"/>
      <w:r>
        <w:rPr>
          <w:rFonts w:hint="eastAsia" w:ascii="黑体" w:eastAsia="黑体"/>
          <w:b/>
          <w:color w:val="auto"/>
          <w:sz w:val="36"/>
          <w:szCs w:val="36"/>
          <w:highlight w:val="none"/>
        </w:rPr>
        <w:t>第五章</w:t>
      </w:r>
      <w:r>
        <w:rPr>
          <w:rFonts w:ascii="黑体" w:eastAsia="黑体"/>
          <w:b/>
          <w:color w:val="auto"/>
          <w:sz w:val="36"/>
          <w:szCs w:val="36"/>
          <w:highlight w:val="none"/>
        </w:rPr>
        <w:t xml:space="preserve">  </w:t>
      </w:r>
      <w:r>
        <w:rPr>
          <w:rFonts w:hint="eastAsia" w:ascii="黑体" w:eastAsia="黑体"/>
          <w:b/>
          <w:color w:val="auto"/>
          <w:sz w:val="36"/>
          <w:szCs w:val="36"/>
          <w:highlight w:val="none"/>
        </w:rPr>
        <w:t>合同主要条款</w:t>
      </w:r>
      <w:bookmarkEnd w:id="67"/>
    </w:p>
    <w:p>
      <w:pPr>
        <w:pStyle w:val="6"/>
        <w:spacing w:after="0"/>
        <w:ind w:left="5250"/>
        <w:jc w:val="center"/>
        <w:rPr>
          <w:rFonts w:ascii="宋体" w:hAnsi="宋体" w:cs="宋体"/>
          <w:b/>
          <w:bCs/>
          <w:color w:val="auto"/>
          <w:spacing w:val="-20"/>
          <w:kern w:val="44"/>
          <w:sz w:val="48"/>
          <w:szCs w:val="48"/>
          <w:highlight w:val="none"/>
        </w:rPr>
      </w:pPr>
    </w:p>
    <w:p>
      <w:pPr>
        <w:pStyle w:val="6"/>
        <w:spacing w:after="0"/>
        <w:ind w:left="5250"/>
        <w:jc w:val="center"/>
        <w:rPr>
          <w:rFonts w:ascii="宋体" w:hAnsi="宋体" w:cs="宋体"/>
          <w:b/>
          <w:bCs/>
          <w:color w:val="auto"/>
          <w:spacing w:val="-20"/>
          <w:kern w:val="44"/>
          <w:sz w:val="48"/>
          <w:szCs w:val="48"/>
          <w:highlight w:val="none"/>
        </w:rPr>
      </w:pPr>
    </w:p>
    <w:p>
      <w:pPr>
        <w:pStyle w:val="6"/>
        <w:spacing w:after="0"/>
        <w:ind w:left="5250"/>
        <w:jc w:val="center"/>
        <w:rPr>
          <w:rFonts w:ascii="宋体" w:hAnsi="宋体" w:cs="宋体"/>
          <w:b/>
          <w:bCs/>
          <w:color w:val="auto"/>
          <w:spacing w:val="-20"/>
          <w:kern w:val="44"/>
          <w:sz w:val="48"/>
          <w:szCs w:val="48"/>
          <w:highlight w:val="none"/>
        </w:rPr>
      </w:pPr>
    </w:p>
    <w:p>
      <w:pPr>
        <w:pStyle w:val="6"/>
        <w:spacing w:after="0"/>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pPr>
        <w:pStyle w:val="6"/>
        <w:spacing w:after="0"/>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（试行）</w:t>
      </w:r>
    </w:p>
    <w:p>
      <w:pPr>
        <w:rPr>
          <w:rFonts w:ascii="宋体" w:hAnsi="宋体" w:cs="宋体"/>
          <w:b/>
          <w:bCs/>
          <w:color w:val="auto"/>
          <w:spacing w:val="-20"/>
          <w:kern w:val="44"/>
          <w:sz w:val="40"/>
          <w:szCs w:val="40"/>
          <w:highlight w:val="none"/>
        </w:rPr>
      </w:pPr>
    </w:p>
    <w:p>
      <w:pPr>
        <w:rPr>
          <w:rFonts w:ascii="宋体" w:hAnsi="宋体" w:cs="宋体"/>
          <w:b/>
          <w:bCs/>
          <w:color w:val="auto"/>
          <w:spacing w:val="-20"/>
          <w:kern w:val="44"/>
          <w:sz w:val="40"/>
          <w:szCs w:val="40"/>
          <w:highlight w:val="none"/>
        </w:rPr>
      </w:pPr>
    </w:p>
    <w:p>
      <w:pPr>
        <w:rPr>
          <w:rFonts w:ascii="宋体" w:hAnsi="宋体" w:cs="宋体"/>
          <w:b/>
          <w:bCs/>
          <w:color w:val="auto"/>
          <w:spacing w:val="-20"/>
          <w:kern w:val="44"/>
          <w:sz w:val="40"/>
          <w:szCs w:val="40"/>
          <w:highlight w:val="none"/>
        </w:rPr>
      </w:pPr>
    </w:p>
    <w:p>
      <w:pPr>
        <w:spacing w:line="360" w:lineRule="auto"/>
        <w:ind w:left="420" w:leftChars="200"/>
        <w:rPr>
          <w:color w:val="auto"/>
          <w:sz w:val="32"/>
          <w:szCs w:val="32"/>
          <w:highlight w:val="none"/>
        </w:rPr>
      </w:pPr>
      <w:r>
        <w:rPr>
          <w:rFonts w:hint="eastAsia" w:ascii="宋体" w:hAnsi="宋体" w:cs="宋体"/>
          <w:color w:val="auto"/>
          <w:sz w:val="32"/>
          <w:szCs w:val="32"/>
          <w:highlight w:val="none"/>
        </w:rPr>
        <w:t>项目名称：</w:t>
      </w:r>
      <w:r>
        <w:rPr>
          <w:rFonts w:hint="eastAsia"/>
          <w:color w:val="auto"/>
          <w:sz w:val="32"/>
          <w:szCs w:val="32"/>
          <w:highlight w:val="none"/>
          <w:u w:val="single"/>
        </w:rPr>
        <w:t xml:space="preserve">                             </w:t>
      </w:r>
    </w:p>
    <w:p>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pPr>
        <w:rPr>
          <w:color w:val="auto"/>
          <w:highlight w:val="none"/>
        </w:rPr>
      </w:pPr>
    </w:p>
    <w:p>
      <w:pPr>
        <w:rPr>
          <w:rFonts w:eastAsia="黑体"/>
          <w:color w:val="auto"/>
          <w:sz w:val="44"/>
          <w:szCs w:val="44"/>
          <w:highlight w:val="none"/>
        </w:rPr>
      </w:pPr>
      <w:r>
        <w:rPr>
          <w:rFonts w:eastAsia="黑体"/>
          <w:color w:val="auto"/>
          <w:sz w:val="44"/>
          <w:szCs w:val="44"/>
          <w:highlight w:val="none"/>
        </w:rPr>
        <w:br w:type="page"/>
      </w:r>
    </w:p>
    <w:p>
      <w:pPr>
        <w:rPr>
          <w:rFonts w:eastAsia="黑体"/>
          <w:color w:val="auto"/>
          <w:sz w:val="44"/>
          <w:szCs w:val="44"/>
          <w:highlight w:val="none"/>
        </w:rPr>
      </w:pPr>
    </w:p>
    <w:p>
      <w:pPr>
        <w:rPr>
          <w:rFonts w:eastAsia="黑体"/>
          <w:color w:val="auto"/>
          <w:sz w:val="44"/>
          <w:szCs w:val="44"/>
          <w:highlight w:val="none"/>
        </w:rPr>
      </w:pPr>
    </w:p>
    <w:p>
      <w:pPr>
        <w:jc w:val="center"/>
        <w:rPr>
          <w:rFonts w:eastAsia="黑体"/>
          <w:color w:val="auto"/>
          <w:sz w:val="44"/>
          <w:szCs w:val="44"/>
          <w:highlight w:val="none"/>
        </w:rPr>
      </w:pPr>
      <w:r>
        <w:rPr>
          <w:rFonts w:hint="eastAsia" w:eastAsia="黑体"/>
          <w:color w:val="auto"/>
          <w:sz w:val="44"/>
          <w:szCs w:val="44"/>
          <w:highlight w:val="none"/>
        </w:rPr>
        <w:t>使 用 说 明</w:t>
      </w:r>
    </w:p>
    <w:p>
      <w:pPr>
        <w:ind w:firstLine="640" w:firstLineChars="200"/>
        <w:rPr>
          <w:rFonts w:ascii="仿宋_GB2312" w:hAnsi="仿宋_GB2312" w:eastAsia="仿宋_GB2312" w:cs="仿宋_GB2312"/>
          <w:color w:val="auto"/>
          <w:sz w:val="32"/>
          <w:szCs w:val="32"/>
          <w:highlight w:val="none"/>
        </w:rPr>
      </w:pP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1.本合同标准文本适用于购买现成货物的采购项目，不包括需要供应商定制开发、创新研发的货物采购项目。</w:t>
      </w:r>
    </w:p>
    <w:p>
      <w:pPr>
        <w:rPr>
          <w:rFonts w:eastAsia="黑体"/>
          <w:color w:val="auto"/>
          <w:sz w:val="44"/>
          <w:szCs w:val="44"/>
          <w:highlight w:val="none"/>
        </w:rPr>
      </w:pPr>
      <w:r>
        <w:rPr>
          <w:rFonts w:hint="eastAsia" w:eastAsia="黑体"/>
          <w:color w:val="auto"/>
          <w:sz w:val="44"/>
          <w:szCs w:val="44"/>
          <w:highlight w:val="none"/>
        </w:rPr>
        <w:t xml:space="preserve">   </w:t>
      </w:r>
      <w:r>
        <w:rPr>
          <w:rFonts w:hint="eastAsia" w:ascii="仿宋_GB2312" w:hAnsi="仿宋_GB2312" w:eastAsia="仿宋_GB2312" w:cs="仿宋_GB2312"/>
          <w:color w:val="auto"/>
          <w:sz w:val="32"/>
          <w:szCs w:val="32"/>
          <w:highlight w:val="none"/>
        </w:rPr>
        <w:t>2.本合同标准文本为政府采购货物买卖合同编制提供参考，可以结合采购项目具体情况，对文本作必要的调整修订后使用。</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3.本合同标准文本各条款中，如涉及填写多家供应商、制造商，多种采购标的、分包主要内容等信息的，可根据采购项目具体情况添加信息项。</w:t>
      </w:r>
    </w:p>
    <w:p>
      <w:pPr>
        <w:ind w:firstLine="560" w:firstLineChars="200"/>
        <w:rPr>
          <w:rFonts w:ascii="仿宋_GB2312" w:hAnsi="仿宋_GB2312" w:eastAsia="仿宋_GB2312" w:cs="仿宋_GB2312"/>
          <w:color w:val="auto"/>
          <w:sz w:val="28"/>
          <w:szCs w:val="28"/>
          <w:highlight w:val="none"/>
        </w:rPr>
        <w:sectPr>
          <w:pgSz w:w="11906" w:h="16838"/>
          <w:pgMar w:top="1440" w:right="1558" w:bottom="1440" w:left="1560" w:header="851" w:footer="992" w:gutter="0"/>
          <w:cols w:space="425" w:num="1"/>
          <w:docGrid w:type="lines" w:linePitch="312" w:charSpace="0"/>
        </w:sectPr>
      </w:pPr>
      <w:r>
        <w:rPr>
          <w:rFonts w:hint="eastAsia" w:ascii="仿宋_GB2312" w:hAnsi="仿宋_GB2312" w:eastAsia="仿宋_GB2312" w:cs="仿宋_GB2312"/>
          <w:color w:val="auto"/>
          <w:sz w:val="28"/>
          <w:szCs w:val="28"/>
          <w:highlight w:val="none"/>
        </w:rPr>
        <w:t>据中标文件、采购文件填列修订。</w:t>
      </w:r>
    </w:p>
    <w:p>
      <w:pPr>
        <w:pStyle w:val="3"/>
        <w:adjustRightInd w:val="0"/>
        <w:snapToGrid w:val="0"/>
        <w:spacing w:line="400" w:lineRule="exact"/>
        <w:jc w:val="center"/>
        <w:rPr>
          <w:rFonts w:ascii="黑体" w:hAnsi="黑体" w:eastAsia="黑体"/>
          <w:color w:val="auto"/>
          <w:sz w:val="28"/>
          <w:szCs w:val="28"/>
          <w:highlight w:val="none"/>
        </w:rPr>
      </w:pPr>
      <w:bookmarkStart w:id="68" w:name="_Toc22209"/>
    </w:p>
    <w:p>
      <w:pPr>
        <w:pStyle w:val="3"/>
        <w:adjustRightInd w:val="0"/>
        <w:snapToGrid w:val="0"/>
        <w:spacing w:line="400" w:lineRule="exact"/>
        <w:jc w:val="center"/>
        <w:rPr>
          <w:rFonts w:ascii="黑体" w:hAnsi="华文中宋" w:eastAsia="黑体"/>
          <w:b w:val="0"/>
          <w:bCs w:val="0"/>
          <w:color w:val="auto"/>
          <w:sz w:val="28"/>
          <w:szCs w:val="28"/>
          <w:highlight w:val="none"/>
        </w:rPr>
      </w:pPr>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68"/>
    </w:p>
    <w:p>
      <w:pPr>
        <w:pStyle w:val="3"/>
        <w:adjustRightInd w:val="0"/>
        <w:snapToGrid w:val="0"/>
        <w:spacing w:line="400" w:lineRule="exact"/>
        <w:jc w:val="center"/>
        <w:rPr>
          <w:rFonts w:ascii="黑体" w:hAnsi="华文中宋" w:eastAsia="黑体"/>
          <w:b w:val="0"/>
          <w:bCs w:val="0"/>
          <w:color w:val="auto"/>
          <w:sz w:val="28"/>
          <w:szCs w:val="28"/>
          <w:highlight w:val="none"/>
        </w:rPr>
      </w:pPr>
    </w:p>
    <w:p>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pPr>
        <w:adjustRightInd w:val="0"/>
        <w:snapToGrid w:val="0"/>
        <w:spacing w:line="400" w:lineRule="exact"/>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pPr>
        <w:spacing w:line="400" w:lineRule="exact"/>
        <w:rPr>
          <w:color w:val="auto"/>
          <w:highlight w:val="none"/>
        </w:rPr>
      </w:pPr>
    </w:p>
    <w:p>
      <w:pPr>
        <w:pStyle w:val="7"/>
        <w:adjustRightInd w:val="0"/>
        <w:spacing w:line="400" w:lineRule="exact"/>
        <w:rPr>
          <w:rFonts w:ascii="宋体" w:hAnsi="宋体"/>
          <w:color w:val="auto"/>
          <w:sz w:val="21"/>
          <w:szCs w:val="21"/>
          <w:highlight w:val="none"/>
        </w:rPr>
      </w:pPr>
      <w:r>
        <w:rPr>
          <w:rFonts w:hint="eastAsia" w:ascii="宋体" w:hAnsi="宋体"/>
          <w:color w:val="auto"/>
          <w:sz w:val="21"/>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widowControl w:val="0"/>
        <w:numPr>
          <w:ilvl w:val="0"/>
          <w:numId w:val="2"/>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项目信息</w:t>
      </w:r>
    </w:p>
    <w:p>
      <w:pPr>
        <w:pStyle w:val="7"/>
        <w:adjustRightInd w:val="0"/>
        <w:spacing w:before="0" w:line="400" w:lineRule="exact"/>
        <w:ind w:firstLine="710" w:firstLineChars="355"/>
        <w:textAlignment w:val="auto"/>
        <w:rPr>
          <w:rFonts w:ascii="宋体" w:hAnsi="宋体"/>
          <w:color w:val="auto"/>
          <w:szCs w:val="21"/>
          <w:highlight w:val="none"/>
          <w:u w:val="single"/>
        </w:rPr>
      </w:pPr>
      <w:r>
        <w:rPr>
          <w:rFonts w:hint="eastAsia" w:ascii="宋体" w:hAnsi="宋体"/>
          <w:color w:val="auto"/>
          <w:szCs w:val="21"/>
          <w:highlight w:val="none"/>
        </w:rPr>
        <w:t>（1）采购项目名称：</w:t>
      </w:r>
      <w:r>
        <w:rPr>
          <w:rFonts w:ascii="宋体" w:hAnsi="宋体"/>
          <w:color w:val="auto"/>
          <w:szCs w:val="21"/>
          <w:highlight w:val="none"/>
          <w:u w:val="single"/>
        </w:rPr>
        <w:t xml:space="preserve">                                          </w:t>
      </w:r>
    </w:p>
    <w:p>
      <w:pPr>
        <w:pStyle w:val="7"/>
        <w:numPr>
          <w:ilvl w:val="255"/>
          <w:numId w:val="0"/>
        </w:numPr>
        <w:tabs>
          <w:tab w:val="left" w:pos="999"/>
        </w:tabs>
        <w:adjustRightInd w:val="0"/>
        <w:spacing w:line="400" w:lineRule="exact"/>
        <w:rPr>
          <w:rFonts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pPr>
        <w:pStyle w:val="7"/>
        <w:adjustRightInd w:val="0"/>
        <w:spacing w:line="400" w:lineRule="exact"/>
        <w:ind w:firstLineChars="255"/>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（3）项目内容：</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numPr>
          <w:ilvl w:val="255"/>
          <w:numId w:val="0"/>
        </w:numPr>
        <w:adjustRightInd w:val="0"/>
        <w:snapToGrid w:val="0"/>
        <w:spacing w:line="400" w:lineRule="exact"/>
        <w:ind w:firstLine="420" w:firstLineChars="200"/>
        <w:rPr>
          <w:rFonts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pPr>
        <w:numPr>
          <w:ilvl w:val="255"/>
          <w:numId w:val="0"/>
        </w:numPr>
        <w:adjustRightInd w:val="0"/>
        <w:snapToGrid w:val="0"/>
        <w:spacing w:line="400" w:lineRule="exact"/>
        <w:ind w:firstLine="945" w:firstLineChars="45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pPr>
        <w:numPr>
          <w:ilvl w:val="255"/>
          <w:numId w:val="0"/>
        </w:num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p>
    <w:p>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Style w:val="77"/>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pPr>
        <w:pStyle w:val="77"/>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pPr>
        <w:pStyle w:val="77"/>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pPr>
        <w:pStyle w:val="77"/>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pPr>
        <w:pStyle w:val="77"/>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pPr>
        <w:pStyle w:val="77"/>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否</w:t>
      </w:r>
    </w:p>
    <w:p>
      <w:pPr>
        <w:pStyle w:val="77"/>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分散采购</w:t>
      </w:r>
    </w:p>
    <w:p>
      <w:pPr>
        <w:pStyle w:val="77"/>
        <w:numPr>
          <w:ilvl w:val="255"/>
          <w:numId w:val="0"/>
        </w:numPr>
        <w:snapToGrid w:val="0"/>
        <w:ind w:firstLine="420"/>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pPr>
        <w:pStyle w:val="77"/>
        <w:numPr>
          <w:ilvl w:val="255"/>
          <w:numId w:val="0"/>
        </w:numPr>
        <w:snapToGrid w:val="0"/>
        <w:ind w:firstLine="420"/>
        <w:rPr>
          <w:rFonts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pPr>
        <w:pStyle w:val="77"/>
        <w:numPr>
          <w:ilvl w:val="255"/>
          <w:numId w:val="0"/>
        </w:numPr>
        <w:snapToGrid w:val="0"/>
        <w:ind w:firstLine="420"/>
        <w:rPr>
          <w:rFonts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pPr>
        <w:pStyle w:val="77"/>
        <w:numPr>
          <w:ilvl w:val="255"/>
          <w:numId w:val="0"/>
        </w:numPr>
        <w:snapToGrid w:val="0"/>
        <w:ind w:firstLine="220"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pPr>
        <w:numPr>
          <w:ilvl w:val="255"/>
          <w:numId w:val="0"/>
        </w:num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pPr>
        <w:adjustRightInd w:val="0"/>
        <w:snapToGrid w:val="0"/>
        <w:spacing w:line="400" w:lineRule="exact"/>
        <w:ind w:firstLine="840" w:firstLineChars="40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pPr>
        <w:adjustRightInd w:val="0"/>
        <w:snapToGrid w:val="0"/>
        <w:spacing w:line="400" w:lineRule="exact"/>
        <w:ind w:firstLine="840"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pPr>
        <w:numPr>
          <w:ilvl w:val="255"/>
          <w:numId w:val="0"/>
        </w:numPr>
        <w:adjustRightInd w:val="0"/>
        <w:snapToGrid w:val="0"/>
        <w:spacing w:line="400" w:lineRule="exact"/>
        <w:rPr>
          <w:rFonts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pPr>
        <w:pStyle w:val="77"/>
        <w:tabs>
          <w:tab w:val="left" w:pos="1340"/>
        </w:tabs>
        <w:ind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pPr>
        <w:numPr>
          <w:ilvl w:val="255"/>
          <w:numId w:val="0"/>
        </w:numPr>
        <w:adjustRightInd w:val="0"/>
        <w:snapToGrid w:val="0"/>
        <w:spacing w:line="400" w:lineRule="exact"/>
        <w:ind w:firstLine="840"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是否涉及环境标志产品：</w:t>
      </w:r>
    </w:p>
    <w:p>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pPr>
        <w:pStyle w:val="77"/>
        <w:numPr>
          <w:ilvl w:val="255"/>
          <w:numId w:val="0"/>
        </w:numPr>
        <w:snapToGrid w:val="0"/>
        <w:rPr>
          <w:rFonts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pPr>
        <w:pStyle w:val="77"/>
        <w:ind w:firstLine="420" w:firstLineChars="0"/>
        <w:rPr>
          <w:rFonts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pPr>
        <w:pStyle w:val="77"/>
        <w:ind w:firstLine="420" w:firstLineChars="0"/>
        <w:rPr>
          <w:rFonts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pPr>
        <w:widowControl w:val="0"/>
        <w:numPr>
          <w:ilvl w:val="0"/>
          <w:numId w:val="2"/>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合同金额</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pPr>
        <w:pStyle w:val="78"/>
        <w:spacing w:line="400" w:lineRule="exact"/>
        <w:rPr>
          <w:color w:val="auto"/>
          <w:highlight w:val="none"/>
        </w:rPr>
      </w:pPr>
      <w:r>
        <w:rPr>
          <w:rFonts w:hint="eastAsia" w:ascii="宋体" w:hAnsi="宋体"/>
          <w:color w:val="auto"/>
          <w:highlight w:val="none"/>
        </w:rPr>
        <w:t>（3）付款方式（按项目实际勾选填写）：</w:t>
      </w:r>
    </w:p>
    <w:p>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pPr>
        <w:snapToGrid w:val="0"/>
        <w:spacing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（应明确分期支付合同款项的各期比例和支付条件，各期支付条件应与分期履约验收情况挂钩） </w:t>
      </w:r>
      <w:r>
        <w:rPr>
          <w:rFonts w:hint="eastAsia" w:ascii="宋体" w:hAnsi="宋体"/>
          <w:color w:val="auto"/>
          <w:szCs w:val="21"/>
          <w:highlight w:val="none"/>
        </w:rPr>
        <w:t>，其中涉及预付款的：</w:t>
      </w:r>
      <w:r>
        <w:rPr>
          <w:rFonts w:hint="eastAsia" w:ascii="宋体" w:hAnsi="宋体"/>
          <w:color w:val="auto"/>
          <w:szCs w:val="21"/>
          <w:highlight w:val="none"/>
          <w:u w:val="single"/>
        </w:rPr>
        <w:t xml:space="preserve"> （应明确预付款的支付比例和支付条件） </w:t>
      </w:r>
    </w:p>
    <w:p>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pPr>
        <w:adjustRightInd w:val="0"/>
        <w:snapToGrid w:val="0"/>
        <w:spacing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pPr>
        <w:widowControl w:val="0"/>
        <w:numPr>
          <w:ilvl w:val="0"/>
          <w:numId w:val="2"/>
        </w:numPr>
        <w:adjustRightInd w:val="0"/>
        <w:snapToGrid w:val="0"/>
        <w:spacing w:line="400" w:lineRule="exact"/>
        <w:ind w:firstLine="422" w:firstLineChars="200"/>
        <w:textAlignment w:val="auto"/>
        <w:rPr>
          <w:rFonts w:ascii="宋体" w:hAnsi="宋体"/>
          <w:b/>
          <w:color w:val="auto"/>
          <w:szCs w:val="21"/>
          <w:highlight w:val="none"/>
          <w:u w:val="single"/>
        </w:rPr>
      </w:pPr>
      <w:r>
        <w:rPr>
          <w:rFonts w:hint="eastAsia" w:ascii="宋体" w:hAnsi="宋体"/>
          <w:b/>
          <w:color w:val="auto"/>
          <w:szCs w:val="21"/>
          <w:highlight w:val="none"/>
        </w:rPr>
        <w:t>合同履行</w:t>
      </w:r>
    </w:p>
    <w:p>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pPr>
        <w:pStyle w:val="77"/>
        <w:rPr>
          <w:rFonts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pPr>
        <w:pStyle w:val="77"/>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pPr>
        <w:snapToGrid w:val="0"/>
        <w:spacing w:line="400" w:lineRule="exact"/>
        <w:ind w:firstLine="420"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pPr>
        <w:widowControl w:val="0"/>
        <w:numPr>
          <w:ilvl w:val="0"/>
          <w:numId w:val="2"/>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合同验收</w:t>
      </w:r>
    </w:p>
    <w:p>
      <w:pPr>
        <w:widowControl w:val="0"/>
        <w:numPr>
          <w:ilvl w:val="0"/>
          <w:numId w:val="3"/>
        </w:numPr>
        <w:adjustRightInd w:val="0"/>
        <w:snapToGrid w:val="0"/>
        <w:spacing w:line="40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pPr>
        <w:pStyle w:val="77"/>
        <w:ind w:firstLine="420"/>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pPr>
        <w:adjustRightInd w:val="0"/>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pPr>
        <w:widowControl w:val="0"/>
        <w:numPr>
          <w:ilvl w:val="0"/>
          <w:numId w:val="2"/>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组成合同的文件</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（2）政府采购合同专用条款</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（3）政府采购合同通用条款</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（4）中标（成交）通知书</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（5）投标（响应）文件</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pPr>
        <w:pStyle w:val="77"/>
        <w:ind w:firstLine="420"/>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pPr>
        <w:widowControl w:val="0"/>
        <w:numPr>
          <w:ilvl w:val="0"/>
          <w:numId w:val="2"/>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合同生效</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pPr>
        <w:widowControl w:val="0"/>
        <w:numPr>
          <w:ilvl w:val="0"/>
          <w:numId w:val="2"/>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合同份数</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pPr>
        <w:pStyle w:val="78"/>
        <w:spacing w:line="400" w:lineRule="exact"/>
        <w:rPr>
          <w:color w:val="auto"/>
          <w:highlight w:val="none"/>
        </w:rPr>
      </w:pPr>
    </w:p>
    <w:p>
      <w:pPr>
        <w:pStyle w:val="3"/>
        <w:spacing w:line="400" w:lineRule="exact"/>
        <w:rPr>
          <w:rFonts w:ascii="宋体" w:hAnsi="宋体"/>
          <w:b w:val="0"/>
          <w:bCs w:val="0"/>
          <w:color w:val="auto"/>
          <w:sz w:val="21"/>
          <w:szCs w:val="21"/>
          <w:highlight w:val="none"/>
        </w:rPr>
      </w:pPr>
      <w:r>
        <w:rPr>
          <w:color w:val="auto"/>
          <w:highlight w:val="none"/>
          <w:lang w:val="en"/>
        </w:rPr>
        <w:t xml:space="preserve">   </w:t>
      </w:r>
    </w:p>
    <w:p>
      <w:pPr>
        <w:rPr>
          <w:color w:val="auto"/>
          <w:highlight w:val="none"/>
        </w:rPr>
      </w:pPr>
      <w:r>
        <w:rPr>
          <w:rFonts w:hint="eastAsia"/>
          <w:color w:val="auto"/>
          <w:highlight w:val="none"/>
        </w:rPr>
        <w:br w:type="page"/>
      </w:r>
    </w:p>
    <w:p>
      <w:pPr>
        <w:pStyle w:val="78"/>
        <w:rPr>
          <w:color w:val="auto"/>
          <w:highlight w:val="none"/>
        </w:rPr>
      </w:pPr>
    </w:p>
    <w:tbl>
      <w:tblPr>
        <w:tblStyle w:val="20"/>
        <w:tblW w:w="945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30"/>
        <w:gridCol w:w="2716"/>
        <w:gridCol w:w="2228"/>
        <w:gridCol w:w="2383"/>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46" w:type="dxa"/>
            <w:gridSpan w:val="2"/>
            <w:tcBorders>
              <w:bottom w:val="single" w:color="auto" w:sz="2" w:space="0"/>
              <w:right w:val="single" w:color="auto" w:sz="2" w:space="0"/>
            </w:tcBorders>
            <w:vAlign w:val="center"/>
          </w:tcPr>
          <w:p>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4611" w:type="dxa"/>
            <w:gridSpan w:val="2"/>
            <w:tcBorders>
              <w:left w:val="single" w:color="auto" w:sz="2" w:space="0"/>
              <w:bottom w:val="single" w:color="auto" w:sz="2" w:space="0"/>
            </w:tcBorders>
            <w:vAlign w:val="center"/>
          </w:tcPr>
          <w:p>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30" w:type="dxa"/>
            <w:vMerge w:val="restart"/>
            <w:tcBorders>
              <w:top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法定代表人</w:t>
            </w:r>
          </w:p>
          <w:p>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716"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法定代表人</w:t>
            </w:r>
          </w:p>
          <w:p>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vMerge w:val="continue"/>
            <w:tcBorders>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716"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联 系 人</w:t>
            </w: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联 系 人</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联系电话</w:t>
            </w: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联系电话</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邮政编码</w:t>
            </w: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邮政编码</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开户名称</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开户银行</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银行账号</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57" w:type="dxa"/>
            <w:gridSpan w:val="4"/>
            <w:tcBorders>
              <w:top w:val="single" w:color="auto" w:sz="2" w:space="0"/>
            </w:tcBorders>
            <w:vAlign w:val="center"/>
          </w:tcPr>
          <w:p>
            <w:pPr>
              <w:pStyle w:val="7"/>
              <w:adjustRightInd w:val="0"/>
              <w:spacing w:before="156" w:beforeLines="50" w:line="360" w:lineRule="auto"/>
              <w:ind w:left="5250"/>
              <w:jc w:val="left"/>
              <w:rPr>
                <w:color w:val="auto"/>
                <w:spacing w:val="20"/>
                <w:sz w:val="21"/>
                <w:szCs w:val="21"/>
                <w:highlight w:val="none"/>
              </w:rPr>
            </w:pPr>
            <w:r>
              <w:rPr>
                <w:rFonts w:hint="eastAsia" w:ascii="宋体" w:hAnsi="宋体"/>
                <w:color w:val="auto"/>
                <w:sz w:val="21"/>
                <w:szCs w:val="21"/>
                <w:highlight w:val="none"/>
              </w:rPr>
              <w:t>注：涉及联合体或其他合同主体的信息应按上表格式加列。</w:t>
            </w:r>
          </w:p>
        </w:tc>
      </w:tr>
    </w:tbl>
    <w:p>
      <w:pPr>
        <w:pStyle w:val="3"/>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69" w:name="_Toc27624"/>
      <w:r>
        <w:rPr>
          <w:rFonts w:hint="eastAsia" w:ascii="黑体" w:hAnsi="黑体" w:eastAsia="黑体"/>
          <w:b w:val="0"/>
          <w:bCs w:val="0"/>
          <w:color w:val="auto"/>
          <w:sz w:val="28"/>
          <w:szCs w:val="28"/>
          <w:highlight w:val="none"/>
        </w:rPr>
        <w:t>第二节 政府采购合同通用条款</w:t>
      </w:r>
      <w:bookmarkEnd w:id="69"/>
    </w:p>
    <w:p>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pPr>
        <w:widowControl w:val="0"/>
        <w:numPr>
          <w:ilvl w:val="0"/>
          <w:numId w:val="4"/>
        </w:numPr>
        <w:autoSpaceDE w:val="0"/>
        <w:autoSpaceDN w:val="0"/>
        <w:adjustRightInd w:val="0"/>
        <w:snapToGrid w:val="0"/>
        <w:spacing w:line="400" w:lineRule="exact"/>
        <w:jc w:val="left"/>
        <w:textAlignment w:val="auto"/>
        <w:rPr>
          <w:rFonts w:ascii="宋体" w:hAnsi="宋体"/>
          <w:b/>
          <w:bCs/>
          <w:color w:val="auto"/>
          <w:sz w:val="24"/>
          <w:highlight w:val="none"/>
        </w:rPr>
      </w:pPr>
      <w:r>
        <w:rPr>
          <w:rFonts w:hint="eastAsia" w:ascii="宋体" w:hAnsi="宋体"/>
          <w:b/>
          <w:color w:val="auto"/>
          <w:sz w:val="24"/>
          <w:highlight w:val="none"/>
        </w:rPr>
        <w:t>合同标的及金额</w:t>
      </w:r>
    </w:p>
    <w:p>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pPr>
        <w:snapToGrid w:val="0"/>
        <w:spacing w:line="400" w:lineRule="exact"/>
        <w:ind w:firstLine="420"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pPr>
        <w:pStyle w:val="6"/>
        <w:spacing w:after="0" w:line="400" w:lineRule="exact"/>
        <w:ind w:firstLine="315" w:firstLineChars="150"/>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pPr>
        <w:pStyle w:val="6"/>
        <w:spacing w:after="0" w:line="400" w:lineRule="exact"/>
        <w:ind w:firstLine="210" w:firstLineChars="100"/>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pPr>
        <w:widowControl w:val="0"/>
        <w:numPr>
          <w:ilvl w:val="0"/>
          <w:numId w:val="5"/>
        </w:numPr>
        <w:autoSpaceDE w:val="0"/>
        <w:autoSpaceDN w:val="0"/>
        <w:adjustRightInd w:val="0"/>
        <w:snapToGrid w:val="0"/>
        <w:spacing w:line="400" w:lineRule="exact"/>
        <w:jc w:val="left"/>
        <w:textAlignment w:val="auto"/>
        <w:rPr>
          <w:rFonts w:ascii="宋体" w:hAnsi="宋体"/>
          <w:b/>
          <w:bCs/>
          <w:color w:val="auto"/>
          <w:sz w:val="24"/>
          <w:highlight w:val="none"/>
        </w:rPr>
      </w:pPr>
      <w:r>
        <w:rPr>
          <w:rFonts w:hint="eastAsia" w:ascii="宋体" w:hAnsi="宋体"/>
          <w:b/>
          <w:bCs/>
          <w:color w:val="auto"/>
          <w:sz w:val="24"/>
          <w:highlight w:val="none"/>
        </w:rPr>
        <w:t>合同履行</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pPr>
        <w:pStyle w:val="77"/>
        <w:ind w:firstLine="420"/>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pPr>
        <w:pStyle w:val="8"/>
        <w:adjustRightInd w:val="0"/>
        <w:snapToGrid w:val="0"/>
        <w:spacing w:line="400" w:lineRule="exact"/>
        <w:ind w:firstLine="420" w:firstLineChars="200"/>
        <w:jc w:val="left"/>
        <w:rPr>
          <w:rFonts w:hAnsi="宋体"/>
          <w:b/>
          <w:color w:val="auto"/>
          <w:highlight w:val="none"/>
        </w:rPr>
      </w:pPr>
      <w:r>
        <w:rPr>
          <w:rFonts w:hint="eastAsia" w:hAnsi="宋体"/>
          <w:color w:val="auto"/>
          <w:highlight w:val="none"/>
        </w:rPr>
        <w:t>8.1 质量标准</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8"/>
        <w:adjustRightInd w:val="0"/>
        <w:snapToGrid w:val="0"/>
        <w:spacing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8.2 保证</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70"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70"/>
      <w:r>
        <w:rPr>
          <w:rFonts w:hint="eastAsia" w:ascii="宋体" w:hAnsi="宋体"/>
          <w:color w:val="auto"/>
          <w:szCs w:val="21"/>
          <w:highlight w:val="none"/>
        </w:rPr>
        <w:t>。</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pPr>
        <w:autoSpaceDE w:val="0"/>
        <w:autoSpaceDN w:val="0"/>
        <w:adjustRightInd w:val="0"/>
        <w:snapToGrid w:val="0"/>
        <w:spacing w:line="400" w:lineRule="exact"/>
        <w:ind w:firstLine="420"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pPr>
        <w:pStyle w:val="3"/>
        <w:spacing w:line="400" w:lineRule="exact"/>
        <w:ind w:firstLine="420" w:firstLineChars="200"/>
        <w:rPr>
          <w:color w:val="auto"/>
          <w:highlight w:val="none"/>
        </w:rPr>
      </w:pPr>
      <w:r>
        <w:rPr>
          <w:rFonts w:hint="eastAsia" w:ascii="宋体" w:hAnsi="宋体"/>
          <w:b w:val="0"/>
          <w:bCs w:val="0"/>
          <w:color w:val="auto"/>
          <w:sz w:val="21"/>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olor w:val="auto"/>
          <w:sz w:val="21"/>
          <w:szCs w:val="21"/>
          <w:highlight w:val="none"/>
        </w:rPr>
        <w:t>政府采购合同专用条款</w:t>
      </w:r>
      <w:r>
        <w:rPr>
          <w:rFonts w:hint="eastAsia" w:ascii="宋体" w:hAnsi="宋体"/>
          <w:b w:val="0"/>
          <w:bCs w:val="0"/>
          <w:color w:val="auto"/>
          <w:sz w:val="21"/>
          <w:szCs w:val="21"/>
          <w:highlight w:val="none"/>
        </w:rPr>
        <w:t>】中约定。</w:t>
      </w:r>
    </w:p>
    <w:p>
      <w:pPr>
        <w:pStyle w:val="6"/>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13. 履约保证金</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pPr>
        <w:pStyle w:val="77"/>
        <w:ind w:firstLine="420"/>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pPr>
        <w:widowControl w:val="0"/>
        <w:numPr>
          <w:ilvl w:val="0"/>
          <w:numId w:val="6"/>
        </w:numPr>
        <w:autoSpaceDE w:val="0"/>
        <w:autoSpaceDN w:val="0"/>
        <w:adjustRightInd w:val="0"/>
        <w:snapToGrid w:val="0"/>
        <w:spacing w:line="400" w:lineRule="exact"/>
        <w:jc w:val="left"/>
        <w:textAlignment w:val="auto"/>
        <w:rPr>
          <w:rFonts w:ascii="宋体" w:hAnsi="宋体"/>
          <w:b/>
          <w:color w:val="auto"/>
          <w:sz w:val="24"/>
          <w:highlight w:val="none"/>
        </w:rPr>
      </w:pPr>
      <w:r>
        <w:rPr>
          <w:rFonts w:hint="eastAsia" w:ascii="宋体" w:hAnsi="宋体"/>
          <w:b/>
          <w:color w:val="auto"/>
          <w:sz w:val="24"/>
          <w:highlight w:val="none"/>
        </w:rPr>
        <w:t>合同变更、中止与终止</w:t>
      </w:r>
    </w:p>
    <w:p>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16.1合同的变更</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16.2合同的中止</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77"/>
        <w:ind w:firstLine="420"/>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16.3合同的终止</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pPr>
        <w:pStyle w:val="77"/>
        <w:rPr>
          <w:rFonts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pPr>
        <w:pStyle w:val="77"/>
        <w:ind w:firstLine="420"/>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pPr>
        <w:pStyle w:val="7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7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pPr>
        <w:pStyle w:val="7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pPr>
        <w:pStyle w:val="6"/>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pPr>
        <w:pStyle w:val="7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pPr>
        <w:pStyle w:val="7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pPr>
        <w:pStyle w:val="7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pPr>
        <w:pStyle w:val="77"/>
        <w:ind w:firstLine="0" w:firstLineChars="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pPr>
        <w:widowControl w:val="0"/>
        <w:numPr>
          <w:ilvl w:val="0"/>
          <w:numId w:val="7"/>
        </w:numPr>
        <w:adjustRightInd w:val="0"/>
        <w:snapToGrid w:val="0"/>
        <w:spacing w:line="400" w:lineRule="exact"/>
        <w:jc w:val="left"/>
        <w:textAlignment w:val="auto"/>
        <w:rPr>
          <w:rFonts w:ascii="宋体" w:hAnsi="宋体"/>
          <w:b/>
          <w:bCs/>
          <w:color w:val="auto"/>
          <w:sz w:val="24"/>
          <w:highlight w:val="none"/>
        </w:rPr>
      </w:pPr>
      <w:r>
        <w:rPr>
          <w:rFonts w:hint="eastAsia" w:ascii="宋体" w:hAnsi="宋体"/>
          <w:b/>
          <w:bCs/>
          <w:color w:val="auto"/>
          <w:sz w:val="24"/>
          <w:highlight w:val="none"/>
        </w:rPr>
        <w:t>合同未尽事项</w:t>
      </w:r>
    </w:p>
    <w:p>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71" w:name="_Toc20313"/>
    </w:p>
    <w:p>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pPr>
        <w:pStyle w:val="3"/>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71"/>
    </w:p>
    <w:tbl>
      <w:tblPr>
        <w:tblStyle w:val="2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snapToGrid w:val="0"/>
              <w:jc w:val="center"/>
              <w:rPr>
                <w:color w:val="auto"/>
                <w:highlight w:val="none"/>
              </w:rPr>
            </w:pPr>
            <w:r>
              <w:rPr>
                <w:rFonts w:hint="eastAsia" w:ascii="宋体" w:hAnsi="宋体"/>
                <w:color w:val="auto"/>
                <w:szCs w:val="21"/>
                <w:highlight w:val="none"/>
              </w:rPr>
              <w:t>第5.4款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5170" w:type="dxa"/>
            <w:vAlign w:val="center"/>
          </w:tcPr>
          <w:p>
            <w:pPr>
              <w:rPr>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ascii="宋体" w:hAnsi="宋体"/>
                <w:color w:val="auto"/>
                <w:szCs w:val="21"/>
                <w:highlight w:val="none"/>
              </w:rPr>
            </w:pP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指定现场</w:t>
            </w:r>
          </w:p>
        </w:tc>
        <w:tc>
          <w:tcPr>
            <w:tcW w:w="5170" w:type="dxa"/>
            <w:vAlign w:val="center"/>
          </w:tcPr>
          <w:p>
            <w:pPr>
              <w:rPr>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第7.2款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运输特殊要求</w:t>
            </w:r>
          </w:p>
        </w:tc>
        <w:tc>
          <w:tcPr>
            <w:tcW w:w="5170" w:type="dxa"/>
            <w:vAlign w:val="center"/>
          </w:tcPr>
          <w:p>
            <w:pPr>
              <w:rPr>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第7.3款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保险要求</w:t>
            </w:r>
          </w:p>
        </w:tc>
        <w:tc>
          <w:tcPr>
            <w:tcW w:w="5170" w:type="dxa"/>
            <w:vAlign w:val="center"/>
          </w:tcPr>
          <w:p>
            <w:pPr>
              <w:rPr>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pPr>
              <w:autoSpaceDE w:val="0"/>
              <w:autoSpaceDN w:val="0"/>
              <w:adjustRightInd w:val="0"/>
              <w:snapToGrid w:val="0"/>
              <w:ind w:firstLine="420" w:firstLineChars="20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货物质量缺陷</w:t>
            </w:r>
          </w:p>
          <w:p>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pPr>
              <w:pStyle w:val="77"/>
              <w:ind w:firstLine="0" w:firstLineChars="0"/>
              <w:jc w:val="center"/>
              <w:rPr>
                <w:color w:val="auto"/>
                <w:highlight w:val="none"/>
              </w:rPr>
            </w:pPr>
            <w:r>
              <w:rPr>
                <w:rFonts w:hint="eastAsia" w:ascii="宋体" w:hAnsi="宋体" w:eastAsia="宋体" w:cs="宋体"/>
                <w:color w:val="auto"/>
                <w:highlight w:val="none"/>
              </w:rPr>
              <w:t>第11.1款</w:t>
            </w:r>
          </w:p>
        </w:tc>
        <w:tc>
          <w:tcPr>
            <w:tcW w:w="1742" w:type="dxa"/>
            <w:vAlign w:val="center"/>
          </w:tcPr>
          <w:p>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第13.2款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第13.3款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第14.1（3）项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第14.1（5）项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pPr>
              <w:adjustRightInd w:val="0"/>
              <w:snapToGrid w:val="0"/>
              <w:jc w:val="left"/>
              <w:rPr>
                <w:rFonts w:ascii="宋体" w:hAnsi="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第15.3款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pPr>
              <w:adjustRightInd w:val="0"/>
              <w:snapToGrid w:val="0"/>
              <w:jc w:val="left"/>
              <w:rPr>
                <w:rFonts w:ascii="宋体" w:hAnsi="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vAlign w:val="center"/>
          </w:tcPr>
          <w:p>
            <w:pPr>
              <w:adjustRightInd w:val="0"/>
              <w:snapToGrid w:val="0"/>
              <w:jc w:val="left"/>
              <w:rPr>
                <w:rFonts w:ascii="宋体" w:hAnsi="宋体"/>
                <w:color w:val="auto"/>
                <w:szCs w:val="21"/>
                <w:highlight w:val="none"/>
              </w:rPr>
            </w:pPr>
          </w:p>
        </w:tc>
      </w:tr>
    </w:tbl>
    <w:p>
      <w:pPr>
        <w:rPr>
          <w:color w:val="auto"/>
          <w:highlight w:val="none"/>
        </w:rPr>
      </w:pPr>
    </w:p>
    <w:p>
      <w:pPr>
        <w:rPr>
          <w:color w:val="auto"/>
          <w:highlight w:val="none"/>
        </w:rPr>
      </w:pPr>
    </w:p>
    <w:p>
      <w:pPr>
        <w:widowControl w:val="0"/>
        <w:snapToGrid w:val="0"/>
        <w:spacing w:line="360" w:lineRule="auto"/>
        <w:ind w:firstLine="480" w:firstLineChars="200"/>
        <w:rPr>
          <w:color w:val="auto"/>
          <w:sz w:val="24"/>
          <w:szCs w:val="24"/>
          <w:highlight w:val="none"/>
          <w:u w:val="single"/>
        </w:rPr>
      </w:pPr>
    </w:p>
    <w:p>
      <w:pPr>
        <w:widowControl w:val="0"/>
        <w:snapToGrid w:val="0"/>
        <w:spacing w:line="540" w:lineRule="exact"/>
        <w:ind w:right="476"/>
        <w:rPr>
          <w:color w:val="auto"/>
          <w:sz w:val="24"/>
          <w:szCs w:val="24"/>
          <w:highlight w:val="none"/>
        </w:rPr>
      </w:pPr>
    </w:p>
    <w:p>
      <w:pPr>
        <w:spacing w:line="240" w:lineRule="auto"/>
        <w:jc w:val="left"/>
        <w:textAlignment w:val="auto"/>
        <w:rPr>
          <w:color w:val="auto"/>
          <w:highlight w:val="none"/>
        </w:rPr>
      </w:pPr>
    </w:p>
    <w:p>
      <w:pPr>
        <w:widowControl w:val="0"/>
        <w:snapToGrid w:val="0"/>
        <w:spacing w:line="360" w:lineRule="auto"/>
        <w:rPr>
          <w:color w:val="auto"/>
          <w:sz w:val="24"/>
          <w:szCs w:val="24"/>
          <w:highlight w:val="none"/>
        </w:rPr>
      </w:pPr>
    </w:p>
    <w:p>
      <w:pPr>
        <w:autoSpaceDE w:val="0"/>
        <w:autoSpaceDN w:val="0"/>
        <w:adjustRightInd w:val="0"/>
        <w:spacing w:line="360" w:lineRule="auto"/>
        <w:outlineLvl w:val="0"/>
        <w:rPr>
          <w:rFonts w:ascii="宋体"/>
          <w:b/>
          <w:color w:val="auto"/>
          <w:sz w:val="36"/>
          <w:szCs w:val="36"/>
          <w:highlight w:val="none"/>
          <w:lang w:val="zh-CN"/>
        </w:rPr>
      </w:pPr>
      <w:r>
        <w:rPr>
          <w:rFonts w:ascii="宋体"/>
          <w:b/>
          <w:color w:val="auto"/>
          <w:sz w:val="36"/>
          <w:szCs w:val="36"/>
          <w:highlight w:val="none"/>
          <w:lang w:val="zh-CN"/>
        </w:rPr>
        <w:br w:type="page"/>
      </w:r>
      <w:bookmarkStart w:id="72" w:name="_Toc519783173"/>
    </w:p>
    <w:p>
      <w:pPr>
        <w:autoSpaceDE w:val="0"/>
        <w:autoSpaceDN w:val="0"/>
        <w:adjustRightInd w:val="0"/>
        <w:spacing w:line="360" w:lineRule="auto"/>
        <w:jc w:val="center"/>
        <w:outlineLvl w:val="0"/>
        <w:rPr>
          <w:rFonts w:ascii="宋体"/>
          <w:b/>
          <w:color w:val="auto"/>
          <w:sz w:val="36"/>
          <w:szCs w:val="36"/>
          <w:highlight w:val="none"/>
          <w:lang w:val="zh-CN"/>
        </w:rPr>
      </w:pPr>
    </w:p>
    <w:p>
      <w:pPr>
        <w:autoSpaceDE w:val="0"/>
        <w:autoSpaceDN w:val="0"/>
        <w:adjustRightInd w:val="0"/>
        <w:spacing w:line="360" w:lineRule="auto"/>
        <w:jc w:val="center"/>
        <w:outlineLvl w:val="0"/>
        <w:rPr>
          <w:rFonts w:ascii="黑体" w:hAnsi="黑体" w:eastAsia="黑体"/>
          <w:b/>
          <w:color w:val="auto"/>
          <w:sz w:val="36"/>
          <w:szCs w:val="36"/>
          <w:highlight w:val="none"/>
          <w:lang w:val="zh-CN"/>
        </w:rPr>
      </w:pPr>
      <w:bookmarkStart w:id="73" w:name="_Toc165383948"/>
      <w:r>
        <w:rPr>
          <w:rFonts w:hint="eastAsia" w:ascii="黑体" w:hAnsi="黑体" w:eastAsia="黑体"/>
          <w:b/>
          <w:color w:val="auto"/>
          <w:sz w:val="36"/>
          <w:szCs w:val="36"/>
          <w:highlight w:val="none"/>
          <w:lang w:val="zh-CN"/>
        </w:rPr>
        <w:t>第六章</w:t>
      </w:r>
      <w:r>
        <w:rPr>
          <w:rFonts w:ascii="黑体" w:hAnsi="黑体" w:eastAsia="黑体"/>
          <w:b/>
          <w:color w:val="auto"/>
          <w:sz w:val="36"/>
          <w:szCs w:val="36"/>
          <w:highlight w:val="none"/>
          <w:lang w:val="zh-CN"/>
        </w:rPr>
        <w:t xml:space="preserve">  </w:t>
      </w:r>
      <w:r>
        <w:rPr>
          <w:rFonts w:hint="eastAsia" w:ascii="黑体" w:hAnsi="黑体" w:eastAsia="黑体"/>
          <w:b/>
          <w:color w:val="auto"/>
          <w:sz w:val="36"/>
          <w:szCs w:val="36"/>
          <w:highlight w:val="none"/>
          <w:lang w:val="zh-CN"/>
        </w:rPr>
        <w:t>投标文件格式</w:t>
      </w:r>
      <w:bookmarkEnd w:id="72"/>
      <w:bookmarkEnd w:id="73"/>
    </w:p>
    <w:p>
      <w:pPr>
        <w:autoSpaceDE w:val="0"/>
        <w:autoSpaceDN w:val="0"/>
        <w:adjustRightInd w:val="0"/>
        <w:spacing w:line="276" w:lineRule="auto"/>
        <w:ind w:firstLine="514" w:firstLineChars="245"/>
        <w:jc w:val="left"/>
        <w:rPr>
          <w:rFonts w:ascii="宋体"/>
          <w:color w:val="auto"/>
          <w:sz w:val="36"/>
          <w:szCs w:val="36"/>
          <w:highlight w:val="none"/>
          <w:lang w:val="zh-CN"/>
        </w:rPr>
      </w:pPr>
      <w:r>
        <w:rPr>
          <w:rFonts w:hint="eastAsia" w:ascii="宋体" w:hAnsi="宋体"/>
          <w:color w:val="auto"/>
          <w:szCs w:val="21"/>
          <w:highlight w:val="none"/>
          <w:lang w:val="zh-CN"/>
        </w:rPr>
        <w:t>投标人应按“投标人须知</w:t>
      </w:r>
      <w:r>
        <w:rPr>
          <w:rFonts w:ascii="宋体"/>
          <w:color w:val="auto"/>
          <w:szCs w:val="21"/>
          <w:highlight w:val="none"/>
          <w:lang w:val="zh-CN"/>
        </w:rPr>
        <w:t>--</w:t>
      </w:r>
      <w:r>
        <w:rPr>
          <w:rFonts w:hint="eastAsia" w:ascii="宋体" w:hAnsi="宋体"/>
          <w:color w:val="auto"/>
          <w:szCs w:val="21"/>
          <w:highlight w:val="none"/>
          <w:lang w:val="zh-CN"/>
        </w:rPr>
        <w:t>投标文件的组成”列示内容编制投标文件，本章“投标文件格式”仅为对投标文件部分内容的格式化规范，并非投标文件所应具备的全部内容</w:t>
      </w:r>
      <w:r>
        <w:rPr>
          <w:rFonts w:hint="eastAsia" w:ascii="宋体" w:hAnsi="宋体"/>
          <w:color w:val="auto"/>
          <w:sz w:val="36"/>
          <w:szCs w:val="36"/>
          <w:highlight w:val="none"/>
          <w:lang w:val="zh-CN"/>
        </w:rPr>
        <w:t>。</w:t>
      </w:r>
    </w:p>
    <w:p>
      <w:pPr>
        <w:spacing w:before="936" w:beforeLines="300" w:after="312" w:afterLines="100" w:line="360" w:lineRule="auto"/>
        <w:jc w:val="center"/>
        <w:rPr>
          <w:rFonts w:ascii="宋体" w:hAnsi="宋体"/>
          <w:b/>
          <w:bCs/>
          <w:color w:val="auto"/>
          <w:spacing w:val="100"/>
          <w:sz w:val="72"/>
          <w:szCs w:val="72"/>
          <w:highlight w:val="none"/>
        </w:rPr>
      </w:pPr>
      <w:r>
        <w:rPr>
          <w:rFonts w:hint="eastAsia" w:ascii="宋体" w:hAnsi="宋体"/>
          <w:b/>
          <w:bCs/>
          <w:color w:val="auto"/>
          <w:spacing w:val="100"/>
          <w:sz w:val="36"/>
          <w:szCs w:val="36"/>
          <w:highlight w:val="none"/>
          <w:u w:val="single"/>
        </w:rPr>
        <w:t xml:space="preserve">             </w:t>
      </w:r>
      <w:r>
        <w:rPr>
          <w:rFonts w:ascii="宋体" w:hAnsi="宋体"/>
          <w:b/>
          <w:bCs/>
          <w:color w:val="auto"/>
          <w:spacing w:val="100"/>
          <w:sz w:val="36"/>
          <w:szCs w:val="36"/>
          <w:highlight w:val="none"/>
          <w:u w:val="single"/>
        </w:rPr>
        <w:t xml:space="preserve">   </w:t>
      </w:r>
      <w:r>
        <w:rPr>
          <w:rFonts w:hint="eastAsia" w:ascii="宋体" w:hAnsi="宋体"/>
          <w:b/>
          <w:bCs/>
          <w:color w:val="auto"/>
          <w:spacing w:val="100"/>
          <w:sz w:val="36"/>
          <w:szCs w:val="36"/>
          <w:highlight w:val="none"/>
          <w:u w:val="single"/>
        </w:rPr>
        <w:t xml:space="preserve"> </w:t>
      </w:r>
      <w:r>
        <w:rPr>
          <w:rFonts w:hint="eastAsia" w:ascii="黑体" w:hAnsi="黑体" w:eastAsia="黑体"/>
          <w:b/>
          <w:color w:val="auto"/>
          <w:spacing w:val="60"/>
          <w:sz w:val="72"/>
          <w:szCs w:val="72"/>
          <w:highlight w:val="none"/>
        </w:rPr>
        <w:t>项目</w:t>
      </w:r>
    </w:p>
    <w:p>
      <w:pPr>
        <w:spacing w:before="936" w:beforeLines="300" w:after="312" w:afterLines="100" w:line="360" w:lineRule="auto"/>
        <w:ind w:firstLine="3339" w:firstLineChars="396"/>
        <w:rPr>
          <w:rFonts w:ascii="宋体" w:hAnsi="宋体"/>
          <w:b/>
          <w:bCs/>
          <w:color w:val="auto"/>
          <w:spacing w:val="100"/>
          <w:sz w:val="36"/>
          <w:szCs w:val="36"/>
          <w:highlight w:val="none"/>
        </w:rPr>
      </w:pPr>
      <w:r>
        <w:rPr>
          <w:rFonts w:hint="eastAsia" w:ascii="黑体" w:hAnsi="黑体" w:eastAsia="黑体"/>
          <w:b/>
          <w:color w:val="auto"/>
          <w:sz w:val="84"/>
          <w:szCs w:val="84"/>
          <w:highlight w:val="none"/>
        </w:rPr>
        <w:t>包</w:t>
      </w:r>
      <w:r>
        <w:rPr>
          <w:rFonts w:hint="eastAsia" w:ascii="黑体" w:hAnsi="黑体" w:eastAsia="黑体"/>
          <w:b/>
          <w:color w:val="auto"/>
          <w:sz w:val="84"/>
          <w:szCs w:val="84"/>
          <w:highlight w:val="none"/>
          <w:u w:val="single"/>
        </w:rPr>
        <w:t xml:space="preserve">   </w:t>
      </w:r>
      <w:r>
        <w:rPr>
          <w:rFonts w:hint="eastAsia" w:ascii="黑体" w:hAnsi="黑体" w:eastAsia="黑体"/>
          <w:b/>
          <w:color w:val="auto"/>
          <w:sz w:val="84"/>
          <w:szCs w:val="84"/>
          <w:highlight w:val="none"/>
        </w:rPr>
        <w:t xml:space="preserve"> </w:t>
      </w:r>
    </w:p>
    <w:p>
      <w:pPr>
        <w:spacing w:after="624" w:afterLines="200" w:line="360" w:lineRule="auto"/>
        <w:ind w:left="3996" w:leftChars="299" w:hanging="3368" w:hangingChars="466"/>
        <w:jc w:val="center"/>
        <w:rPr>
          <w:rFonts w:ascii="黑体" w:hAnsi="黑体" w:eastAsia="黑体"/>
          <w:b/>
          <w:color w:val="auto"/>
          <w:spacing w:val="60"/>
          <w:sz w:val="96"/>
          <w:szCs w:val="96"/>
          <w:highlight w:val="none"/>
        </w:rPr>
      </w:pPr>
      <w:r>
        <w:rPr>
          <w:rFonts w:hint="eastAsia" w:ascii="黑体" w:hAnsi="黑体" w:eastAsia="黑体"/>
          <w:b/>
          <w:color w:val="auto"/>
          <w:sz w:val="72"/>
          <w:szCs w:val="72"/>
          <w:highlight w:val="none"/>
          <w:lang w:val="zh-CN"/>
        </w:rPr>
        <w:t>投标文件—符合性响应文件</w:t>
      </w:r>
    </w:p>
    <w:p>
      <w:pPr>
        <w:spacing w:before="156" w:beforeLines="50" w:after="156" w:afterLines="50" w:line="360" w:lineRule="auto"/>
        <w:ind w:firstLine="1744" w:firstLineChars="545"/>
        <w:rPr>
          <w:rFonts w:ascii="宋体" w:hAnsi="宋体"/>
          <w:b/>
          <w:color w:val="auto"/>
          <w:sz w:val="36"/>
          <w:szCs w:val="36"/>
          <w:highlight w:val="none"/>
        </w:rPr>
      </w:pPr>
      <w:r>
        <w:rPr>
          <w:rFonts w:hint="eastAsia" w:ascii="宋体" w:hAnsi="宋体"/>
          <w:color w:val="auto"/>
          <w:sz w:val="32"/>
          <w:szCs w:val="32"/>
          <w:highlight w:val="none"/>
        </w:rPr>
        <w:t>项目编号：</w:t>
      </w:r>
      <w:r>
        <w:rPr>
          <w:rFonts w:hint="eastAsia" w:ascii="宋体" w:hAnsi="宋体"/>
          <w:b/>
          <w:color w:val="auto"/>
          <w:sz w:val="36"/>
          <w:szCs w:val="36"/>
          <w:highlight w:val="none"/>
          <w:u w:val="single"/>
        </w:rPr>
        <w:t xml:space="preserve">                      </w:t>
      </w:r>
    </w:p>
    <w:p>
      <w:pPr>
        <w:spacing w:line="360" w:lineRule="auto"/>
        <w:rPr>
          <w:rFonts w:ascii="宋体" w:hAnsi="宋体"/>
          <w:b/>
          <w:color w:val="auto"/>
          <w:sz w:val="36"/>
          <w:szCs w:val="36"/>
          <w:highlight w:val="none"/>
        </w:rPr>
      </w:pPr>
    </w:p>
    <w:p>
      <w:pPr>
        <w:spacing w:line="360" w:lineRule="auto"/>
        <w:rPr>
          <w:rFonts w:ascii="宋体" w:hAnsi="宋体"/>
          <w:b/>
          <w:color w:val="auto"/>
          <w:sz w:val="36"/>
          <w:szCs w:val="36"/>
          <w:highlight w:val="none"/>
        </w:rPr>
      </w:pPr>
    </w:p>
    <w:p>
      <w:pPr>
        <w:pStyle w:val="55"/>
        <w:spacing w:before="468" w:beforeLines="150" w:after="468" w:afterLines="150" w:line="360" w:lineRule="auto"/>
        <w:jc w:val="both"/>
        <w:rPr>
          <w:rFonts w:hAnsi="宋体"/>
          <w:color w:val="auto"/>
          <w:sz w:val="28"/>
          <w:szCs w:val="28"/>
          <w:highlight w:val="none"/>
        </w:rPr>
      </w:pPr>
      <w:r>
        <w:rPr>
          <w:rFonts w:hint="eastAsia" w:hAnsi="宋体"/>
          <w:color w:val="auto"/>
          <w:sz w:val="28"/>
          <w:szCs w:val="28"/>
          <w:highlight w:val="none"/>
        </w:rPr>
        <w:t>投标人：</w:t>
      </w:r>
      <w:r>
        <w:rPr>
          <w:rFonts w:hint="eastAsia" w:hAnsi="宋体"/>
          <w:color w:val="auto"/>
          <w:sz w:val="28"/>
          <w:szCs w:val="28"/>
          <w:highlight w:val="none"/>
          <w:u w:val="single"/>
        </w:rPr>
        <w:t xml:space="preserve">                                    </w:t>
      </w:r>
      <w:r>
        <w:rPr>
          <w:rFonts w:hint="eastAsia" w:hAnsi="宋体"/>
          <w:color w:val="auto"/>
          <w:sz w:val="28"/>
          <w:szCs w:val="28"/>
          <w:highlight w:val="none"/>
        </w:rPr>
        <w:t>（加盖电子签章）</w:t>
      </w:r>
    </w:p>
    <w:p>
      <w:pPr>
        <w:pStyle w:val="55"/>
        <w:spacing w:before="468" w:beforeLines="150" w:after="468" w:afterLines="150" w:line="360" w:lineRule="auto"/>
        <w:jc w:val="both"/>
        <w:rPr>
          <w:rFonts w:hAnsi="宋体"/>
          <w:color w:val="auto"/>
          <w:sz w:val="28"/>
          <w:szCs w:val="28"/>
          <w:highlight w:val="none"/>
          <w:u w:val="single"/>
        </w:rPr>
      </w:pPr>
      <w:r>
        <w:rPr>
          <w:rFonts w:hint="eastAsia" w:hAnsi="宋体"/>
          <w:color w:val="auto"/>
          <w:sz w:val="28"/>
          <w:szCs w:val="28"/>
          <w:highlight w:val="none"/>
        </w:rPr>
        <w:t>法定代表人：</w:t>
      </w:r>
      <w:r>
        <w:rPr>
          <w:rFonts w:hAnsi="宋体"/>
          <w:color w:val="auto"/>
          <w:sz w:val="28"/>
          <w:szCs w:val="28"/>
          <w:highlight w:val="none"/>
          <w:u w:val="single"/>
        </w:rPr>
        <w:t xml:space="preserve">                       </w:t>
      </w:r>
      <w:r>
        <w:rPr>
          <w:rFonts w:hint="eastAsia" w:hAnsi="宋体"/>
          <w:color w:val="auto"/>
          <w:sz w:val="28"/>
          <w:szCs w:val="28"/>
          <w:highlight w:val="none"/>
          <w:u w:val="single"/>
        </w:rPr>
        <w:t xml:space="preserve">      </w:t>
      </w:r>
      <w:r>
        <w:rPr>
          <w:rFonts w:hAnsi="宋体"/>
          <w:color w:val="auto"/>
          <w:sz w:val="28"/>
          <w:szCs w:val="28"/>
          <w:highlight w:val="none"/>
          <w:u w:val="single"/>
        </w:rPr>
        <w:t xml:space="preserve">   </w:t>
      </w:r>
      <w:r>
        <w:rPr>
          <w:rFonts w:hint="eastAsia" w:hAnsi="宋体"/>
          <w:color w:val="auto"/>
          <w:sz w:val="28"/>
          <w:szCs w:val="28"/>
          <w:highlight w:val="none"/>
        </w:rPr>
        <w:t>（加盖电子签名或签章）</w:t>
      </w:r>
    </w:p>
    <w:p>
      <w:pPr>
        <w:spacing w:before="468" w:beforeLines="150" w:after="468" w:afterLines="150" w:line="586" w:lineRule="atLeast"/>
        <w:rPr>
          <w:rFonts w:ascii="宋体" w:hAnsi="宋体"/>
          <w:color w:val="auto"/>
          <w:sz w:val="28"/>
          <w:szCs w:val="28"/>
          <w:highlight w:val="none"/>
        </w:rPr>
      </w:pPr>
      <w:r>
        <w:rPr>
          <w:rFonts w:hint="eastAsia" w:ascii="宋体" w:hAnsi="宋体"/>
          <w:color w:val="auto"/>
          <w:sz w:val="28"/>
          <w:szCs w:val="28"/>
          <w:highlight w:val="none"/>
        </w:rPr>
        <w:t>投标日期：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pPr>
        <w:autoSpaceDE w:val="0"/>
        <w:autoSpaceDN w:val="0"/>
        <w:adjustRightInd w:val="0"/>
        <w:spacing w:line="360" w:lineRule="auto"/>
        <w:jc w:val="center"/>
        <w:outlineLvl w:val="0"/>
        <w:rPr>
          <w:rFonts w:ascii="黑体" w:hAnsi="黑体" w:eastAsia="黑体"/>
          <w:b/>
          <w:color w:val="auto"/>
          <w:sz w:val="36"/>
          <w:szCs w:val="36"/>
          <w:highlight w:val="none"/>
          <w:lang w:val="zh-CN"/>
        </w:rPr>
      </w:pPr>
    </w:p>
    <w:p>
      <w:pPr>
        <w:widowControl w:val="0"/>
        <w:snapToGrid w:val="0"/>
        <w:spacing w:line="560" w:lineRule="exact"/>
        <w:jc w:val="center"/>
        <w:rPr>
          <w:rFonts w:eastAsia="方正黑体简体"/>
          <w:b/>
          <w:color w:val="auto"/>
          <w:sz w:val="30"/>
          <w:szCs w:val="30"/>
          <w:highlight w:val="none"/>
        </w:rPr>
      </w:pPr>
    </w:p>
    <w:p>
      <w:pPr>
        <w:spacing w:line="351" w:lineRule="atLeast"/>
        <w:ind w:left="419"/>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目录</w:t>
      </w:r>
    </w:p>
    <w:p>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1.投标书</w:t>
      </w:r>
    </w:p>
    <w:p>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2. 开标一览表（报价一览表）</w:t>
      </w:r>
    </w:p>
    <w:p>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highlight w:val="none"/>
        </w:rPr>
        <w:t>投标报价明细表</w:t>
      </w:r>
    </w:p>
    <w:p>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4.投标产品清单及其技术参数，调试方案</w:t>
      </w:r>
    </w:p>
    <w:p>
      <w:pPr>
        <w:snapToGrid w:val="0"/>
        <w:spacing w:line="560" w:lineRule="atLeast"/>
        <w:textAlignment w:val="top"/>
        <w:rPr>
          <w:color w:val="auto"/>
          <w:sz w:val="24"/>
          <w:highlight w:val="none"/>
        </w:rPr>
      </w:pPr>
      <w:r>
        <w:rPr>
          <w:rFonts w:hint="eastAsia" w:ascii="宋体" w:hAnsi="宋体"/>
          <w:color w:val="auto"/>
          <w:sz w:val="24"/>
          <w:szCs w:val="24"/>
          <w:highlight w:val="none"/>
        </w:rPr>
        <w:t>5. 技术偏差表</w:t>
      </w:r>
    </w:p>
    <w:p>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6.其他偏差表（除技术偏差外）</w:t>
      </w:r>
    </w:p>
    <w:p>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7.</w:t>
      </w:r>
      <w:r>
        <w:rPr>
          <w:rFonts w:hint="eastAsia"/>
          <w:color w:val="auto"/>
          <w:sz w:val="24"/>
          <w:szCs w:val="24"/>
          <w:highlight w:val="none"/>
        </w:rPr>
        <w:t xml:space="preserve"> </w:t>
      </w:r>
      <w:r>
        <w:rPr>
          <w:rFonts w:hint="eastAsia" w:ascii="宋体" w:hAnsi="宋体"/>
          <w:color w:val="auto"/>
          <w:sz w:val="24"/>
          <w:szCs w:val="24"/>
          <w:highlight w:val="none"/>
        </w:rPr>
        <w:t>售后服务计划</w:t>
      </w:r>
    </w:p>
    <w:p>
      <w:pPr>
        <w:snapToGrid w:val="0"/>
        <w:spacing w:line="560" w:lineRule="atLeast"/>
        <w:textAlignment w:val="top"/>
        <w:rPr>
          <w:color w:val="auto"/>
          <w:sz w:val="24"/>
          <w:highlight w:val="none"/>
        </w:rPr>
      </w:pP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color w:val="auto"/>
          <w:sz w:val="24"/>
          <w:highlight w:val="none"/>
        </w:rPr>
        <w:t>反商业贿赂承诺书</w:t>
      </w:r>
    </w:p>
    <w:p>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9.</w:t>
      </w:r>
      <w:r>
        <w:rPr>
          <w:rFonts w:hint="eastAsia"/>
          <w:color w:val="auto"/>
          <w:sz w:val="24"/>
          <w:szCs w:val="24"/>
          <w:highlight w:val="none"/>
        </w:rPr>
        <w:t xml:space="preserve"> </w:t>
      </w:r>
      <w:r>
        <w:rPr>
          <w:rFonts w:hint="eastAsia" w:ascii="宋体" w:hAnsi="宋体"/>
          <w:color w:val="auto"/>
          <w:sz w:val="24"/>
          <w:szCs w:val="24"/>
          <w:highlight w:val="none"/>
        </w:rPr>
        <w:t>履约承诺书</w:t>
      </w:r>
    </w:p>
    <w:p>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0</w:t>
      </w:r>
      <w:r>
        <w:rPr>
          <w:rFonts w:hint="eastAsia" w:ascii="宋体" w:hAnsi="宋体"/>
          <w:color w:val="auto"/>
          <w:sz w:val="24"/>
          <w:szCs w:val="24"/>
          <w:highlight w:val="none"/>
        </w:rPr>
        <w:t xml:space="preserve">. </w:t>
      </w:r>
      <w:r>
        <w:rPr>
          <w:rFonts w:hint="eastAsia"/>
          <w:color w:val="auto"/>
          <w:sz w:val="24"/>
          <w:highlight w:val="none"/>
        </w:rPr>
        <w:t>招标项目要求及采购需求</w:t>
      </w:r>
      <w:r>
        <w:rPr>
          <w:rFonts w:hint="eastAsia" w:ascii="宋体" w:hAnsi="宋体"/>
          <w:color w:val="auto"/>
          <w:sz w:val="24"/>
          <w:szCs w:val="24"/>
          <w:highlight w:val="none"/>
        </w:rPr>
        <w:t>所需的其他材料</w:t>
      </w:r>
    </w:p>
    <w:p>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1</w:t>
      </w:r>
      <w:r>
        <w:rPr>
          <w:rFonts w:hint="eastAsia" w:ascii="宋体" w:hAnsi="宋体"/>
          <w:color w:val="auto"/>
          <w:sz w:val="24"/>
          <w:szCs w:val="24"/>
          <w:highlight w:val="none"/>
        </w:rPr>
        <w:t>.投标人须知所需的其他材料</w:t>
      </w:r>
    </w:p>
    <w:p>
      <w:pPr>
        <w:tabs>
          <w:tab w:val="left" w:pos="3544"/>
        </w:tabs>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2</w:t>
      </w:r>
      <w:r>
        <w:rPr>
          <w:rFonts w:hint="eastAsia" w:ascii="宋体" w:hAnsi="宋体"/>
          <w:color w:val="auto"/>
          <w:sz w:val="24"/>
          <w:szCs w:val="24"/>
          <w:highlight w:val="none"/>
        </w:rPr>
        <w:t>.评标办法所需的其他材料</w:t>
      </w:r>
    </w:p>
    <w:p>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12-1. 其它材料</w:t>
      </w:r>
    </w:p>
    <w:p>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12-2.附件（如需）：关于台式计算机、便携式计算机、一体式计算机、工作站、通用服务器、操作系统、数据库的投标要求、评审注意事项、承诺函。</w:t>
      </w:r>
    </w:p>
    <w:p>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3</w:t>
      </w:r>
      <w:r>
        <w:rPr>
          <w:rFonts w:hint="eastAsia" w:ascii="宋体" w:hAnsi="宋体"/>
          <w:color w:val="auto"/>
          <w:sz w:val="24"/>
          <w:szCs w:val="24"/>
          <w:highlight w:val="none"/>
        </w:rPr>
        <w:t>.投标人认为有必要提交的其它材料</w:t>
      </w:r>
    </w:p>
    <w:p>
      <w:pPr>
        <w:widowControl w:val="0"/>
        <w:snapToGrid w:val="0"/>
        <w:spacing w:line="560" w:lineRule="exact"/>
        <w:rPr>
          <w:rFonts w:eastAsia="方正黑体简体"/>
          <w:b/>
          <w:color w:val="auto"/>
          <w:sz w:val="30"/>
          <w:szCs w:val="30"/>
          <w:highlight w:val="none"/>
        </w:rPr>
      </w:pPr>
    </w:p>
    <w:p>
      <w:pPr>
        <w:snapToGrid w:val="0"/>
        <w:spacing w:line="560" w:lineRule="atLeast"/>
        <w:textAlignment w:val="top"/>
        <w:rPr>
          <w:rFonts w:ascii="仿宋_GB2312" w:eastAsia="仿宋_GB2312"/>
          <w:color w:val="auto"/>
          <w:sz w:val="32"/>
          <w:szCs w:val="32"/>
          <w:highlight w:val="none"/>
        </w:rPr>
      </w:pPr>
    </w:p>
    <w:p>
      <w:pPr>
        <w:spacing w:line="351" w:lineRule="atLeast"/>
        <w:ind w:left="419"/>
        <w:jc w:val="center"/>
        <w:rPr>
          <w:rFonts w:ascii="黑体" w:eastAsia="黑体"/>
          <w:b/>
          <w:color w:val="auto"/>
          <w:spacing w:val="60"/>
          <w:sz w:val="36"/>
          <w:szCs w:val="36"/>
          <w:highlight w:val="none"/>
        </w:rPr>
      </w:pPr>
      <w:r>
        <w:rPr>
          <w:rFonts w:ascii="黑体" w:eastAsia="黑体"/>
          <w:b/>
          <w:color w:val="auto"/>
          <w:spacing w:val="60"/>
          <w:sz w:val="36"/>
          <w:szCs w:val="36"/>
          <w:highlight w:val="none"/>
        </w:rPr>
        <w:br w:type="page"/>
      </w:r>
    </w:p>
    <w:p>
      <w:pPr>
        <w:spacing w:line="351" w:lineRule="atLeast"/>
        <w:ind w:left="419"/>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1、投标书</w:t>
      </w:r>
    </w:p>
    <w:p>
      <w:pPr>
        <w:widowControl w:val="0"/>
        <w:snapToGrid w:val="0"/>
        <w:spacing w:line="560" w:lineRule="exact"/>
        <w:rPr>
          <w:color w:val="auto"/>
          <w:sz w:val="28"/>
          <w:highlight w:val="none"/>
        </w:rPr>
      </w:pPr>
    </w:p>
    <w:p>
      <w:pPr>
        <w:widowControl w:val="0"/>
        <w:snapToGrid w:val="0"/>
        <w:spacing w:line="360" w:lineRule="auto"/>
        <w:rPr>
          <w:color w:val="auto"/>
          <w:sz w:val="24"/>
          <w:szCs w:val="24"/>
          <w:highlight w:val="none"/>
        </w:rPr>
      </w:pPr>
      <w:r>
        <w:rPr>
          <w:rFonts w:hint="eastAsia"/>
          <w:color w:val="auto"/>
          <w:sz w:val="24"/>
          <w:szCs w:val="24"/>
          <w:highlight w:val="none"/>
        </w:rPr>
        <w:t>致：安阳市方正招标采购服务有限责任公司</w:t>
      </w:r>
    </w:p>
    <w:p>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根据贵方公开招标</w:t>
      </w:r>
      <w:r>
        <w:rPr>
          <w:rFonts w:hint="eastAsia"/>
          <w:color w:val="auto"/>
          <w:sz w:val="18"/>
          <w:szCs w:val="18"/>
          <w:highlight w:val="none"/>
          <w:u w:val="single"/>
        </w:rPr>
        <w:t>（项目名称）</w:t>
      </w:r>
      <w:r>
        <w:rPr>
          <w:color w:val="auto"/>
          <w:sz w:val="18"/>
          <w:szCs w:val="18"/>
          <w:highlight w:val="none"/>
          <w:u w:val="single"/>
        </w:rPr>
        <w:t xml:space="preserve">               </w:t>
      </w:r>
      <w:r>
        <w:rPr>
          <w:rFonts w:hint="eastAsia"/>
          <w:color w:val="auto"/>
          <w:sz w:val="24"/>
          <w:szCs w:val="24"/>
          <w:highlight w:val="none"/>
        </w:rPr>
        <w:t>的招标文件（项目编号：</w:t>
      </w:r>
      <w:r>
        <w:rPr>
          <w:color w:val="auto"/>
          <w:sz w:val="24"/>
          <w:szCs w:val="24"/>
          <w:highlight w:val="none"/>
          <w:u w:val="single"/>
        </w:rPr>
        <w:t xml:space="preserve">         </w:t>
      </w:r>
      <w:r>
        <w:rPr>
          <w:rFonts w:hint="eastAsia"/>
          <w:color w:val="auto"/>
          <w:sz w:val="24"/>
          <w:szCs w:val="24"/>
          <w:highlight w:val="none"/>
        </w:rPr>
        <w:t>），经详细研究，我们决定参加该项目的采购活动并按要求提交投标文件。我们郑重声明对我单位提交的所有投标资料的真实准确完整承担完全责任、并对之负法律责任。</w:t>
      </w:r>
    </w:p>
    <w:p>
      <w:pPr>
        <w:adjustRightInd w:val="0"/>
        <w:snapToGrid w:val="0"/>
        <w:spacing w:before="156" w:beforeLines="50" w:line="300" w:lineRule="auto"/>
        <w:ind w:firstLine="539"/>
        <w:textAlignment w:val="top"/>
        <w:rPr>
          <w:rFonts w:ascii="黑体" w:hAnsi="黑体" w:eastAsia="黑体"/>
          <w:b/>
          <w:color w:val="auto"/>
          <w:highlight w:val="none"/>
        </w:rPr>
      </w:pPr>
      <w:r>
        <w:rPr>
          <w:rFonts w:hint="eastAsia" w:ascii="黑体" w:hAnsi="黑体" w:eastAsia="黑体" w:cs="楷体_GB2312"/>
          <w:b/>
          <w:color w:val="auto"/>
          <w:sz w:val="24"/>
          <w:highlight w:val="none"/>
          <w:lang w:val="zh-CN"/>
        </w:rPr>
        <w:t>符</w:t>
      </w:r>
      <w:r>
        <w:rPr>
          <w:rFonts w:ascii="黑体" w:hAnsi="黑体" w:eastAsia="黑体" w:cs="楷体_GB2312"/>
          <w:b/>
          <w:color w:val="auto"/>
          <w:sz w:val="24"/>
          <w:highlight w:val="none"/>
          <w:lang w:val="zh-CN"/>
        </w:rPr>
        <w:t>合性</w:t>
      </w:r>
      <w:r>
        <w:rPr>
          <w:rFonts w:hint="eastAsia" w:ascii="黑体" w:hAnsi="黑体" w:eastAsia="黑体" w:cs="楷体_GB2312"/>
          <w:b/>
          <w:color w:val="auto"/>
          <w:sz w:val="24"/>
          <w:highlight w:val="none"/>
          <w:lang w:val="zh-CN"/>
        </w:rPr>
        <w:t>响应</w:t>
      </w:r>
      <w:r>
        <w:rPr>
          <w:rFonts w:ascii="黑体" w:hAnsi="黑体" w:eastAsia="黑体" w:cs="楷体_GB2312"/>
          <w:b/>
          <w:color w:val="auto"/>
          <w:sz w:val="24"/>
          <w:highlight w:val="none"/>
          <w:lang w:val="zh-CN"/>
        </w:rPr>
        <w:t>文件</w:t>
      </w:r>
    </w:p>
    <w:p>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）投标书。</w:t>
      </w:r>
    </w:p>
    <w:p>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color w:val="auto"/>
          <w:sz w:val="24"/>
          <w:highlight w:val="none"/>
        </w:rPr>
        <w:t>开标一览表（报价一览表）</w:t>
      </w:r>
    </w:p>
    <w:p>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w:t>
      </w:r>
      <w:r>
        <w:rPr>
          <w:rFonts w:hint="eastAsia"/>
          <w:color w:val="auto"/>
          <w:sz w:val="24"/>
          <w:highlight w:val="none"/>
        </w:rPr>
        <w:t>投标报价明细表</w:t>
      </w:r>
    </w:p>
    <w:p>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w:t>
      </w:r>
      <w:r>
        <w:rPr>
          <w:rFonts w:hint="eastAsia"/>
          <w:color w:val="auto"/>
          <w:sz w:val="24"/>
          <w:highlight w:val="none"/>
        </w:rPr>
        <w:t>投标产品清单及其技术参数，调试方案</w:t>
      </w:r>
    </w:p>
    <w:p>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5</w:t>
      </w:r>
      <w:r>
        <w:rPr>
          <w:rFonts w:hint="eastAsia"/>
          <w:color w:val="auto"/>
          <w:sz w:val="24"/>
          <w:highlight w:val="none"/>
        </w:rPr>
        <w:t>）技术偏差表。</w:t>
      </w:r>
    </w:p>
    <w:p>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w:t>
      </w:r>
      <w:r>
        <w:rPr>
          <w:rFonts w:hint="eastAsia"/>
          <w:color w:val="auto"/>
          <w:sz w:val="24"/>
          <w:highlight w:val="none"/>
        </w:rPr>
        <w:t>其他偏差表</w:t>
      </w:r>
    </w:p>
    <w:p>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w:t>
      </w:r>
      <w:r>
        <w:rPr>
          <w:rFonts w:hint="eastAsia"/>
          <w:color w:val="auto"/>
          <w:sz w:val="24"/>
          <w:highlight w:val="none"/>
        </w:rPr>
        <w:t>售后服务计划</w:t>
      </w:r>
    </w:p>
    <w:p>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color w:val="auto"/>
          <w:sz w:val="24"/>
          <w:highlight w:val="none"/>
        </w:rPr>
        <w:t>反商业贿赂承诺书。</w:t>
      </w:r>
    </w:p>
    <w:p>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color w:val="auto"/>
          <w:sz w:val="24"/>
          <w:highlight w:val="none"/>
        </w:rPr>
        <w:t>履约承诺书。</w:t>
      </w:r>
    </w:p>
    <w:p>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10</w:t>
      </w:r>
      <w:r>
        <w:rPr>
          <w:rFonts w:hint="eastAsia"/>
          <w:color w:val="auto"/>
          <w:sz w:val="24"/>
          <w:highlight w:val="none"/>
        </w:rPr>
        <w:t>）招标项目要求及采购需求所需的其他材料（按条款需要）</w:t>
      </w:r>
    </w:p>
    <w:p>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11</w:t>
      </w:r>
      <w:r>
        <w:rPr>
          <w:rFonts w:hint="eastAsia"/>
          <w:color w:val="auto"/>
          <w:sz w:val="24"/>
          <w:highlight w:val="none"/>
        </w:rPr>
        <w:t>）投标人须知所需的其他材料（按条款需要）</w:t>
      </w:r>
    </w:p>
    <w:p>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12</w:t>
      </w:r>
      <w:r>
        <w:rPr>
          <w:rFonts w:hint="eastAsia"/>
          <w:color w:val="auto"/>
          <w:sz w:val="24"/>
          <w:highlight w:val="none"/>
        </w:rPr>
        <w:t>）评标办法所需的其他材料（按条款需要）</w:t>
      </w:r>
    </w:p>
    <w:p>
      <w:pPr>
        <w:autoSpaceDE w:val="0"/>
        <w:autoSpaceDN w:val="0"/>
        <w:adjustRightInd w:val="0"/>
        <w:snapToGrid w:val="0"/>
        <w:spacing w:line="300" w:lineRule="auto"/>
        <w:ind w:firstLine="520" w:firstLineChars="217"/>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w:t>
      </w:r>
      <w:r>
        <w:rPr>
          <w:rFonts w:hint="eastAsia" w:ascii="宋体" w:hAnsi="宋体"/>
          <w:color w:val="auto"/>
          <w:sz w:val="24"/>
          <w:highlight w:val="none"/>
        </w:rPr>
        <w:t>投标人认为有必要提交的其它材料</w:t>
      </w:r>
    </w:p>
    <w:p>
      <w:pPr>
        <w:autoSpaceDE w:val="0"/>
        <w:autoSpaceDN w:val="0"/>
        <w:adjustRightInd w:val="0"/>
        <w:snapToGrid w:val="0"/>
        <w:spacing w:line="300" w:lineRule="auto"/>
        <w:ind w:firstLine="520" w:firstLineChars="217"/>
        <w:rPr>
          <w:rFonts w:ascii="宋体" w:hAnsi="宋体"/>
          <w:color w:val="auto"/>
          <w:sz w:val="24"/>
          <w:highlight w:val="none"/>
        </w:rPr>
      </w:pPr>
    </w:p>
    <w:p>
      <w:pPr>
        <w:adjustRightInd w:val="0"/>
        <w:snapToGrid w:val="0"/>
        <w:spacing w:before="156" w:beforeLines="50" w:line="300" w:lineRule="auto"/>
        <w:ind w:firstLine="539"/>
        <w:textAlignment w:val="top"/>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资</w:t>
      </w:r>
      <w:r>
        <w:rPr>
          <w:rFonts w:ascii="黑体" w:hAnsi="黑体" w:eastAsia="黑体" w:cs="楷体_GB2312"/>
          <w:b/>
          <w:color w:val="auto"/>
          <w:sz w:val="24"/>
          <w:highlight w:val="none"/>
          <w:lang w:val="zh-CN"/>
        </w:rPr>
        <w:t>格性</w:t>
      </w:r>
      <w:r>
        <w:rPr>
          <w:rFonts w:hint="eastAsia" w:ascii="黑体" w:hAnsi="黑体" w:eastAsia="黑体" w:cs="楷体_GB2312"/>
          <w:b/>
          <w:color w:val="auto"/>
          <w:sz w:val="24"/>
          <w:highlight w:val="none"/>
          <w:lang w:val="zh-CN"/>
        </w:rPr>
        <w:t>证明文件</w:t>
      </w:r>
    </w:p>
    <w:p>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14</w:t>
      </w:r>
      <w:r>
        <w:rPr>
          <w:rFonts w:hint="eastAsia" w:ascii="宋体" w:hAnsi="宋体" w:cs="楷体_GB2312"/>
          <w:color w:val="auto"/>
          <w:sz w:val="24"/>
          <w:highlight w:val="none"/>
          <w:lang w:val="zh-CN"/>
        </w:rPr>
        <w:t>）</w:t>
      </w:r>
      <w:r>
        <w:rPr>
          <w:rFonts w:hint="eastAsia"/>
          <w:color w:val="auto"/>
          <w:sz w:val="24"/>
          <w:highlight w:val="none"/>
        </w:rPr>
        <w:t>关于资格的声明函</w:t>
      </w:r>
    </w:p>
    <w:p>
      <w:pPr>
        <w:autoSpaceDE w:val="0"/>
        <w:autoSpaceDN w:val="0"/>
        <w:adjustRightInd w:val="0"/>
        <w:snapToGrid w:val="0"/>
        <w:spacing w:line="300" w:lineRule="auto"/>
        <w:ind w:firstLine="520" w:firstLineChars="217"/>
        <w:rPr>
          <w:rFonts w:ascii="宋体" w:cs="楷体_GB2312"/>
          <w:color w:val="auto"/>
          <w:sz w:val="24"/>
          <w:highlight w:val="none"/>
          <w:lang w:val="zh-CN"/>
        </w:rPr>
      </w:pPr>
      <w:r>
        <w:rPr>
          <w:rFonts w:hint="eastAsia"/>
          <w:color w:val="auto"/>
          <w:sz w:val="24"/>
          <w:highlight w:val="none"/>
        </w:rPr>
        <w:t>（</w:t>
      </w:r>
      <w:r>
        <w:rPr>
          <w:color w:val="auto"/>
          <w:sz w:val="24"/>
          <w:highlight w:val="none"/>
        </w:rPr>
        <w:t>15</w:t>
      </w:r>
      <w:r>
        <w:rPr>
          <w:rFonts w:hint="eastAsia"/>
          <w:color w:val="auto"/>
          <w:sz w:val="24"/>
          <w:highlight w:val="none"/>
        </w:rPr>
        <w:t>）资格要求相关证明材料（文件）</w:t>
      </w:r>
    </w:p>
    <w:p>
      <w:pPr>
        <w:widowControl w:val="0"/>
        <w:snapToGrid w:val="0"/>
        <w:spacing w:line="360" w:lineRule="auto"/>
        <w:ind w:firstLine="578"/>
        <w:textAlignment w:val="top"/>
        <w:rPr>
          <w:color w:val="auto"/>
          <w:sz w:val="24"/>
          <w:szCs w:val="24"/>
          <w:highlight w:val="none"/>
        </w:rPr>
      </w:pPr>
    </w:p>
    <w:p>
      <w:pPr>
        <w:widowControl w:val="0"/>
        <w:numPr>
          <w:ilvl w:val="0"/>
          <w:numId w:val="8"/>
        </w:numPr>
        <w:snapToGrid w:val="0"/>
        <w:spacing w:line="360" w:lineRule="auto"/>
        <w:textAlignment w:val="top"/>
        <w:rPr>
          <w:color w:val="auto"/>
          <w:sz w:val="24"/>
          <w:szCs w:val="24"/>
          <w:highlight w:val="none"/>
        </w:rPr>
      </w:pPr>
      <w:r>
        <w:rPr>
          <w:rFonts w:hint="eastAsia"/>
          <w:color w:val="auto"/>
          <w:sz w:val="24"/>
          <w:szCs w:val="24"/>
          <w:highlight w:val="none"/>
        </w:rPr>
        <w:t>愿按照招标文件中规定的条款和要求，提供完成招标文件规定的全部工作，</w:t>
      </w:r>
    </w:p>
    <w:p>
      <w:pPr>
        <w:widowControl w:val="0"/>
        <w:snapToGrid w:val="0"/>
        <w:spacing w:line="360" w:lineRule="auto"/>
        <w:ind w:left="578"/>
        <w:textAlignment w:val="top"/>
        <w:rPr>
          <w:color w:val="auto"/>
          <w:sz w:val="24"/>
          <w:szCs w:val="24"/>
          <w:highlight w:val="none"/>
        </w:rPr>
      </w:pPr>
      <w:r>
        <w:rPr>
          <w:rFonts w:hint="eastAsia"/>
          <w:color w:val="auto"/>
          <w:sz w:val="24"/>
          <w:szCs w:val="24"/>
          <w:highlight w:val="none"/>
        </w:rPr>
        <w:t>包</w:t>
      </w:r>
      <w:r>
        <w:rPr>
          <w:rFonts w:hint="eastAsia"/>
          <w:color w:val="auto"/>
          <w:sz w:val="24"/>
          <w:szCs w:val="24"/>
          <w:highlight w:val="none"/>
          <w:u w:val="single"/>
        </w:rPr>
        <w:t xml:space="preserve">  </w:t>
      </w:r>
      <w:r>
        <w:rPr>
          <w:rFonts w:hint="eastAsia"/>
          <w:color w:val="auto"/>
          <w:sz w:val="24"/>
          <w:szCs w:val="24"/>
          <w:highlight w:val="none"/>
        </w:rPr>
        <w:t>投标总价为人民币（大写）</w:t>
      </w:r>
      <w:r>
        <w:rPr>
          <w:rFonts w:hint="eastAsia"/>
          <w:color w:val="auto"/>
          <w:sz w:val="24"/>
          <w:szCs w:val="24"/>
          <w:highlight w:val="none"/>
        </w:rPr>
        <w:tab/>
      </w:r>
      <w:r>
        <w:rPr>
          <w:rFonts w:hint="eastAsia"/>
          <w:color w:val="auto"/>
          <w:sz w:val="24"/>
          <w:szCs w:val="24"/>
          <w:highlight w:val="none"/>
        </w:rPr>
        <w:t xml:space="preserve">            ，（ RMB¥：       元 ），</w:t>
      </w:r>
    </w:p>
    <w:p>
      <w:pPr>
        <w:widowControl w:val="0"/>
        <w:snapToGrid w:val="0"/>
        <w:spacing w:line="360" w:lineRule="auto"/>
        <w:ind w:left="578"/>
        <w:textAlignment w:val="top"/>
        <w:rPr>
          <w:color w:val="auto"/>
          <w:sz w:val="24"/>
          <w:szCs w:val="24"/>
          <w:highlight w:val="none"/>
        </w:rPr>
      </w:pPr>
      <w:r>
        <w:rPr>
          <w:rFonts w:hint="eastAsia"/>
          <w:color w:val="auto"/>
          <w:sz w:val="24"/>
          <w:szCs w:val="24"/>
          <w:highlight w:val="none"/>
        </w:rPr>
        <w:t>交付（实施）期：</w:t>
      </w:r>
      <w:r>
        <w:rPr>
          <w:rFonts w:hint="eastAsia"/>
          <w:color w:val="auto"/>
          <w:sz w:val="24"/>
          <w:szCs w:val="24"/>
          <w:highlight w:val="none"/>
          <w:u w:val="single"/>
        </w:rPr>
        <w:t xml:space="preserve">             </w:t>
      </w:r>
      <w:r>
        <w:rPr>
          <w:rFonts w:hint="eastAsia"/>
          <w:color w:val="auto"/>
          <w:sz w:val="24"/>
          <w:szCs w:val="24"/>
          <w:highlight w:val="none"/>
        </w:rPr>
        <w:t>，交付（实施）地点：</w:t>
      </w:r>
      <w:r>
        <w:rPr>
          <w:rFonts w:hint="eastAsia"/>
          <w:color w:val="auto"/>
          <w:sz w:val="24"/>
          <w:szCs w:val="24"/>
          <w:highlight w:val="none"/>
          <w:u w:val="single"/>
        </w:rPr>
        <w:t xml:space="preserve">               </w:t>
      </w:r>
      <w:r>
        <w:rPr>
          <w:rFonts w:hint="eastAsia"/>
          <w:color w:val="auto"/>
          <w:sz w:val="24"/>
          <w:szCs w:val="24"/>
          <w:highlight w:val="none"/>
        </w:rPr>
        <w:t>。</w:t>
      </w:r>
    </w:p>
    <w:p>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2.如果我们的投标文件被接受，我们将履行招标文件中规定的每一项要求，按期、按质、按量履行合同。</w:t>
      </w:r>
    </w:p>
    <w:p>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3.我们已详细阅读全部招标文件，包括修改文件以及全部参考资料和有关附件。我们完全理解并同意放弃对这方面有不明及误解的权力。</w:t>
      </w:r>
    </w:p>
    <w:p>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4.我们同意提供按照贵方可能要求的与其投标有关的一切数据或资料，理解贵方不一定要接受最低价的投标或收到的任何投标。</w:t>
      </w:r>
    </w:p>
    <w:p>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5.本投标自开标日起有效期为90日历天。</w:t>
      </w:r>
    </w:p>
    <w:p>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6.我们愿按《中华人民共和国民法典》履行其的全部责任。</w:t>
      </w:r>
    </w:p>
    <w:p>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7.</w:t>
      </w:r>
      <w:r>
        <w:rPr>
          <w:rFonts w:hint="eastAsia"/>
          <w:color w:val="auto"/>
          <w:highlight w:val="none"/>
        </w:rPr>
        <w:t xml:space="preserve"> </w:t>
      </w:r>
      <w:r>
        <w:rPr>
          <w:rFonts w:hint="eastAsia"/>
          <w:color w:val="auto"/>
          <w:sz w:val="24"/>
          <w:szCs w:val="24"/>
          <w:highlight w:val="none"/>
        </w:rPr>
        <w:t>我们承诺按照《招标文件》规定的付款方式执行。</w:t>
      </w:r>
    </w:p>
    <w:p>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8.如果在规定的开标时间后，我单位在投标有效期内撤回投标的，依据招标文件“第三章3.5.5 违背承诺的责任追究措施”，我单位承担相应法律责任及违约责任。</w:t>
      </w:r>
    </w:p>
    <w:p>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与本投标有关的一切正式往来请寄：</w:t>
      </w:r>
    </w:p>
    <w:p>
      <w:pPr>
        <w:widowControl w:val="0"/>
        <w:snapToGrid w:val="0"/>
        <w:spacing w:line="360" w:lineRule="auto"/>
        <w:ind w:firstLine="578"/>
        <w:textAlignment w:val="top"/>
        <w:rPr>
          <w:color w:val="auto"/>
          <w:sz w:val="24"/>
          <w:szCs w:val="24"/>
          <w:highlight w:val="none"/>
        </w:rPr>
      </w:pPr>
    </w:p>
    <w:p>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地址：</w:t>
      </w:r>
      <w:r>
        <w:rPr>
          <w:rFonts w:hint="eastAsia"/>
          <w:color w:val="auto"/>
          <w:sz w:val="24"/>
          <w:szCs w:val="24"/>
          <w:highlight w:val="none"/>
        </w:rPr>
        <w:tab/>
      </w:r>
      <w:r>
        <w:rPr>
          <w:rFonts w:hint="eastAsia"/>
          <w:color w:val="auto"/>
          <w:sz w:val="24"/>
          <w:szCs w:val="24"/>
          <w:highlight w:val="none"/>
        </w:rPr>
        <w:tab/>
      </w:r>
      <w:r>
        <w:rPr>
          <w:rFonts w:hint="eastAsia"/>
          <w:color w:val="auto"/>
          <w:sz w:val="24"/>
          <w:szCs w:val="24"/>
          <w:highlight w:val="none"/>
        </w:rPr>
        <w:t xml:space="preserve">                       邮政编码：       </w:t>
      </w:r>
    </w:p>
    <w:p>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电话：</w:t>
      </w:r>
      <w:r>
        <w:rPr>
          <w:rFonts w:hint="eastAsia"/>
          <w:color w:val="auto"/>
          <w:sz w:val="24"/>
          <w:szCs w:val="24"/>
          <w:highlight w:val="none"/>
        </w:rPr>
        <w:tab/>
      </w:r>
      <w:r>
        <w:rPr>
          <w:rFonts w:hint="eastAsia"/>
          <w:color w:val="auto"/>
          <w:sz w:val="24"/>
          <w:szCs w:val="24"/>
          <w:highlight w:val="none"/>
        </w:rPr>
        <w:tab/>
      </w:r>
      <w:r>
        <w:rPr>
          <w:rFonts w:hint="eastAsia"/>
          <w:color w:val="auto"/>
          <w:sz w:val="24"/>
          <w:szCs w:val="24"/>
          <w:highlight w:val="none"/>
        </w:rPr>
        <w:t xml:space="preserve">                       传真：</w:t>
      </w:r>
    </w:p>
    <w:p>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日期：</w:t>
      </w:r>
    </w:p>
    <w:p>
      <w:pPr>
        <w:widowControl w:val="0"/>
        <w:snapToGrid w:val="0"/>
        <w:spacing w:line="360" w:lineRule="auto"/>
        <w:textAlignment w:val="top"/>
        <w:rPr>
          <w:color w:val="auto"/>
          <w:sz w:val="24"/>
          <w:szCs w:val="24"/>
          <w:highlight w:val="none"/>
        </w:rPr>
      </w:pPr>
    </w:p>
    <w:p>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widowControl w:val="0"/>
        <w:snapToGrid w:val="0"/>
        <w:spacing w:line="360" w:lineRule="auto"/>
        <w:textAlignment w:val="top"/>
        <w:rPr>
          <w:color w:val="auto"/>
          <w:sz w:val="24"/>
          <w:szCs w:val="24"/>
          <w:highlight w:val="none"/>
        </w:rPr>
      </w:pPr>
    </w:p>
    <w:p>
      <w:pPr>
        <w:widowControl w:val="0"/>
        <w:snapToGrid w:val="0"/>
        <w:spacing w:line="560" w:lineRule="exact"/>
        <w:jc w:val="center"/>
        <w:rPr>
          <w:rFonts w:eastAsia="方正黑体简体"/>
          <w:b/>
          <w:color w:val="auto"/>
          <w:sz w:val="30"/>
          <w:szCs w:val="30"/>
          <w:highlight w:val="none"/>
        </w:rPr>
      </w:pPr>
      <w:r>
        <w:rPr>
          <w:rFonts w:eastAsia="方正黑体简体"/>
          <w:b/>
          <w:color w:val="auto"/>
          <w:sz w:val="30"/>
          <w:szCs w:val="30"/>
          <w:highlight w:val="none"/>
        </w:rPr>
        <w:br w:type="page"/>
      </w:r>
    </w:p>
    <w:p>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2、开标一览表</w:t>
      </w:r>
    </w:p>
    <w:p>
      <w:pPr>
        <w:pStyle w:val="17"/>
        <w:adjustRightInd w:val="0"/>
        <w:snapToGrid w:val="0"/>
        <w:spacing w:before="0" w:beforeAutospacing="0" w:after="0" w:afterAutospacing="0"/>
        <w:rPr>
          <w:color w:val="auto"/>
          <w:highlight w:val="none"/>
        </w:rPr>
      </w:pPr>
    </w:p>
    <w:p>
      <w:pPr>
        <w:widowControl w:val="0"/>
        <w:snapToGrid w:val="0"/>
        <w:spacing w:before="156" w:beforeLines="50" w:line="240" w:lineRule="auto"/>
        <w:ind w:left="-145" w:right="-41" w:firstLine="542"/>
        <w:rPr>
          <w:b/>
          <w:color w:val="auto"/>
          <w:sz w:val="24"/>
          <w:szCs w:val="24"/>
          <w:highlight w:val="none"/>
        </w:rPr>
      </w:pPr>
      <w:r>
        <w:rPr>
          <w:rFonts w:hint="eastAsia"/>
          <w:b/>
          <w:color w:val="auto"/>
          <w:sz w:val="24"/>
          <w:szCs w:val="24"/>
          <w:highlight w:val="none"/>
        </w:rPr>
        <w:t>注：</w:t>
      </w:r>
      <w:r>
        <w:rPr>
          <w:b/>
          <w:color w:val="auto"/>
          <w:sz w:val="24"/>
          <w:szCs w:val="24"/>
          <w:highlight w:val="none"/>
        </w:rPr>
        <w:t>1</w:t>
      </w:r>
      <w:r>
        <w:rPr>
          <w:rFonts w:hint="eastAsia"/>
          <w:b/>
          <w:color w:val="auto"/>
          <w:sz w:val="24"/>
          <w:szCs w:val="24"/>
          <w:highlight w:val="none"/>
        </w:rPr>
        <w:t>、投标人需在安阳市公共资源电子交易平台新系统投标文件制作工具中、按系统要求填列开标一览表（报价一览表），系统中填列的开标一览表（报价一览表）为投标人《投标文件》（响应文件）的一部分。</w:t>
      </w:r>
    </w:p>
    <w:p>
      <w:pPr>
        <w:widowControl w:val="0"/>
        <w:tabs>
          <w:tab w:val="left" w:pos="9365"/>
        </w:tabs>
        <w:snapToGrid w:val="0"/>
        <w:spacing w:after="56" w:line="240" w:lineRule="auto"/>
        <w:ind w:left="-145" w:right="-41" w:firstLine="480" w:firstLineChars="200"/>
        <w:jc w:val="left"/>
        <w:textAlignment w:val="top"/>
        <w:rPr>
          <w:color w:val="auto"/>
          <w:sz w:val="24"/>
          <w:szCs w:val="24"/>
          <w:highlight w:val="none"/>
        </w:rPr>
      </w:pPr>
      <w:r>
        <w:rPr>
          <w:rFonts w:hint="eastAsia"/>
          <w:color w:val="auto"/>
          <w:sz w:val="24"/>
          <w:szCs w:val="24"/>
          <w:highlight w:val="none"/>
        </w:rPr>
        <w:t>2、投标人的投标报价（价格构成）应包括招标文件所述投标报价的所有内容。</w:t>
      </w:r>
    </w:p>
    <w:p>
      <w:pPr>
        <w:widowControl w:val="0"/>
        <w:tabs>
          <w:tab w:val="left" w:pos="9365"/>
        </w:tabs>
        <w:snapToGrid w:val="0"/>
        <w:spacing w:after="56" w:line="240" w:lineRule="auto"/>
        <w:ind w:left="-145" w:right="-41" w:firstLine="480" w:firstLineChars="200"/>
        <w:jc w:val="left"/>
        <w:textAlignment w:val="top"/>
        <w:rPr>
          <w:color w:val="auto"/>
          <w:sz w:val="24"/>
          <w:szCs w:val="24"/>
          <w:highlight w:val="none"/>
        </w:rPr>
      </w:pPr>
      <w:r>
        <w:rPr>
          <w:rFonts w:hint="eastAsia"/>
          <w:color w:val="auto"/>
          <w:sz w:val="24"/>
          <w:szCs w:val="24"/>
          <w:highlight w:val="none"/>
        </w:rPr>
        <w:t>3、投标人可对招标文件中所列的所有标段（包）进行分别投标，也可选择其中一个标段（包）或几个标段（包）投标，但不得将招标文件规定的同一标段（包）的内容拆开投标，否则将按无效投标处理。</w:t>
      </w:r>
    </w:p>
    <w:p>
      <w:pPr>
        <w:widowControl w:val="0"/>
        <w:tabs>
          <w:tab w:val="left" w:pos="9365"/>
        </w:tabs>
        <w:snapToGrid w:val="0"/>
        <w:spacing w:after="56" w:line="240" w:lineRule="auto"/>
        <w:ind w:left="-145" w:right="-41" w:firstLine="480" w:firstLineChars="200"/>
        <w:jc w:val="left"/>
        <w:textAlignment w:val="top"/>
        <w:rPr>
          <w:color w:val="auto"/>
          <w:sz w:val="24"/>
          <w:szCs w:val="24"/>
          <w:highlight w:val="none"/>
        </w:rPr>
      </w:pPr>
      <w:r>
        <w:rPr>
          <w:rFonts w:hint="eastAsia"/>
          <w:color w:val="auto"/>
          <w:sz w:val="24"/>
          <w:szCs w:val="24"/>
          <w:highlight w:val="none"/>
        </w:rPr>
        <w:t>4、开标一览表与报价明细表有差别时，以开标一览表为准；大写文字表示的数据与小写数字表示的有差别时，以大写文字表示的数据为准。</w:t>
      </w:r>
    </w:p>
    <w:p>
      <w:pPr>
        <w:widowControl w:val="0"/>
        <w:tabs>
          <w:tab w:val="left" w:pos="9365"/>
        </w:tabs>
        <w:snapToGrid w:val="0"/>
        <w:spacing w:after="56" w:line="240" w:lineRule="auto"/>
        <w:ind w:left="-145" w:right="-41" w:firstLine="480" w:firstLineChars="200"/>
        <w:jc w:val="left"/>
        <w:textAlignment w:val="top"/>
        <w:rPr>
          <w:color w:val="auto"/>
          <w:sz w:val="24"/>
          <w:szCs w:val="24"/>
          <w:highlight w:val="none"/>
        </w:rPr>
      </w:pPr>
      <w:r>
        <w:rPr>
          <w:rFonts w:hint="eastAsia"/>
          <w:color w:val="auto"/>
          <w:sz w:val="24"/>
          <w:szCs w:val="24"/>
          <w:highlight w:val="none"/>
        </w:rPr>
        <w:t>5、本次采购项目专门面向小微企业，专门面向小微企业的采购项目无价格扣除。</w:t>
      </w:r>
    </w:p>
    <w:p>
      <w:pPr>
        <w:widowControl w:val="0"/>
        <w:snapToGrid w:val="0"/>
        <w:spacing w:line="560" w:lineRule="exact"/>
        <w:ind w:left="-145" w:right="-41" w:firstLine="562" w:firstLineChars="200"/>
        <w:jc w:val="left"/>
        <w:rPr>
          <w:b/>
          <w:color w:val="auto"/>
          <w:sz w:val="28"/>
          <w:highlight w:val="none"/>
        </w:rPr>
      </w:pPr>
    </w:p>
    <w:p>
      <w:pPr>
        <w:widowControl w:val="0"/>
        <w:snapToGrid w:val="0"/>
        <w:spacing w:line="560" w:lineRule="exact"/>
        <w:ind w:left="-145" w:right="-41" w:firstLine="562" w:firstLineChars="200"/>
        <w:jc w:val="left"/>
        <w:rPr>
          <w:b/>
          <w:color w:val="auto"/>
          <w:sz w:val="28"/>
          <w:highlight w:val="none"/>
        </w:rPr>
      </w:pPr>
    </w:p>
    <w:p>
      <w:pPr>
        <w:widowControl w:val="0"/>
        <w:snapToGrid w:val="0"/>
        <w:spacing w:line="560" w:lineRule="exact"/>
        <w:ind w:left="-145" w:right="-41" w:firstLine="562" w:firstLineChars="200"/>
        <w:jc w:val="left"/>
        <w:rPr>
          <w:b/>
          <w:color w:val="auto"/>
          <w:sz w:val="28"/>
          <w:highlight w:val="none"/>
        </w:rPr>
      </w:pPr>
    </w:p>
    <w:p>
      <w:pPr>
        <w:widowControl w:val="0"/>
        <w:snapToGrid w:val="0"/>
        <w:spacing w:line="560" w:lineRule="exact"/>
        <w:ind w:left="-145" w:right="-41" w:firstLine="562" w:firstLineChars="200"/>
        <w:jc w:val="left"/>
        <w:rPr>
          <w:b/>
          <w:color w:val="auto"/>
          <w:sz w:val="28"/>
          <w:highlight w:val="none"/>
        </w:rPr>
      </w:pPr>
    </w:p>
    <w:p>
      <w:pPr>
        <w:widowControl w:val="0"/>
        <w:snapToGrid w:val="0"/>
        <w:spacing w:line="560" w:lineRule="exact"/>
        <w:ind w:left="-145" w:right="-41" w:firstLine="562" w:firstLineChars="200"/>
        <w:jc w:val="left"/>
        <w:rPr>
          <w:b/>
          <w:color w:val="auto"/>
          <w:sz w:val="28"/>
          <w:highlight w:val="none"/>
        </w:rPr>
      </w:pPr>
    </w:p>
    <w:p>
      <w:pPr>
        <w:widowControl w:val="0"/>
        <w:snapToGrid w:val="0"/>
        <w:spacing w:line="560" w:lineRule="exact"/>
        <w:ind w:left="-145" w:right="-41" w:firstLine="562" w:firstLineChars="200"/>
        <w:jc w:val="left"/>
        <w:rPr>
          <w:b/>
          <w:color w:val="auto"/>
          <w:sz w:val="28"/>
          <w:highlight w:val="none"/>
        </w:rPr>
      </w:pPr>
    </w:p>
    <w:p>
      <w:pPr>
        <w:widowControl w:val="0"/>
        <w:snapToGrid w:val="0"/>
        <w:spacing w:line="560" w:lineRule="exact"/>
        <w:ind w:left="-145" w:right="-41" w:firstLine="562" w:firstLineChars="200"/>
        <w:jc w:val="left"/>
        <w:rPr>
          <w:b/>
          <w:color w:val="auto"/>
          <w:sz w:val="28"/>
          <w:highlight w:val="none"/>
        </w:rPr>
      </w:pPr>
    </w:p>
    <w:p>
      <w:pPr>
        <w:autoSpaceDE w:val="0"/>
        <w:autoSpaceDN w:val="0"/>
        <w:adjustRightInd w:val="0"/>
        <w:spacing w:line="360" w:lineRule="auto"/>
        <w:rPr>
          <w:rFonts w:ascii="宋体" w:cs="楷体_GB2312"/>
          <w:color w:val="auto"/>
          <w:sz w:val="24"/>
          <w:highlight w:val="none"/>
          <w:lang w:val="zh-CN"/>
        </w:rPr>
      </w:pPr>
      <w:r>
        <w:rPr>
          <w:rFonts w:hint="eastAsia" w:ascii="宋体" w:hAnsi="宋体"/>
          <w:color w:val="auto"/>
          <w:sz w:val="24"/>
          <w:highlight w:val="none"/>
        </w:rPr>
        <w:t>投标人</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pPr>
        <w:autoSpaceDE w:val="0"/>
        <w:autoSpaceDN w:val="0"/>
        <w:adjustRightInd w:val="0"/>
        <w:spacing w:line="360" w:lineRule="auto"/>
        <w:ind w:left="-2" w:right="-817" w:firstLine="2"/>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pPr>
        <w:widowControl w:val="0"/>
        <w:tabs>
          <w:tab w:val="left" w:pos="9365"/>
        </w:tabs>
        <w:snapToGrid w:val="0"/>
        <w:spacing w:after="56" w:line="560" w:lineRule="exact"/>
        <w:ind w:right="56"/>
        <w:jc w:val="left"/>
        <w:textAlignment w:val="top"/>
        <w:rPr>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widowControl w:val="0"/>
        <w:snapToGrid w:val="0"/>
        <w:spacing w:line="560" w:lineRule="exact"/>
        <w:jc w:val="center"/>
        <w:rPr>
          <w:rFonts w:ascii="黑体" w:hAnsi="黑体" w:eastAsia="黑体"/>
          <w:b/>
          <w:color w:val="auto"/>
          <w:sz w:val="30"/>
          <w:szCs w:val="30"/>
          <w:highlight w:val="none"/>
        </w:rPr>
      </w:pPr>
    </w:p>
    <w:p>
      <w:pPr>
        <w:widowControl w:val="0"/>
        <w:snapToGrid w:val="0"/>
        <w:spacing w:line="560" w:lineRule="exact"/>
        <w:jc w:val="center"/>
        <w:rPr>
          <w:rFonts w:ascii="黑体" w:hAnsi="黑体" w:eastAsia="黑体"/>
          <w:b/>
          <w:color w:val="auto"/>
          <w:sz w:val="30"/>
          <w:szCs w:val="30"/>
          <w:highlight w:val="none"/>
        </w:rPr>
      </w:pPr>
      <w:r>
        <w:rPr>
          <w:rFonts w:ascii="黑体" w:hAnsi="黑体" w:eastAsia="黑体"/>
          <w:b/>
          <w:color w:val="auto"/>
          <w:sz w:val="30"/>
          <w:szCs w:val="30"/>
          <w:highlight w:val="none"/>
        </w:rPr>
        <w:br w:type="page"/>
      </w:r>
    </w:p>
    <w:p>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3、投标报价明细表</w:t>
      </w:r>
    </w:p>
    <w:p>
      <w:pPr>
        <w:pStyle w:val="17"/>
        <w:adjustRightInd w:val="0"/>
        <w:snapToGrid w:val="0"/>
        <w:spacing w:before="156" w:beforeLines="50" w:beforeAutospacing="0" w:after="0" w:afterAutospacing="0"/>
        <w:rPr>
          <w:color w:val="auto"/>
          <w:highlight w:val="none"/>
        </w:rPr>
      </w:pPr>
    </w:p>
    <w:p>
      <w:pPr>
        <w:pStyle w:val="17"/>
        <w:adjustRightInd w:val="0"/>
        <w:snapToGrid w:val="0"/>
        <w:spacing w:before="0" w:beforeAutospacing="0" w:after="0" w:afterAutospacing="0"/>
        <w:rPr>
          <w:color w:val="auto"/>
          <w:highlight w:val="none"/>
          <w:u w:val="single"/>
        </w:rPr>
      </w:pPr>
      <w:r>
        <w:rPr>
          <w:rFonts w:hint="eastAsia"/>
          <w:color w:val="auto"/>
          <w:highlight w:val="none"/>
        </w:rPr>
        <w:t>项目名称：</w:t>
      </w:r>
    </w:p>
    <w:p>
      <w:pPr>
        <w:pStyle w:val="17"/>
        <w:adjustRightInd w:val="0"/>
        <w:snapToGrid w:val="0"/>
        <w:spacing w:before="0" w:beforeAutospacing="0" w:after="0" w:afterAutospacing="0"/>
        <w:rPr>
          <w:color w:val="auto"/>
          <w:highlight w:val="none"/>
          <w:u w:val="single"/>
        </w:rPr>
      </w:pPr>
      <w:r>
        <w:rPr>
          <w:rFonts w:hint="eastAsia"/>
          <w:color w:val="auto"/>
          <w:highlight w:val="none"/>
        </w:rPr>
        <w:t>项目编号：</w:t>
      </w:r>
    </w:p>
    <w:p>
      <w:pPr>
        <w:pStyle w:val="17"/>
        <w:adjustRightInd w:val="0"/>
        <w:snapToGrid w:val="0"/>
        <w:spacing w:before="0" w:beforeAutospacing="0" w:after="0" w:afterAutospacing="0"/>
        <w:rPr>
          <w:color w:val="auto"/>
          <w:highlight w:val="none"/>
          <w:u w:val="single"/>
        </w:rPr>
      </w:pPr>
    </w:p>
    <w:tbl>
      <w:tblPr>
        <w:tblStyle w:val="20"/>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1"/>
        <w:gridCol w:w="2093"/>
        <w:gridCol w:w="2786"/>
        <w:gridCol w:w="1006"/>
        <w:gridCol w:w="696"/>
        <w:gridCol w:w="929"/>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601"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rFonts w:hint="eastAsia"/>
                <w:color w:val="auto"/>
                <w:highlight w:val="none"/>
              </w:rPr>
              <w:t>序号</w:t>
            </w:r>
          </w:p>
        </w:tc>
        <w:tc>
          <w:tcPr>
            <w:tcW w:w="2093" w:type="dxa"/>
            <w:tcBorders>
              <w:top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rFonts w:hint="eastAsia"/>
                <w:color w:val="auto"/>
                <w:highlight w:val="none"/>
              </w:rPr>
              <w:t>产品名称</w:t>
            </w:r>
          </w:p>
        </w:tc>
        <w:tc>
          <w:tcPr>
            <w:tcW w:w="2786" w:type="dxa"/>
            <w:tcBorders>
              <w:top w:val="single" w:color="000000" w:sz="8" w:space="0"/>
              <w:bottom w:val="single" w:color="000000" w:sz="4" w:space="0"/>
            </w:tcBorders>
            <w:vAlign w:val="center"/>
          </w:tcPr>
          <w:p>
            <w:pPr>
              <w:spacing w:line="560" w:lineRule="exact"/>
              <w:jc w:val="center"/>
              <w:rPr>
                <w:color w:val="auto"/>
                <w:sz w:val="28"/>
                <w:highlight w:val="none"/>
              </w:rPr>
            </w:pPr>
            <w:r>
              <w:rPr>
                <w:rFonts w:hint="eastAsia"/>
                <w:color w:val="auto"/>
                <w:highlight w:val="none"/>
              </w:rPr>
              <w:t>品牌型号规格</w:t>
            </w:r>
          </w:p>
        </w:tc>
        <w:tc>
          <w:tcPr>
            <w:tcW w:w="1006" w:type="dxa"/>
            <w:tcBorders>
              <w:top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rFonts w:hint="eastAsia"/>
                <w:color w:val="auto"/>
                <w:highlight w:val="none"/>
              </w:rPr>
              <w:t>单位</w:t>
            </w:r>
          </w:p>
        </w:tc>
        <w:tc>
          <w:tcPr>
            <w:tcW w:w="696" w:type="dxa"/>
            <w:tcBorders>
              <w:top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rFonts w:hint="eastAsia"/>
                <w:color w:val="auto"/>
                <w:highlight w:val="none"/>
              </w:rPr>
              <w:t>数量</w:t>
            </w:r>
          </w:p>
        </w:tc>
        <w:tc>
          <w:tcPr>
            <w:tcW w:w="929" w:type="dxa"/>
            <w:tcBorders>
              <w:top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rFonts w:hint="eastAsia"/>
                <w:color w:val="auto"/>
                <w:highlight w:val="none"/>
              </w:rPr>
              <w:t>单价</w:t>
            </w:r>
          </w:p>
        </w:tc>
        <w:tc>
          <w:tcPr>
            <w:tcW w:w="1290" w:type="dxa"/>
            <w:tcBorders>
              <w:top w:val="single" w:color="000000" w:sz="8" w:space="0"/>
              <w:bottom w:val="single" w:color="000000" w:sz="4" w:space="0"/>
              <w:right w:val="single" w:color="000000" w:sz="8" w:space="0"/>
            </w:tcBorders>
            <w:vAlign w:val="center"/>
          </w:tcPr>
          <w:p>
            <w:pPr>
              <w:spacing w:line="560" w:lineRule="exact"/>
              <w:jc w:val="center"/>
              <w:rPr>
                <w:color w:val="auto"/>
                <w:sz w:val="28"/>
                <w:highlight w:val="none"/>
              </w:rPr>
            </w:pPr>
            <w:r>
              <w:rPr>
                <w:rFonts w:hint="eastAsia"/>
                <w:color w:val="auto"/>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601"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1</w:t>
            </w:r>
          </w:p>
        </w:tc>
        <w:tc>
          <w:tcPr>
            <w:tcW w:w="2093"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786" w:type="dxa"/>
            <w:tcBorders>
              <w:bottom w:val="single" w:color="000000" w:sz="4" w:space="0"/>
            </w:tcBorders>
            <w:vAlign w:val="center"/>
          </w:tcPr>
          <w:p>
            <w:pPr>
              <w:spacing w:line="560" w:lineRule="exact"/>
              <w:jc w:val="left"/>
              <w:rPr>
                <w:color w:val="auto"/>
                <w:sz w:val="28"/>
                <w:highlight w:val="none"/>
              </w:rPr>
            </w:pPr>
          </w:p>
        </w:tc>
        <w:tc>
          <w:tcPr>
            <w:tcW w:w="1006"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696"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929"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29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601"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2</w:t>
            </w:r>
          </w:p>
        </w:tc>
        <w:tc>
          <w:tcPr>
            <w:tcW w:w="2093"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786" w:type="dxa"/>
            <w:tcBorders>
              <w:bottom w:val="single" w:color="000000" w:sz="4" w:space="0"/>
            </w:tcBorders>
            <w:vAlign w:val="center"/>
          </w:tcPr>
          <w:p>
            <w:pPr>
              <w:spacing w:line="560" w:lineRule="exact"/>
              <w:jc w:val="left"/>
              <w:rPr>
                <w:color w:val="auto"/>
                <w:sz w:val="28"/>
                <w:highlight w:val="none"/>
              </w:rPr>
            </w:pPr>
          </w:p>
        </w:tc>
        <w:tc>
          <w:tcPr>
            <w:tcW w:w="1006"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696"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929"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29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601"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3</w:t>
            </w:r>
          </w:p>
        </w:tc>
        <w:tc>
          <w:tcPr>
            <w:tcW w:w="2093"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786" w:type="dxa"/>
            <w:tcBorders>
              <w:bottom w:val="single" w:color="000000" w:sz="4" w:space="0"/>
            </w:tcBorders>
            <w:vAlign w:val="center"/>
          </w:tcPr>
          <w:p>
            <w:pPr>
              <w:spacing w:line="560" w:lineRule="exact"/>
              <w:jc w:val="left"/>
              <w:rPr>
                <w:color w:val="auto"/>
                <w:sz w:val="28"/>
                <w:highlight w:val="none"/>
              </w:rPr>
            </w:pPr>
          </w:p>
        </w:tc>
        <w:tc>
          <w:tcPr>
            <w:tcW w:w="1006"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696"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929"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29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601"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4</w:t>
            </w:r>
          </w:p>
        </w:tc>
        <w:tc>
          <w:tcPr>
            <w:tcW w:w="2093"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786" w:type="dxa"/>
            <w:tcBorders>
              <w:bottom w:val="single" w:color="000000" w:sz="4" w:space="0"/>
            </w:tcBorders>
            <w:vAlign w:val="center"/>
          </w:tcPr>
          <w:p>
            <w:pPr>
              <w:spacing w:line="560" w:lineRule="exact"/>
              <w:jc w:val="center"/>
              <w:rPr>
                <w:color w:val="auto"/>
                <w:sz w:val="28"/>
                <w:highlight w:val="none"/>
              </w:rPr>
            </w:pPr>
          </w:p>
        </w:tc>
        <w:tc>
          <w:tcPr>
            <w:tcW w:w="1006"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696"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929"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29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601"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5</w:t>
            </w:r>
          </w:p>
        </w:tc>
        <w:tc>
          <w:tcPr>
            <w:tcW w:w="2093"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786" w:type="dxa"/>
            <w:tcBorders>
              <w:bottom w:val="single" w:color="000000" w:sz="4" w:space="0"/>
            </w:tcBorders>
            <w:vAlign w:val="center"/>
          </w:tcPr>
          <w:p>
            <w:pPr>
              <w:spacing w:line="560" w:lineRule="exact"/>
              <w:jc w:val="center"/>
              <w:rPr>
                <w:color w:val="auto"/>
                <w:sz w:val="28"/>
                <w:highlight w:val="none"/>
              </w:rPr>
            </w:pPr>
          </w:p>
        </w:tc>
        <w:tc>
          <w:tcPr>
            <w:tcW w:w="1006"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696"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929"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29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601"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6</w:t>
            </w:r>
          </w:p>
        </w:tc>
        <w:tc>
          <w:tcPr>
            <w:tcW w:w="2093"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786" w:type="dxa"/>
            <w:tcBorders>
              <w:bottom w:val="single" w:color="000000" w:sz="4" w:space="0"/>
            </w:tcBorders>
            <w:vAlign w:val="center"/>
          </w:tcPr>
          <w:p>
            <w:pPr>
              <w:spacing w:line="560" w:lineRule="exact"/>
              <w:jc w:val="center"/>
              <w:rPr>
                <w:color w:val="auto"/>
                <w:sz w:val="28"/>
                <w:highlight w:val="none"/>
              </w:rPr>
            </w:pPr>
          </w:p>
        </w:tc>
        <w:tc>
          <w:tcPr>
            <w:tcW w:w="1006"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696"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929"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29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601"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7</w:t>
            </w:r>
          </w:p>
        </w:tc>
        <w:tc>
          <w:tcPr>
            <w:tcW w:w="2093"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786" w:type="dxa"/>
            <w:tcBorders>
              <w:bottom w:val="single" w:color="000000" w:sz="4" w:space="0"/>
            </w:tcBorders>
            <w:vAlign w:val="center"/>
          </w:tcPr>
          <w:p>
            <w:pPr>
              <w:spacing w:line="560" w:lineRule="exact"/>
              <w:jc w:val="center"/>
              <w:rPr>
                <w:color w:val="auto"/>
                <w:sz w:val="28"/>
                <w:highlight w:val="none"/>
              </w:rPr>
            </w:pPr>
          </w:p>
        </w:tc>
        <w:tc>
          <w:tcPr>
            <w:tcW w:w="1006"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696"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929"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29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601"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8</w:t>
            </w:r>
          </w:p>
        </w:tc>
        <w:tc>
          <w:tcPr>
            <w:tcW w:w="2093"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786" w:type="dxa"/>
            <w:tcBorders>
              <w:bottom w:val="single" w:color="000000" w:sz="4" w:space="0"/>
            </w:tcBorders>
            <w:vAlign w:val="center"/>
          </w:tcPr>
          <w:p>
            <w:pPr>
              <w:spacing w:line="560" w:lineRule="exact"/>
              <w:jc w:val="center"/>
              <w:rPr>
                <w:color w:val="auto"/>
                <w:sz w:val="28"/>
                <w:highlight w:val="none"/>
              </w:rPr>
            </w:pPr>
          </w:p>
        </w:tc>
        <w:tc>
          <w:tcPr>
            <w:tcW w:w="1006"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696"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929"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29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01"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9</w:t>
            </w:r>
          </w:p>
        </w:tc>
        <w:tc>
          <w:tcPr>
            <w:tcW w:w="2093"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786" w:type="dxa"/>
            <w:tcBorders>
              <w:bottom w:val="single" w:color="000000" w:sz="4" w:space="0"/>
            </w:tcBorders>
            <w:vAlign w:val="center"/>
          </w:tcPr>
          <w:p>
            <w:pPr>
              <w:spacing w:line="560" w:lineRule="exact"/>
              <w:jc w:val="center"/>
              <w:rPr>
                <w:color w:val="auto"/>
                <w:sz w:val="28"/>
                <w:highlight w:val="none"/>
              </w:rPr>
            </w:pPr>
          </w:p>
        </w:tc>
        <w:tc>
          <w:tcPr>
            <w:tcW w:w="1006"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696"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929"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29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601" w:type="dxa"/>
            <w:tcBorders>
              <w:left w:val="single" w:color="000000" w:sz="8" w:space="0"/>
              <w:right w:val="single" w:color="000000" w:sz="4" w:space="0"/>
            </w:tcBorders>
            <w:vAlign w:val="center"/>
          </w:tcPr>
          <w:p>
            <w:pPr>
              <w:spacing w:line="560" w:lineRule="exact"/>
              <w:jc w:val="center"/>
              <w:rPr>
                <w:color w:val="auto"/>
                <w:sz w:val="28"/>
                <w:highlight w:val="none"/>
              </w:rPr>
            </w:pPr>
            <w:r>
              <w:rPr>
                <w:color w:val="auto"/>
                <w:highlight w:val="none"/>
              </w:rPr>
              <w:t>......</w:t>
            </w:r>
          </w:p>
        </w:tc>
        <w:tc>
          <w:tcPr>
            <w:tcW w:w="2093" w:type="dxa"/>
            <w:tcBorders>
              <w:right w:val="single" w:color="000000" w:sz="4" w:space="0"/>
            </w:tcBorders>
            <w:vAlign w:val="center"/>
          </w:tcPr>
          <w:p>
            <w:pPr>
              <w:spacing w:line="560" w:lineRule="exact"/>
              <w:jc w:val="center"/>
              <w:rPr>
                <w:color w:val="auto"/>
                <w:sz w:val="28"/>
                <w:highlight w:val="none"/>
              </w:rPr>
            </w:pPr>
          </w:p>
        </w:tc>
        <w:tc>
          <w:tcPr>
            <w:tcW w:w="2786" w:type="dxa"/>
            <w:vAlign w:val="center"/>
          </w:tcPr>
          <w:p>
            <w:pPr>
              <w:spacing w:line="560" w:lineRule="exact"/>
              <w:jc w:val="center"/>
              <w:rPr>
                <w:color w:val="auto"/>
                <w:sz w:val="28"/>
                <w:highlight w:val="none"/>
              </w:rPr>
            </w:pPr>
          </w:p>
        </w:tc>
        <w:tc>
          <w:tcPr>
            <w:tcW w:w="1006" w:type="dxa"/>
            <w:tcBorders>
              <w:right w:val="single" w:color="000000" w:sz="4" w:space="0"/>
            </w:tcBorders>
            <w:vAlign w:val="center"/>
          </w:tcPr>
          <w:p>
            <w:pPr>
              <w:spacing w:line="560" w:lineRule="exact"/>
              <w:jc w:val="center"/>
              <w:rPr>
                <w:color w:val="auto"/>
                <w:sz w:val="28"/>
                <w:highlight w:val="none"/>
              </w:rPr>
            </w:pPr>
          </w:p>
        </w:tc>
        <w:tc>
          <w:tcPr>
            <w:tcW w:w="696" w:type="dxa"/>
            <w:tcBorders>
              <w:right w:val="single" w:color="000000" w:sz="4" w:space="0"/>
            </w:tcBorders>
            <w:vAlign w:val="center"/>
          </w:tcPr>
          <w:p>
            <w:pPr>
              <w:spacing w:line="560" w:lineRule="exact"/>
              <w:jc w:val="center"/>
              <w:rPr>
                <w:color w:val="auto"/>
                <w:sz w:val="28"/>
                <w:highlight w:val="none"/>
              </w:rPr>
            </w:pPr>
          </w:p>
        </w:tc>
        <w:tc>
          <w:tcPr>
            <w:tcW w:w="929" w:type="dxa"/>
            <w:tcBorders>
              <w:right w:val="single" w:color="000000" w:sz="4" w:space="0"/>
            </w:tcBorders>
            <w:vAlign w:val="center"/>
          </w:tcPr>
          <w:p>
            <w:pPr>
              <w:spacing w:line="560" w:lineRule="exact"/>
              <w:jc w:val="center"/>
              <w:rPr>
                <w:color w:val="auto"/>
                <w:sz w:val="28"/>
                <w:highlight w:val="none"/>
              </w:rPr>
            </w:pPr>
          </w:p>
        </w:tc>
        <w:tc>
          <w:tcPr>
            <w:tcW w:w="1290" w:type="dxa"/>
            <w:tcBorders>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9401" w:type="dxa"/>
            <w:gridSpan w:val="7"/>
            <w:tcBorders>
              <w:left w:val="single" w:color="000000" w:sz="8" w:space="0"/>
              <w:bottom w:val="single" w:color="000000" w:sz="4" w:space="0"/>
              <w:right w:val="single" w:color="000000" w:sz="8" w:space="0"/>
            </w:tcBorders>
            <w:vAlign w:val="center"/>
          </w:tcPr>
          <w:p>
            <w:pPr>
              <w:spacing w:line="560" w:lineRule="exact"/>
              <w:jc w:val="left"/>
              <w:rPr>
                <w:color w:val="auto"/>
                <w:highlight w:val="none"/>
              </w:rPr>
            </w:pPr>
            <w:r>
              <w:rPr>
                <w:rFonts w:hint="eastAsia"/>
                <w:color w:val="auto"/>
                <w:highlight w:val="none"/>
              </w:rPr>
              <w:t>投标报价：佰拾万仟佰拾元整</w:t>
            </w:r>
          </w:p>
          <w:p>
            <w:pPr>
              <w:spacing w:line="560" w:lineRule="exact"/>
              <w:jc w:val="center"/>
              <w:rPr>
                <w:color w:val="auto"/>
                <w:sz w:val="28"/>
                <w:highlight w:val="none"/>
              </w:rPr>
            </w:pPr>
            <w:r>
              <w:rPr>
                <w:rFonts w:hint="eastAsia"/>
                <w:color w:val="auto"/>
                <w:highlight w:val="none"/>
              </w:rPr>
              <w:t>（小写：¥　</w:t>
            </w:r>
            <w:r>
              <w:rPr>
                <w:rFonts w:hint="eastAsia"/>
                <w:color w:val="auto"/>
                <w:highlight w:val="none"/>
                <w:u w:val="single"/>
              </w:rPr>
              <w:t>　　　</w:t>
            </w:r>
            <w:r>
              <w:rPr>
                <w:rFonts w:hint="eastAsia"/>
                <w:color w:val="auto"/>
                <w:highlight w:val="none"/>
              </w:rPr>
              <w:t>元）</w:t>
            </w:r>
          </w:p>
        </w:tc>
      </w:tr>
    </w:tbl>
    <w:p>
      <w:pPr>
        <w:widowControl w:val="0"/>
        <w:tabs>
          <w:tab w:val="left" w:pos="9365"/>
        </w:tabs>
        <w:snapToGrid w:val="0"/>
        <w:spacing w:after="56" w:line="360" w:lineRule="exact"/>
        <w:ind w:right="85"/>
        <w:textAlignment w:val="top"/>
        <w:rPr>
          <w:color w:val="auto"/>
          <w:highlight w:val="none"/>
        </w:rPr>
      </w:pPr>
    </w:p>
    <w:p>
      <w:pPr>
        <w:widowControl w:val="0"/>
        <w:tabs>
          <w:tab w:val="left" w:pos="9365"/>
        </w:tabs>
        <w:snapToGrid w:val="0"/>
        <w:spacing w:after="56" w:line="360" w:lineRule="exact"/>
        <w:ind w:right="85" w:firstLine="601"/>
        <w:textAlignment w:val="top"/>
        <w:rPr>
          <w:b/>
          <w:color w:val="auto"/>
          <w:highlight w:val="none"/>
        </w:rPr>
      </w:pPr>
    </w:p>
    <w:p>
      <w:pPr>
        <w:autoSpaceDE w:val="0"/>
        <w:autoSpaceDN w:val="0"/>
        <w:adjustRightInd w:val="0"/>
        <w:spacing w:line="360" w:lineRule="auto"/>
        <w:rPr>
          <w:rFonts w:ascii="宋体" w:cs="楷体_GB2312"/>
          <w:color w:val="auto"/>
          <w:sz w:val="24"/>
          <w:highlight w:val="none"/>
          <w:lang w:val="zh-CN"/>
        </w:rPr>
      </w:pPr>
      <w:r>
        <w:rPr>
          <w:rFonts w:hint="eastAsia" w:ascii="宋体" w:hAnsi="宋体"/>
          <w:color w:val="auto"/>
          <w:sz w:val="24"/>
          <w:highlight w:val="none"/>
        </w:rPr>
        <w:t>投标人</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pPr>
        <w:autoSpaceDE w:val="0"/>
        <w:autoSpaceDN w:val="0"/>
        <w:adjustRightInd w:val="0"/>
        <w:spacing w:line="360" w:lineRule="auto"/>
        <w:ind w:left="-2" w:right="-817" w:firstLine="2"/>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pPr>
        <w:widowControl w:val="0"/>
        <w:tabs>
          <w:tab w:val="left" w:pos="9365"/>
        </w:tabs>
        <w:snapToGrid w:val="0"/>
        <w:spacing w:after="56" w:line="560" w:lineRule="exact"/>
        <w:ind w:right="56"/>
        <w:jc w:val="left"/>
        <w:textAlignment w:val="top"/>
        <w:rPr>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widowControl w:val="0"/>
        <w:snapToGrid w:val="0"/>
        <w:spacing w:line="560" w:lineRule="exact"/>
        <w:jc w:val="center"/>
        <w:rPr>
          <w:rFonts w:eastAsia="方正黑体简体"/>
          <w:b/>
          <w:color w:val="auto"/>
          <w:sz w:val="30"/>
          <w:szCs w:val="30"/>
          <w:highlight w:val="none"/>
        </w:rPr>
      </w:pPr>
      <w:r>
        <w:rPr>
          <w:rFonts w:eastAsia="方正黑体简体"/>
          <w:b/>
          <w:color w:val="auto"/>
          <w:sz w:val="30"/>
          <w:szCs w:val="30"/>
          <w:highlight w:val="none"/>
        </w:rPr>
        <w:br w:type="page"/>
      </w:r>
    </w:p>
    <w:p>
      <w:pPr>
        <w:widowControl w:val="0"/>
        <w:snapToGrid w:val="0"/>
        <w:spacing w:line="560" w:lineRule="exact"/>
        <w:jc w:val="center"/>
        <w:rPr>
          <w:rFonts w:ascii="Adobe 宋体 Std L" w:hAnsi="Adobe 宋体 Std L" w:eastAsia="Adobe 宋体 Std L"/>
          <w:color w:val="auto"/>
          <w:sz w:val="30"/>
          <w:szCs w:val="30"/>
          <w:highlight w:val="none"/>
        </w:rPr>
      </w:pPr>
      <w:r>
        <w:rPr>
          <w:rFonts w:hint="eastAsia" w:eastAsia="方正黑体简体"/>
          <w:b/>
          <w:color w:val="auto"/>
          <w:sz w:val="30"/>
          <w:szCs w:val="30"/>
          <w:highlight w:val="none"/>
        </w:rPr>
        <w:t>4</w:t>
      </w:r>
      <w:r>
        <w:rPr>
          <w:rFonts w:hint="eastAsia" w:ascii="Adobe 宋体 Std L" w:hAnsi="Adobe 宋体 Std L" w:eastAsia="Adobe 宋体 Std L"/>
          <w:b/>
          <w:color w:val="auto"/>
          <w:sz w:val="30"/>
          <w:szCs w:val="30"/>
          <w:highlight w:val="none"/>
        </w:rPr>
        <w:t>、</w:t>
      </w:r>
      <w:r>
        <w:rPr>
          <w:rFonts w:hint="eastAsia" w:eastAsia="方正黑体简体"/>
          <w:b/>
          <w:color w:val="auto"/>
          <w:sz w:val="30"/>
          <w:szCs w:val="30"/>
          <w:highlight w:val="none"/>
        </w:rPr>
        <w:t>投标产品清单及具体技术参数</w:t>
      </w:r>
    </w:p>
    <w:p>
      <w:pPr>
        <w:pStyle w:val="17"/>
        <w:adjustRightInd w:val="0"/>
        <w:snapToGrid w:val="0"/>
        <w:spacing w:before="0" w:beforeAutospacing="0" w:after="0" w:afterAutospacing="0"/>
        <w:rPr>
          <w:color w:val="auto"/>
          <w:highlight w:val="none"/>
        </w:rPr>
      </w:pPr>
    </w:p>
    <w:p>
      <w:pPr>
        <w:pStyle w:val="17"/>
        <w:adjustRightInd w:val="0"/>
        <w:snapToGrid w:val="0"/>
        <w:spacing w:before="0" w:beforeAutospacing="0" w:after="0" w:afterAutospacing="0"/>
        <w:rPr>
          <w:color w:val="auto"/>
          <w:highlight w:val="none"/>
          <w:u w:val="single"/>
        </w:rPr>
      </w:pPr>
      <w:r>
        <w:rPr>
          <w:rFonts w:hint="eastAsia"/>
          <w:color w:val="auto"/>
          <w:highlight w:val="none"/>
        </w:rPr>
        <w:t>项目名称：</w:t>
      </w:r>
      <w:r>
        <w:rPr>
          <w:color w:val="auto"/>
          <w:highlight w:val="none"/>
          <w:u w:val="single"/>
        </w:rPr>
        <w:t xml:space="preserve">                             </w:t>
      </w:r>
    </w:p>
    <w:p>
      <w:pPr>
        <w:pStyle w:val="17"/>
        <w:adjustRightInd w:val="0"/>
        <w:snapToGrid w:val="0"/>
        <w:spacing w:before="0" w:beforeAutospacing="0" w:after="0" w:afterAutospacing="0"/>
        <w:rPr>
          <w:color w:val="auto"/>
          <w:highlight w:val="none"/>
        </w:rPr>
      </w:pPr>
      <w:r>
        <w:rPr>
          <w:rFonts w:hint="eastAsia"/>
          <w:color w:val="auto"/>
          <w:highlight w:val="none"/>
        </w:rPr>
        <w:t>项目编号：</w:t>
      </w:r>
      <w:r>
        <w:rPr>
          <w:color w:val="auto"/>
          <w:highlight w:val="none"/>
          <w:u w:val="single"/>
        </w:rPr>
        <w:t xml:space="preserve">                             </w:t>
      </w:r>
    </w:p>
    <w:tbl>
      <w:tblPr>
        <w:tblStyle w:val="20"/>
        <w:tblW w:w="1004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1625"/>
        <w:gridCol w:w="540"/>
        <w:gridCol w:w="540"/>
        <w:gridCol w:w="1046"/>
        <w:gridCol w:w="2085"/>
        <w:gridCol w:w="1515"/>
        <w:gridCol w:w="79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480" w:type="dxa"/>
            <w:tcBorders>
              <w:top w:val="single" w:color="000000" w:sz="8" w:space="0"/>
              <w:bottom w:val="single" w:color="000000" w:sz="4" w:space="0"/>
              <w:right w:val="single" w:color="000000" w:sz="4" w:space="0"/>
            </w:tcBorders>
            <w:vAlign w:val="center"/>
          </w:tcPr>
          <w:p>
            <w:pPr>
              <w:spacing w:line="360" w:lineRule="exact"/>
              <w:jc w:val="center"/>
              <w:rPr>
                <w:color w:val="auto"/>
                <w:sz w:val="28"/>
                <w:highlight w:val="none"/>
              </w:rPr>
            </w:pPr>
            <w:r>
              <w:rPr>
                <w:rFonts w:hint="eastAsia"/>
                <w:color w:val="auto"/>
                <w:highlight w:val="none"/>
              </w:rPr>
              <w:t>序号</w:t>
            </w:r>
          </w:p>
        </w:tc>
        <w:tc>
          <w:tcPr>
            <w:tcW w:w="1625" w:type="dxa"/>
            <w:tcBorders>
              <w:top w:val="single" w:color="000000" w:sz="8" w:space="0"/>
              <w:bottom w:val="single" w:color="000000" w:sz="4" w:space="0"/>
              <w:right w:val="single" w:color="000000" w:sz="4" w:space="0"/>
            </w:tcBorders>
            <w:vAlign w:val="center"/>
          </w:tcPr>
          <w:p>
            <w:pPr>
              <w:widowControl w:val="0"/>
              <w:snapToGrid w:val="0"/>
              <w:spacing w:line="360" w:lineRule="exact"/>
              <w:jc w:val="center"/>
              <w:rPr>
                <w:color w:val="auto"/>
                <w:sz w:val="28"/>
                <w:highlight w:val="none"/>
              </w:rPr>
            </w:pPr>
            <w:r>
              <w:rPr>
                <w:rFonts w:hint="eastAsia"/>
                <w:color w:val="auto"/>
                <w:highlight w:val="none"/>
              </w:rPr>
              <w:t>产品名称</w:t>
            </w:r>
          </w:p>
        </w:tc>
        <w:tc>
          <w:tcPr>
            <w:tcW w:w="540" w:type="dxa"/>
            <w:tcBorders>
              <w:top w:val="single" w:color="000000" w:sz="8" w:space="0"/>
              <w:bottom w:val="single" w:color="000000" w:sz="4" w:space="0"/>
              <w:right w:val="single" w:color="000000" w:sz="4" w:space="0"/>
            </w:tcBorders>
            <w:vAlign w:val="center"/>
          </w:tcPr>
          <w:p>
            <w:pPr>
              <w:spacing w:line="360" w:lineRule="exact"/>
              <w:jc w:val="center"/>
              <w:rPr>
                <w:color w:val="auto"/>
                <w:sz w:val="28"/>
                <w:highlight w:val="none"/>
              </w:rPr>
            </w:pPr>
            <w:r>
              <w:rPr>
                <w:rFonts w:hint="eastAsia"/>
                <w:color w:val="auto"/>
                <w:highlight w:val="none"/>
              </w:rPr>
              <w:t>单位</w:t>
            </w:r>
          </w:p>
        </w:tc>
        <w:tc>
          <w:tcPr>
            <w:tcW w:w="540" w:type="dxa"/>
            <w:tcBorders>
              <w:top w:val="single" w:color="000000" w:sz="8" w:space="0"/>
              <w:bottom w:val="single" w:color="000000" w:sz="4" w:space="0"/>
              <w:right w:val="single" w:color="000000" w:sz="4" w:space="0"/>
            </w:tcBorders>
            <w:vAlign w:val="center"/>
          </w:tcPr>
          <w:p>
            <w:pPr>
              <w:spacing w:line="360" w:lineRule="exact"/>
              <w:jc w:val="center"/>
              <w:rPr>
                <w:color w:val="auto"/>
                <w:sz w:val="28"/>
                <w:highlight w:val="none"/>
              </w:rPr>
            </w:pPr>
            <w:r>
              <w:rPr>
                <w:rFonts w:hint="eastAsia"/>
                <w:color w:val="auto"/>
                <w:highlight w:val="none"/>
              </w:rPr>
              <w:t>数量</w:t>
            </w:r>
          </w:p>
        </w:tc>
        <w:tc>
          <w:tcPr>
            <w:tcW w:w="1046" w:type="dxa"/>
            <w:tcBorders>
              <w:top w:val="single" w:color="000000" w:sz="8" w:space="0"/>
              <w:bottom w:val="single" w:color="000000" w:sz="4" w:space="0"/>
              <w:right w:val="single" w:color="000000" w:sz="4" w:space="0"/>
            </w:tcBorders>
            <w:vAlign w:val="center"/>
          </w:tcPr>
          <w:p>
            <w:pPr>
              <w:spacing w:line="360" w:lineRule="exact"/>
              <w:jc w:val="center"/>
              <w:rPr>
                <w:color w:val="auto"/>
                <w:sz w:val="28"/>
                <w:highlight w:val="none"/>
              </w:rPr>
            </w:pPr>
            <w:r>
              <w:rPr>
                <w:rFonts w:hint="eastAsia"/>
                <w:color w:val="auto"/>
                <w:highlight w:val="none"/>
              </w:rPr>
              <w:t>品牌型号</w:t>
            </w:r>
          </w:p>
        </w:tc>
        <w:tc>
          <w:tcPr>
            <w:tcW w:w="2085" w:type="dxa"/>
            <w:tcBorders>
              <w:top w:val="single" w:color="000000" w:sz="8" w:space="0"/>
              <w:bottom w:val="single" w:color="000000" w:sz="4" w:space="0"/>
              <w:right w:val="single" w:color="000000" w:sz="4" w:space="0"/>
            </w:tcBorders>
            <w:vAlign w:val="center"/>
          </w:tcPr>
          <w:p>
            <w:pPr>
              <w:spacing w:line="360" w:lineRule="exact"/>
              <w:jc w:val="center"/>
              <w:rPr>
                <w:color w:val="auto"/>
                <w:sz w:val="28"/>
                <w:highlight w:val="none"/>
              </w:rPr>
            </w:pPr>
            <w:r>
              <w:rPr>
                <w:rFonts w:hint="eastAsia"/>
                <w:color w:val="auto"/>
                <w:highlight w:val="none"/>
              </w:rPr>
              <w:t>技术参数</w:t>
            </w:r>
          </w:p>
        </w:tc>
        <w:tc>
          <w:tcPr>
            <w:tcW w:w="1515" w:type="dxa"/>
            <w:tcBorders>
              <w:top w:val="single" w:color="000000" w:sz="8" w:space="0"/>
              <w:bottom w:val="single" w:color="000000" w:sz="4" w:space="0"/>
              <w:right w:val="single" w:color="000000" w:sz="4" w:space="0"/>
            </w:tcBorders>
            <w:vAlign w:val="center"/>
          </w:tcPr>
          <w:p>
            <w:pPr>
              <w:spacing w:line="360" w:lineRule="exact"/>
              <w:jc w:val="center"/>
              <w:rPr>
                <w:color w:val="auto"/>
                <w:sz w:val="28"/>
                <w:highlight w:val="none"/>
              </w:rPr>
            </w:pPr>
            <w:r>
              <w:rPr>
                <w:rFonts w:hint="eastAsia"/>
                <w:color w:val="auto"/>
                <w:highlight w:val="none"/>
              </w:rPr>
              <w:t>原产地及制造商</w:t>
            </w:r>
          </w:p>
        </w:tc>
        <w:tc>
          <w:tcPr>
            <w:tcW w:w="794" w:type="dxa"/>
            <w:tcBorders>
              <w:top w:val="single" w:color="000000" w:sz="8" w:space="0"/>
              <w:bottom w:val="single" w:color="000000" w:sz="4" w:space="0"/>
              <w:right w:val="single" w:color="000000" w:sz="8" w:space="0"/>
            </w:tcBorders>
            <w:vAlign w:val="center"/>
          </w:tcPr>
          <w:p>
            <w:pPr>
              <w:spacing w:line="360" w:lineRule="exact"/>
              <w:jc w:val="center"/>
              <w:rPr>
                <w:color w:val="auto"/>
                <w:sz w:val="28"/>
                <w:highlight w:val="none"/>
              </w:rPr>
            </w:pPr>
            <w:r>
              <w:rPr>
                <w:rFonts w:hint="eastAsia"/>
                <w:color w:val="auto"/>
                <w:highlight w:val="none"/>
              </w:rPr>
              <w:t>附件</w:t>
            </w:r>
          </w:p>
        </w:tc>
        <w:tc>
          <w:tcPr>
            <w:tcW w:w="1418" w:type="dxa"/>
            <w:tcBorders>
              <w:top w:val="single" w:color="000000" w:sz="8" w:space="0"/>
              <w:bottom w:val="single" w:color="000000" w:sz="4" w:space="0"/>
              <w:right w:val="single" w:color="000000" w:sz="8" w:space="0"/>
            </w:tcBorders>
          </w:tcPr>
          <w:p>
            <w:pPr>
              <w:spacing w:line="360" w:lineRule="exact"/>
              <w:jc w:val="center"/>
              <w:rPr>
                <w:color w:val="auto"/>
                <w:sz w:val="18"/>
                <w:szCs w:val="18"/>
                <w:highlight w:val="none"/>
              </w:rPr>
            </w:pPr>
            <w:r>
              <w:rPr>
                <w:rFonts w:hint="eastAsia"/>
                <w:color w:val="auto"/>
                <w:szCs w:val="21"/>
                <w:highlight w:val="none"/>
              </w:rPr>
              <w:t>节能产品、环境标志产品的标注</w:t>
            </w:r>
            <w:r>
              <w:rPr>
                <w:color w:val="auto"/>
                <w:sz w:val="18"/>
                <w:szCs w:val="18"/>
                <w:highlight w:val="none"/>
              </w:rPr>
              <w:t>(</w:t>
            </w:r>
            <w:r>
              <w:rPr>
                <w:rFonts w:hint="eastAsia"/>
                <w:color w:val="auto"/>
                <w:sz w:val="18"/>
                <w:szCs w:val="18"/>
                <w:highlight w:val="none"/>
              </w:rPr>
              <w:t>按需填列</w:t>
            </w:r>
            <w:r>
              <w:rPr>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trPr>
        <w:tc>
          <w:tcPr>
            <w:tcW w:w="480" w:type="dxa"/>
            <w:tcBorders>
              <w:bottom w:val="single" w:color="000000" w:sz="4" w:space="0"/>
              <w:right w:val="single" w:color="000000" w:sz="4" w:space="0"/>
            </w:tcBorders>
            <w:vAlign w:val="center"/>
          </w:tcPr>
          <w:p>
            <w:pPr>
              <w:spacing w:line="360" w:lineRule="exact"/>
              <w:jc w:val="center"/>
              <w:rPr>
                <w:color w:val="auto"/>
                <w:sz w:val="28"/>
                <w:highlight w:val="none"/>
              </w:rPr>
            </w:pPr>
            <w:r>
              <w:rPr>
                <w:color w:val="auto"/>
                <w:highlight w:val="none"/>
              </w:rPr>
              <w:t>1</w:t>
            </w:r>
          </w:p>
        </w:tc>
        <w:tc>
          <w:tcPr>
            <w:tcW w:w="1625"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1046"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2085"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1515"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794" w:type="dxa"/>
            <w:tcBorders>
              <w:bottom w:val="single" w:color="000000" w:sz="4" w:space="0"/>
              <w:right w:val="single" w:color="000000" w:sz="8" w:space="0"/>
            </w:tcBorders>
            <w:vAlign w:val="center"/>
          </w:tcPr>
          <w:p>
            <w:pPr>
              <w:spacing w:line="360" w:lineRule="exact"/>
              <w:jc w:val="center"/>
              <w:rPr>
                <w:color w:val="auto"/>
                <w:sz w:val="28"/>
                <w:highlight w:val="none"/>
              </w:rPr>
            </w:pPr>
          </w:p>
        </w:tc>
        <w:tc>
          <w:tcPr>
            <w:tcW w:w="1418" w:type="dxa"/>
            <w:tcBorders>
              <w:bottom w:val="single" w:color="000000" w:sz="4" w:space="0"/>
              <w:right w:val="single" w:color="000000" w:sz="8" w:space="0"/>
            </w:tcBorders>
          </w:tcPr>
          <w:p>
            <w:pPr>
              <w:spacing w:line="3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9" w:hRule="atLeast"/>
        </w:trPr>
        <w:tc>
          <w:tcPr>
            <w:tcW w:w="480" w:type="dxa"/>
            <w:tcBorders>
              <w:left w:val="single" w:color="000000" w:sz="4" w:space="0"/>
              <w:bottom w:val="single" w:color="000000" w:sz="4" w:space="0"/>
              <w:right w:val="single" w:color="000000" w:sz="4" w:space="0"/>
            </w:tcBorders>
            <w:vAlign w:val="center"/>
          </w:tcPr>
          <w:p>
            <w:pPr>
              <w:spacing w:line="360" w:lineRule="exact"/>
              <w:jc w:val="center"/>
              <w:rPr>
                <w:color w:val="auto"/>
                <w:sz w:val="28"/>
                <w:highlight w:val="none"/>
              </w:rPr>
            </w:pPr>
            <w:r>
              <w:rPr>
                <w:color w:val="auto"/>
                <w:highlight w:val="none"/>
              </w:rPr>
              <w:t>2</w:t>
            </w:r>
          </w:p>
        </w:tc>
        <w:tc>
          <w:tcPr>
            <w:tcW w:w="1625"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1046"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2085"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1515"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794" w:type="dxa"/>
            <w:tcBorders>
              <w:bottom w:val="single" w:color="000000" w:sz="4" w:space="0"/>
              <w:right w:val="single" w:color="000000" w:sz="8" w:space="0"/>
            </w:tcBorders>
            <w:vAlign w:val="center"/>
          </w:tcPr>
          <w:p>
            <w:pPr>
              <w:spacing w:line="360" w:lineRule="exact"/>
              <w:jc w:val="center"/>
              <w:rPr>
                <w:color w:val="auto"/>
                <w:sz w:val="28"/>
                <w:highlight w:val="none"/>
              </w:rPr>
            </w:pPr>
          </w:p>
        </w:tc>
        <w:tc>
          <w:tcPr>
            <w:tcW w:w="1418" w:type="dxa"/>
            <w:tcBorders>
              <w:bottom w:val="single" w:color="000000" w:sz="4" w:space="0"/>
              <w:right w:val="single" w:color="000000" w:sz="8" w:space="0"/>
            </w:tcBorders>
          </w:tcPr>
          <w:p>
            <w:pPr>
              <w:spacing w:line="3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pPr>
              <w:spacing w:line="360" w:lineRule="exact"/>
              <w:jc w:val="center"/>
              <w:rPr>
                <w:color w:val="auto"/>
                <w:sz w:val="28"/>
                <w:highlight w:val="none"/>
              </w:rPr>
            </w:pPr>
            <w:r>
              <w:rPr>
                <w:color w:val="auto"/>
                <w:highlight w:val="none"/>
              </w:rPr>
              <w:t>3</w:t>
            </w:r>
          </w:p>
        </w:tc>
        <w:tc>
          <w:tcPr>
            <w:tcW w:w="1625" w:type="dxa"/>
            <w:tcBorders>
              <w:right w:val="single" w:color="000000" w:sz="4" w:space="0"/>
            </w:tcBorders>
            <w:vAlign w:val="center"/>
          </w:tcPr>
          <w:p>
            <w:pPr>
              <w:spacing w:line="360" w:lineRule="exact"/>
              <w:jc w:val="center"/>
              <w:rPr>
                <w:color w:val="auto"/>
                <w:sz w:val="28"/>
                <w:highlight w:val="none"/>
              </w:rPr>
            </w:pPr>
          </w:p>
        </w:tc>
        <w:tc>
          <w:tcPr>
            <w:tcW w:w="540" w:type="dxa"/>
            <w:tcBorders>
              <w:right w:val="single" w:color="000000" w:sz="4" w:space="0"/>
            </w:tcBorders>
            <w:vAlign w:val="center"/>
          </w:tcPr>
          <w:p>
            <w:pPr>
              <w:spacing w:line="360" w:lineRule="exact"/>
              <w:jc w:val="center"/>
              <w:rPr>
                <w:color w:val="auto"/>
                <w:sz w:val="28"/>
                <w:highlight w:val="none"/>
              </w:rPr>
            </w:pPr>
          </w:p>
        </w:tc>
        <w:tc>
          <w:tcPr>
            <w:tcW w:w="540" w:type="dxa"/>
            <w:tcBorders>
              <w:right w:val="single" w:color="000000" w:sz="4" w:space="0"/>
            </w:tcBorders>
            <w:vAlign w:val="center"/>
          </w:tcPr>
          <w:p>
            <w:pPr>
              <w:spacing w:line="360" w:lineRule="exact"/>
              <w:jc w:val="center"/>
              <w:rPr>
                <w:color w:val="auto"/>
                <w:sz w:val="28"/>
                <w:highlight w:val="none"/>
              </w:rPr>
            </w:pPr>
          </w:p>
        </w:tc>
        <w:tc>
          <w:tcPr>
            <w:tcW w:w="1046" w:type="dxa"/>
            <w:tcBorders>
              <w:right w:val="single" w:color="000000" w:sz="4" w:space="0"/>
            </w:tcBorders>
            <w:vAlign w:val="center"/>
          </w:tcPr>
          <w:p>
            <w:pPr>
              <w:spacing w:line="360" w:lineRule="exact"/>
              <w:jc w:val="center"/>
              <w:rPr>
                <w:color w:val="auto"/>
                <w:sz w:val="28"/>
                <w:highlight w:val="none"/>
              </w:rPr>
            </w:pPr>
          </w:p>
        </w:tc>
        <w:tc>
          <w:tcPr>
            <w:tcW w:w="2085" w:type="dxa"/>
            <w:tcBorders>
              <w:right w:val="single" w:color="000000" w:sz="4" w:space="0"/>
            </w:tcBorders>
            <w:vAlign w:val="center"/>
          </w:tcPr>
          <w:p>
            <w:pPr>
              <w:spacing w:line="360" w:lineRule="exact"/>
              <w:jc w:val="center"/>
              <w:rPr>
                <w:color w:val="auto"/>
                <w:sz w:val="28"/>
                <w:highlight w:val="none"/>
              </w:rPr>
            </w:pPr>
          </w:p>
        </w:tc>
        <w:tc>
          <w:tcPr>
            <w:tcW w:w="1515" w:type="dxa"/>
            <w:tcBorders>
              <w:right w:val="single" w:color="000000" w:sz="4" w:space="0"/>
            </w:tcBorders>
            <w:vAlign w:val="center"/>
          </w:tcPr>
          <w:p>
            <w:pPr>
              <w:spacing w:line="360" w:lineRule="exact"/>
              <w:jc w:val="center"/>
              <w:rPr>
                <w:color w:val="auto"/>
                <w:sz w:val="28"/>
                <w:highlight w:val="none"/>
              </w:rPr>
            </w:pPr>
          </w:p>
        </w:tc>
        <w:tc>
          <w:tcPr>
            <w:tcW w:w="794" w:type="dxa"/>
            <w:tcBorders>
              <w:right w:val="single" w:color="000000" w:sz="8" w:space="0"/>
            </w:tcBorders>
            <w:vAlign w:val="center"/>
          </w:tcPr>
          <w:p>
            <w:pPr>
              <w:spacing w:line="360" w:lineRule="exact"/>
              <w:jc w:val="center"/>
              <w:rPr>
                <w:color w:val="auto"/>
                <w:sz w:val="28"/>
                <w:highlight w:val="none"/>
              </w:rPr>
            </w:pPr>
          </w:p>
        </w:tc>
        <w:tc>
          <w:tcPr>
            <w:tcW w:w="1418" w:type="dxa"/>
            <w:tcBorders>
              <w:right w:val="single" w:color="000000" w:sz="8" w:space="0"/>
            </w:tcBorders>
          </w:tcPr>
          <w:p>
            <w:pPr>
              <w:spacing w:line="3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pPr>
              <w:spacing w:line="360" w:lineRule="exact"/>
              <w:jc w:val="center"/>
              <w:rPr>
                <w:color w:val="auto"/>
                <w:highlight w:val="none"/>
              </w:rPr>
            </w:pPr>
            <w:r>
              <w:rPr>
                <w:rFonts w:hint="eastAsia"/>
                <w:color w:val="auto"/>
                <w:highlight w:val="none"/>
              </w:rPr>
              <w:t>……</w:t>
            </w:r>
          </w:p>
        </w:tc>
        <w:tc>
          <w:tcPr>
            <w:tcW w:w="1625" w:type="dxa"/>
            <w:tcBorders>
              <w:right w:val="single" w:color="000000" w:sz="4" w:space="0"/>
            </w:tcBorders>
            <w:vAlign w:val="center"/>
          </w:tcPr>
          <w:p>
            <w:pPr>
              <w:spacing w:line="360" w:lineRule="exact"/>
              <w:jc w:val="center"/>
              <w:rPr>
                <w:color w:val="auto"/>
                <w:sz w:val="28"/>
                <w:highlight w:val="none"/>
              </w:rPr>
            </w:pPr>
          </w:p>
        </w:tc>
        <w:tc>
          <w:tcPr>
            <w:tcW w:w="540" w:type="dxa"/>
            <w:tcBorders>
              <w:right w:val="single" w:color="000000" w:sz="4" w:space="0"/>
            </w:tcBorders>
            <w:vAlign w:val="center"/>
          </w:tcPr>
          <w:p>
            <w:pPr>
              <w:spacing w:line="360" w:lineRule="exact"/>
              <w:jc w:val="center"/>
              <w:rPr>
                <w:color w:val="auto"/>
                <w:sz w:val="28"/>
                <w:highlight w:val="none"/>
              </w:rPr>
            </w:pPr>
          </w:p>
        </w:tc>
        <w:tc>
          <w:tcPr>
            <w:tcW w:w="540" w:type="dxa"/>
            <w:tcBorders>
              <w:right w:val="single" w:color="000000" w:sz="4" w:space="0"/>
            </w:tcBorders>
            <w:vAlign w:val="center"/>
          </w:tcPr>
          <w:p>
            <w:pPr>
              <w:spacing w:line="360" w:lineRule="exact"/>
              <w:jc w:val="center"/>
              <w:rPr>
                <w:color w:val="auto"/>
                <w:sz w:val="28"/>
                <w:highlight w:val="none"/>
              </w:rPr>
            </w:pPr>
          </w:p>
        </w:tc>
        <w:tc>
          <w:tcPr>
            <w:tcW w:w="1046" w:type="dxa"/>
            <w:tcBorders>
              <w:right w:val="single" w:color="000000" w:sz="4" w:space="0"/>
            </w:tcBorders>
            <w:vAlign w:val="center"/>
          </w:tcPr>
          <w:p>
            <w:pPr>
              <w:spacing w:line="360" w:lineRule="exact"/>
              <w:jc w:val="center"/>
              <w:rPr>
                <w:color w:val="auto"/>
                <w:sz w:val="28"/>
                <w:highlight w:val="none"/>
              </w:rPr>
            </w:pPr>
          </w:p>
        </w:tc>
        <w:tc>
          <w:tcPr>
            <w:tcW w:w="2085" w:type="dxa"/>
            <w:tcBorders>
              <w:right w:val="single" w:color="000000" w:sz="4" w:space="0"/>
            </w:tcBorders>
            <w:vAlign w:val="center"/>
          </w:tcPr>
          <w:p>
            <w:pPr>
              <w:spacing w:line="360" w:lineRule="exact"/>
              <w:jc w:val="center"/>
              <w:rPr>
                <w:color w:val="auto"/>
                <w:sz w:val="28"/>
                <w:highlight w:val="none"/>
              </w:rPr>
            </w:pPr>
          </w:p>
        </w:tc>
        <w:tc>
          <w:tcPr>
            <w:tcW w:w="1515" w:type="dxa"/>
            <w:tcBorders>
              <w:right w:val="single" w:color="000000" w:sz="4" w:space="0"/>
            </w:tcBorders>
            <w:vAlign w:val="center"/>
          </w:tcPr>
          <w:p>
            <w:pPr>
              <w:spacing w:line="360" w:lineRule="exact"/>
              <w:jc w:val="center"/>
              <w:rPr>
                <w:color w:val="auto"/>
                <w:sz w:val="28"/>
                <w:highlight w:val="none"/>
              </w:rPr>
            </w:pPr>
          </w:p>
        </w:tc>
        <w:tc>
          <w:tcPr>
            <w:tcW w:w="794" w:type="dxa"/>
            <w:tcBorders>
              <w:right w:val="single" w:color="000000" w:sz="8" w:space="0"/>
            </w:tcBorders>
            <w:vAlign w:val="center"/>
          </w:tcPr>
          <w:p>
            <w:pPr>
              <w:spacing w:line="360" w:lineRule="exact"/>
              <w:jc w:val="center"/>
              <w:rPr>
                <w:color w:val="auto"/>
                <w:sz w:val="28"/>
                <w:highlight w:val="none"/>
              </w:rPr>
            </w:pPr>
          </w:p>
        </w:tc>
        <w:tc>
          <w:tcPr>
            <w:tcW w:w="1418" w:type="dxa"/>
            <w:tcBorders>
              <w:right w:val="single" w:color="000000" w:sz="8" w:space="0"/>
            </w:tcBorders>
          </w:tcPr>
          <w:p>
            <w:pPr>
              <w:spacing w:line="360" w:lineRule="exact"/>
              <w:jc w:val="center"/>
              <w:rPr>
                <w:color w:val="auto"/>
                <w:sz w:val="28"/>
                <w:highlight w:val="none"/>
              </w:rPr>
            </w:pPr>
          </w:p>
        </w:tc>
      </w:tr>
    </w:tbl>
    <w:p>
      <w:pPr>
        <w:spacing w:line="240" w:lineRule="auto"/>
        <w:rPr>
          <w:color w:val="auto"/>
          <w:highlight w:val="none"/>
        </w:rPr>
      </w:pPr>
      <w:r>
        <w:rPr>
          <w:rFonts w:hint="eastAsia"/>
          <w:color w:val="auto"/>
          <w:sz w:val="24"/>
          <w:highlight w:val="none"/>
        </w:rPr>
        <w:t>　</w:t>
      </w:r>
      <w:r>
        <w:rPr>
          <w:rFonts w:hint="eastAsia"/>
          <w:color w:val="auto"/>
          <w:highlight w:val="none"/>
        </w:rPr>
        <w:t>注：1、投标人应详细填写投标产品具体技术参数。包括产品的品牌、规格、型号、产地等技术参数。</w:t>
      </w:r>
    </w:p>
    <w:p>
      <w:pPr>
        <w:widowControl w:val="0"/>
        <w:tabs>
          <w:tab w:val="left" w:pos="9365"/>
        </w:tabs>
        <w:snapToGrid w:val="0"/>
        <w:spacing w:after="56" w:line="360" w:lineRule="exact"/>
        <w:ind w:right="85" w:firstLine="601"/>
        <w:textAlignment w:val="top"/>
        <w:rPr>
          <w:rFonts w:ascii="宋体" w:hAnsi="宋体" w:cs="宋体"/>
          <w:color w:val="auto"/>
          <w:highlight w:val="none"/>
        </w:rPr>
      </w:pPr>
      <w:r>
        <w:rPr>
          <w:rFonts w:hint="eastAsia" w:ascii="宋体" w:hAnsi="宋体" w:cs="宋体"/>
          <w:color w:val="auto"/>
          <w:highlight w:val="none"/>
        </w:rPr>
        <w:t>2、如采购产品属于政府强制采购品目清单的，投标人须在本表对应栏中标明 “为节能产品，节能产品认证证书后附”，认证证书应当为国家确定的认证机构出具、且应处于有效期之内。不符合的、按招标文件规定为无效投标。</w:t>
      </w:r>
    </w:p>
    <w:p>
      <w:pPr>
        <w:widowControl w:val="0"/>
        <w:tabs>
          <w:tab w:val="left" w:pos="9365"/>
        </w:tabs>
        <w:snapToGrid w:val="0"/>
        <w:spacing w:after="56" w:line="360" w:lineRule="exact"/>
        <w:ind w:right="85" w:firstLine="601"/>
        <w:textAlignment w:val="top"/>
        <w:rPr>
          <w:rFonts w:ascii="宋体" w:hAnsi="宋体" w:cs="宋体"/>
          <w:color w:val="auto"/>
          <w:highlight w:val="none"/>
        </w:rPr>
      </w:pPr>
      <w:r>
        <w:rPr>
          <w:rFonts w:hint="eastAsia" w:ascii="宋体" w:hAnsi="宋体" w:cs="宋体"/>
          <w:color w:val="auto"/>
          <w:highlight w:val="none"/>
        </w:rPr>
        <w:t>3、如采购产品不属于政府强制采购品目清单的，投标人自主填列。</w:t>
      </w:r>
    </w:p>
    <w:p>
      <w:pPr>
        <w:widowControl w:val="0"/>
        <w:snapToGrid w:val="0"/>
        <w:spacing w:line="560" w:lineRule="exact"/>
        <w:ind w:firstLine="532"/>
        <w:jc w:val="left"/>
        <w:textAlignment w:val="top"/>
        <w:rPr>
          <w:color w:val="auto"/>
          <w:highlight w:val="none"/>
        </w:rPr>
      </w:pPr>
    </w:p>
    <w:p>
      <w:pPr>
        <w:autoSpaceDE w:val="0"/>
        <w:autoSpaceDN w:val="0"/>
        <w:adjustRightInd w:val="0"/>
        <w:spacing w:line="360" w:lineRule="auto"/>
        <w:jc w:val="center"/>
        <w:rPr>
          <w:color w:val="auto"/>
          <w:sz w:val="28"/>
          <w:highlight w:val="none"/>
        </w:rPr>
      </w:pPr>
    </w:p>
    <w:p>
      <w:pPr>
        <w:autoSpaceDE w:val="0"/>
        <w:autoSpaceDN w:val="0"/>
        <w:adjustRightInd w:val="0"/>
        <w:spacing w:line="360" w:lineRule="auto"/>
        <w:rPr>
          <w:rFonts w:ascii="宋体" w:cs="楷体_GB2312"/>
          <w:color w:val="auto"/>
          <w:sz w:val="24"/>
          <w:highlight w:val="none"/>
          <w:lang w:val="zh-CN"/>
        </w:rPr>
      </w:pPr>
      <w:r>
        <w:rPr>
          <w:rFonts w:hint="eastAsia" w:ascii="宋体" w:hAnsi="宋体"/>
          <w:color w:val="auto"/>
          <w:sz w:val="24"/>
          <w:highlight w:val="none"/>
        </w:rPr>
        <w:t>投标人</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pPr>
        <w:autoSpaceDE w:val="0"/>
        <w:autoSpaceDN w:val="0"/>
        <w:adjustRightInd w:val="0"/>
        <w:spacing w:line="360" w:lineRule="auto"/>
        <w:ind w:left="-2" w:right="-817" w:firstLine="2"/>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pPr>
        <w:widowControl w:val="0"/>
        <w:tabs>
          <w:tab w:val="left" w:pos="9365"/>
        </w:tabs>
        <w:snapToGrid w:val="0"/>
        <w:spacing w:after="56" w:line="560" w:lineRule="exact"/>
        <w:ind w:right="56"/>
        <w:jc w:val="left"/>
        <w:textAlignment w:val="top"/>
        <w:rPr>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widowControl w:val="0"/>
        <w:snapToGrid w:val="0"/>
        <w:spacing w:line="560" w:lineRule="exact"/>
        <w:jc w:val="left"/>
        <w:textAlignment w:val="top"/>
        <w:rPr>
          <w:color w:val="auto"/>
          <w:highlight w:val="none"/>
        </w:rPr>
      </w:pPr>
      <w:r>
        <w:rPr>
          <w:rFonts w:eastAsia="方正黑体简体"/>
          <w:b/>
          <w:color w:val="auto"/>
          <w:sz w:val="30"/>
          <w:szCs w:val="30"/>
          <w:highlight w:val="none"/>
        </w:rPr>
        <w:br w:type="page"/>
      </w:r>
    </w:p>
    <w:p>
      <w:pPr>
        <w:widowControl w:val="0"/>
        <w:snapToGrid w:val="0"/>
        <w:spacing w:line="560" w:lineRule="exact"/>
        <w:jc w:val="center"/>
        <w:rPr>
          <w:rFonts w:ascii="黑体" w:hAnsi="黑体" w:eastAsia="黑体"/>
          <w:color w:val="auto"/>
          <w:sz w:val="30"/>
          <w:szCs w:val="30"/>
          <w:highlight w:val="none"/>
        </w:rPr>
      </w:pPr>
      <w:r>
        <w:rPr>
          <w:rFonts w:hint="eastAsia" w:ascii="黑体" w:hAnsi="黑体" w:eastAsia="黑体"/>
          <w:b/>
          <w:color w:val="auto"/>
          <w:sz w:val="30"/>
          <w:szCs w:val="30"/>
          <w:highlight w:val="none"/>
        </w:rPr>
        <w:t>5、技术偏差表</w:t>
      </w:r>
    </w:p>
    <w:p>
      <w:pPr>
        <w:pStyle w:val="17"/>
        <w:adjustRightInd w:val="0"/>
        <w:snapToGrid w:val="0"/>
        <w:spacing w:before="0" w:beforeAutospacing="0" w:after="0" w:afterAutospacing="0"/>
        <w:rPr>
          <w:color w:val="auto"/>
          <w:highlight w:val="none"/>
          <w:u w:val="single"/>
        </w:rPr>
      </w:pPr>
      <w:r>
        <w:rPr>
          <w:rFonts w:hint="eastAsia"/>
          <w:color w:val="auto"/>
          <w:highlight w:val="none"/>
        </w:rPr>
        <w:t>项目名称：</w:t>
      </w:r>
    </w:p>
    <w:p>
      <w:pPr>
        <w:pStyle w:val="17"/>
        <w:adjustRightInd w:val="0"/>
        <w:snapToGrid w:val="0"/>
        <w:spacing w:before="0" w:beforeAutospacing="0" w:after="0" w:afterAutospacing="0"/>
        <w:rPr>
          <w:color w:val="auto"/>
          <w:highlight w:val="none"/>
        </w:rPr>
      </w:pPr>
      <w:r>
        <w:rPr>
          <w:rFonts w:hint="eastAsia"/>
          <w:color w:val="auto"/>
          <w:highlight w:val="none"/>
        </w:rPr>
        <w:t>项目编号：</w:t>
      </w:r>
    </w:p>
    <w:tbl>
      <w:tblPr>
        <w:tblStyle w:val="20"/>
        <w:tblW w:w="946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
        <w:gridCol w:w="1640"/>
        <w:gridCol w:w="2184"/>
        <w:gridCol w:w="2077"/>
        <w:gridCol w:w="185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序号</w:t>
            </w:r>
          </w:p>
        </w:tc>
        <w:tc>
          <w:tcPr>
            <w:tcW w:w="1640"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产品名称</w:t>
            </w:r>
          </w:p>
        </w:tc>
        <w:tc>
          <w:tcPr>
            <w:tcW w:w="2184"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《招标文件》要求</w:t>
            </w:r>
          </w:p>
        </w:tc>
        <w:tc>
          <w:tcPr>
            <w:tcW w:w="2077"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投标产品参数</w:t>
            </w:r>
          </w:p>
        </w:tc>
        <w:tc>
          <w:tcPr>
            <w:tcW w:w="1859" w:type="dxa"/>
            <w:tcBorders>
              <w:top w:val="single" w:color="000000" w:sz="8" w:space="0"/>
              <w:bottom w:val="single" w:color="000000" w:sz="4" w:space="0"/>
              <w:right w:val="single" w:color="000000" w:sz="8" w:space="0"/>
            </w:tcBorders>
            <w:vAlign w:val="center"/>
          </w:tcPr>
          <w:p>
            <w:pPr>
              <w:spacing w:line="560" w:lineRule="exact"/>
              <w:jc w:val="center"/>
              <w:rPr>
                <w:b/>
                <w:color w:val="auto"/>
                <w:sz w:val="28"/>
                <w:highlight w:val="none"/>
              </w:rPr>
            </w:pPr>
            <w:r>
              <w:rPr>
                <w:rFonts w:hint="eastAsia"/>
                <w:b/>
                <w:color w:val="auto"/>
                <w:highlight w:val="none"/>
              </w:rPr>
              <w:t>偏差描述</w:t>
            </w:r>
          </w:p>
        </w:tc>
        <w:tc>
          <w:tcPr>
            <w:tcW w:w="1260" w:type="dxa"/>
            <w:tcBorders>
              <w:top w:val="single" w:color="000000" w:sz="8" w:space="0"/>
              <w:bottom w:val="single" w:color="000000" w:sz="4" w:space="0"/>
              <w:right w:val="single" w:color="000000" w:sz="8" w:space="0"/>
            </w:tcBorders>
          </w:tcPr>
          <w:p>
            <w:pPr>
              <w:spacing w:line="240" w:lineRule="auto"/>
              <w:jc w:val="center"/>
              <w:rPr>
                <w:b/>
                <w:color w:val="auto"/>
                <w:highlight w:val="none"/>
              </w:rPr>
            </w:pPr>
            <w:r>
              <w:rPr>
                <w:rFonts w:hint="eastAsia"/>
                <w:b/>
                <w:color w:val="auto"/>
                <w:highlight w:val="none"/>
              </w:rPr>
              <w:t>所对应的产品证明材料的页码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1</w:t>
            </w:r>
          </w:p>
        </w:tc>
        <w:tc>
          <w:tcPr>
            <w:tcW w:w="164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2</w:t>
            </w:r>
          </w:p>
        </w:tc>
        <w:tc>
          <w:tcPr>
            <w:tcW w:w="164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3</w:t>
            </w:r>
          </w:p>
        </w:tc>
        <w:tc>
          <w:tcPr>
            <w:tcW w:w="164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4</w:t>
            </w:r>
          </w:p>
        </w:tc>
        <w:tc>
          <w:tcPr>
            <w:tcW w:w="164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5</w:t>
            </w:r>
          </w:p>
        </w:tc>
        <w:tc>
          <w:tcPr>
            <w:tcW w:w="164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6</w:t>
            </w:r>
          </w:p>
        </w:tc>
        <w:tc>
          <w:tcPr>
            <w:tcW w:w="164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7</w:t>
            </w:r>
          </w:p>
        </w:tc>
        <w:tc>
          <w:tcPr>
            <w:tcW w:w="164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8</w:t>
            </w:r>
          </w:p>
        </w:tc>
        <w:tc>
          <w:tcPr>
            <w:tcW w:w="164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9</w:t>
            </w:r>
          </w:p>
        </w:tc>
        <w:tc>
          <w:tcPr>
            <w:tcW w:w="164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8" w:space="0"/>
              <w:right w:val="single" w:color="000000" w:sz="4" w:space="0"/>
            </w:tcBorders>
            <w:vAlign w:val="center"/>
          </w:tcPr>
          <w:p>
            <w:pPr>
              <w:spacing w:line="560" w:lineRule="exact"/>
              <w:jc w:val="center"/>
              <w:rPr>
                <w:color w:val="auto"/>
                <w:sz w:val="28"/>
                <w:highlight w:val="none"/>
              </w:rPr>
            </w:pPr>
            <w:r>
              <w:rPr>
                <w:color w:val="auto"/>
                <w:highlight w:val="none"/>
              </w:rPr>
              <w:t>......</w:t>
            </w:r>
          </w:p>
        </w:tc>
        <w:tc>
          <w:tcPr>
            <w:tcW w:w="1640" w:type="dxa"/>
            <w:tcBorders>
              <w:bottom w:val="single" w:color="000000" w:sz="8" w:space="0"/>
              <w:right w:val="single" w:color="000000" w:sz="4" w:space="0"/>
            </w:tcBorders>
            <w:vAlign w:val="center"/>
          </w:tcPr>
          <w:p>
            <w:pPr>
              <w:spacing w:line="560" w:lineRule="exact"/>
              <w:jc w:val="center"/>
              <w:rPr>
                <w:color w:val="auto"/>
                <w:sz w:val="28"/>
                <w:highlight w:val="none"/>
              </w:rPr>
            </w:pPr>
          </w:p>
        </w:tc>
        <w:tc>
          <w:tcPr>
            <w:tcW w:w="2184" w:type="dxa"/>
            <w:tcBorders>
              <w:bottom w:val="single" w:color="000000" w:sz="8"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8"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8"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8" w:space="0"/>
              <w:right w:val="single" w:color="000000" w:sz="8" w:space="0"/>
            </w:tcBorders>
          </w:tcPr>
          <w:p>
            <w:pPr>
              <w:spacing w:line="560" w:lineRule="exact"/>
              <w:jc w:val="center"/>
              <w:rPr>
                <w:color w:val="auto"/>
                <w:sz w:val="28"/>
                <w:highlight w:val="none"/>
              </w:rPr>
            </w:pPr>
          </w:p>
        </w:tc>
      </w:tr>
    </w:tbl>
    <w:p>
      <w:pPr>
        <w:widowControl w:val="0"/>
        <w:tabs>
          <w:tab w:val="left" w:pos="9365"/>
        </w:tabs>
        <w:snapToGrid w:val="0"/>
        <w:spacing w:after="56" w:line="560" w:lineRule="exact"/>
        <w:ind w:firstLine="623"/>
        <w:textAlignment w:val="top"/>
        <w:rPr>
          <w:color w:val="auto"/>
          <w:highlight w:val="none"/>
        </w:rPr>
      </w:pPr>
    </w:p>
    <w:p>
      <w:pPr>
        <w:widowControl w:val="0"/>
        <w:tabs>
          <w:tab w:val="left" w:pos="9365"/>
        </w:tabs>
        <w:snapToGrid w:val="0"/>
        <w:spacing w:line="360" w:lineRule="auto"/>
        <w:ind w:firstLine="624"/>
        <w:textAlignment w:val="top"/>
        <w:rPr>
          <w:rFonts w:ascii="宋体" w:cs="宋体"/>
          <w:color w:val="auto"/>
          <w:highlight w:val="none"/>
        </w:rPr>
      </w:pPr>
      <w:r>
        <w:rPr>
          <w:rFonts w:hint="eastAsia"/>
          <w:color w:val="auto"/>
          <w:highlight w:val="none"/>
        </w:rPr>
        <w:t>注：</w:t>
      </w:r>
      <w:r>
        <w:rPr>
          <w:rFonts w:ascii="宋体" w:hAnsi="宋体" w:cs="宋体"/>
          <w:color w:val="auto"/>
          <w:highlight w:val="none"/>
        </w:rPr>
        <w:t>1</w:t>
      </w:r>
      <w:r>
        <w:rPr>
          <w:rFonts w:hint="eastAsia"/>
          <w:color w:val="auto"/>
          <w:highlight w:val="none"/>
        </w:rPr>
        <w:t>、“偏差”栏中详细注明所投产品参数与《招标文件》中要求有何不同，并说明其符合性。投标人应分标段（包）填制本表。</w:t>
      </w:r>
    </w:p>
    <w:p>
      <w:pPr>
        <w:widowControl w:val="0"/>
        <w:tabs>
          <w:tab w:val="left" w:pos="9365"/>
        </w:tabs>
        <w:snapToGrid w:val="0"/>
        <w:spacing w:line="360" w:lineRule="auto"/>
        <w:ind w:firstLine="624"/>
        <w:textAlignment w:val="top"/>
        <w:rPr>
          <w:color w:val="auto"/>
          <w:highlight w:val="none"/>
        </w:rPr>
      </w:pPr>
      <w:r>
        <w:rPr>
          <w:rFonts w:ascii="宋体" w:hAnsi="宋体" w:cs="宋体"/>
          <w:color w:val="auto"/>
          <w:highlight w:val="none"/>
        </w:rPr>
        <w:t>2</w:t>
      </w:r>
      <w:r>
        <w:rPr>
          <w:rFonts w:hint="eastAsia"/>
          <w:color w:val="auto"/>
          <w:highlight w:val="none"/>
        </w:rPr>
        <w:t>、如所投产品配置及技术参数与“技术要求”一致的部分，仍需在本表填列“与《招标文件》技术要求一致”</w:t>
      </w:r>
      <w:r>
        <w:rPr>
          <w:rFonts w:hint="eastAsia" w:ascii="宋体" w:hAnsi="宋体"/>
          <w:color w:val="auto"/>
          <w:spacing w:val="8"/>
          <w:szCs w:val="21"/>
          <w:highlight w:val="none"/>
        </w:rPr>
        <w:t>等相似表述</w:t>
      </w:r>
      <w:r>
        <w:rPr>
          <w:rFonts w:hint="eastAsia"/>
          <w:color w:val="auto"/>
          <w:highlight w:val="none"/>
        </w:rPr>
        <w:t>。</w:t>
      </w:r>
    </w:p>
    <w:p>
      <w:pPr>
        <w:autoSpaceDE w:val="0"/>
        <w:autoSpaceDN w:val="0"/>
        <w:adjustRightInd w:val="0"/>
        <w:spacing w:line="360" w:lineRule="auto"/>
        <w:jc w:val="center"/>
        <w:rPr>
          <w:rFonts w:ascii="宋体"/>
          <w:color w:val="auto"/>
          <w:sz w:val="24"/>
          <w:highlight w:val="none"/>
        </w:rPr>
      </w:pP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pPr>
        <w:autoSpaceDE w:val="0"/>
        <w:autoSpaceDN w:val="0"/>
        <w:adjustRightInd w:val="0"/>
        <w:spacing w:line="360" w:lineRule="auto"/>
        <w:ind w:right="-817"/>
        <w:jc w:val="left"/>
        <w:rPr>
          <w:rFonts w:ascii="宋体" w:cs="楷体_GB2312"/>
          <w:color w:val="auto"/>
          <w:sz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 xml:space="preserve">             </w:t>
      </w: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6、其他偏差表（除技术偏差外）</w:t>
      </w:r>
    </w:p>
    <w:p>
      <w:pPr>
        <w:pStyle w:val="17"/>
        <w:adjustRightInd w:val="0"/>
        <w:snapToGrid w:val="0"/>
        <w:spacing w:before="0" w:beforeAutospacing="0" w:after="0" w:afterAutospacing="0"/>
        <w:rPr>
          <w:color w:val="auto"/>
          <w:highlight w:val="none"/>
          <w:u w:val="single"/>
        </w:rPr>
      </w:pPr>
      <w:r>
        <w:rPr>
          <w:rFonts w:hint="eastAsia"/>
          <w:color w:val="auto"/>
          <w:highlight w:val="none"/>
        </w:rPr>
        <w:t>项目名称：</w:t>
      </w:r>
    </w:p>
    <w:p>
      <w:pPr>
        <w:pStyle w:val="17"/>
        <w:adjustRightInd w:val="0"/>
        <w:snapToGrid w:val="0"/>
        <w:spacing w:before="0" w:beforeAutospacing="0" w:after="0" w:afterAutospacing="0"/>
        <w:rPr>
          <w:color w:val="auto"/>
          <w:highlight w:val="none"/>
        </w:rPr>
      </w:pPr>
      <w:r>
        <w:rPr>
          <w:rFonts w:hint="eastAsia"/>
          <w:color w:val="auto"/>
          <w:highlight w:val="none"/>
        </w:rPr>
        <w:t>项目编号：</w:t>
      </w:r>
    </w:p>
    <w:tbl>
      <w:tblPr>
        <w:tblStyle w:val="20"/>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序号</w:t>
            </w:r>
          </w:p>
        </w:tc>
        <w:tc>
          <w:tcPr>
            <w:tcW w:w="3098"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招标文件要求</w:t>
            </w:r>
          </w:p>
        </w:tc>
        <w:tc>
          <w:tcPr>
            <w:tcW w:w="2947"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投标文件响应</w:t>
            </w:r>
          </w:p>
        </w:tc>
        <w:tc>
          <w:tcPr>
            <w:tcW w:w="2638" w:type="dxa"/>
            <w:tcBorders>
              <w:top w:val="single" w:color="000000" w:sz="8" w:space="0"/>
              <w:bottom w:val="single" w:color="000000" w:sz="4" w:space="0"/>
              <w:right w:val="single" w:color="000000" w:sz="8" w:space="0"/>
            </w:tcBorders>
            <w:vAlign w:val="center"/>
          </w:tcPr>
          <w:p>
            <w:pPr>
              <w:spacing w:line="560" w:lineRule="exact"/>
              <w:jc w:val="center"/>
              <w:rPr>
                <w:b/>
                <w:color w:val="auto"/>
                <w:sz w:val="28"/>
                <w:highlight w:val="none"/>
              </w:rPr>
            </w:pPr>
            <w:r>
              <w:rPr>
                <w:rFonts w:hint="eastAsia"/>
                <w:b/>
                <w:color w:val="auto"/>
                <w:highlight w:val="none"/>
              </w:rPr>
              <w:t>偏差描述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1</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2</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3</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4</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5</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6</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7</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8</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9</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pPr>
              <w:spacing w:line="560" w:lineRule="exact"/>
              <w:jc w:val="center"/>
              <w:rPr>
                <w:color w:val="auto"/>
                <w:sz w:val="28"/>
                <w:highlight w:val="none"/>
              </w:rPr>
            </w:pPr>
            <w:r>
              <w:rPr>
                <w:color w:val="auto"/>
                <w:highlight w:val="none"/>
              </w:rPr>
              <w:t>......</w:t>
            </w:r>
          </w:p>
        </w:tc>
        <w:tc>
          <w:tcPr>
            <w:tcW w:w="3098" w:type="dxa"/>
            <w:tcBorders>
              <w:bottom w:val="single" w:color="000000" w:sz="8"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8"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8" w:space="0"/>
              <w:right w:val="single" w:color="000000" w:sz="8" w:space="0"/>
            </w:tcBorders>
            <w:vAlign w:val="center"/>
          </w:tcPr>
          <w:p>
            <w:pPr>
              <w:spacing w:line="560" w:lineRule="exact"/>
              <w:jc w:val="center"/>
              <w:rPr>
                <w:color w:val="auto"/>
                <w:sz w:val="28"/>
                <w:highlight w:val="none"/>
              </w:rPr>
            </w:pPr>
          </w:p>
        </w:tc>
      </w:tr>
    </w:tbl>
    <w:p>
      <w:pPr>
        <w:tabs>
          <w:tab w:val="left" w:pos="0"/>
        </w:tabs>
        <w:adjustRightInd w:val="0"/>
        <w:snapToGrid w:val="0"/>
        <w:spacing w:before="156" w:beforeLines="50" w:line="300" w:lineRule="auto"/>
        <w:ind w:right="25" w:firstLine="452" w:firstLineChars="200"/>
        <w:rPr>
          <w:rFonts w:ascii="宋体" w:hAnsi="宋体"/>
          <w:color w:val="auto"/>
          <w:spacing w:val="8"/>
          <w:szCs w:val="21"/>
          <w:highlight w:val="none"/>
        </w:rPr>
      </w:pPr>
      <w:r>
        <w:rPr>
          <w:rFonts w:hint="eastAsia" w:ascii="宋体" w:hAnsi="宋体"/>
          <w:color w:val="auto"/>
          <w:spacing w:val="8"/>
          <w:szCs w:val="21"/>
          <w:highlight w:val="none"/>
        </w:rPr>
        <w:t>注：</w:t>
      </w:r>
      <w:r>
        <w:rPr>
          <w:rFonts w:ascii="宋体" w:hAnsi="宋体"/>
          <w:color w:val="auto"/>
          <w:spacing w:val="8"/>
          <w:szCs w:val="21"/>
          <w:highlight w:val="none"/>
        </w:rPr>
        <w:t>1</w:t>
      </w:r>
      <w:r>
        <w:rPr>
          <w:rFonts w:hint="eastAsia" w:ascii="宋体" w:hAnsi="宋体"/>
          <w:color w:val="auto"/>
          <w:spacing w:val="8"/>
          <w:szCs w:val="21"/>
          <w:highlight w:val="none"/>
        </w:rPr>
        <w:t>、“其他偏差表”应详细注明与《招标文件》中各项要求（除技术条款外的所有条款）有何不同，并说明其符合性（优于、或低于《招标文件》要求）。</w:t>
      </w:r>
    </w:p>
    <w:p>
      <w:pPr>
        <w:tabs>
          <w:tab w:val="left" w:pos="0"/>
        </w:tabs>
        <w:adjustRightInd w:val="0"/>
        <w:snapToGrid w:val="0"/>
        <w:spacing w:before="156" w:beforeLines="50" w:line="300" w:lineRule="auto"/>
        <w:ind w:right="25" w:firstLine="452" w:firstLineChars="200"/>
        <w:rPr>
          <w:rFonts w:ascii="宋体"/>
          <w:color w:val="auto"/>
          <w:spacing w:val="8"/>
          <w:szCs w:val="21"/>
          <w:highlight w:val="none"/>
        </w:rPr>
      </w:pPr>
      <w:r>
        <w:rPr>
          <w:rFonts w:ascii="宋体" w:hAnsi="宋体"/>
          <w:color w:val="auto"/>
          <w:spacing w:val="8"/>
          <w:szCs w:val="21"/>
          <w:highlight w:val="none"/>
        </w:rPr>
        <w:t>2</w:t>
      </w:r>
      <w:r>
        <w:rPr>
          <w:rFonts w:hint="eastAsia" w:ascii="宋体" w:hAnsi="宋体"/>
          <w:color w:val="auto"/>
          <w:spacing w:val="8"/>
          <w:szCs w:val="21"/>
          <w:highlight w:val="none"/>
        </w:rPr>
        <w:t>、如投标条款与《招标文件》其他要求一致，仍需在本表填列“除技术条款外，与《招标文件》所有条款要求一致，无偏差”等相似表述</w:t>
      </w:r>
      <w:r>
        <w:rPr>
          <w:rFonts w:hint="eastAsia"/>
          <w:color w:val="auto"/>
          <w:highlight w:val="none"/>
        </w:rPr>
        <w:t>。</w:t>
      </w:r>
    </w:p>
    <w:p>
      <w:pPr>
        <w:tabs>
          <w:tab w:val="left" w:pos="0"/>
        </w:tabs>
        <w:adjustRightInd w:val="0"/>
        <w:snapToGrid w:val="0"/>
        <w:spacing w:before="156" w:beforeLines="50" w:line="300" w:lineRule="auto"/>
        <w:ind w:right="510"/>
        <w:rPr>
          <w:rFonts w:ascii="宋体"/>
          <w:color w:val="auto"/>
          <w:spacing w:val="8"/>
          <w:szCs w:val="21"/>
          <w:highlight w:val="none"/>
        </w:rPr>
      </w:pPr>
    </w:p>
    <w:p>
      <w:pPr>
        <w:tabs>
          <w:tab w:val="left" w:pos="0"/>
        </w:tabs>
        <w:adjustRightInd w:val="0"/>
        <w:snapToGrid w:val="0"/>
        <w:spacing w:before="156" w:beforeLines="50" w:line="300" w:lineRule="auto"/>
        <w:ind w:right="510"/>
        <w:rPr>
          <w:rFonts w:ascii="宋体"/>
          <w:color w:val="auto"/>
          <w:spacing w:val="8"/>
          <w:szCs w:val="21"/>
          <w:highlight w:val="none"/>
        </w:rPr>
      </w:pP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7、售后服务计划</w:t>
      </w:r>
    </w:p>
    <w:p>
      <w:pPr>
        <w:snapToGrid w:val="0"/>
        <w:spacing w:line="560" w:lineRule="exact"/>
        <w:ind w:firstLine="839"/>
        <w:rPr>
          <w:color w:val="auto"/>
          <w:highlight w:val="none"/>
        </w:rPr>
      </w:pPr>
    </w:p>
    <w:p>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、详细说明售后服务的内容、形式、时间、解决质量的响应时间、解决问题时间、单位名称、地点。</w:t>
      </w:r>
    </w:p>
    <w:p>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2</w:t>
      </w:r>
      <w:r>
        <w:rPr>
          <w:rFonts w:hint="eastAsia" w:ascii="宋体" w:hAnsi="宋体" w:cs="楷体_GB2312"/>
          <w:color w:val="auto"/>
          <w:sz w:val="24"/>
          <w:highlight w:val="none"/>
          <w:lang w:val="zh-CN"/>
        </w:rPr>
        <w:t>、质量保证措施。</w:t>
      </w:r>
    </w:p>
    <w:p>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3</w:t>
      </w:r>
      <w:r>
        <w:rPr>
          <w:rFonts w:hint="eastAsia" w:ascii="宋体" w:hAnsi="宋体" w:cs="楷体_GB2312"/>
          <w:color w:val="auto"/>
          <w:sz w:val="24"/>
          <w:highlight w:val="none"/>
          <w:lang w:val="zh-CN"/>
        </w:rPr>
        <w:t>、培训计划</w:t>
      </w:r>
    </w:p>
    <w:p>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、该项目（标段&lt;包&gt;）所提供的其他免费物品或服务。</w:t>
      </w: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r>
        <w:rPr>
          <w:rFonts w:hint="eastAsia" w:ascii="宋体" w:hAnsi="宋体" w:cs="楷体_GB2312"/>
          <w:color w:val="auto"/>
          <w:sz w:val="24"/>
          <w:highlight w:val="none"/>
          <w:lang w:val="zh-CN"/>
        </w:rPr>
        <w:t>注：</w:t>
      </w:r>
    </w:p>
    <w:p>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、投标人应按要求详细制定出所列条款。</w:t>
      </w:r>
    </w:p>
    <w:p>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2</w:t>
      </w:r>
      <w:r>
        <w:rPr>
          <w:rFonts w:hint="eastAsia" w:ascii="宋体" w:hAnsi="宋体" w:cs="楷体_GB2312"/>
          <w:color w:val="auto"/>
          <w:sz w:val="24"/>
          <w:highlight w:val="none"/>
          <w:lang w:val="zh-CN"/>
        </w:rPr>
        <w:t>、“售后服务计划”按招标文件相应条款要求电子签名&lt;签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电子签名（签章）</w:t>
      </w:r>
      <w:r>
        <w:rPr>
          <w:rFonts w:hint="eastAsia" w:ascii="宋体" w:hAnsi="宋体"/>
          <w:color w:val="auto"/>
          <w:sz w:val="24"/>
          <w:szCs w:val="24"/>
          <w:highlight w:val="none"/>
        </w:rPr>
        <w:t>或投标人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r>
        <w:rPr>
          <w:rFonts w:hint="eastAsia" w:ascii="宋体" w:hAnsi="宋体" w:cs="楷体_GB2312"/>
          <w:color w:val="auto"/>
          <w:sz w:val="24"/>
          <w:highlight w:val="none"/>
          <w:lang w:val="zh-CN"/>
        </w:rPr>
        <w:t>。</w:t>
      </w:r>
      <w:r>
        <w:rPr>
          <w:rFonts w:ascii="宋体" w:hAnsi="宋体" w:cs="楷体_GB2312"/>
          <w:color w:val="auto"/>
          <w:sz w:val="24"/>
          <w:highlight w:val="none"/>
          <w:lang w:val="zh-CN"/>
        </w:rPr>
        <w:t xml:space="preserve">                  </w:t>
      </w:r>
    </w:p>
    <w:p>
      <w:pPr>
        <w:snapToGrid w:val="0"/>
        <w:spacing w:line="560" w:lineRule="exact"/>
        <w:rPr>
          <w:color w:val="auto"/>
          <w:highlight w:val="none"/>
        </w:rPr>
      </w:pPr>
    </w:p>
    <w:p>
      <w:pPr>
        <w:autoSpaceDE w:val="0"/>
        <w:autoSpaceDN w:val="0"/>
        <w:adjustRightInd w:val="0"/>
        <w:spacing w:line="360" w:lineRule="auto"/>
        <w:ind w:left="1" w:firstLine="560"/>
        <w:rPr>
          <w:rFonts w:ascii="宋体" w:cs="楷体_GB2312"/>
          <w:color w:val="auto"/>
          <w:sz w:val="24"/>
          <w:highlight w:val="none"/>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 xml:space="preserve">               </w:t>
      </w:r>
    </w:p>
    <w:p>
      <w:pPr>
        <w:snapToGrid w:val="0"/>
        <w:spacing w:line="560" w:lineRule="exact"/>
        <w:rPr>
          <w:color w:val="auto"/>
          <w:highlight w:val="none"/>
        </w:rPr>
      </w:pPr>
    </w:p>
    <w:p>
      <w:pPr>
        <w:snapToGrid w:val="0"/>
        <w:spacing w:line="560" w:lineRule="exact"/>
        <w:rPr>
          <w:color w:val="auto"/>
          <w:highlight w:val="none"/>
        </w:rPr>
      </w:pPr>
    </w:p>
    <w:p>
      <w:pPr>
        <w:snapToGrid w:val="0"/>
        <w:spacing w:line="560" w:lineRule="atLeast"/>
        <w:rPr>
          <w:rFonts w:ascii="宋体" w:hAnsi="宋体"/>
          <w:b/>
          <w:color w:val="auto"/>
          <w:sz w:val="32"/>
          <w:szCs w:val="32"/>
          <w:highlight w:val="none"/>
        </w:rPr>
      </w:pPr>
    </w:p>
    <w:p>
      <w:pPr>
        <w:pageBreakBefore/>
        <w:tabs>
          <w:tab w:val="left" w:pos="65"/>
        </w:tabs>
        <w:spacing w:after="156" w:afterLines="50" w:line="560" w:lineRule="exact"/>
        <w:jc w:val="center"/>
        <w:rPr>
          <w:rFonts w:ascii="黑体" w:hAnsi="黑体" w:eastAsia="黑体"/>
          <w:b/>
          <w:color w:val="auto"/>
          <w:sz w:val="30"/>
          <w:szCs w:val="30"/>
          <w:highlight w:val="none"/>
        </w:rPr>
      </w:pPr>
      <w:r>
        <w:rPr>
          <w:rFonts w:ascii="宋体" w:hAnsi="宋体"/>
          <w:color w:val="auto"/>
          <w:sz w:val="24"/>
          <w:highlight w:val="none"/>
        </w:rPr>
        <w:t xml:space="preserve">   </w:t>
      </w:r>
      <w:r>
        <w:rPr>
          <w:rFonts w:hint="eastAsia" w:ascii="黑体" w:hAnsi="黑体" w:eastAsia="黑体"/>
          <w:b/>
          <w:color w:val="auto"/>
          <w:sz w:val="30"/>
          <w:szCs w:val="30"/>
          <w:highlight w:val="none"/>
        </w:rPr>
        <w:t>8、反商业贿赂承诺书</w:t>
      </w:r>
    </w:p>
    <w:p>
      <w:pPr>
        <w:tabs>
          <w:tab w:val="left" w:pos="65"/>
        </w:tabs>
        <w:spacing w:line="560" w:lineRule="exact"/>
        <w:jc w:val="center"/>
        <w:rPr>
          <w:rFonts w:ascii="宋体" w:hAnsi="宋体"/>
          <w:b/>
          <w:color w:val="auto"/>
          <w:sz w:val="24"/>
          <w:szCs w:val="24"/>
          <w:highlight w:val="none"/>
        </w:rPr>
      </w:pPr>
    </w:p>
    <w:p>
      <w:pPr>
        <w:tabs>
          <w:tab w:val="left" w:pos="65"/>
        </w:tabs>
        <w:spacing w:line="740" w:lineRule="exact"/>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 xml:space="preserve">(采购人名称）    </w:t>
      </w:r>
    </w:p>
    <w:p>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招标活动中，我公司保证做到：</w:t>
      </w:r>
    </w:p>
    <w:p>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一、公平竞争参加本次招标活动。</w:t>
      </w:r>
    </w:p>
    <w:p>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三、若出现上述行为，我单位愿意接受相关部门按照国家法律法规等有关规定给予的处理。</w:t>
      </w:r>
    </w:p>
    <w:p>
      <w:pPr>
        <w:tabs>
          <w:tab w:val="left" w:pos="65"/>
        </w:tabs>
        <w:spacing w:line="740" w:lineRule="exact"/>
        <w:rPr>
          <w:rFonts w:ascii="宋体" w:hAnsi="宋体"/>
          <w:color w:val="auto"/>
          <w:sz w:val="24"/>
          <w:szCs w:val="24"/>
          <w:highlight w:val="none"/>
        </w:rPr>
      </w:pPr>
    </w:p>
    <w:p>
      <w:pPr>
        <w:tabs>
          <w:tab w:val="left" w:pos="65"/>
        </w:tabs>
        <w:spacing w:line="740" w:lineRule="exact"/>
        <w:rPr>
          <w:rFonts w:ascii="宋体" w:hAnsi="宋体"/>
          <w:color w:val="auto"/>
          <w:sz w:val="24"/>
          <w:szCs w:val="24"/>
          <w:highlight w:val="none"/>
        </w:rPr>
      </w:pP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投标人（电子签章）：</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pPr>
        <w:tabs>
          <w:tab w:val="left" w:pos="9365"/>
        </w:tabs>
        <w:spacing w:before="360" w:after="360" w:line="586" w:lineRule="atLeast"/>
        <w:ind w:right="85"/>
        <w:jc w:val="left"/>
        <w:textAlignment w:val="top"/>
        <w:rPr>
          <w:rFonts w:ascii="宋体" w:hAnsi="宋体"/>
          <w:color w:val="auto"/>
          <w:sz w:val="24"/>
          <w:szCs w:val="24"/>
          <w:highlight w:val="none"/>
        </w:rPr>
      </w:pPr>
    </w:p>
    <w:p>
      <w:pPr>
        <w:snapToGrid w:val="0"/>
        <w:spacing w:line="560" w:lineRule="exact"/>
        <w:rPr>
          <w:rFonts w:ascii="宋体"/>
          <w:color w:val="auto"/>
          <w:sz w:val="24"/>
          <w:highlight w:val="none"/>
        </w:rPr>
      </w:pPr>
      <w:r>
        <w:rPr>
          <w:rFonts w:ascii="宋体"/>
          <w:color w:val="auto"/>
          <w:sz w:val="24"/>
          <w:highlight w:val="none"/>
        </w:rPr>
        <w:br w:type="page"/>
      </w:r>
    </w:p>
    <w:p>
      <w:pPr>
        <w:tabs>
          <w:tab w:val="left" w:pos="540"/>
        </w:tabs>
        <w:spacing w:line="440" w:lineRule="exact"/>
        <w:jc w:val="center"/>
        <w:rPr>
          <w:color w:val="auto"/>
          <w:sz w:val="28"/>
          <w:highlight w:val="none"/>
        </w:rPr>
      </w:pPr>
      <w:r>
        <w:rPr>
          <w:rFonts w:hint="eastAsia" w:ascii="黑体" w:hAnsi="黑体" w:eastAsia="黑体"/>
          <w:b/>
          <w:color w:val="auto"/>
          <w:sz w:val="30"/>
          <w:szCs w:val="30"/>
          <w:highlight w:val="none"/>
        </w:rPr>
        <w:t>9、履约承诺书</w:t>
      </w:r>
    </w:p>
    <w:p>
      <w:pPr>
        <w:adjustRightInd w:val="0"/>
        <w:snapToGrid w:val="0"/>
        <w:spacing w:before="156" w:beforeLines="50" w:line="300" w:lineRule="auto"/>
        <w:ind w:right="56" w:firstLine="555"/>
        <w:rPr>
          <w:color w:val="auto"/>
          <w:sz w:val="24"/>
          <w:highlight w:val="none"/>
        </w:rPr>
      </w:pPr>
      <w:r>
        <w:rPr>
          <w:rFonts w:hint="eastAsia"/>
          <w:color w:val="auto"/>
          <w:sz w:val="24"/>
          <w:highlight w:val="none"/>
        </w:rPr>
        <w:t>一、我单位承诺：</w:t>
      </w:r>
    </w:p>
    <w:p>
      <w:pPr>
        <w:adjustRightInd w:val="0"/>
        <w:snapToGrid w:val="0"/>
        <w:spacing w:before="156" w:beforeLines="50" w:line="300" w:lineRule="auto"/>
        <w:ind w:firstLine="555"/>
        <w:rPr>
          <w:color w:val="auto"/>
          <w:sz w:val="24"/>
          <w:highlight w:val="none"/>
        </w:rPr>
      </w:pPr>
      <w:r>
        <w:rPr>
          <w:rFonts w:hint="eastAsia"/>
          <w:color w:val="auto"/>
          <w:sz w:val="24"/>
          <w:highlight w:val="none"/>
        </w:rPr>
        <w:t>（一）我单位已详细阅读并完全理解、同意招标文件的全部内容，包括修改补充文件以及全部参考资料和有关附件；除我单位在招标文件规定期间内书面提出的疑问外，我单位放弃对这方面不明及误解的权力，并严格按采购人确定的技术及商务要求等履行。</w:t>
      </w:r>
    </w:p>
    <w:p>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二）我单位开标前已详细勘察现场，并按采购人现场条件及采购要求编制投标报价；我单位的投标报价括包括文件所述报价组成的所有内容、并包括招标文件未列明而与采购项目相关的、必须的所有款项及费用等达到交付使用及验收条件的所有一切风险、责任和义务的费用。</w:t>
      </w:r>
    </w:p>
    <w:p>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我单位保证按招标文件要求及投标承诺的质量诚信履约。</w:t>
      </w:r>
    </w:p>
    <w:p>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三）我单位保证在招标文件要求的时间内按期、保质完成中标项目。我单位在推荐中标结果公示后，将积极、主动的与采购人联系合同签订事宜，合同签订中如有任何的问题，我单位保证及时书面反映情况，否则视为我单位责任、按违约处理。</w:t>
      </w:r>
    </w:p>
    <w:p>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二、我单位承诺：</w:t>
      </w:r>
    </w:p>
    <w:p>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除法律规定的不可抗力因素外，我单位中标后以任何理由（包括违背上述承诺的事项）提出不能满足招标文件技术、交付（实施）期等要求或不能实现投标承诺的或提出变更的，我单位将无条件接受违约处理、并放弃我单位中标资格。我单位知悉违约责任及其处理，并无条件接受：</w:t>
      </w:r>
      <w:r>
        <w:rPr>
          <w:rFonts w:hint="eastAsia" w:ascii="宋体" w:hAnsi="宋体"/>
          <w:color w:val="auto"/>
          <w:sz w:val="24"/>
          <w:szCs w:val="24"/>
          <w:highlight w:val="none"/>
        </w:rPr>
        <w:t>依据招标文件“第三章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w:t>
      </w:r>
      <w:r>
        <w:rPr>
          <w:rFonts w:hint="eastAsia" w:ascii="宋体" w:hAnsi="宋体" w:cs="楷体_GB2312"/>
          <w:color w:val="auto"/>
          <w:sz w:val="24"/>
          <w:szCs w:val="22"/>
          <w:highlight w:val="none"/>
        </w:rPr>
        <w:t>承担相应法律责任及违约责任。</w:t>
      </w:r>
      <w:r>
        <w:rPr>
          <w:rFonts w:hint="eastAsia"/>
          <w:color w:val="auto"/>
          <w:sz w:val="24"/>
          <w:highlight w:val="none"/>
        </w:rPr>
        <w:t>情节严重的，由财政部门列入不良行为记录名单，在一至三年内禁止参加政府采购活动，并予以通报，处以罚金，给采购人及他人造成损失的，承担相应的赔偿责任。</w:t>
      </w:r>
    </w:p>
    <w:p>
      <w:pPr>
        <w:tabs>
          <w:tab w:val="left" w:pos="9354"/>
        </w:tabs>
        <w:adjustRightInd w:val="0"/>
        <w:snapToGrid w:val="0"/>
        <w:spacing w:before="156" w:beforeLines="50" w:line="300" w:lineRule="auto"/>
        <w:ind w:firstLine="480" w:firstLineChars="200"/>
        <w:rPr>
          <w:color w:val="auto"/>
          <w:sz w:val="24"/>
          <w:highlight w:val="none"/>
        </w:rPr>
      </w:pPr>
    </w:p>
    <w:p>
      <w:pPr>
        <w:tabs>
          <w:tab w:val="left" w:pos="9354"/>
        </w:tabs>
        <w:adjustRightInd w:val="0"/>
        <w:snapToGrid w:val="0"/>
        <w:spacing w:before="156" w:beforeLines="50" w:line="300" w:lineRule="auto"/>
        <w:ind w:firstLine="480" w:firstLineChars="200"/>
        <w:rPr>
          <w:color w:val="auto"/>
          <w:sz w:val="24"/>
          <w:highlight w:val="none"/>
        </w:rPr>
      </w:pP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pPr>
        <w:tabs>
          <w:tab w:val="left" w:pos="0"/>
        </w:tabs>
        <w:spacing w:line="500" w:lineRule="exact"/>
        <w:ind w:right="256"/>
        <w:jc w:val="right"/>
        <w:rPr>
          <w:rFonts w:ascii="宋体"/>
          <w:color w:val="auto"/>
          <w:spacing w:val="8"/>
          <w:sz w:val="24"/>
          <w:highlight w:val="none"/>
        </w:rPr>
      </w:pPr>
    </w:p>
    <w:p>
      <w:pPr>
        <w:autoSpaceDE w:val="0"/>
        <w:autoSpaceDN w:val="0"/>
        <w:adjustRightInd w:val="0"/>
        <w:spacing w:line="360" w:lineRule="auto"/>
        <w:jc w:val="left"/>
        <w:rPr>
          <w:rFonts w:eastAsia="方正黑体简体"/>
          <w:b/>
          <w:color w:val="auto"/>
          <w:sz w:val="30"/>
          <w:szCs w:val="30"/>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spacing w:line="240" w:lineRule="auto"/>
        <w:jc w:val="left"/>
        <w:textAlignment w:val="auto"/>
        <w:rPr>
          <w:rFonts w:ascii="宋体"/>
          <w:color w:val="auto"/>
          <w:sz w:val="24"/>
          <w:szCs w:val="24"/>
          <w:highlight w:val="none"/>
        </w:rPr>
      </w:pPr>
      <w:r>
        <w:rPr>
          <w:rFonts w:eastAsia="方正黑体简体"/>
          <w:b/>
          <w:color w:val="auto"/>
          <w:sz w:val="30"/>
          <w:szCs w:val="30"/>
          <w:highlight w:val="none"/>
        </w:rPr>
        <w:br w:type="page"/>
      </w:r>
    </w:p>
    <w:p>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0</w:t>
      </w:r>
      <w:r>
        <w:rPr>
          <w:rFonts w:hint="eastAsia" w:ascii="黑体" w:hAnsi="黑体" w:eastAsia="黑体"/>
          <w:b/>
          <w:color w:val="auto"/>
          <w:sz w:val="30"/>
          <w:szCs w:val="30"/>
          <w:highlight w:val="none"/>
        </w:rPr>
        <w:t>、招标项目要求及采购需求所需的其他材料</w:t>
      </w:r>
    </w:p>
    <w:p>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pPr>
        <w:widowControl w:val="0"/>
        <w:snapToGrid w:val="0"/>
        <w:spacing w:line="560" w:lineRule="exact"/>
        <w:ind w:firstLine="555"/>
        <w:rPr>
          <w:rFonts w:ascii="宋体" w:hAnsi="宋体"/>
          <w:color w:val="auto"/>
          <w:sz w:val="24"/>
          <w:szCs w:val="24"/>
          <w:highlight w:val="none"/>
        </w:rPr>
      </w:pPr>
      <w:r>
        <w:rPr>
          <w:rFonts w:hint="eastAsia" w:ascii="宋体" w:hAnsi="宋体"/>
          <w:color w:val="auto"/>
          <w:sz w:val="24"/>
          <w:szCs w:val="24"/>
          <w:highlight w:val="none"/>
        </w:rPr>
        <w:t>如采购产品属于政府强制采购品目清单的，投标文件中应当提供相应的认证证书，认证证书应当为国家确定的认证机构出具、且应处于有效期之内。不符合的、为无效投标。</w:t>
      </w:r>
    </w:p>
    <w:p>
      <w:pPr>
        <w:widowControl w:val="0"/>
        <w:snapToGrid w:val="0"/>
        <w:spacing w:line="560" w:lineRule="exact"/>
        <w:ind w:firstLine="555"/>
        <w:rPr>
          <w:rFonts w:ascii="宋体"/>
          <w:color w:val="auto"/>
          <w:sz w:val="24"/>
          <w:szCs w:val="24"/>
          <w:highlight w:val="none"/>
        </w:rPr>
      </w:pPr>
    </w:p>
    <w:p>
      <w:pPr>
        <w:autoSpaceDE w:val="0"/>
        <w:autoSpaceDN w:val="0"/>
        <w:adjustRightInd w:val="0"/>
        <w:spacing w:line="360" w:lineRule="auto"/>
        <w:jc w:val="center"/>
        <w:rPr>
          <w:rFonts w:eastAsia="方正黑体简体"/>
          <w:b/>
          <w:color w:val="auto"/>
          <w:sz w:val="30"/>
          <w:szCs w:val="30"/>
          <w:highlight w:val="none"/>
        </w:rPr>
      </w:pPr>
    </w:p>
    <w:p>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1</w:t>
      </w:r>
      <w:r>
        <w:rPr>
          <w:rFonts w:hint="eastAsia" w:ascii="黑体" w:hAnsi="黑体" w:eastAsia="黑体"/>
          <w:b/>
          <w:color w:val="auto"/>
          <w:sz w:val="30"/>
          <w:szCs w:val="30"/>
          <w:highlight w:val="none"/>
        </w:rPr>
        <w:t>、投标人须知所需的其他材料</w:t>
      </w:r>
    </w:p>
    <w:p>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pPr>
        <w:autoSpaceDE w:val="0"/>
        <w:autoSpaceDN w:val="0"/>
        <w:adjustRightInd w:val="0"/>
        <w:spacing w:line="360" w:lineRule="auto"/>
        <w:jc w:val="center"/>
        <w:rPr>
          <w:rFonts w:ascii="宋体"/>
          <w:color w:val="auto"/>
          <w:sz w:val="24"/>
          <w:szCs w:val="24"/>
          <w:highlight w:val="none"/>
        </w:rPr>
      </w:pPr>
    </w:p>
    <w:p>
      <w:pPr>
        <w:autoSpaceDE w:val="0"/>
        <w:autoSpaceDN w:val="0"/>
        <w:adjustRightInd w:val="0"/>
        <w:spacing w:line="360" w:lineRule="auto"/>
        <w:jc w:val="center"/>
        <w:rPr>
          <w:rFonts w:eastAsia="方正黑体简体"/>
          <w:b/>
          <w:color w:val="auto"/>
          <w:sz w:val="30"/>
          <w:szCs w:val="30"/>
          <w:highlight w:val="none"/>
        </w:rPr>
      </w:pPr>
    </w:p>
    <w:p>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2</w:t>
      </w:r>
      <w:r>
        <w:rPr>
          <w:rFonts w:hint="eastAsia" w:ascii="黑体" w:hAnsi="黑体" w:eastAsia="黑体"/>
          <w:b/>
          <w:color w:val="auto"/>
          <w:sz w:val="30"/>
          <w:szCs w:val="30"/>
          <w:highlight w:val="none"/>
        </w:rPr>
        <w:t>、评标办法所需的其他材料</w:t>
      </w:r>
    </w:p>
    <w:p>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pPr>
        <w:autoSpaceDE w:val="0"/>
        <w:autoSpaceDN w:val="0"/>
        <w:adjustRightInd w:val="0"/>
        <w:spacing w:line="360" w:lineRule="auto"/>
        <w:rPr>
          <w:rFonts w:ascii="宋体"/>
          <w:color w:val="auto"/>
          <w:sz w:val="24"/>
          <w:szCs w:val="24"/>
          <w:highlight w:val="none"/>
        </w:rPr>
      </w:pPr>
    </w:p>
    <w:p>
      <w:pPr>
        <w:autoSpaceDE w:val="0"/>
        <w:autoSpaceDN w:val="0"/>
        <w:adjustRightInd w:val="0"/>
        <w:spacing w:line="360" w:lineRule="auto"/>
        <w:rPr>
          <w:rFonts w:ascii="宋体"/>
          <w:color w:val="auto"/>
          <w:sz w:val="24"/>
          <w:szCs w:val="24"/>
          <w:highlight w:val="none"/>
        </w:rPr>
      </w:pPr>
    </w:p>
    <w:p>
      <w:pPr>
        <w:widowControl w:val="0"/>
        <w:snapToGrid w:val="0"/>
        <w:spacing w:line="560" w:lineRule="exact"/>
        <w:rPr>
          <w:rFonts w:ascii="黑体" w:hAnsi="黑体" w:eastAsia="黑体"/>
          <w:b/>
          <w:color w:val="auto"/>
          <w:sz w:val="30"/>
          <w:szCs w:val="30"/>
          <w:highlight w:val="none"/>
        </w:rPr>
      </w:pPr>
      <w:r>
        <w:rPr>
          <w:rFonts w:hint="eastAsia" w:ascii="黑体" w:hAnsi="黑体" w:eastAsia="黑体"/>
          <w:b/>
          <w:color w:val="auto"/>
          <w:sz w:val="30"/>
          <w:szCs w:val="30"/>
          <w:highlight w:val="none"/>
        </w:rPr>
        <w:t>12</w:t>
      </w:r>
      <w:r>
        <w:rPr>
          <w:rFonts w:ascii="黑体" w:hAnsi="黑体" w:eastAsia="黑体"/>
          <w:b/>
          <w:color w:val="auto"/>
          <w:sz w:val="30"/>
          <w:szCs w:val="30"/>
          <w:highlight w:val="none"/>
        </w:rPr>
        <w:t>-</w:t>
      </w:r>
      <w:r>
        <w:rPr>
          <w:rFonts w:hint="eastAsia" w:ascii="黑体" w:hAnsi="黑体" w:eastAsia="黑体"/>
          <w:b/>
          <w:color w:val="auto"/>
          <w:sz w:val="30"/>
          <w:szCs w:val="30"/>
          <w:highlight w:val="none"/>
        </w:rPr>
        <w:t>1、其它材料</w:t>
      </w:r>
    </w:p>
    <w:p>
      <w:pPr>
        <w:autoSpaceDE w:val="0"/>
        <w:autoSpaceDN w:val="0"/>
        <w:adjustRightInd w:val="0"/>
        <w:spacing w:line="360" w:lineRule="auto"/>
        <w:rPr>
          <w:rFonts w:ascii="宋体"/>
          <w:color w:val="auto"/>
          <w:sz w:val="24"/>
          <w:szCs w:val="24"/>
          <w:highlight w:val="none"/>
        </w:rPr>
      </w:pPr>
    </w:p>
    <w:p>
      <w:pPr>
        <w:autoSpaceDE w:val="0"/>
        <w:autoSpaceDN w:val="0"/>
        <w:adjustRightInd w:val="0"/>
        <w:spacing w:line="360" w:lineRule="auto"/>
        <w:rPr>
          <w:rFonts w:ascii="宋体"/>
          <w:color w:val="auto"/>
          <w:sz w:val="24"/>
          <w:szCs w:val="24"/>
          <w:highlight w:val="none"/>
        </w:rPr>
      </w:pPr>
      <w:r>
        <w:rPr>
          <w:rFonts w:ascii="宋体"/>
          <w:color w:val="auto"/>
          <w:sz w:val="24"/>
          <w:szCs w:val="24"/>
          <w:highlight w:val="none"/>
        </w:rPr>
        <w:br w:type="page"/>
      </w:r>
    </w:p>
    <w:p>
      <w:pPr>
        <w:widowControl w:val="0"/>
        <w:snapToGrid w:val="0"/>
        <w:spacing w:line="560" w:lineRule="exact"/>
        <w:rPr>
          <w:rFonts w:ascii="黑体" w:hAnsi="黑体" w:eastAsia="黑体"/>
          <w:b/>
          <w:color w:val="auto"/>
          <w:sz w:val="30"/>
          <w:szCs w:val="30"/>
          <w:highlight w:val="none"/>
        </w:rPr>
      </w:pPr>
      <w:r>
        <w:rPr>
          <w:rFonts w:hint="eastAsia" w:ascii="黑体" w:hAnsi="黑体" w:eastAsia="黑体"/>
          <w:b/>
          <w:color w:val="auto"/>
          <w:sz w:val="30"/>
          <w:szCs w:val="30"/>
          <w:highlight w:val="none"/>
        </w:rPr>
        <w:t>12-2附件：</w:t>
      </w:r>
    </w:p>
    <w:p>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关于“台式计算机、便携式计算机、一体式计算机、工作站、通用服务器、操作系统、数据库”《需求标准》政策规定所涉及的</w:t>
      </w:r>
    </w:p>
    <w:p>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投标要求、评审注意事项</w:t>
      </w:r>
    </w:p>
    <w:p>
      <w:pPr>
        <w:widowControl w:val="0"/>
        <w:tabs>
          <w:tab w:val="left" w:pos="65"/>
        </w:tabs>
        <w:spacing w:line="460" w:lineRule="atLeast"/>
        <w:ind w:firstLine="557" w:firstLineChars="198"/>
        <w:jc w:val="center"/>
        <w:textAlignment w:val="auto"/>
        <w:rPr>
          <w:b/>
          <w:color w:val="auto"/>
          <w:sz w:val="28"/>
          <w:szCs w:val="28"/>
          <w:highlight w:val="none"/>
        </w:rPr>
      </w:pPr>
      <w:r>
        <w:rPr>
          <w:rFonts w:hint="eastAsia"/>
          <w:b/>
          <w:color w:val="auto"/>
          <w:sz w:val="28"/>
          <w:szCs w:val="28"/>
          <w:highlight w:val="none"/>
        </w:rPr>
        <w:t>（投标产品如涉及）</w:t>
      </w:r>
    </w:p>
    <w:p>
      <w:pPr>
        <w:widowControl w:val="0"/>
        <w:tabs>
          <w:tab w:val="left" w:pos="65"/>
        </w:tabs>
        <w:spacing w:line="460" w:lineRule="atLeast"/>
        <w:ind w:firstLine="595" w:firstLineChars="247"/>
        <w:textAlignment w:val="auto"/>
        <w:rPr>
          <w:rFonts w:ascii="宋体" w:hAnsi="宋体"/>
          <w:color w:val="auto"/>
          <w:sz w:val="24"/>
          <w:szCs w:val="24"/>
          <w:highlight w:val="none"/>
        </w:rPr>
      </w:pPr>
      <w:r>
        <w:rPr>
          <w:rFonts w:hint="eastAsia" w:ascii="宋体" w:hAnsi="宋体"/>
          <w:b/>
          <w:color w:val="auto"/>
          <w:sz w:val="24"/>
          <w:szCs w:val="24"/>
          <w:highlight w:val="none"/>
        </w:rPr>
        <w:t>本次采购产品中、如涉及台式计算机、便携式计算机、一体式计算机、工作站、通用服务器、操作系统、数据库的，</w:t>
      </w:r>
      <w:r>
        <w:rPr>
          <w:rFonts w:hint="eastAsia" w:ascii="宋体" w:hAnsi="宋体"/>
          <w:color w:val="auto"/>
          <w:sz w:val="24"/>
          <w:szCs w:val="24"/>
          <w:highlight w:val="none"/>
        </w:rPr>
        <w:t>应符合《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的要求。</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一、投标要求：</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1、无论《招标文件》采购需求中是否列示说明，投标上述产品的、均应当符合上述需求标准。投标人对《招标文件》采购需求及所涉需求标准有疑义、认为影响投标的，均应在投标前在法定时间内依法提出书面质疑，否则、将视为投标人对《招标文件》采购需求及所涉需求标准的完全确认接受，采购人可以按有利于采购人工作需要的条款进行监督履行。</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2、投标人应当按《招标文件》要求编制“投标产品清单及具体技术参数”、“技术偏差表”，以供评委对投标产品是否符合《招标文件》采购需求进行评审；不符合《招标文件》采购需求的为无效投标。</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3、按照“台式计算机、便携式计算机、一体式计算机、工作站、通用服务器、操作系统、数据库”《需求标准》的相关政策规定，在投标、响应环节，不再对相关产品是否符合《需求标准》进行检测、认证，不再要求供应商提供符合《需求标准》的检测、认证报告的相应佐证材料。</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按相关政策规定，供应商在投标、响应环节出具关于所提供产品满足采购文件要求承诺函（见后附格式）的，即视为相关产品符合要求，无需检测、认证报告的佐证材料。</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4、按相关政策规定，履约验收中，采购人认为必要时委托依法取得检测、认证资质的机构进行检测、认证时，中标人将无条件配合。</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5、如采购人委托依法取得检测、认证资质的机构进行检测、认证后，与采购要求或投标文件承诺不一的，中标无效、并接受相应的调查处理、承担相应的违约责任。</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二、评审注意事项</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1、供应商在投标、响应环节出具关于所提供产品满足采购文件要求承诺函（见后附格式）的，即视为相关产品符合要求，无需检测、认证报告的佐证材料。</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2、投标人应当按《招标文件》要求编制“投标产品清单及具体技术参数”、“技术偏差表”，以供评委对投标产品是否符合《招标文件》采购需求进行评审；不符合《招标文件》采购需求的为无效投标。</w:t>
      </w:r>
    </w:p>
    <w:p>
      <w:pPr>
        <w:widowControl w:val="0"/>
        <w:tabs>
          <w:tab w:val="left" w:pos="65"/>
        </w:tabs>
        <w:spacing w:line="460" w:lineRule="atLeast"/>
        <w:ind w:firstLine="240" w:firstLineChars="100"/>
        <w:textAlignment w:val="auto"/>
        <w:rPr>
          <w:rFonts w:ascii="宋体" w:hAnsi="宋体"/>
          <w:color w:val="auto"/>
          <w:sz w:val="24"/>
          <w:szCs w:val="24"/>
          <w:highlight w:val="none"/>
        </w:rPr>
      </w:pPr>
      <w:r>
        <w:rPr>
          <w:rFonts w:ascii="宋体" w:hAnsi="宋体"/>
          <w:color w:val="auto"/>
          <w:sz w:val="24"/>
          <w:szCs w:val="24"/>
          <w:highlight w:val="none"/>
        </w:rPr>
        <w:br w:type="page"/>
      </w:r>
    </w:p>
    <w:p>
      <w:pPr>
        <w:widowControl w:val="0"/>
        <w:tabs>
          <w:tab w:val="left" w:pos="65"/>
        </w:tabs>
        <w:spacing w:line="460" w:lineRule="atLeast"/>
        <w:ind w:firstLine="301" w:firstLineChars="100"/>
        <w:jc w:val="center"/>
        <w:textAlignment w:val="auto"/>
        <w:rPr>
          <w:rFonts w:ascii="黑体" w:hAnsi="黑体" w:eastAsia="黑体"/>
          <w:b/>
          <w:color w:val="auto"/>
          <w:sz w:val="30"/>
          <w:szCs w:val="30"/>
          <w:highlight w:val="none"/>
        </w:rPr>
      </w:pPr>
      <w:r>
        <w:rPr>
          <w:rFonts w:hint="eastAsia" w:ascii="黑体" w:hAnsi="黑体" w:eastAsia="黑体"/>
          <w:b/>
          <w:color w:val="auto"/>
          <w:sz w:val="30"/>
          <w:szCs w:val="30"/>
          <w:highlight w:val="none"/>
        </w:rPr>
        <w:t>关于“台式计算机、便携式计算机、一体式计算机、工作站、通用服务器、操作系统、数据库”《需求标准》相关的承诺函</w:t>
      </w:r>
    </w:p>
    <w:p>
      <w:pPr>
        <w:widowControl w:val="0"/>
        <w:tabs>
          <w:tab w:val="left" w:pos="65"/>
        </w:tabs>
        <w:spacing w:line="460" w:lineRule="atLeast"/>
        <w:ind w:firstLine="281" w:firstLineChars="100"/>
        <w:jc w:val="center"/>
        <w:textAlignment w:val="auto"/>
        <w:rPr>
          <w:rFonts w:ascii="黑体" w:hAnsi="黑体" w:eastAsia="黑体"/>
          <w:b/>
          <w:color w:val="auto"/>
          <w:sz w:val="30"/>
          <w:szCs w:val="30"/>
          <w:highlight w:val="none"/>
        </w:rPr>
      </w:pPr>
      <w:r>
        <w:rPr>
          <w:rFonts w:hint="eastAsia"/>
          <w:b/>
          <w:color w:val="auto"/>
          <w:sz w:val="28"/>
          <w:szCs w:val="28"/>
          <w:highlight w:val="none"/>
        </w:rPr>
        <w:t>（投标产品如涉及）</w:t>
      </w:r>
    </w:p>
    <w:p>
      <w:pPr>
        <w:widowControl w:val="0"/>
        <w:tabs>
          <w:tab w:val="left" w:pos="9365"/>
        </w:tabs>
        <w:spacing w:before="360" w:after="360" w:line="36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(采购人名称） 、</w:t>
      </w:r>
      <w:r>
        <w:rPr>
          <w:rFonts w:hint="eastAsia"/>
          <w:color w:val="auto"/>
          <w:sz w:val="24"/>
          <w:szCs w:val="24"/>
          <w:highlight w:val="none"/>
        </w:rPr>
        <w:t>安阳市方正招标采购服务有限责任公司</w:t>
      </w:r>
    </w:p>
    <w:p>
      <w:pPr>
        <w:widowControl w:val="0"/>
        <w:tabs>
          <w:tab w:val="left" w:pos="65"/>
        </w:tabs>
        <w:spacing w:line="460" w:lineRule="atLeast"/>
        <w:ind w:firstLine="480" w:firstLineChars="200"/>
        <w:textAlignment w:val="auto"/>
        <w:rPr>
          <w:color w:val="auto"/>
          <w:sz w:val="24"/>
          <w:highlight w:val="none"/>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按《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相关政策规定，我</w:t>
      </w:r>
      <w:r>
        <w:rPr>
          <w:rFonts w:hint="eastAsia"/>
          <w:color w:val="auto"/>
          <w:sz w:val="24"/>
          <w:highlight w:val="none"/>
        </w:rPr>
        <w:t>单位承诺：</w:t>
      </w:r>
    </w:p>
    <w:p>
      <w:pPr>
        <w:widowControl w:val="0"/>
        <w:tabs>
          <w:tab w:val="left" w:pos="65"/>
        </w:tabs>
        <w:spacing w:line="480" w:lineRule="auto"/>
        <w:ind w:firstLine="480" w:firstLineChars="200"/>
        <w:textAlignment w:val="auto"/>
        <w:rPr>
          <w:rFonts w:ascii="宋体" w:hAnsi="宋体"/>
          <w:color w:val="auto"/>
          <w:sz w:val="24"/>
          <w:szCs w:val="24"/>
          <w:highlight w:val="none"/>
        </w:rPr>
      </w:pPr>
      <w:r>
        <w:rPr>
          <w:rFonts w:hint="eastAsia"/>
          <w:color w:val="auto"/>
          <w:sz w:val="24"/>
          <w:highlight w:val="none"/>
        </w:rPr>
        <w:t>一</w:t>
      </w:r>
      <w:r>
        <w:rPr>
          <w:rFonts w:hint="eastAsia" w:ascii="宋体" w:hAnsi="宋体"/>
          <w:color w:val="auto"/>
          <w:sz w:val="24"/>
          <w:szCs w:val="24"/>
          <w:highlight w:val="none"/>
        </w:rPr>
        <w:t>、我单位承诺所投产品均满足上述《需求标准》要求。</w:t>
      </w:r>
    </w:p>
    <w:p>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我单位承诺所投产品均满足招标文件技术、商务要求，并按《招标文件》要求编制“投标产品清单及具体技术参数”、“技术偏差表”，以供评委对投标产品是否符合《招标文件》采购需求进行评审；不符合《招标文件》采购需求的为无效投标。</w:t>
      </w:r>
    </w:p>
    <w:p>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三、按相关政策规定，履约验收中，采购人认为必要时委托依法取得检测、认证资质的机构进行检测、认证时，我单位将无条件配合。</w:t>
      </w:r>
    </w:p>
    <w:p>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如采购人委托依法取得检测、认证资质的机构进行检测、认证后，与采购要求或投标文件承诺不一的，中标无效、并接受相应的调查处理、承担相应的违约责任。</w:t>
      </w:r>
    </w:p>
    <w:p>
      <w:pPr>
        <w:widowControl w:val="0"/>
        <w:tabs>
          <w:tab w:val="left" w:pos="65"/>
        </w:tabs>
        <w:spacing w:line="460" w:lineRule="atLeast"/>
        <w:ind w:firstLine="300" w:firstLineChars="100"/>
        <w:jc w:val="center"/>
        <w:textAlignment w:val="auto"/>
        <w:rPr>
          <w:rFonts w:eastAsia="方正黑体简体"/>
          <w:b/>
          <w:color w:val="auto"/>
          <w:sz w:val="30"/>
          <w:szCs w:val="30"/>
          <w:highlight w:val="none"/>
        </w:rPr>
      </w:pPr>
    </w:p>
    <w:p>
      <w:pPr>
        <w:widowControl w:val="0"/>
        <w:tabs>
          <w:tab w:val="left" w:pos="65"/>
        </w:tabs>
        <w:spacing w:line="460" w:lineRule="atLeast"/>
        <w:ind w:firstLine="300" w:firstLineChars="100"/>
        <w:jc w:val="center"/>
        <w:textAlignment w:val="auto"/>
        <w:rPr>
          <w:rFonts w:eastAsia="方正黑体简体"/>
          <w:b/>
          <w:color w:val="auto"/>
          <w:sz w:val="30"/>
          <w:szCs w:val="30"/>
          <w:highlight w:val="none"/>
        </w:rPr>
      </w:pPr>
    </w:p>
    <w:p>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pPr>
        <w:widowControl w:val="0"/>
        <w:snapToGrid w:val="0"/>
        <w:spacing w:line="360" w:lineRule="auto"/>
        <w:textAlignment w:val="top"/>
        <w:rPr>
          <w:rFonts w:ascii="宋体" w:hAnsi="宋体"/>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pPr>
        <w:autoSpaceDE w:val="0"/>
        <w:autoSpaceDN w:val="0"/>
        <w:adjustRightInd w:val="0"/>
        <w:spacing w:line="360" w:lineRule="auto"/>
        <w:rPr>
          <w:rFonts w:ascii="宋体"/>
          <w:color w:val="auto"/>
          <w:sz w:val="24"/>
          <w:szCs w:val="24"/>
          <w:highlight w:val="none"/>
        </w:rPr>
      </w:pPr>
    </w:p>
    <w:p>
      <w:pPr>
        <w:autoSpaceDE w:val="0"/>
        <w:autoSpaceDN w:val="0"/>
        <w:adjustRightInd w:val="0"/>
        <w:spacing w:line="360" w:lineRule="auto"/>
        <w:rPr>
          <w:rFonts w:ascii="宋体"/>
          <w:color w:val="auto"/>
          <w:sz w:val="24"/>
          <w:szCs w:val="24"/>
          <w:highlight w:val="none"/>
        </w:rPr>
      </w:pPr>
    </w:p>
    <w:p>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3</w:t>
      </w:r>
      <w:r>
        <w:rPr>
          <w:rFonts w:hint="eastAsia" w:ascii="黑体" w:hAnsi="黑体" w:eastAsia="黑体"/>
          <w:b/>
          <w:color w:val="auto"/>
          <w:sz w:val="30"/>
          <w:szCs w:val="30"/>
          <w:highlight w:val="none"/>
        </w:rPr>
        <w:t>、投标人认为有必要提交的其它材料</w:t>
      </w:r>
    </w:p>
    <w:p>
      <w:pPr>
        <w:autoSpaceDE w:val="0"/>
        <w:autoSpaceDN w:val="0"/>
        <w:adjustRightInd w:val="0"/>
        <w:spacing w:line="360" w:lineRule="auto"/>
        <w:jc w:val="center"/>
        <w:rPr>
          <w:rFonts w:ascii="宋体"/>
          <w:color w:val="auto"/>
          <w:sz w:val="24"/>
          <w:szCs w:val="24"/>
          <w:highlight w:val="none"/>
        </w:rPr>
      </w:pPr>
      <w:r>
        <w:rPr>
          <w:rFonts w:hint="eastAsia" w:ascii="宋体" w:hAnsi="宋体"/>
          <w:color w:val="auto"/>
          <w:sz w:val="24"/>
          <w:szCs w:val="24"/>
          <w:highlight w:val="none"/>
        </w:rPr>
        <w:t>（由法定代表人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pPr>
        <w:autoSpaceDE w:val="0"/>
        <w:autoSpaceDN w:val="0"/>
        <w:adjustRightInd w:val="0"/>
        <w:spacing w:line="360" w:lineRule="auto"/>
        <w:jc w:val="center"/>
        <w:rPr>
          <w:rFonts w:ascii="宋体" w:hAnsi="宋体"/>
          <w:color w:val="auto"/>
          <w:sz w:val="24"/>
          <w:szCs w:val="24"/>
          <w:highlight w:val="none"/>
        </w:rPr>
      </w:pPr>
    </w:p>
    <w:p>
      <w:pPr>
        <w:spacing w:line="240" w:lineRule="auto"/>
        <w:jc w:val="center"/>
        <w:textAlignment w:val="auto"/>
        <w:rPr>
          <w:rFonts w:ascii="宋体" w:cs="楷体_GB2312"/>
          <w:b/>
          <w:color w:val="auto"/>
          <w:sz w:val="30"/>
          <w:szCs w:val="30"/>
          <w:highlight w:val="none"/>
        </w:rPr>
      </w:pPr>
      <w:r>
        <w:rPr>
          <w:rFonts w:eastAsia="方正黑体简体"/>
          <w:b/>
          <w:color w:val="auto"/>
          <w:sz w:val="30"/>
          <w:szCs w:val="30"/>
          <w:highlight w:val="none"/>
        </w:rPr>
        <w:br w:type="page"/>
      </w:r>
    </w:p>
    <w:p>
      <w:pPr>
        <w:spacing w:before="936" w:beforeLines="300" w:after="312" w:afterLines="100" w:line="360" w:lineRule="auto"/>
        <w:rPr>
          <w:rFonts w:ascii="宋体" w:hAnsi="宋体"/>
          <w:b/>
          <w:bCs/>
          <w:color w:val="auto"/>
          <w:spacing w:val="100"/>
          <w:sz w:val="36"/>
          <w:szCs w:val="36"/>
          <w:highlight w:val="none"/>
          <w:u w:val="single"/>
        </w:rPr>
      </w:pPr>
    </w:p>
    <w:p>
      <w:pPr>
        <w:spacing w:before="936" w:beforeLines="300" w:after="312" w:afterLines="100" w:line="360" w:lineRule="auto"/>
        <w:rPr>
          <w:rFonts w:ascii="宋体" w:hAnsi="宋体"/>
          <w:b/>
          <w:bCs/>
          <w:color w:val="auto"/>
          <w:spacing w:val="100"/>
          <w:sz w:val="72"/>
          <w:szCs w:val="72"/>
          <w:highlight w:val="none"/>
        </w:rPr>
      </w:pPr>
      <w:r>
        <w:rPr>
          <w:rFonts w:hint="eastAsia" w:ascii="宋体" w:hAnsi="宋体"/>
          <w:b/>
          <w:bCs/>
          <w:color w:val="auto"/>
          <w:spacing w:val="100"/>
          <w:sz w:val="36"/>
          <w:szCs w:val="36"/>
          <w:highlight w:val="none"/>
          <w:u w:val="single"/>
        </w:rPr>
        <w:t xml:space="preserve">                  </w:t>
      </w:r>
      <w:r>
        <w:rPr>
          <w:rFonts w:hint="eastAsia" w:ascii="黑体" w:hAnsi="黑体" w:eastAsia="黑体"/>
          <w:b/>
          <w:color w:val="auto"/>
          <w:spacing w:val="60"/>
          <w:sz w:val="72"/>
          <w:szCs w:val="72"/>
          <w:highlight w:val="none"/>
        </w:rPr>
        <w:t>项目</w:t>
      </w:r>
    </w:p>
    <w:p>
      <w:pPr>
        <w:spacing w:line="360" w:lineRule="auto"/>
        <w:ind w:left="4350" w:leftChars="1500" w:hanging="1200" w:hangingChars="166"/>
        <w:rPr>
          <w:rFonts w:ascii="黑体" w:hAnsi="黑体" w:eastAsia="黑体"/>
          <w:b/>
          <w:color w:val="auto"/>
          <w:sz w:val="72"/>
          <w:szCs w:val="72"/>
          <w:highlight w:val="none"/>
          <w:u w:val="single"/>
        </w:rPr>
      </w:pPr>
      <w:r>
        <w:rPr>
          <w:rFonts w:hint="eastAsia" w:ascii="黑体" w:hAnsi="黑体" w:eastAsia="黑体"/>
          <w:b/>
          <w:color w:val="auto"/>
          <w:sz w:val="72"/>
          <w:szCs w:val="72"/>
          <w:highlight w:val="none"/>
        </w:rPr>
        <w:t>包</w:t>
      </w:r>
      <w:r>
        <w:rPr>
          <w:rFonts w:hint="eastAsia" w:ascii="黑体" w:hAnsi="黑体" w:eastAsia="黑体"/>
          <w:b/>
          <w:color w:val="auto"/>
          <w:sz w:val="72"/>
          <w:szCs w:val="72"/>
          <w:highlight w:val="none"/>
          <w:u w:val="single"/>
        </w:rPr>
        <w:t xml:space="preserve">    </w:t>
      </w:r>
    </w:p>
    <w:p>
      <w:pPr>
        <w:spacing w:line="360" w:lineRule="auto"/>
        <w:ind w:left="4544" w:leftChars="1500" w:hanging="1394" w:hangingChars="166"/>
        <w:rPr>
          <w:rFonts w:ascii="宋体" w:hAnsi="宋体"/>
          <w:color w:val="auto"/>
          <w:sz w:val="84"/>
          <w:szCs w:val="84"/>
          <w:highlight w:val="none"/>
        </w:rPr>
      </w:pPr>
    </w:p>
    <w:p>
      <w:pPr>
        <w:spacing w:after="624" w:afterLines="200" w:line="360" w:lineRule="auto"/>
        <w:ind w:left="3996" w:leftChars="299" w:hanging="3368" w:hangingChars="466"/>
        <w:jc w:val="center"/>
        <w:rPr>
          <w:rFonts w:ascii="黑体" w:hAnsi="黑体" w:eastAsia="黑体"/>
          <w:b/>
          <w:color w:val="auto"/>
          <w:sz w:val="72"/>
          <w:szCs w:val="72"/>
          <w:highlight w:val="none"/>
          <w:lang w:val="zh-CN"/>
        </w:rPr>
      </w:pPr>
      <w:r>
        <w:rPr>
          <w:rFonts w:hint="eastAsia" w:ascii="黑体" w:hAnsi="黑体" w:eastAsia="黑体"/>
          <w:b/>
          <w:color w:val="auto"/>
          <w:sz w:val="72"/>
          <w:szCs w:val="72"/>
          <w:highlight w:val="none"/>
          <w:lang w:val="zh-CN"/>
        </w:rPr>
        <w:t>投标文件—资格性证明文件</w:t>
      </w:r>
    </w:p>
    <w:p>
      <w:pPr>
        <w:spacing w:before="156" w:beforeLines="50" w:after="156" w:afterLines="50" w:line="360" w:lineRule="auto"/>
        <w:ind w:firstLine="1751" w:firstLineChars="545"/>
        <w:rPr>
          <w:rFonts w:ascii="宋体" w:hAnsi="宋体"/>
          <w:b/>
          <w:color w:val="auto"/>
          <w:sz w:val="32"/>
          <w:szCs w:val="32"/>
          <w:highlight w:val="none"/>
        </w:rPr>
      </w:pPr>
      <w:r>
        <w:rPr>
          <w:rFonts w:hint="eastAsia" w:ascii="宋体" w:hAnsi="宋体"/>
          <w:b/>
          <w:color w:val="auto"/>
          <w:sz w:val="32"/>
          <w:szCs w:val="32"/>
          <w:highlight w:val="none"/>
        </w:rPr>
        <w:t xml:space="preserve">项目编号： </w:t>
      </w:r>
      <w:r>
        <w:rPr>
          <w:rFonts w:hint="eastAsia" w:ascii="宋体" w:hAnsi="宋体"/>
          <w:b/>
          <w:color w:val="auto"/>
          <w:sz w:val="32"/>
          <w:szCs w:val="32"/>
          <w:highlight w:val="none"/>
          <w:u w:val="single"/>
        </w:rPr>
        <w:t xml:space="preserve">                     </w:t>
      </w:r>
    </w:p>
    <w:p>
      <w:pPr>
        <w:spacing w:line="360" w:lineRule="auto"/>
        <w:rPr>
          <w:rFonts w:ascii="宋体" w:hAnsi="宋体"/>
          <w:b/>
          <w:color w:val="auto"/>
          <w:sz w:val="36"/>
          <w:szCs w:val="36"/>
          <w:highlight w:val="none"/>
        </w:rPr>
      </w:pPr>
    </w:p>
    <w:p>
      <w:pPr>
        <w:spacing w:line="360" w:lineRule="auto"/>
        <w:rPr>
          <w:rFonts w:ascii="宋体" w:hAnsi="宋体"/>
          <w:b/>
          <w:color w:val="auto"/>
          <w:sz w:val="36"/>
          <w:szCs w:val="36"/>
          <w:highlight w:val="none"/>
        </w:rPr>
      </w:pPr>
    </w:p>
    <w:p>
      <w:pPr>
        <w:spacing w:line="360" w:lineRule="auto"/>
        <w:rPr>
          <w:rFonts w:ascii="宋体" w:hAnsi="宋体"/>
          <w:b/>
          <w:color w:val="auto"/>
          <w:sz w:val="36"/>
          <w:szCs w:val="36"/>
          <w:highlight w:val="none"/>
        </w:rPr>
      </w:pPr>
    </w:p>
    <w:p>
      <w:pPr>
        <w:spacing w:line="360" w:lineRule="auto"/>
        <w:rPr>
          <w:rFonts w:ascii="宋体" w:hAnsi="宋体"/>
          <w:b/>
          <w:color w:val="auto"/>
          <w:sz w:val="36"/>
          <w:szCs w:val="36"/>
          <w:highlight w:val="none"/>
        </w:rPr>
      </w:pPr>
    </w:p>
    <w:p>
      <w:pPr>
        <w:pStyle w:val="55"/>
        <w:spacing w:before="468" w:beforeLines="150" w:after="468" w:afterLines="150" w:line="360" w:lineRule="auto"/>
        <w:jc w:val="both"/>
        <w:rPr>
          <w:rFonts w:hAnsi="宋体"/>
          <w:color w:val="auto"/>
          <w:sz w:val="28"/>
          <w:szCs w:val="28"/>
          <w:highlight w:val="none"/>
        </w:rPr>
      </w:pPr>
      <w:r>
        <w:rPr>
          <w:rFonts w:hint="eastAsia" w:hAnsi="宋体"/>
          <w:color w:val="auto"/>
          <w:sz w:val="28"/>
          <w:szCs w:val="28"/>
          <w:highlight w:val="none"/>
        </w:rPr>
        <w:t>投标人：</w:t>
      </w:r>
      <w:r>
        <w:rPr>
          <w:rFonts w:hint="eastAsia" w:hAnsi="宋体"/>
          <w:color w:val="auto"/>
          <w:sz w:val="28"/>
          <w:szCs w:val="28"/>
          <w:highlight w:val="none"/>
          <w:u w:val="single"/>
        </w:rPr>
        <w:t xml:space="preserve">                                    </w:t>
      </w:r>
      <w:r>
        <w:rPr>
          <w:rFonts w:hint="eastAsia" w:hAnsi="宋体"/>
          <w:color w:val="auto"/>
          <w:sz w:val="28"/>
          <w:szCs w:val="28"/>
          <w:highlight w:val="none"/>
        </w:rPr>
        <w:t>（加盖电子签章）</w:t>
      </w:r>
    </w:p>
    <w:p>
      <w:pPr>
        <w:pStyle w:val="55"/>
        <w:spacing w:before="468" w:beforeLines="150" w:after="468" w:afterLines="150" w:line="360" w:lineRule="auto"/>
        <w:jc w:val="both"/>
        <w:rPr>
          <w:rFonts w:hAnsi="宋体"/>
          <w:color w:val="auto"/>
          <w:sz w:val="28"/>
          <w:szCs w:val="28"/>
          <w:highlight w:val="none"/>
          <w:u w:val="single"/>
        </w:rPr>
      </w:pPr>
      <w:r>
        <w:rPr>
          <w:rFonts w:hint="eastAsia" w:hAnsi="宋体"/>
          <w:color w:val="auto"/>
          <w:sz w:val="28"/>
          <w:szCs w:val="28"/>
          <w:highlight w:val="none"/>
        </w:rPr>
        <w:t>法定代表人：</w:t>
      </w:r>
      <w:r>
        <w:rPr>
          <w:rFonts w:hAnsi="宋体"/>
          <w:color w:val="auto"/>
          <w:sz w:val="28"/>
          <w:szCs w:val="28"/>
          <w:highlight w:val="none"/>
          <w:u w:val="single"/>
        </w:rPr>
        <w:t xml:space="preserve">                       </w:t>
      </w:r>
      <w:r>
        <w:rPr>
          <w:rFonts w:hint="eastAsia" w:hAnsi="宋体"/>
          <w:color w:val="auto"/>
          <w:sz w:val="28"/>
          <w:szCs w:val="28"/>
          <w:highlight w:val="none"/>
          <w:u w:val="single"/>
        </w:rPr>
        <w:t xml:space="preserve">      </w:t>
      </w:r>
      <w:r>
        <w:rPr>
          <w:rFonts w:hAnsi="宋体"/>
          <w:color w:val="auto"/>
          <w:sz w:val="28"/>
          <w:szCs w:val="28"/>
          <w:highlight w:val="none"/>
          <w:u w:val="single"/>
        </w:rPr>
        <w:t xml:space="preserve">   </w:t>
      </w:r>
      <w:r>
        <w:rPr>
          <w:rFonts w:hint="eastAsia" w:hAnsi="宋体"/>
          <w:color w:val="auto"/>
          <w:sz w:val="28"/>
          <w:szCs w:val="28"/>
          <w:highlight w:val="none"/>
        </w:rPr>
        <w:t>（加盖电子签名或签章）</w:t>
      </w:r>
    </w:p>
    <w:p>
      <w:pPr>
        <w:spacing w:before="468" w:beforeLines="150" w:after="468" w:afterLines="150" w:line="586" w:lineRule="atLeast"/>
        <w:rPr>
          <w:rFonts w:ascii="宋体" w:hAnsi="宋体"/>
          <w:color w:val="auto"/>
          <w:sz w:val="28"/>
          <w:szCs w:val="28"/>
          <w:highlight w:val="none"/>
        </w:rPr>
      </w:pPr>
      <w:r>
        <w:rPr>
          <w:rFonts w:hint="eastAsia" w:ascii="宋体" w:hAnsi="宋体"/>
          <w:color w:val="auto"/>
          <w:sz w:val="28"/>
          <w:szCs w:val="28"/>
          <w:highlight w:val="none"/>
        </w:rPr>
        <w:t>投标日期：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pPr>
        <w:spacing w:before="468" w:beforeLines="150" w:after="468" w:afterLines="150" w:line="586" w:lineRule="atLeast"/>
        <w:rPr>
          <w:rFonts w:ascii="宋体" w:hAnsi="宋体"/>
          <w:color w:val="auto"/>
          <w:sz w:val="28"/>
          <w:szCs w:val="28"/>
          <w:highlight w:val="none"/>
        </w:rPr>
      </w:pPr>
    </w:p>
    <w:p>
      <w:pPr>
        <w:spacing w:line="351" w:lineRule="atLeast"/>
        <w:ind w:left="419"/>
        <w:jc w:val="center"/>
        <w:rPr>
          <w:rFonts w:ascii="黑体" w:eastAsia="黑体"/>
          <w:b/>
          <w:color w:val="auto"/>
          <w:spacing w:val="60"/>
          <w:sz w:val="36"/>
          <w:szCs w:val="36"/>
          <w:highlight w:val="none"/>
        </w:rPr>
      </w:pPr>
    </w:p>
    <w:p>
      <w:pPr>
        <w:spacing w:line="351" w:lineRule="atLeast"/>
        <w:ind w:left="419"/>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目录</w:t>
      </w:r>
    </w:p>
    <w:p>
      <w:pPr>
        <w:spacing w:line="351" w:lineRule="atLeast"/>
        <w:ind w:left="419"/>
        <w:jc w:val="center"/>
        <w:rPr>
          <w:rFonts w:ascii="黑体" w:eastAsia="黑体"/>
          <w:b/>
          <w:color w:val="auto"/>
          <w:spacing w:val="60"/>
          <w:sz w:val="36"/>
          <w:szCs w:val="36"/>
          <w:highlight w:val="none"/>
        </w:rPr>
      </w:pPr>
    </w:p>
    <w:p>
      <w:pPr>
        <w:snapToGrid w:val="0"/>
        <w:spacing w:line="560" w:lineRule="atLeast"/>
        <w:textAlignment w:val="top"/>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、关于资格的声明函</w:t>
      </w:r>
    </w:p>
    <w:p>
      <w:pPr>
        <w:snapToGrid w:val="0"/>
        <w:spacing w:line="560" w:lineRule="atLeast"/>
        <w:textAlignment w:val="top"/>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15</w:t>
      </w:r>
      <w:r>
        <w:rPr>
          <w:rFonts w:hint="eastAsia" w:asciiTheme="minorEastAsia" w:hAnsiTheme="minorEastAsia" w:eastAsiaTheme="minorEastAsia"/>
          <w:color w:val="auto"/>
          <w:sz w:val="24"/>
          <w:szCs w:val="24"/>
          <w:highlight w:val="none"/>
        </w:rPr>
        <w:t>、《招</w:t>
      </w:r>
      <w:r>
        <w:rPr>
          <w:rFonts w:asciiTheme="minorEastAsia" w:hAnsiTheme="minorEastAsia" w:eastAsiaTheme="minorEastAsia"/>
          <w:color w:val="auto"/>
          <w:sz w:val="24"/>
          <w:szCs w:val="24"/>
          <w:highlight w:val="none"/>
        </w:rPr>
        <w:t>标文件》</w:t>
      </w:r>
      <w:r>
        <w:rPr>
          <w:rFonts w:hint="eastAsia" w:asciiTheme="minorEastAsia" w:hAnsiTheme="minorEastAsia" w:eastAsiaTheme="minorEastAsia"/>
          <w:color w:val="auto"/>
          <w:sz w:val="24"/>
          <w:szCs w:val="24"/>
          <w:highlight w:val="none"/>
        </w:rPr>
        <w:t>第</w:t>
      </w:r>
      <w:r>
        <w:rPr>
          <w:rFonts w:asciiTheme="minorEastAsia" w:hAnsiTheme="minorEastAsia" w:eastAsiaTheme="minorEastAsia"/>
          <w:color w:val="auto"/>
          <w:sz w:val="24"/>
          <w:szCs w:val="24"/>
          <w:highlight w:val="none"/>
        </w:rPr>
        <w:t>一章</w:t>
      </w:r>
      <w:r>
        <w:rPr>
          <w:rFonts w:hint="eastAsia" w:asciiTheme="minorEastAsia" w:hAnsiTheme="minorEastAsia" w:eastAsiaTheme="minorEastAsia"/>
          <w:color w:val="auto"/>
          <w:sz w:val="24"/>
          <w:szCs w:val="24"/>
          <w:highlight w:val="none"/>
        </w:rPr>
        <w:t>“招</w:t>
      </w:r>
      <w:r>
        <w:rPr>
          <w:rFonts w:asciiTheme="minorEastAsia" w:hAnsiTheme="minorEastAsia" w:eastAsiaTheme="minorEastAsia"/>
          <w:color w:val="auto"/>
          <w:sz w:val="24"/>
          <w:szCs w:val="24"/>
          <w:highlight w:val="none"/>
        </w:rPr>
        <w:t>标公</w:t>
      </w:r>
      <w:r>
        <w:rPr>
          <w:rFonts w:hint="eastAsia" w:asciiTheme="minorEastAsia" w:hAnsiTheme="minorEastAsia" w:eastAsiaTheme="minorEastAsia"/>
          <w:color w:val="auto"/>
          <w:sz w:val="24"/>
          <w:szCs w:val="24"/>
          <w:highlight w:val="none"/>
        </w:rPr>
        <w:t>告”</w:t>
      </w:r>
      <w:r>
        <w:rPr>
          <w:rFonts w:asciiTheme="minorEastAsia" w:hAnsiTheme="minorEastAsia" w:eastAsiaTheme="minorEastAsia"/>
          <w:color w:val="auto"/>
          <w:sz w:val="24"/>
          <w:szCs w:val="24"/>
          <w:highlight w:val="none"/>
        </w:rPr>
        <w:t>第二条所要求的</w:t>
      </w:r>
      <w:r>
        <w:rPr>
          <w:rFonts w:hint="eastAsia" w:asciiTheme="minorEastAsia" w:hAnsiTheme="minorEastAsia" w:eastAsiaTheme="minorEastAsia"/>
          <w:color w:val="auto"/>
          <w:sz w:val="24"/>
          <w:szCs w:val="24"/>
          <w:highlight w:val="none"/>
        </w:rPr>
        <w:t>资格性证明文件</w:t>
      </w:r>
    </w:p>
    <w:p>
      <w:pPr>
        <w:snapToGrid w:val="0"/>
        <w:spacing w:line="560" w:lineRule="atLeast"/>
        <w:textAlignment w:val="top"/>
        <w:rPr>
          <w:rFonts w:asciiTheme="minorEastAsia" w:hAnsiTheme="minorEastAsia" w:eastAsiaTheme="minorEastAsia"/>
          <w:color w:val="auto"/>
          <w:sz w:val="24"/>
          <w:szCs w:val="24"/>
          <w:highlight w:val="none"/>
        </w:rPr>
      </w:pPr>
    </w:p>
    <w:p>
      <w:pPr>
        <w:snapToGrid w:val="0"/>
        <w:spacing w:line="560" w:lineRule="atLeast"/>
        <w:ind w:firstLine="708" w:firstLineChars="295"/>
        <w:textAlignment w:val="top"/>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15-1、</w:t>
      </w:r>
      <w:r>
        <w:rPr>
          <w:rFonts w:hint="eastAsia" w:ascii="宋体" w:hAnsi="宋体"/>
          <w:color w:val="auto"/>
          <w:sz w:val="24"/>
          <w:szCs w:val="24"/>
          <w:highlight w:val="none"/>
        </w:rPr>
        <w:t>专门面向小微企业采购</w:t>
      </w:r>
      <w:r>
        <w:rPr>
          <w:rFonts w:hint="eastAsia" w:asciiTheme="minorEastAsia" w:hAnsiTheme="minorEastAsia" w:eastAsiaTheme="minorEastAsia"/>
          <w:color w:val="auto"/>
          <w:sz w:val="24"/>
          <w:szCs w:val="24"/>
          <w:highlight w:val="none"/>
        </w:rPr>
        <w:t>的证明文件—《小微企业声明函》；</w:t>
      </w:r>
    </w:p>
    <w:p>
      <w:pPr>
        <w:snapToGrid w:val="0"/>
        <w:spacing w:line="560" w:lineRule="atLeast"/>
        <w:ind w:firstLine="708" w:firstLineChars="295"/>
        <w:textAlignment w:val="top"/>
        <w:rPr>
          <w:rFonts w:ascii="宋体" w:hAnsi="宋体"/>
          <w:color w:val="auto"/>
          <w:sz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5</w:t>
      </w:r>
      <w:r>
        <w:rPr>
          <w:rFonts w:hint="eastAsia" w:asciiTheme="minorEastAsia" w:hAnsiTheme="minorEastAsia" w:eastAsiaTheme="minorEastAsia"/>
          <w:color w:val="auto"/>
          <w:sz w:val="24"/>
          <w:szCs w:val="24"/>
          <w:highlight w:val="none"/>
        </w:rPr>
        <w:t>-2、</w:t>
      </w:r>
      <w:r>
        <w:rPr>
          <w:rFonts w:hint="eastAsia" w:ascii="宋体" w:hAnsi="宋体"/>
          <w:color w:val="auto"/>
          <w:sz w:val="24"/>
          <w:highlight w:val="none"/>
        </w:rPr>
        <w:t>《政府采购法》第二十二条第一款规定的供应商基础性资格的</w:t>
      </w:r>
    </w:p>
    <w:p>
      <w:pPr>
        <w:snapToGrid w:val="0"/>
        <w:spacing w:line="560" w:lineRule="atLeast"/>
        <w:ind w:firstLine="708" w:firstLineChars="295"/>
        <w:textAlignment w:val="top"/>
        <w:rPr>
          <w:rFonts w:ascii="宋体" w:hAnsi="宋体"/>
          <w:color w:val="auto"/>
          <w:sz w:val="24"/>
          <w:highlight w:val="none"/>
        </w:rPr>
      </w:pPr>
      <w:r>
        <w:rPr>
          <w:rFonts w:hint="eastAsia" w:ascii="宋体" w:hAnsi="宋体"/>
          <w:color w:val="auto"/>
          <w:sz w:val="24"/>
          <w:highlight w:val="none"/>
        </w:rPr>
        <w:t>承诺函</w:t>
      </w:r>
    </w:p>
    <w:p>
      <w:pPr>
        <w:snapToGrid w:val="0"/>
        <w:spacing w:line="560" w:lineRule="atLeast"/>
        <w:ind w:firstLine="708" w:firstLineChars="295"/>
        <w:textAlignment w:val="top"/>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5</w:t>
      </w:r>
      <w:r>
        <w:rPr>
          <w:rFonts w:hint="eastAsia" w:asciiTheme="minorEastAsia" w:hAnsiTheme="minorEastAsia" w:eastAsiaTheme="minorEastAsia"/>
          <w:color w:val="auto"/>
          <w:sz w:val="24"/>
          <w:szCs w:val="24"/>
          <w:highlight w:val="none"/>
        </w:rPr>
        <w:t>-3、供应商负责人控股、设计等相关承诺书</w:t>
      </w:r>
    </w:p>
    <w:p>
      <w:pPr>
        <w:snapToGrid w:val="0"/>
        <w:spacing w:line="560" w:lineRule="atLeast"/>
        <w:ind w:firstLine="708" w:firstLineChars="295"/>
        <w:textAlignment w:val="top"/>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5</w:t>
      </w:r>
      <w:r>
        <w:rPr>
          <w:rFonts w:hint="eastAsia" w:asciiTheme="minorEastAsia" w:hAnsiTheme="minorEastAsia" w:eastAsiaTheme="minorEastAsia"/>
          <w:color w:val="auto"/>
          <w:sz w:val="24"/>
          <w:szCs w:val="24"/>
          <w:highlight w:val="none"/>
        </w:rPr>
        <w:t>-4、投标承诺函(替代投标保证金)</w:t>
      </w:r>
    </w:p>
    <w:p>
      <w:pPr>
        <w:snapToGrid w:val="0"/>
        <w:spacing w:line="560" w:lineRule="atLeast"/>
        <w:ind w:firstLine="708" w:firstLineChars="295"/>
        <w:textAlignment w:val="top"/>
        <w:rPr>
          <w:rFonts w:asciiTheme="minorEastAsia" w:hAnsiTheme="minorEastAsia" w:eastAsiaTheme="minorEastAsia"/>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5</w:t>
      </w:r>
      <w:r>
        <w:rPr>
          <w:rFonts w:hint="eastAsia" w:ascii="宋体" w:hAnsi="宋体"/>
          <w:color w:val="auto"/>
          <w:sz w:val="24"/>
          <w:szCs w:val="24"/>
          <w:highlight w:val="none"/>
        </w:rPr>
        <w:t>-5、</w:t>
      </w:r>
      <w:r>
        <w:rPr>
          <w:rFonts w:hint="eastAsia" w:asciiTheme="minorEastAsia" w:hAnsiTheme="minorEastAsia" w:eastAsiaTheme="minorEastAsia"/>
          <w:color w:val="auto"/>
          <w:sz w:val="24"/>
          <w:szCs w:val="24"/>
          <w:highlight w:val="none"/>
        </w:rPr>
        <w:t>其他资格证明材料</w:t>
      </w:r>
    </w:p>
    <w:p>
      <w:pPr>
        <w:snapToGrid w:val="0"/>
        <w:spacing w:line="560" w:lineRule="atLeast"/>
        <w:ind w:firstLine="708" w:firstLineChars="295"/>
        <w:textAlignment w:val="top"/>
        <w:rPr>
          <w:rFonts w:asciiTheme="minorEastAsia" w:hAnsiTheme="minorEastAsia" w:eastAsiaTheme="minorEastAsia"/>
          <w:color w:val="auto"/>
          <w:sz w:val="24"/>
          <w:szCs w:val="24"/>
          <w:highlight w:val="none"/>
        </w:rPr>
      </w:pPr>
    </w:p>
    <w:p>
      <w:pPr>
        <w:tabs>
          <w:tab w:val="left" w:pos="540"/>
        </w:tabs>
        <w:spacing w:line="440" w:lineRule="exact"/>
        <w:jc w:val="center"/>
        <w:rPr>
          <w:rFonts w:ascii="仿宋_GB2312" w:eastAsia="仿宋_GB2312"/>
          <w:color w:val="auto"/>
          <w:sz w:val="32"/>
          <w:szCs w:val="32"/>
          <w:highlight w:val="none"/>
        </w:rPr>
      </w:pPr>
      <w:r>
        <w:rPr>
          <w:rFonts w:ascii="仿宋_GB2312" w:eastAsia="仿宋_GB2312"/>
          <w:color w:val="auto"/>
          <w:sz w:val="32"/>
          <w:szCs w:val="32"/>
          <w:highlight w:val="none"/>
        </w:rPr>
        <w:br w:type="page"/>
      </w:r>
    </w:p>
    <w:p>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4</w:t>
      </w:r>
      <w:r>
        <w:rPr>
          <w:rFonts w:hint="eastAsia" w:ascii="黑体" w:hAnsi="黑体" w:eastAsia="黑体"/>
          <w:b/>
          <w:color w:val="auto"/>
          <w:sz w:val="30"/>
          <w:szCs w:val="30"/>
          <w:highlight w:val="none"/>
        </w:rPr>
        <w:t>、关于资格的声明函</w:t>
      </w:r>
    </w:p>
    <w:p>
      <w:pPr>
        <w:snapToGrid w:val="0"/>
        <w:spacing w:line="560" w:lineRule="exact"/>
        <w:ind w:firstLine="839"/>
        <w:rPr>
          <w:color w:val="auto"/>
          <w:highlight w:val="none"/>
        </w:rPr>
      </w:pPr>
    </w:p>
    <w:p>
      <w:pPr>
        <w:snapToGrid w:val="0"/>
        <w:spacing w:line="560" w:lineRule="exact"/>
        <w:rPr>
          <w:rFonts w:ascii="宋体"/>
          <w:color w:val="auto"/>
          <w:sz w:val="24"/>
          <w:highlight w:val="none"/>
        </w:rPr>
      </w:pPr>
      <w:r>
        <w:rPr>
          <w:rFonts w:hint="eastAsia" w:ascii="宋体" w:hAnsi="宋体"/>
          <w:color w:val="auto"/>
          <w:sz w:val="24"/>
          <w:highlight w:val="none"/>
        </w:rPr>
        <w:t>安阳市方正招标采购服务有限责任公司：</w:t>
      </w:r>
    </w:p>
    <w:p>
      <w:pPr>
        <w:snapToGrid w:val="0"/>
        <w:spacing w:line="560" w:lineRule="exact"/>
        <w:ind w:firstLine="555"/>
        <w:rPr>
          <w:rFonts w:ascii="宋体"/>
          <w:color w:val="auto"/>
          <w:sz w:val="24"/>
          <w:highlight w:val="none"/>
        </w:rPr>
      </w:pPr>
      <w:r>
        <w:rPr>
          <w:rFonts w:hint="eastAsia" w:ascii="宋体" w:hAnsi="宋体"/>
          <w:color w:val="auto"/>
          <w:sz w:val="24"/>
          <w:highlight w:val="none"/>
        </w:rPr>
        <w:t>关于贵方项目编号为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的招标</w:t>
      </w:r>
      <w:r>
        <w:rPr>
          <w:rFonts w:ascii="宋体" w:hAnsi="宋体"/>
          <w:color w:val="auto"/>
          <w:sz w:val="24"/>
          <w:highlight w:val="none"/>
        </w:rPr>
        <w:t>公告</w:t>
      </w:r>
      <w:r>
        <w:rPr>
          <w:rFonts w:hint="eastAsia" w:ascii="宋体" w:hAnsi="宋体"/>
          <w:color w:val="auto"/>
          <w:sz w:val="24"/>
          <w:highlight w:val="none"/>
        </w:rPr>
        <w:t>，本签字人愿意参加投标，提供招标文件中规定的产品及服务，并声明提交下列文件是准确的、真实的和有效的。</w:t>
      </w:r>
    </w:p>
    <w:p>
      <w:pPr>
        <w:numPr>
          <w:ilvl w:val="0"/>
          <w:numId w:val="9"/>
        </w:numPr>
        <w:snapToGrid w:val="0"/>
        <w:spacing w:line="560" w:lineRule="exact"/>
        <w:ind w:firstLine="555"/>
        <w:rPr>
          <w:rFonts w:ascii="宋体" w:hAnsi="宋体"/>
          <w:color w:val="auto"/>
          <w:sz w:val="24"/>
          <w:highlight w:val="none"/>
        </w:rPr>
      </w:pPr>
      <w:r>
        <w:rPr>
          <w:rFonts w:hint="eastAsia" w:ascii="宋体" w:hAnsi="宋体"/>
          <w:color w:val="auto"/>
          <w:sz w:val="24"/>
          <w:highlight w:val="none"/>
        </w:rPr>
        <w:t>《招标文件》第一章“招标公告”第二条所要求的资格性证明文件（证件或证明资料或承诺）</w:t>
      </w:r>
    </w:p>
    <w:p>
      <w:pPr>
        <w:snapToGrid w:val="0"/>
        <w:spacing w:line="560" w:lineRule="exact"/>
        <w:ind w:firstLine="555"/>
        <w:rPr>
          <w:rFonts w:asci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采购项目中必须的其他证件。</w:t>
      </w:r>
    </w:p>
    <w:p>
      <w:pPr>
        <w:snapToGrid w:val="0"/>
        <w:spacing w:line="560" w:lineRule="exact"/>
        <w:ind w:firstLine="555"/>
        <w:rPr>
          <w:rFonts w:asci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本签字人确认资格文件中的说明是真实的、准确的。</w:t>
      </w:r>
    </w:p>
    <w:p>
      <w:pPr>
        <w:snapToGrid w:val="0"/>
        <w:spacing w:line="560" w:lineRule="exact"/>
        <w:ind w:firstLine="555"/>
        <w:rPr>
          <w:rFonts w:ascii="宋体"/>
          <w:color w:val="auto"/>
          <w:sz w:val="24"/>
          <w:highlight w:val="none"/>
        </w:rPr>
      </w:pPr>
    </w:p>
    <w:p>
      <w:pPr>
        <w:snapToGrid w:val="0"/>
        <w:spacing w:line="560" w:lineRule="exact"/>
        <w:ind w:firstLine="555"/>
        <w:rPr>
          <w:rFonts w:ascii="宋体"/>
          <w:color w:val="auto"/>
          <w:sz w:val="24"/>
          <w:highlight w:val="none"/>
        </w:rPr>
      </w:pPr>
    </w:p>
    <w:p>
      <w:pPr>
        <w:snapToGrid w:val="0"/>
        <w:spacing w:line="560" w:lineRule="exact"/>
        <w:ind w:firstLine="555"/>
        <w:rPr>
          <w:rFonts w:ascii="宋体"/>
          <w:color w:val="auto"/>
          <w:sz w:val="24"/>
          <w:highlight w:val="none"/>
        </w:rPr>
      </w:pP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pPr>
        <w:widowControl w:val="0"/>
        <w:tabs>
          <w:tab w:val="left" w:pos="9365"/>
        </w:tabs>
        <w:snapToGrid w:val="0"/>
        <w:spacing w:after="56" w:line="560" w:lineRule="exact"/>
        <w:ind w:right="85"/>
        <w:jc w:val="left"/>
        <w:textAlignment w:val="top"/>
        <w:rPr>
          <w:rFonts w:ascii="宋体" w:hAnsi="宋体"/>
          <w:color w:val="auto"/>
          <w:sz w:val="24"/>
          <w:highlight w:val="none"/>
        </w:rPr>
      </w:pPr>
      <w:r>
        <w:rPr>
          <w:rFonts w:hint="eastAsia"/>
          <w:color w:val="auto"/>
          <w:sz w:val="24"/>
          <w:szCs w:val="24"/>
          <w:highlight w:val="none"/>
        </w:rPr>
        <w:t>法定代表人（电子签名或签章）：</w:t>
      </w:r>
      <w:r>
        <w:rPr>
          <w:rFonts w:ascii="宋体" w:hAnsi="宋体"/>
          <w:color w:val="auto"/>
          <w:sz w:val="24"/>
          <w:highlight w:val="none"/>
        </w:rPr>
        <w:t xml:space="preserve"> </w:t>
      </w:r>
    </w:p>
    <w:p>
      <w:pPr>
        <w:widowControl w:val="0"/>
        <w:tabs>
          <w:tab w:val="left" w:pos="9365"/>
        </w:tabs>
        <w:snapToGrid w:val="0"/>
        <w:spacing w:after="56" w:line="560" w:lineRule="exact"/>
        <w:ind w:right="85"/>
        <w:jc w:val="left"/>
        <w:textAlignment w:val="top"/>
        <w:rPr>
          <w:rFonts w:ascii="宋体" w:hAnsi="宋体" w:cs="楷体_GB2312"/>
          <w:color w:val="auto"/>
          <w:sz w:val="24"/>
          <w:highlight w:val="none"/>
          <w:lang w:val="zh-CN"/>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widowControl w:val="0"/>
        <w:tabs>
          <w:tab w:val="left" w:pos="9365"/>
        </w:tabs>
        <w:snapToGrid w:val="0"/>
        <w:spacing w:after="56" w:line="560" w:lineRule="exact"/>
        <w:ind w:right="85"/>
        <w:jc w:val="left"/>
        <w:textAlignment w:val="top"/>
        <w:rPr>
          <w:rFonts w:ascii="宋体" w:hAnsi="宋体" w:cs="楷体_GB2312"/>
          <w:color w:val="auto"/>
          <w:sz w:val="24"/>
          <w:highlight w:val="none"/>
          <w:lang w:val="zh-CN"/>
        </w:rPr>
      </w:pPr>
      <w:r>
        <w:rPr>
          <w:rFonts w:ascii="宋体" w:hAnsi="宋体" w:cs="楷体_GB2312"/>
          <w:color w:val="auto"/>
          <w:sz w:val="24"/>
          <w:highlight w:val="none"/>
          <w:lang w:val="zh-CN"/>
        </w:rPr>
        <w:br w:type="page"/>
      </w:r>
    </w:p>
    <w:p>
      <w:pPr>
        <w:widowControl w:val="0"/>
        <w:tabs>
          <w:tab w:val="left" w:pos="9365"/>
        </w:tabs>
        <w:snapToGrid w:val="0"/>
        <w:spacing w:after="56" w:line="560" w:lineRule="exact"/>
        <w:ind w:right="85"/>
        <w:jc w:val="left"/>
        <w:textAlignment w:val="top"/>
        <w:rPr>
          <w:rFonts w:ascii="宋体" w:hAnsi="宋体" w:cs="楷体_GB2312"/>
          <w:color w:val="auto"/>
          <w:sz w:val="24"/>
          <w:highlight w:val="none"/>
          <w:lang w:val="zh-CN"/>
        </w:rPr>
      </w:pPr>
      <w:r>
        <w:rPr>
          <w:rFonts w:ascii="黑体" w:hAnsi="黑体" w:eastAsia="黑体"/>
          <w:b/>
          <w:color w:val="auto"/>
          <w:sz w:val="30"/>
          <w:szCs w:val="30"/>
          <w:highlight w:val="none"/>
        </w:rPr>
        <w:t>15</w:t>
      </w:r>
      <w:r>
        <w:rPr>
          <w:rFonts w:hint="eastAsia" w:ascii="黑体" w:hAnsi="黑体" w:eastAsia="黑体"/>
          <w:b/>
          <w:color w:val="auto"/>
          <w:sz w:val="30"/>
          <w:szCs w:val="30"/>
          <w:highlight w:val="none"/>
        </w:rPr>
        <w:t>、《招</w:t>
      </w:r>
      <w:r>
        <w:rPr>
          <w:rFonts w:ascii="黑体" w:hAnsi="黑体" w:eastAsia="黑体"/>
          <w:b/>
          <w:color w:val="auto"/>
          <w:sz w:val="30"/>
          <w:szCs w:val="30"/>
          <w:highlight w:val="none"/>
        </w:rPr>
        <w:t>标文件》</w:t>
      </w:r>
      <w:r>
        <w:rPr>
          <w:rFonts w:hint="eastAsia" w:ascii="黑体" w:hAnsi="黑体" w:eastAsia="黑体"/>
          <w:b/>
          <w:color w:val="auto"/>
          <w:sz w:val="30"/>
          <w:szCs w:val="30"/>
          <w:highlight w:val="none"/>
        </w:rPr>
        <w:t>第</w:t>
      </w:r>
      <w:r>
        <w:rPr>
          <w:rFonts w:ascii="黑体" w:hAnsi="黑体" w:eastAsia="黑体"/>
          <w:b/>
          <w:color w:val="auto"/>
          <w:sz w:val="30"/>
          <w:szCs w:val="30"/>
          <w:highlight w:val="none"/>
        </w:rPr>
        <w:t>一章</w:t>
      </w:r>
      <w:r>
        <w:rPr>
          <w:rFonts w:hint="eastAsia" w:ascii="黑体" w:hAnsi="黑体" w:eastAsia="黑体"/>
          <w:b/>
          <w:color w:val="auto"/>
          <w:sz w:val="30"/>
          <w:szCs w:val="30"/>
          <w:highlight w:val="none"/>
        </w:rPr>
        <w:t>“招</w:t>
      </w:r>
      <w:r>
        <w:rPr>
          <w:rFonts w:ascii="黑体" w:hAnsi="黑体" w:eastAsia="黑体"/>
          <w:b/>
          <w:color w:val="auto"/>
          <w:sz w:val="30"/>
          <w:szCs w:val="30"/>
          <w:highlight w:val="none"/>
        </w:rPr>
        <w:t>标公</w:t>
      </w:r>
      <w:r>
        <w:rPr>
          <w:rFonts w:hint="eastAsia" w:ascii="黑体" w:hAnsi="黑体" w:eastAsia="黑体"/>
          <w:b/>
          <w:color w:val="auto"/>
          <w:sz w:val="30"/>
          <w:szCs w:val="30"/>
          <w:highlight w:val="none"/>
        </w:rPr>
        <w:t>告”</w:t>
      </w:r>
      <w:r>
        <w:rPr>
          <w:rFonts w:ascii="黑体" w:hAnsi="黑体" w:eastAsia="黑体"/>
          <w:b/>
          <w:color w:val="auto"/>
          <w:sz w:val="30"/>
          <w:szCs w:val="30"/>
          <w:highlight w:val="none"/>
        </w:rPr>
        <w:t>第二条所要求的</w:t>
      </w:r>
      <w:r>
        <w:rPr>
          <w:rFonts w:hint="eastAsia" w:ascii="黑体" w:hAnsi="黑体" w:eastAsia="黑体"/>
          <w:b/>
          <w:color w:val="auto"/>
          <w:sz w:val="30"/>
          <w:szCs w:val="30"/>
          <w:highlight w:val="none"/>
        </w:rPr>
        <w:t>资格性证明文件</w:t>
      </w:r>
    </w:p>
    <w:p>
      <w:pPr>
        <w:spacing w:line="588"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5</w:t>
      </w:r>
      <w:r>
        <w:rPr>
          <w:rFonts w:hint="eastAsia" w:ascii="黑体" w:hAnsi="黑体" w:eastAsia="黑体"/>
          <w:b/>
          <w:color w:val="auto"/>
          <w:sz w:val="30"/>
          <w:szCs w:val="30"/>
          <w:highlight w:val="none"/>
        </w:rPr>
        <w:t xml:space="preserve">-1   专门面向小微企业采购的证明文件 </w:t>
      </w:r>
    </w:p>
    <w:p>
      <w:pPr>
        <w:widowControl w:val="0"/>
        <w:tabs>
          <w:tab w:val="left" w:pos="9365"/>
        </w:tabs>
        <w:snapToGrid w:val="0"/>
        <w:spacing w:after="56" w:line="560" w:lineRule="exact"/>
        <w:ind w:right="85"/>
        <w:jc w:val="left"/>
        <w:textAlignment w:val="top"/>
        <w:rPr>
          <w:rFonts w:ascii="黑体" w:hAnsi="黑体" w:eastAsia="黑体"/>
          <w:b/>
          <w:color w:val="auto"/>
          <w:sz w:val="30"/>
          <w:szCs w:val="30"/>
          <w:highlight w:val="none"/>
        </w:rPr>
      </w:pPr>
    </w:p>
    <w:p>
      <w:pPr>
        <w:spacing w:line="588" w:lineRule="exact"/>
        <w:jc w:val="center"/>
        <w:rPr>
          <w:rFonts w:ascii="黑体" w:hAnsi="黑体" w:eastAsia="黑体"/>
          <w:b/>
          <w:color w:val="auto"/>
          <w:sz w:val="24"/>
          <w:szCs w:val="24"/>
          <w:highlight w:val="none"/>
        </w:rPr>
      </w:pPr>
      <w:r>
        <w:rPr>
          <w:rFonts w:hint="eastAsia" w:ascii="黑体" w:hAnsi="黑体" w:eastAsia="黑体"/>
          <w:b/>
          <w:color w:val="auto"/>
          <w:sz w:val="30"/>
          <w:szCs w:val="30"/>
          <w:highlight w:val="none"/>
        </w:rPr>
        <w:t>小微</w:t>
      </w:r>
      <w:r>
        <w:rPr>
          <w:rFonts w:ascii="黑体" w:hAnsi="黑体" w:eastAsia="黑体"/>
          <w:b/>
          <w:color w:val="auto"/>
          <w:sz w:val="30"/>
          <w:szCs w:val="30"/>
          <w:highlight w:val="none"/>
        </w:rPr>
        <w:t>企业声明函</w:t>
      </w:r>
    </w:p>
    <w:p>
      <w:pPr>
        <w:spacing w:line="588" w:lineRule="exact"/>
        <w:jc w:val="center"/>
        <w:rPr>
          <w:rFonts w:ascii="黑体" w:hAnsi="黑体" w:eastAsia="黑体"/>
          <w:b/>
          <w:color w:val="auto"/>
          <w:sz w:val="30"/>
          <w:szCs w:val="30"/>
          <w:highlight w:val="none"/>
        </w:rPr>
      </w:pPr>
    </w:p>
    <w:p>
      <w:pPr>
        <w:spacing w:line="588" w:lineRule="exact"/>
        <w:ind w:firstLine="504" w:firstLineChars="200"/>
        <w:rPr>
          <w:rFonts w:ascii="宋体" w:hAnsi="宋体"/>
          <w:color w:val="auto"/>
          <w:spacing w:val="6"/>
          <w:sz w:val="24"/>
          <w:szCs w:val="24"/>
          <w:highlight w:val="none"/>
        </w:rPr>
      </w:pPr>
      <w:r>
        <w:rPr>
          <w:rFonts w:ascii="宋体" w:hAnsi="宋体"/>
          <w:color w:val="auto"/>
          <w:spacing w:val="6"/>
          <w:sz w:val="24"/>
          <w:szCs w:val="24"/>
          <w:highlight w:val="none"/>
        </w:rPr>
        <w:t>本公司（联合体）郑重声明，根据《政府采购促进中小企业发展管理办法》（财库〔2020〕46号）的规定，本公司(联合体）参加</w:t>
      </w:r>
      <w:r>
        <w:rPr>
          <w:rFonts w:ascii="宋体" w:hAnsi="宋体"/>
          <w:color w:val="auto"/>
          <w:spacing w:val="6"/>
          <w:sz w:val="24"/>
          <w:szCs w:val="24"/>
          <w:highlight w:val="none"/>
          <w:u w:val="single"/>
        </w:rPr>
        <w:t>（单位名称）</w:t>
      </w:r>
      <w:r>
        <w:rPr>
          <w:rFonts w:ascii="宋体" w:hAnsi="宋体"/>
          <w:color w:val="auto"/>
          <w:spacing w:val="6"/>
          <w:sz w:val="24"/>
          <w:szCs w:val="24"/>
          <w:highlight w:val="none"/>
        </w:rPr>
        <w:t>的</w:t>
      </w:r>
      <w:r>
        <w:rPr>
          <w:rFonts w:ascii="宋体" w:hAnsi="宋体"/>
          <w:color w:val="auto"/>
          <w:spacing w:val="6"/>
          <w:sz w:val="24"/>
          <w:szCs w:val="24"/>
          <w:highlight w:val="none"/>
          <w:u w:val="single"/>
        </w:rPr>
        <w:t>（项目名称）</w:t>
      </w:r>
      <w:r>
        <w:rPr>
          <w:rFonts w:ascii="宋体" w:hAnsi="宋体"/>
          <w:color w:val="auto"/>
          <w:spacing w:val="6"/>
          <w:sz w:val="24"/>
          <w:szCs w:val="24"/>
          <w:highlight w:val="none"/>
        </w:rPr>
        <w:t>采购活动，提供的货物全部由符合政策要求的</w:t>
      </w:r>
      <w:r>
        <w:rPr>
          <w:rFonts w:hint="eastAsia" w:ascii="宋体" w:hAnsi="宋体"/>
          <w:color w:val="auto"/>
          <w:spacing w:val="6"/>
          <w:sz w:val="24"/>
          <w:szCs w:val="24"/>
          <w:highlight w:val="none"/>
        </w:rPr>
        <w:t>小微</w:t>
      </w:r>
      <w:r>
        <w:rPr>
          <w:rFonts w:ascii="宋体" w:hAnsi="宋体"/>
          <w:color w:val="auto"/>
          <w:spacing w:val="6"/>
          <w:sz w:val="24"/>
          <w:szCs w:val="24"/>
          <w:highlight w:val="none"/>
        </w:rPr>
        <w:t>企业制造。相关企业 (含联合体中的</w:t>
      </w:r>
      <w:r>
        <w:rPr>
          <w:rFonts w:hint="eastAsia" w:ascii="宋体" w:hAnsi="宋体"/>
          <w:color w:val="auto"/>
          <w:spacing w:val="6"/>
          <w:sz w:val="24"/>
          <w:szCs w:val="24"/>
          <w:highlight w:val="none"/>
        </w:rPr>
        <w:t>小微</w:t>
      </w:r>
      <w:r>
        <w:rPr>
          <w:rFonts w:ascii="宋体" w:hAnsi="宋体"/>
          <w:color w:val="auto"/>
          <w:spacing w:val="6"/>
          <w:sz w:val="24"/>
          <w:szCs w:val="24"/>
          <w:highlight w:val="none"/>
        </w:rPr>
        <w:t>企业、签订分包意向协议的</w:t>
      </w:r>
      <w:r>
        <w:rPr>
          <w:rFonts w:hint="eastAsia" w:ascii="宋体" w:hAnsi="宋体"/>
          <w:color w:val="auto"/>
          <w:spacing w:val="6"/>
          <w:sz w:val="24"/>
          <w:szCs w:val="24"/>
          <w:highlight w:val="none"/>
        </w:rPr>
        <w:t>小微</w:t>
      </w:r>
      <w:r>
        <w:rPr>
          <w:rFonts w:ascii="宋体" w:hAnsi="宋体"/>
          <w:color w:val="auto"/>
          <w:spacing w:val="6"/>
          <w:sz w:val="24"/>
          <w:szCs w:val="24"/>
          <w:highlight w:val="none"/>
        </w:rPr>
        <w:t>企业）的具体情况如下：</w:t>
      </w:r>
    </w:p>
    <w:p>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1.</w:t>
      </w:r>
      <w:r>
        <w:rPr>
          <w:rFonts w:ascii="宋体" w:hAnsi="宋体"/>
          <w:color w:val="auto"/>
          <w:spacing w:val="6"/>
          <w:sz w:val="24"/>
          <w:szCs w:val="24"/>
          <w:highlight w:val="none"/>
          <w:u w:val="single"/>
        </w:rPr>
        <w:t>(标的名称)</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（采购文件中明确的所属行业)</w:t>
      </w:r>
      <w:r>
        <w:rPr>
          <w:rFonts w:ascii="宋体" w:hAnsi="宋体"/>
          <w:color w:val="auto"/>
          <w:spacing w:val="6"/>
          <w:sz w:val="24"/>
          <w:szCs w:val="24"/>
          <w:highlight w:val="none"/>
        </w:rPr>
        <w:t>行业</w:t>
      </w:r>
      <w:r>
        <w:rPr>
          <w:rFonts w:hint="eastAsia" w:ascii="宋体" w:hAnsi="宋体"/>
          <w:color w:val="auto"/>
          <w:spacing w:val="6"/>
          <w:sz w:val="24"/>
          <w:szCs w:val="24"/>
          <w:highlight w:val="none"/>
        </w:rPr>
        <w:t>，</w:t>
      </w:r>
      <w:r>
        <w:rPr>
          <w:rFonts w:ascii="宋体" w:hAnsi="宋体"/>
          <w:color w:val="auto"/>
          <w:spacing w:val="6"/>
          <w:sz w:val="24"/>
          <w:szCs w:val="24"/>
          <w:highlight w:val="none"/>
        </w:rPr>
        <w:t xml:space="preserve"> 制造商为</w:t>
      </w:r>
      <w:r>
        <w:rPr>
          <w:rFonts w:ascii="宋体" w:hAnsi="宋体"/>
          <w:color w:val="auto"/>
          <w:spacing w:val="6"/>
          <w:sz w:val="24"/>
          <w:szCs w:val="24"/>
          <w:highlight w:val="none"/>
          <w:u w:val="single"/>
        </w:rPr>
        <w:t>（企业名称)</w:t>
      </w:r>
      <w:r>
        <w:rPr>
          <w:rFonts w:ascii="宋体" w:hAnsi="宋体"/>
          <w:color w:val="auto"/>
          <w:spacing w:val="6"/>
          <w:sz w:val="24"/>
          <w:szCs w:val="24"/>
          <w:highlight w:val="none"/>
        </w:rPr>
        <w:t>，从业人员</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rPr>
        <w:t>人，营业收入为</w:t>
      </w:r>
      <w:r>
        <w:rPr>
          <w:rFonts w:ascii="宋体" w:hAnsi="宋体"/>
          <w:color w:val="auto"/>
          <w:spacing w:val="6"/>
          <w:sz w:val="24"/>
          <w:szCs w:val="24"/>
          <w:highlight w:val="none"/>
          <w:u w:val="single"/>
        </w:rPr>
        <w:t>_</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rPr>
        <w:t>万元，资产总额为</w:t>
      </w:r>
      <w:r>
        <w:rPr>
          <w:rFonts w:hint="eastAsia" w:ascii="宋体" w:hAnsi="宋体"/>
          <w:color w:val="auto"/>
          <w:spacing w:val="6"/>
          <w:sz w:val="24"/>
          <w:szCs w:val="24"/>
          <w:highlight w:val="none"/>
        </w:rPr>
        <w:t xml:space="preserve"> </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u w:val="single"/>
        </w:rPr>
        <w:t>_</w:t>
      </w:r>
      <w:r>
        <w:rPr>
          <w:rFonts w:ascii="宋体" w:hAnsi="宋体"/>
          <w:color w:val="auto"/>
          <w:spacing w:val="6"/>
          <w:sz w:val="24"/>
          <w:szCs w:val="24"/>
          <w:highlight w:val="none"/>
        </w:rPr>
        <w:t>万元</w:t>
      </w:r>
      <w:r>
        <w:rPr>
          <w:rFonts w:hint="eastAsia" w:ascii="宋体" w:hAnsi="宋体"/>
          <w:color w:val="auto"/>
          <w:spacing w:val="6"/>
          <w:sz w:val="24"/>
          <w:szCs w:val="24"/>
          <w:highlight w:val="none"/>
          <w:vertAlign w:val="superscript"/>
        </w:rPr>
        <w:t>1</w:t>
      </w:r>
      <w:r>
        <w:rPr>
          <w:rFonts w:hint="eastAsia" w:ascii="宋体" w:hAnsi="宋体"/>
          <w:color w:val="auto"/>
          <w:spacing w:val="6"/>
          <w:sz w:val="24"/>
          <w:szCs w:val="24"/>
          <w:highlight w:val="none"/>
        </w:rPr>
        <w:t>，按采购文件中明确的所属行业</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（中型企业、小 型企业、微型企业）</w:t>
      </w:r>
      <w:r>
        <w:rPr>
          <w:rFonts w:hint="eastAsia" w:ascii="宋体" w:hAnsi="宋体"/>
          <w:color w:val="auto"/>
          <w:spacing w:val="6"/>
          <w:sz w:val="24"/>
          <w:szCs w:val="24"/>
          <w:highlight w:val="none"/>
        </w:rPr>
        <w:t>；</w:t>
      </w:r>
    </w:p>
    <w:p>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2.</w:t>
      </w:r>
      <w:r>
        <w:rPr>
          <w:rFonts w:ascii="宋体" w:hAnsi="宋体"/>
          <w:color w:val="auto"/>
          <w:spacing w:val="6"/>
          <w:sz w:val="24"/>
          <w:szCs w:val="24"/>
          <w:highlight w:val="none"/>
        </w:rPr>
        <w:t xml:space="preserve"> </w:t>
      </w:r>
      <w:r>
        <w:rPr>
          <w:rFonts w:ascii="宋体" w:hAnsi="宋体"/>
          <w:color w:val="auto"/>
          <w:spacing w:val="6"/>
          <w:sz w:val="24"/>
          <w:szCs w:val="24"/>
          <w:highlight w:val="none"/>
          <w:u w:val="single"/>
        </w:rPr>
        <w:t>(标的名称)</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（采购文件中明确的所属行业)</w:t>
      </w:r>
      <w:r>
        <w:rPr>
          <w:rFonts w:ascii="宋体" w:hAnsi="宋体"/>
          <w:color w:val="auto"/>
          <w:spacing w:val="6"/>
          <w:sz w:val="24"/>
          <w:szCs w:val="24"/>
          <w:highlight w:val="none"/>
        </w:rPr>
        <w:t>行业</w:t>
      </w:r>
      <w:r>
        <w:rPr>
          <w:rFonts w:hint="eastAsia" w:ascii="宋体" w:hAnsi="宋体"/>
          <w:color w:val="auto"/>
          <w:spacing w:val="6"/>
          <w:sz w:val="24"/>
          <w:szCs w:val="24"/>
          <w:highlight w:val="none"/>
        </w:rPr>
        <w:t>，</w:t>
      </w:r>
      <w:r>
        <w:rPr>
          <w:rFonts w:ascii="宋体" w:hAnsi="宋体"/>
          <w:color w:val="auto"/>
          <w:spacing w:val="6"/>
          <w:sz w:val="24"/>
          <w:szCs w:val="24"/>
          <w:highlight w:val="none"/>
        </w:rPr>
        <w:t xml:space="preserve"> 制造商为</w:t>
      </w:r>
      <w:r>
        <w:rPr>
          <w:rFonts w:ascii="宋体" w:hAnsi="宋体"/>
          <w:color w:val="auto"/>
          <w:spacing w:val="6"/>
          <w:sz w:val="24"/>
          <w:szCs w:val="24"/>
          <w:highlight w:val="none"/>
          <w:u w:val="single"/>
        </w:rPr>
        <w:t>（企业名称)</w:t>
      </w:r>
      <w:r>
        <w:rPr>
          <w:rFonts w:ascii="宋体" w:hAnsi="宋体"/>
          <w:color w:val="auto"/>
          <w:spacing w:val="6"/>
          <w:sz w:val="24"/>
          <w:szCs w:val="24"/>
          <w:highlight w:val="none"/>
        </w:rPr>
        <w:t>，从业人员</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rPr>
        <w:t>人，营业收入为</w:t>
      </w:r>
      <w:r>
        <w:rPr>
          <w:rFonts w:ascii="宋体" w:hAnsi="宋体"/>
          <w:color w:val="auto"/>
          <w:spacing w:val="6"/>
          <w:sz w:val="24"/>
          <w:szCs w:val="24"/>
          <w:highlight w:val="none"/>
          <w:u w:val="single"/>
        </w:rPr>
        <w:t>_</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rPr>
        <w:t>万元，资产总额为</w:t>
      </w:r>
      <w:r>
        <w:rPr>
          <w:rFonts w:hint="eastAsia" w:ascii="宋体" w:hAnsi="宋体"/>
          <w:color w:val="auto"/>
          <w:spacing w:val="6"/>
          <w:sz w:val="24"/>
          <w:szCs w:val="24"/>
          <w:highlight w:val="none"/>
        </w:rPr>
        <w:t xml:space="preserve"> </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u w:val="single"/>
        </w:rPr>
        <w:t>_</w:t>
      </w:r>
      <w:r>
        <w:rPr>
          <w:rFonts w:ascii="宋体" w:hAnsi="宋体"/>
          <w:color w:val="auto"/>
          <w:spacing w:val="6"/>
          <w:sz w:val="24"/>
          <w:szCs w:val="24"/>
          <w:highlight w:val="none"/>
        </w:rPr>
        <w:t>万元</w:t>
      </w:r>
      <w:r>
        <w:rPr>
          <w:rFonts w:hint="eastAsia" w:ascii="宋体" w:hAnsi="宋体"/>
          <w:color w:val="auto"/>
          <w:spacing w:val="6"/>
          <w:sz w:val="24"/>
          <w:szCs w:val="24"/>
          <w:highlight w:val="none"/>
        </w:rPr>
        <w:t>，按采购文件中明确的所属行业</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（中型企业、小 型企业、微型企业）</w:t>
      </w:r>
      <w:r>
        <w:rPr>
          <w:rFonts w:hint="eastAsia" w:ascii="宋体" w:hAnsi="宋体"/>
          <w:color w:val="auto"/>
          <w:spacing w:val="6"/>
          <w:sz w:val="24"/>
          <w:szCs w:val="24"/>
          <w:highlight w:val="none"/>
        </w:rPr>
        <w:t>；</w:t>
      </w:r>
    </w:p>
    <w:p>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w:t>
      </w:r>
    </w:p>
    <w:p>
      <w:pPr>
        <w:spacing w:line="588" w:lineRule="exact"/>
        <w:ind w:firstLine="504" w:firstLineChars="200"/>
        <w:rPr>
          <w:rFonts w:ascii="宋体" w:hAnsi="宋体"/>
          <w:color w:val="auto"/>
          <w:spacing w:val="6"/>
          <w:sz w:val="24"/>
          <w:szCs w:val="24"/>
          <w:highlight w:val="none"/>
        </w:rPr>
      </w:pPr>
      <w:r>
        <w:rPr>
          <w:rFonts w:ascii="宋体" w:hAnsi="宋体"/>
          <w:color w:val="auto"/>
          <w:spacing w:val="6"/>
          <w:sz w:val="24"/>
          <w:szCs w:val="24"/>
          <w:highlight w:val="none"/>
        </w:rPr>
        <w:t>以上企业，不属于大企业的分支机构，不存在控股股东为大企业的情形，也不存在与大企业的负责人为同一人的情形。</w:t>
      </w:r>
    </w:p>
    <w:p>
      <w:pPr>
        <w:spacing w:line="588" w:lineRule="exact"/>
        <w:ind w:firstLine="504" w:firstLineChars="200"/>
        <w:rPr>
          <w:rFonts w:ascii="宋体" w:hAnsi="宋体"/>
          <w:color w:val="auto"/>
          <w:spacing w:val="6"/>
          <w:sz w:val="24"/>
          <w:szCs w:val="24"/>
          <w:highlight w:val="none"/>
        </w:rPr>
      </w:pPr>
      <w:r>
        <w:rPr>
          <w:rFonts w:ascii="宋体" w:hAnsi="宋体"/>
          <w:color w:val="auto"/>
          <w:spacing w:val="6"/>
          <w:sz w:val="24"/>
          <w:szCs w:val="24"/>
          <w:highlight w:val="none"/>
        </w:rPr>
        <w:t>本企业对上述声明内容的真实性负责。如有虚假，将依法承担相应责任。</w:t>
      </w:r>
    </w:p>
    <w:p>
      <w:pPr>
        <w:spacing w:line="588" w:lineRule="exact"/>
        <w:rPr>
          <w:rFonts w:ascii="宋体" w:hAnsi="宋体"/>
          <w:color w:val="auto"/>
          <w:spacing w:val="6"/>
          <w:sz w:val="24"/>
          <w:szCs w:val="24"/>
          <w:highlight w:val="none"/>
        </w:rPr>
      </w:pPr>
    </w:p>
    <w:p>
      <w:pPr>
        <w:pStyle w:val="72"/>
        <w:shd w:val="clear" w:color="auto" w:fill="auto"/>
        <w:spacing w:after="228" w:line="300" w:lineRule="exact"/>
        <w:ind w:firstLine="4536" w:firstLineChars="1512"/>
        <w:rPr>
          <w:rFonts w:ascii="宋体" w:hAnsi="宋体" w:eastAsia="宋体"/>
          <w:color w:val="auto"/>
          <w:sz w:val="24"/>
          <w:szCs w:val="24"/>
          <w:highlight w:val="none"/>
        </w:rPr>
      </w:pPr>
      <w:r>
        <w:rPr>
          <w:rFonts w:ascii="宋体" w:hAnsi="宋体" w:eastAsia="宋体"/>
          <w:color w:val="auto"/>
          <w:sz w:val="24"/>
          <w:szCs w:val="24"/>
          <w:highlight w:val="none"/>
        </w:rPr>
        <w:t>企业名称（盖章</w:t>
      </w:r>
      <w:r>
        <w:rPr>
          <w:rFonts w:ascii="宋体" w:hAnsi="宋体" w:eastAsia="宋体"/>
          <w:color w:val="auto"/>
          <w:sz w:val="24"/>
          <w:szCs w:val="24"/>
          <w:highlight w:val="none"/>
          <w:lang w:bidi="en-US"/>
        </w:rPr>
        <w:t>）</w:t>
      </w:r>
    </w:p>
    <w:p>
      <w:pPr>
        <w:autoSpaceDE w:val="0"/>
        <w:autoSpaceDN w:val="0"/>
        <w:adjustRightInd w:val="0"/>
        <w:spacing w:line="360" w:lineRule="auto"/>
        <w:ind w:firstLine="4536" w:firstLineChars="1890"/>
        <w:jc w:val="left"/>
        <w:rPr>
          <w:rFonts w:ascii="宋体" w:hAnsi="宋体"/>
          <w:color w:val="auto"/>
          <w:sz w:val="24"/>
          <w:szCs w:val="24"/>
          <w:highlight w:val="none"/>
        </w:rPr>
      </w:pPr>
      <w:r>
        <w:rPr>
          <w:rFonts w:ascii="宋体" w:hAnsi="宋体"/>
          <w:color w:val="auto"/>
          <w:sz w:val="24"/>
          <w:szCs w:val="24"/>
          <w:highlight w:val="none"/>
        </w:rPr>
        <w:t>日期：</w:t>
      </w:r>
    </w:p>
    <w:p>
      <w:pPr>
        <w:spacing w:line="240" w:lineRule="auto"/>
        <w:textAlignment w:val="auto"/>
        <w:rPr>
          <w:rFonts w:ascii="黑体" w:hAnsi="黑体" w:eastAsia="黑体"/>
          <w:b/>
          <w:color w:val="auto"/>
          <w:sz w:val="30"/>
          <w:szCs w:val="30"/>
          <w:highlight w:val="none"/>
        </w:rPr>
      </w:pPr>
    </w:p>
    <w:p>
      <w:pPr>
        <w:spacing w:line="240" w:lineRule="auto"/>
        <w:rPr>
          <w:rStyle w:val="71"/>
          <w:rFonts w:ascii="宋体" w:hAnsi="宋体" w:eastAsia="宋体"/>
          <w:color w:val="auto"/>
          <w:highlight w:val="none"/>
        </w:rPr>
      </w:pPr>
      <w:r>
        <w:rPr>
          <w:rFonts w:hint="eastAsia" w:ascii="宋体" w:hAnsi="宋体"/>
          <w:color w:val="auto"/>
          <w:sz w:val="18"/>
          <w:szCs w:val="18"/>
          <w:highlight w:val="none"/>
        </w:rPr>
        <w:t>注：1、</w:t>
      </w:r>
      <w:r>
        <w:rPr>
          <w:rStyle w:val="70"/>
          <w:rFonts w:ascii="宋体" w:hAnsi="宋体" w:eastAsia="宋体"/>
          <w:color w:val="auto"/>
          <w:sz w:val="18"/>
          <w:szCs w:val="18"/>
          <w:highlight w:val="none"/>
          <w:vertAlign w:val="superscript"/>
        </w:rPr>
        <w:t>1</w:t>
      </w:r>
      <w:r>
        <w:rPr>
          <w:rStyle w:val="71"/>
          <w:rFonts w:ascii="宋体" w:hAnsi="宋体" w:eastAsia="宋体"/>
          <w:color w:val="auto"/>
          <w:highlight w:val="none"/>
        </w:rPr>
        <w:t>从业人员、营业收入、资产总额填报上一年度数据，无上一年度数据的新成立企业可不填报</w:t>
      </w:r>
      <w:r>
        <w:rPr>
          <w:rStyle w:val="71"/>
          <w:rFonts w:hint="eastAsia" w:ascii="宋体" w:hAnsi="宋体" w:eastAsia="宋体"/>
          <w:color w:val="auto"/>
          <w:highlight w:val="none"/>
        </w:rPr>
        <w:t>。</w:t>
      </w:r>
    </w:p>
    <w:p>
      <w:pPr>
        <w:spacing w:line="240" w:lineRule="auto"/>
        <w:rPr>
          <w:rFonts w:ascii="宋体" w:hAnsi="宋体"/>
          <w:color w:val="auto"/>
          <w:sz w:val="18"/>
          <w:szCs w:val="18"/>
          <w:highlight w:val="none"/>
        </w:rPr>
      </w:pPr>
      <w:r>
        <w:rPr>
          <w:rStyle w:val="71"/>
          <w:rFonts w:hint="eastAsia" w:ascii="宋体" w:hAnsi="宋体" w:eastAsia="宋体"/>
          <w:color w:val="auto"/>
          <w:highlight w:val="none"/>
        </w:rPr>
        <w:t xml:space="preserve">    2、“专门面向小微企业采购”项目必须提供《小微企业声明函》。</w:t>
      </w:r>
    </w:p>
    <w:p>
      <w:pPr>
        <w:spacing w:line="588" w:lineRule="exact"/>
        <w:jc w:val="center"/>
        <w:rPr>
          <w:rFonts w:ascii="黑体" w:hAnsi="黑体" w:eastAsia="黑体"/>
          <w:b/>
          <w:color w:val="auto"/>
          <w:sz w:val="30"/>
          <w:szCs w:val="30"/>
          <w:highlight w:val="none"/>
        </w:rPr>
      </w:pPr>
      <w:r>
        <w:rPr>
          <w:rFonts w:ascii="黑体" w:hAnsi="黑体" w:eastAsia="黑体"/>
          <w:b/>
          <w:color w:val="auto"/>
          <w:sz w:val="30"/>
          <w:szCs w:val="30"/>
          <w:highlight w:val="none"/>
        </w:rPr>
        <w:br w:type="page"/>
      </w:r>
    </w:p>
    <w:p>
      <w:pPr>
        <w:spacing w:line="588" w:lineRule="exact"/>
        <w:jc w:val="center"/>
        <w:rPr>
          <w:rFonts w:ascii="宋体" w:hAnsi="宋体"/>
          <w:color w:val="auto"/>
          <w:spacing w:val="6"/>
          <w:sz w:val="24"/>
          <w:szCs w:val="24"/>
          <w:highlight w:val="none"/>
        </w:rPr>
      </w:pPr>
      <w:r>
        <w:rPr>
          <w:rFonts w:hint="eastAsia" w:ascii="黑体" w:hAnsi="黑体" w:eastAsia="黑体"/>
          <w:b/>
          <w:color w:val="auto"/>
          <w:sz w:val="30"/>
          <w:szCs w:val="30"/>
          <w:highlight w:val="none"/>
        </w:rPr>
        <w:t>残疾人福利性单位声明函</w:t>
      </w:r>
      <w:r>
        <w:rPr>
          <w:rFonts w:hint="eastAsia" w:ascii="宋体" w:hAnsi="宋体"/>
          <w:color w:val="auto"/>
          <w:spacing w:val="6"/>
          <w:sz w:val="24"/>
          <w:szCs w:val="24"/>
          <w:highlight w:val="none"/>
        </w:rPr>
        <w:t>（如符合条件时填写</w:t>
      </w:r>
      <w:r>
        <w:rPr>
          <w:rFonts w:hint="eastAsia" w:ascii="宋体" w:hAnsi="宋体"/>
          <w:color w:val="auto"/>
          <w:spacing w:val="6"/>
          <w:sz w:val="28"/>
          <w:szCs w:val="28"/>
          <w:highlight w:val="none"/>
          <w:vertAlign w:val="superscript"/>
        </w:rPr>
        <w:t>*</w:t>
      </w:r>
      <w:r>
        <w:rPr>
          <w:rFonts w:hint="eastAsia" w:ascii="宋体" w:hAnsi="宋体"/>
          <w:color w:val="auto"/>
          <w:spacing w:val="6"/>
          <w:sz w:val="24"/>
          <w:szCs w:val="24"/>
          <w:highlight w:val="none"/>
        </w:rPr>
        <w:t>）</w:t>
      </w:r>
    </w:p>
    <w:p>
      <w:pPr>
        <w:spacing w:line="588" w:lineRule="exact"/>
        <w:rPr>
          <w:rFonts w:ascii="宋体" w:hAnsi="宋体"/>
          <w:color w:val="auto"/>
          <w:spacing w:val="6"/>
          <w:sz w:val="24"/>
          <w:szCs w:val="24"/>
          <w:highlight w:val="none"/>
        </w:rPr>
      </w:pPr>
    </w:p>
    <w:p>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olor w:val="auto"/>
          <w:sz w:val="24"/>
          <w:szCs w:val="24"/>
          <w:highlight w:val="none"/>
        </w:rPr>
        <w:t>〔2017〕141</w:t>
      </w:r>
      <w:r>
        <w:rPr>
          <w:rFonts w:hint="eastAsia" w:ascii="宋体" w:hAnsi="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本单位对上述声明的真实性负责。如有虚假，将依法承担相应责任。</w:t>
      </w:r>
    </w:p>
    <w:p>
      <w:pPr>
        <w:spacing w:line="588" w:lineRule="exact"/>
        <w:ind w:firstLine="504" w:firstLineChars="200"/>
        <w:rPr>
          <w:rFonts w:ascii="宋体" w:hAnsi="宋体"/>
          <w:color w:val="auto"/>
          <w:spacing w:val="6"/>
          <w:sz w:val="24"/>
          <w:szCs w:val="24"/>
          <w:highlight w:val="none"/>
        </w:rPr>
      </w:pPr>
    </w:p>
    <w:p>
      <w:pPr>
        <w:spacing w:line="588" w:lineRule="exact"/>
        <w:ind w:firstLine="504" w:firstLineChars="200"/>
        <w:rPr>
          <w:rFonts w:ascii="宋体" w:hAnsi="宋体"/>
          <w:color w:val="auto"/>
          <w:spacing w:val="6"/>
          <w:sz w:val="24"/>
          <w:szCs w:val="24"/>
          <w:highlight w:val="none"/>
        </w:rPr>
      </w:pPr>
    </w:p>
    <w:p>
      <w:pPr>
        <w:spacing w:line="588" w:lineRule="exact"/>
        <w:ind w:firstLine="504" w:firstLineChars="200"/>
        <w:rPr>
          <w:rFonts w:ascii="宋体" w:hAnsi="宋体"/>
          <w:color w:val="auto"/>
          <w:spacing w:val="6"/>
          <w:sz w:val="24"/>
          <w:szCs w:val="24"/>
          <w:highlight w:val="none"/>
        </w:rPr>
      </w:pPr>
    </w:p>
    <w:p>
      <w:pPr>
        <w:snapToGrid w:val="0"/>
        <w:spacing w:before="100" w:beforeAutospacing="1" w:after="100" w:afterAutospacing="1" w:line="700" w:lineRule="exact"/>
        <w:ind w:right="641" w:firstLine="4960" w:firstLineChars="2067"/>
        <w:rPr>
          <w:rFonts w:ascii="宋体" w:hAnsi="宋体"/>
          <w:color w:val="auto"/>
          <w:sz w:val="24"/>
          <w:szCs w:val="24"/>
          <w:highlight w:val="none"/>
        </w:rPr>
      </w:pPr>
      <w:r>
        <w:rPr>
          <w:rFonts w:hint="eastAsia" w:ascii="宋体" w:hAnsi="宋体"/>
          <w:color w:val="auto"/>
          <w:sz w:val="24"/>
          <w:szCs w:val="24"/>
          <w:highlight w:val="none"/>
        </w:rPr>
        <w:t>单位名称</w:t>
      </w:r>
      <w:r>
        <w:rPr>
          <w:rFonts w:ascii="宋体" w:hAnsi="宋体"/>
          <w:color w:val="auto"/>
          <w:sz w:val="24"/>
          <w:szCs w:val="24"/>
          <w:highlight w:val="none"/>
        </w:rPr>
        <w:t>（盖章</w:t>
      </w:r>
      <w:r>
        <w:rPr>
          <w:rFonts w:ascii="宋体" w:hAnsi="宋体"/>
          <w:color w:val="auto"/>
          <w:sz w:val="24"/>
          <w:szCs w:val="24"/>
          <w:highlight w:val="none"/>
          <w:lang w:bidi="en-US"/>
        </w:rPr>
        <w:t>）</w:t>
      </w:r>
      <w:r>
        <w:rPr>
          <w:rFonts w:hint="eastAsia" w:ascii="宋体" w:hAnsi="宋体"/>
          <w:color w:val="auto"/>
          <w:sz w:val="24"/>
          <w:szCs w:val="24"/>
          <w:highlight w:val="none"/>
        </w:rPr>
        <w:t>：</w:t>
      </w: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r>
        <w:rPr>
          <w:rFonts w:hint="eastAsia" w:ascii="宋体" w:hAnsi="宋体"/>
          <w:color w:val="auto"/>
          <w:sz w:val="24"/>
          <w:szCs w:val="24"/>
          <w:highlight w:val="none"/>
        </w:rPr>
        <w:t>日期：</w:t>
      </w:r>
    </w:p>
    <w:p>
      <w:pPr>
        <w:autoSpaceDE w:val="0"/>
        <w:autoSpaceDN w:val="0"/>
        <w:adjustRightInd w:val="0"/>
        <w:spacing w:line="360" w:lineRule="auto"/>
        <w:rPr>
          <w:rFonts w:ascii="宋体" w:cs="楷体_GB2312"/>
          <w:b/>
          <w:color w:val="auto"/>
          <w:sz w:val="30"/>
          <w:szCs w:val="30"/>
          <w:highlight w:val="none"/>
          <w:lang w:val="zh-CN"/>
        </w:rPr>
      </w:pPr>
    </w:p>
    <w:p>
      <w:pPr>
        <w:autoSpaceDE w:val="0"/>
        <w:autoSpaceDN w:val="0"/>
        <w:adjustRightInd w:val="0"/>
        <w:spacing w:line="360" w:lineRule="auto"/>
        <w:jc w:val="center"/>
        <w:rPr>
          <w:rFonts w:ascii="宋体"/>
          <w:color w:val="auto"/>
          <w:sz w:val="24"/>
          <w:szCs w:val="24"/>
          <w:highlight w:val="none"/>
        </w:rPr>
      </w:pPr>
    </w:p>
    <w:p>
      <w:pPr>
        <w:autoSpaceDE w:val="0"/>
        <w:autoSpaceDN w:val="0"/>
        <w:adjustRightInd w:val="0"/>
        <w:spacing w:line="360" w:lineRule="auto"/>
        <w:jc w:val="center"/>
        <w:rPr>
          <w:rFonts w:ascii="宋体"/>
          <w:color w:val="auto"/>
          <w:sz w:val="24"/>
          <w:szCs w:val="24"/>
          <w:highlight w:val="none"/>
        </w:rPr>
      </w:pPr>
    </w:p>
    <w:p>
      <w:pPr>
        <w:autoSpaceDE w:val="0"/>
        <w:autoSpaceDN w:val="0"/>
        <w:adjustRightInd w:val="0"/>
        <w:spacing w:line="360" w:lineRule="auto"/>
        <w:jc w:val="center"/>
        <w:rPr>
          <w:rFonts w:ascii="宋体"/>
          <w:color w:val="auto"/>
          <w:sz w:val="24"/>
          <w:szCs w:val="24"/>
          <w:highlight w:val="none"/>
        </w:rPr>
      </w:pPr>
    </w:p>
    <w:p>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注：1、按政策规定：符合条件的残疾人福利性单位视同小型、微型企业。残疾人福利性单位属于小型、微型企业的，不重复享受政策。</w:t>
      </w:r>
    </w:p>
    <w:p>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2、</w:t>
      </w:r>
      <w:r>
        <w:rPr>
          <w:rFonts w:hint="eastAsia" w:ascii="宋体" w:hAnsi="宋体"/>
          <w:b/>
          <w:color w:val="auto"/>
          <w:sz w:val="18"/>
          <w:szCs w:val="18"/>
          <w:highlight w:val="none"/>
          <w:vertAlign w:val="superscript"/>
        </w:rPr>
        <w:t>*</w:t>
      </w:r>
      <w:r>
        <w:rPr>
          <w:rFonts w:hint="eastAsia" w:ascii="宋体" w:hAnsi="宋体"/>
          <w:color w:val="auto"/>
          <w:sz w:val="18"/>
          <w:szCs w:val="18"/>
          <w:highlight w:val="none"/>
        </w:rPr>
        <w:t>本格式由符合促进残疾人就业政府采购政策条件的残疾人福利性单位填写，非残疾人福利性单位无需填写。本项目（专门面向小微企业采购）中，残疾人福利性单位属于小型、微型企业的，可只填写“</w:t>
      </w:r>
      <w:r>
        <w:rPr>
          <w:rFonts w:ascii="宋体" w:hAnsi="宋体"/>
          <w:color w:val="auto"/>
          <w:sz w:val="18"/>
          <w:szCs w:val="18"/>
          <w:highlight w:val="none"/>
        </w:rPr>
        <w:t xml:space="preserve"> </w:t>
      </w:r>
      <w:r>
        <w:rPr>
          <w:rFonts w:hint="eastAsia" w:ascii="宋体" w:hAnsi="宋体"/>
          <w:color w:val="auto"/>
          <w:sz w:val="18"/>
          <w:szCs w:val="18"/>
          <w:highlight w:val="none"/>
        </w:rPr>
        <w:t>小微</w:t>
      </w:r>
      <w:r>
        <w:rPr>
          <w:rFonts w:ascii="宋体" w:hAnsi="宋体"/>
          <w:color w:val="auto"/>
          <w:sz w:val="18"/>
          <w:szCs w:val="18"/>
          <w:highlight w:val="none"/>
        </w:rPr>
        <w:t>企业声明函</w:t>
      </w:r>
      <w:r>
        <w:rPr>
          <w:rFonts w:hint="eastAsia" w:ascii="宋体" w:hAnsi="宋体"/>
          <w:color w:val="auto"/>
          <w:sz w:val="18"/>
          <w:szCs w:val="18"/>
          <w:highlight w:val="none"/>
        </w:rPr>
        <w:t>”，不再填写“残疾人福利性单位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w:t>
      </w:r>
    </w:p>
    <w:p>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3、残疾人福利性单位填写“残疾人福利性单位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”后，仍需同时填写“小微</w:t>
      </w:r>
      <w:r>
        <w:rPr>
          <w:rFonts w:ascii="宋体" w:hAnsi="宋体"/>
          <w:color w:val="auto"/>
          <w:sz w:val="18"/>
          <w:szCs w:val="18"/>
          <w:highlight w:val="none"/>
        </w:rPr>
        <w:t>企业声明函</w:t>
      </w:r>
      <w:r>
        <w:rPr>
          <w:rFonts w:hint="eastAsia" w:ascii="宋体" w:hAnsi="宋体"/>
          <w:color w:val="auto"/>
          <w:sz w:val="18"/>
          <w:szCs w:val="18"/>
          <w:highlight w:val="none"/>
        </w:rPr>
        <w:t>”、可在“小微</w:t>
      </w:r>
      <w:r>
        <w:rPr>
          <w:rFonts w:ascii="宋体" w:hAnsi="宋体"/>
          <w:color w:val="auto"/>
          <w:sz w:val="18"/>
          <w:szCs w:val="18"/>
          <w:highlight w:val="none"/>
        </w:rPr>
        <w:t>企业声明函</w:t>
      </w:r>
      <w:r>
        <w:rPr>
          <w:rFonts w:hint="eastAsia" w:ascii="宋体" w:hAnsi="宋体"/>
          <w:color w:val="auto"/>
          <w:sz w:val="18"/>
          <w:szCs w:val="18"/>
          <w:highlight w:val="none"/>
        </w:rPr>
        <w:t>”注明“属于符合条件的残疾人福利性单位、视同小型、微型企业”。</w:t>
      </w:r>
    </w:p>
    <w:p>
      <w:pPr>
        <w:widowControl w:val="0"/>
        <w:tabs>
          <w:tab w:val="left" w:pos="9365"/>
        </w:tabs>
        <w:snapToGrid w:val="0"/>
        <w:spacing w:after="56" w:line="560" w:lineRule="exact"/>
        <w:ind w:right="85"/>
        <w:jc w:val="left"/>
        <w:textAlignment w:val="top"/>
        <w:rPr>
          <w:rFonts w:ascii="宋体" w:hAnsi="宋体" w:cs="楷体_GB2312"/>
          <w:color w:val="auto"/>
          <w:sz w:val="24"/>
          <w:highlight w:val="none"/>
        </w:rPr>
      </w:pPr>
      <w:r>
        <w:rPr>
          <w:rFonts w:ascii="宋体" w:hAnsi="宋体" w:cs="楷体_GB2312"/>
          <w:color w:val="auto"/>
          <w:sz w:val="24"/>
          <w:highlight w:val="none"/>
        </w:rPr>
        <w:br w:type="page"/>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5</w:t>
      </w:r>
      <w:r>
        <w:rPr>
          <w:rFonts w:hint="eastAsia" w:ascii="黑体" w:hAnsi="黑体" w:eastAsia="黑体"/>
          <w:b/>
          <w:color w:val="auto"/>
          <w:sz w:val="30"/>
          <w:szCs w:val="30"/>
          <w:highlight w:val="none"/>
        </w:rPr>
        <w:t>-2、《政府采购法》第二十二条第一款规定的供</w:t>
      </w:r>
      <w:r>
        <w:rPr>
          <w:rFonts w:ascii="黑体" w:hAnsi="黑体" w:eastAsia="黑体"/>
          <w:b/>
          <w:color w:val="auto"/>
          <w:sz w:val="30"/>
          <w:szCs w:val="30"/>
          <w:highlight w:val="none"/>
        </w:rPr>
        <w:t>应商基础性资</w:t>
      </w:r>
      <w:r>
        <w:rPr>
          <w:rFonts w:hint="eastAsia" w:ascii="黑体" w:hAnsi="黑体" w:eastAsia="黑体"/>
          <w:b/>
          <w:color w:val="auto"/>
          <w:sz w:val="30"/>
          <w:szCs w:val="30"/>
          <w:highlight w:val="none"/>
        </w:rPr>
        <w:t>格</w:t>
      </w:r>
      <w:r>
        <w:rPr>
          <w:rFonts w:ascii="黑体" w:hAnsi="黑体" w:eastAsia="黑体"/>
          <w:b/>
          <w:color w:val="auto"/>
          <w:sz w:val="30"/>
          <w:szCs w:val="30"/>
          <w:highlight w:val="none"/>
        </w:rPr>
        <w:t>的</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承诺函</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pPr>
        <w:tabs>
          <w:tab w:val="left" w:pos="9365"/>
        </w:tabs>
        <w:spacing w:before="57" w:after="57" w:line="586" w:lineRule="atLeast"/>
        <w:ind w:right="85"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w:t>
      </w:r>
      <w:r>
        <w:rPr>
          <w:rFonts w:hint="eastAsia" w:ascii="宋体" w:hAnsi="宋体"/>
          <w:color w:val="auto"/>
          <w:sz w:val="24"/>
          <w:szCs w:val="24"/>
          <w:highlight w:val="none"/>
        </w:rPr>
        <w:t>我公司郑重承诺，我公司符合《政府采购法》第二十二条第一款规定的供应商基础性资格条件，具体如下：</w:t>
      </w:r>
    </w:p>
    <w:p>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1、我公司承诺具有独立承担民事责任能力；</w:t>
      </w:r>
    </w:p>
    <w:p>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2、我公司承诺具有良好的商业信誉和健全的财务会计制度；</w:t>
      </w:r>
    </w:p>
    <w:p>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3、我公司承诺具备履行合同所必需的设备和专业技术能力；</w:t>
      </w:r>
    </w:p>
    <w:p>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4、我公司承诺具有依法缴纳税收和社会保障资金的良好记录；</w:t>
      </w:r>
    </w:p>
    <w:p>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5、我公司承诺在参加政府采购活动前三年内，在经营活动中没有重大违法记录。</w:t>
      </w:r>
    </w:p>
    <w:p>
      <w:pPr>
        <w:tabs>
          <w:tab w:val="left" w:pos="9365"/>
        </w:tabs>
        <w:spacing w:before="156" w:beforeLines="50" w:line="276" w:lineRule="auto"/>
        <w:ind w:right="85"/>
        <w:jc w:val="left"/>
        <w:textAlignment w:val="top"/>
        <w:rPr>
          <w:rFonts w:ascii="宋体"/>
          <w:color w:val="auto"/>
          <w:sz w:val="24"/>
          <w:szCs w:val="24"/>
          <w:highlight w:val="none"/>
        </w:rPr>
      </w:pPr>
      <w:r>
        <w:rPr>
          <w:rFonts w:hint="eastAsia" w:ascii="宋体"/>
          <w:color w:val="auto"/>
          <w:sz w:val="24"/>
          <w:szCs w:val="24"/>
          <w:highlight w:val="none"/>
        </w:rPr>
        <w:t xml:space="preserve">    二</w:t>
      </w:r>
      <w:r>
        <w:rPr>
          <w:rFonts w:ascii="宋体"/>
          <w:color w:val="auto"/>
          <w:sz w:val="24"/>
          <w:szCs w:val="24"/>
          <w:highlight w:val="none"/>
        </w:rPr>
        <w:t>、</w:t>
      </w:r>
      <w:r>
        <w:rPr>
          <w:rFonts w:hint="eastAsia" w:ascii="宋体"/>
          <w:color w:val="auto"/>
          <w:sz w:val="24"/>
          <w:szCs w:val="24"/>
          <w:highlight w:val="none"/>
        </w:rPr>
        <w:t>我公司保证上述承诺事项的真实性，如有虚假或其他违规违法行为，我公司愿意</w:t>
      </w:r>
      <w:r>
        <w:rPr>
          <w:rFonts w:hint="eastAsia" w:ascii="宋体" w:hAnsi="宋体"/>
          <w:color w:val="auto"/>
          <w:sz w:val="24"/>
          <w:szCs w:val="24"/>
          <w:highlight w:val="none"/>
        </w:rPr>
        <w:t>按《政府采购法》提供虚假材料的有关规定</w:t>
      </w:r>
      <w:r>
        <w:rPr>
          <w:rFonts w:hint="eastAsia" w:ascii="宋体"/>
          <w:color w:val="auto"/>
          <w:sz w:val="24"/>
          <w:szCs w:val="24"/>
          <w:highlight w:val="none"/>
        </w:rPr>
        <w:t>承担法律责任，并承担因此造成的一切损失。</w:t>
      </w:r>
    </w:p>
    <w:p>
      <w:pPr>
        <w:widowControl w:val="0"/>
        <w:tabs>
          <w:tab w:val="left" w:pos="9365"/>
        </w:tabs>
        <w:snapToGrid w:val="0"/>
        <w:spacing w:before="156" w:beforeLines="50" w:line="276" w:lineRule="auto"/>
        <w:ind w:right="85"/>
        <w:jc w:val="left"/>
        <w:textAlignment w:val="top"/>
        <w:rPr>
          <w:rFonts w:ascii="宋体" w:hAnsi="宋体"/>
          <w:color w:val="auto"/>
          <w:sz w:val="24"/>
          <w:szCs w:val="24"/>
          <w:highlight w:val="none"/>
        </w:rPr>
      </w:pPr>
      <w:r>
        <w:rPr>
          <w:rFonts w:hint="eastAsia" w:ascii="宋体"/>
          <w:color w:val="auto"/>
          <w:sz w:val="24"/>
          <w:szCs w:val="24"/>
          <w:highlight w:val="none"/>
        </w:rPr>
        <w:t xml:space="preserve">   三</w:t>
      </w:r>
      <w:r>
        <w:rPr>
          <w:rFonts w:ascii="宋体"/>
          <w:color w:val="auto"/>
          <w:sz w:val="24"/>
          <w:szCs w:val="24"/>
          <w:highlight w:val="none"/>
        </w:rPr>
        <w:t>、</w:t>
      </w:r>
      <w:r>
        <w:rPr>
          <w:rFonts w:hint="eastAsia" w:ascii="宋体"/>
          <w:color w:val="auto"/>
          <w:sz w:val="24"/>
          <w:szCs w:val="24"/>
          <w:highlight w:val="none"/>
        </w:rPr>
        <w:t xml:space="preserve"> 我</w:t>
      </w:r>
      <w:r>
        <w:rPr>
          <w:rFonts w:ascii="宋体"/>
          <w:color w:val="auto"/>
          <w:sz w:val="24"/>
          <w:szCs w:val="24"/>
          <w:highlight w:val="none"/>
        </w:rPr>
        <w:t>公司认同</w:t>
      </w:r>
      <w:r>
        <w:rPr>
          <w:rFonts w:hint="eastAsia" w:ascii="宋体"/>
          <w:color w:val="auto"/>
          <w:sz w:val="24"/>
          <w:szCs w:val="24"/>
          <w:highlight w:val="none"/>
        </w:rPr>
        <w:t>按</w:t>
      </w:r>
      <w:r>
        <w:rPr>
          <w:rFonts w:ascii="宋体"/>
          <w:color w:val="auto"/>
          <w:sz w:val="24"/>
          <w:szCs w:val="24"/>
          <w:highlight w:val="none"/>
        </w:rPr>
        <w:t>照</w:t>
      </w:r>
      <w:r>
        <w:rPr>
          <w:rFonts w:hint="eastAsia" w:ascii="宋体"/>
          <w:color w:val="auto"/>
          <w:sz w:val="24"/>
          <w:szCs w:val="24"/>
          <w:highlight w:val="none"/>
        </w:rPr>
        <w:t>《招标</w:t>
      </w:r>
      <w:r>
        <w:rPr>
          <w:rFonts w:ascii="宋体"/>
          <w:color w:val="auto"/>
          <w:sz w:val="24"/>
          <w:szCs w:val="24"/>
          <w:highlight w:val="none"/>
        </w:rPr>
        <w:t>文件</w:t>
      </w:r>
      <w:r>
        <w:rPr>
          <w:rFonts w:hint="eastAsia" w:ascii="宋体"/>
          <w:color w:val="auto"/>
          <w:sz w:val="24"/>
          <w:szCs w:val="24"/>
          <w:highlight w:val="none"/>
        </w:rPr>
        <w:t>》“</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”对</w:t>
      </w:r>
      <w:r>
        <w:rPr>
          <w:rFonts w:ascii="宋体"/>
          <w:color w:val="auto"/>
          <w:sz w:val="24"/>
          <w:szCs w:val="24"/>
          <w:highlight w:val="none"/>
        </w:rPr>
        <w:t>我公司或其他公司</w:t>
      </w:r>
      <w:r>
        <w:rPr>
          <w:rFonts w:hint="eastAsia" w:ascii="宋体"/>
          <w:color w:val="auto"/>
          <w:sz w:val="24"/>
          <w:szCs w:val="24"/>
          <w:highlight w:val="none"/>
        </w:rPr>
        <w:t>进行的</w:t>
      </w:r>
      <w:r>
        <w:rPr>
          <w:rFonts w:hint="eastAsia" w:ascii="宋体" w:hAnsi="宋体"/>
          <w:color w:val="auto"/>
          <w:sz w:val="24"/>
          <w:szCs w:val="24"/>
          <w:highlight w:val="none"/>
        </w:rPr>
        <w:t>供</w:t>
      </w:r>
      <w:r>
        <w:rPr>
          <w:rFonts w:ascii="宋体" w:hAnsi="宋体"/>
          <w:color w:val="auto"/>
          <w:sz w:val="24"/>
          <w:szCs w:val="24"/>
          <w:highlight w:val="none"/>
        </w:rPr>
        <w:t>应商基础性资</w:t>
      </w:r>
      <w:r>
        <w:rPr>
          <w:rFonts w:hint="eastAsia" w:ascii="宋体" w:hAnsi="宋体"/>
          <w:color w:val="auto"/>
          <w:sz w:val="24"/>
          <w:szCs w:val="24"/>
          <w:highlight w:val="none"/>
        </w:rPr>
        <w:t>格的</w:t>
      </w:r>
      <w:r>
        <w:rPr>
          <w:rFonts w:ascii="宋体" w:hAnsi="宋体"/>
          <w:color w:val="auto"/>
          <w:sz w:val="24"/>
          <w:szCs w:val="24"/>
          <w:highlight w:val="none"/>
        </w:rPr>
        <w:t>审查</w:t>
      </w:r>
      <w:r>
        <w:rPr>
          <w:rFonts w:hint="eastAsia" w:ascii="宋体" w:hAnsi="宋体"/>
          <w:color w:val="auto"/>
          <w:sz w:val="24"/>
          <w:szCs w:val="24"/>
          <w:highlight w:val="none"/>
        </w:rPr>
        <w:t>，</w:t>
      </w:r>
      <w:r>
        <w:rPr>
          <w:rFonts w:ascii="宋体" w:hAnsi="宋体"/>
          <w:color w:val="auto"/>
          <w:sz w:val="24"/>
          <w:szCs w:val="24"/>
          <w:highlight w:val="none"/>
        </w:rPr>
        <w:t>对</w:t>
      </w:r>
      <w:r>
        <w:rPr>
          <w:rFonts w:hint="eastAsia" w:ascii="宋体"/>
          <w:color w:val="auto"/>
          <w:sz w:val="24"/>
          <w:szCs w:val="24"/>
          <w:highlight w:val="none"/>
        </w:rPr>
        <w:t>按</w:t>
      </w:r>
      <w:r>
        <w:rPr>
          <w:rFonts w:ascii="宋体"/>
          <w:color w:val="auto"/>
          <w:sz w:val="24"/>
          <w:szCs w:val="24"/>
          <w:highlight w:val="none"/>
        </w:rPr>
        <w:t>照</w:t>
      </w:r>
      <w:r>
        <w:rPr>
          <w:rFonts w:hint="eastAsia" w:ascii="宋体" w:hAnsi="宋体"/>
          <w:color w:val="auto"/>
          <w:sz w:val="24"/>
          <w:szCs w:val="24"/>
          <w:highlight w:val="none"/>
        </w:rPr>
        <w:t>认定标准得</w:t>
      </w:r>
      <w:r>
        <w:rPr>
          <w:rFonts w:ascii="宋体" w:hAnsi="宋体"/>
          <w:color w:val="auto"/>
          <w:sz w:val="24"/>
          <w:szCs w:val="24"/>
          <w:highlight w:val="none"/>
        </w:rPr>
        <w:t>出的审查结果无异</w:t>
      </w:r>
      <w:r>
        <w:rPr>
          <w:rFonts w:hint="eastAsia" w:ascii="宋体" w:hAnsi="宋体"/>
          <w:color w:val="auto"/>
          <w:sz w:val="24"/>
          <w:szCs w:val="24"/>
          <w:highlight w:val="none"/>
        </w:rPr>
        <w:t>议。</w:t>
      </w:r>
    </w:p>
    <w:p>
      <w:pPr>
        <w:widowControl w:val="0"/>
        <w:tabs>
          <w:tab w:val="left" w:pos="9365"/>
        </w:tabs>
        <w:snapToGrid w:val="0"/>
        <w:spacing w:before="156" w:beforeLines="50" w:line="276"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 xml:space="preserve">    四、</w:t>
      </w:r>
      <w:r>
        <w:rPr>
          <w:rFonts w:hint="eastAsia" w:ascii="宋体"/>
          <w:color w:val="auto"/>
          <w:sz w:val="24"/>
          <w:szCs w:val="24"/>
          <w:highlight w:val="none"/>
        </w:rPr>
        <w:t>我公司投</w:t>
      </w:r>
      <w:r>
        <w:rPr>
          <w:rFonts w:ascii="宋体"/>
          <w:color w:val="auto"/>
          <w:sz w:val="24"/>
          <w:szCs w:val="24"/>
          <w:highlight w:val="none"/>
        </w:rPr>
        <w:t>标文件或</w:t>
      </w:r>
      <w:r>
        <w:rPr>
          <w:rFonts w:hint="eastAsia" w:ascii="宋体"/>
          <w:color w:val="auto"/>
          <w:sz w:val="24"/>
          <w:szCs w:val="24"/>
          <w:highlight w:val="none"/>
        </w:rPr>
        <w:t>公</w:t>
      </w:r>
      <w:r>
        <w:rPr>
          <w:rFonts w:ascii="宋体"/>
          <w:color w:val="auto"/>
          <w:sz w:val="24"/>
          <w:szCs w:val="24"/>
          <w:highlight w:val="none"/>
        </w:rPr>
        <w:t>开资</w:t>
      </w:r>
      <w:r>
        <w:rPr>
          <w:rFonts w:hint="eastAsia" w:ascii="宋体"/>
          <w:color w:val="auto"/>
          <w:sz w:val="24"/>
          <w:szCs w:val="24"/>
          <w:highlight w:val="none"/>
        </w:rPr>
        <w:t>料或</w:t>
      </w:r>
      <w:r>
        <w:rPr>
          <w:rFonts w:ascii="宋体"/>
          <w:color w:val="auto"/>
          <w:sz w:val="24"/>
          <w:szCs w:val="24"/>
          <w:highlight w:val="none"/>
        </w:rPr>
        <w:t>备</w:t>
      </w:r>
      <w:r>
        <w:rPr>
          <w:rFonts w:hint="eastAsia" w:ascii="宋体"/>
          <w:color w:val="auto"/>
          <w:sz w:val="24"/>
          <w:szCs w:val="24"/>
          <w:highlight w:val="none"/>
        </w:rPr>
        <w:t>案</w:t>
      </w:r>
      <w:r>
        <w:rPr>
          <w:rFonts w:ascii="宋体"/>
          <w:color w:val="auto"/>
          <w:sz w:val="24"/>
          <w:szCs w:val="24"/>
          <w:highlight w:val="none"/>
        </w:rPr>
        <w:t>资</w:t>
      </w:r>
      <w:r>
        <w:rPr>
          <w:rFonts w:hint="eastAsia" w:ascii="宋体"/>
          <w:color w:val="auto"/>
          <w:sz w:val="24"/>
          <w:szCs w:val="24"/>
          <w:highlight w:val="none"/>
        </w:rPr>
        <w:t>料</w:t>
      </w:r>
      <w:r>
        <w:rPr>
          <w:rFonts w:ascii="宋体"/>
          <w:color w:val="auto"/>
          <w:sz w:val="24"/>
          <w:szCs w:val="24"/>
          <w:highlight w:val="none"/>
        </w:rPr>
        <w:t>中，有不符合</w:t>
      </w:r>
      <w:r>
        <w:rPr>
          <w:rFonts w:hint="eastAsia" w:ascii="宋体"/>
          <w:color w:val="auto"/>
          <w:sz w:val="24"/>
          <w:szCs w:val="24"/>
          <w:highlight w:val="none"/>
        </w:rPr>
        <w:t>《招标</w:t>
      </w:r>
      <w:r>
        <w:rPr>
          <w:rFonts w:ascii="宋体"/>
          <w:color w:val="auto"/>
          <w:sz w:val="24"/>
          <w:szCs w:val="24"/>
          <w:highlight w:val="none"/>
        </w:rPr>
        <w:t>文件</w:t>
      </w:r>
      <w:r>
        <w:rPr>
          <w:rFonts w:hint="eastAsia" w:ascii="宋体"/>
          <w:color w:val="auto"/>
          <w:sz w:val="24"/>
          <w:szCs w:val="24"/>
          <w:highlight w:val="none"/>
        </w:rPr>
        <w:t>》“</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”的</w:t>
      </w:r>
      <w:r>
        <w:rPr>
          <w:rFonts w:ascii="宋体"/>
          <w:color w:val="auto"/>
          <w:sz w:val="24"/>
          <w:szCs w:val="24"/>
          <w:highlight w:val="none"/>
        </w:rPr>
        <w:t>，</w:t>
      </w:r>
      <w:r>
        <w:rPr>
          <w:rFonts w:hint="eastAsia" w:ascii="宋体"/>
          <w:color w:val="auto"/>
          <w:sz w:val="24"/>
          <w:szCs w:val="24"/>
          <w:highlight w:val="none"/>
        </w:rPr>
        <w:t>我公司</w:t>
      </w:r>
      <w:r>
        <w:rPr>
          <w:rFonts w:ascii="宋体"/>
          <w:color w:val="auto"/>
          <w:sz w:val="24"/>
          <w:szCs w:val="24"/>
          <w:highlight w:val="none"/>
        </w:rPr>
        <w:t>认同</w:t>
      </w:r>
      <w:r>
        <w:rPr>
          <w:rFonts w:hint="eastAsia" w:ascii="宋体"/>
          <w:color w:val="auto"/>
          <w:sz w:val="24"/>
          <w:szCs w:val="24"/>
          <w:highlight w:val="none"/>
        </w:rPr>
        <w:t>判</w:t>
      </w:r>
      <w:r>
        <w:rPr>
          <w:rFonts w:ascii="宋体"/>
          <w:color w:val="auto"/>
          <w:sz w:val="24"/>
          <w:szCs w:val="24"/>
          <w:highlight w:val="none"/>
        </w:rPr>
        <w:t>定为无</w:t>
      </w:r>
      <w:r>
        <w:rPr>
          <w:rFonts w:hint="eastAsia" w:ascii="宋体"/>
          <w:color w:val="auto"/>
          <w:sz w:val="24"/>
          <w:szCs w:val="24"/>
          <w:highlight w:val="none"/>
        </w:rPr>
        <w:t>效</w:t>
      </w:r>
      <w:r>
        <w:rPr>
          <w:rFonts w:ascii="宋体"/>
          <w:color w:val="auto"/>
          <w:sz w:val="24"/>
          <w:szCs w:val="24"/>
          <w:highlight w:val="none"/>
        </w:rPr>
        <w:t>投标</w:t>
      </w:r>
      <w:r>
        <w:rPr>
          <w:rFonts w:hint="eastAsia" w:ascii="宋体"/>
          <w:color w:val="auto"/>
          <w:sz w:val="24"/>
          <w:szCs w:val="24"/>
          <w:highlight w:val="none"/>
        </w:rPr>
        <w:t>、承担</w:t>
      </w:r>
      <w:r>
        <w:rPr>
          <w:rFonts w:hint="eastAsia" w:ascii="宋体" w:hAnsi="宋体"/>
          <w:color w:val="auto"/>
          <w:sz w:val="24"/>
          <w:szCs w:val="24"/>
          <w:highlight w:val="none"/>
        </w:rPr>
        <w:t>虚假</w:t>
      </w:r>
      <w:r>
        <w:rPr>
          <w:rFonts w:hint="eastAsia" w:ascii="宋体"/>
          <w:color w:val="auto"/>
          <w:sz w:val="24"/>
          <w:szCs w:val="24"/>
          <w:highlight w:val="none"/>
        </w:rPr>
        <w:t>承诺责任。</w:t>
      </w:r>
    </w:p>
    <w:p>
      <w:pPr>
        <w:tabs>
          <w:tab w:val="left" w:pos="9365"/>
        </w:tabs>
        <w:spacing w:before="156" w:beforeLines="50" w:line="276" w:lineRule="auto"/>
        <w:ind w:right="85" w:firstLine="480"/>
        <w:jc w:val="left"/>
        <w:textAlignment w:val="top"/>
        <w:rPr>
          <w:rFonts w:ascii="宋体"/>
          <w:color w:val="auto"/>
          <w:sz w:val="24"/>
          <w:szCs w:val="24"/>
          <w:highlight w:val="none"/>
        </w:rPr>
      </w:pPr>
      <w:r>
        <w:rPr>
          <w:rFonts w:hint="eastAsia" w:ascii="宋体"/>
          <w:color w:val="auto"/>
          <w:sz w:val="24"/>
          <w:szCs w:val="24"/>
          <w:highlight w:val="none"/>
        </w:rPr>
        <w:t>五</w:t>
      </w:r>
      <w:r>
        <w:rPr>
          <w:rFonts w:ascii="宋体"/>
          <w:color w:val="auto"/>
          <w:sz w:val="24"/>
          <w:szCs w:val="24"/>
          <w:highlight w:val="none"/>
        </w:rPr>
        <w:t>、</w:t>
      </w:r>
      <w:r>
        <w:rPr>
          <w:rFonts w:hint="eastAsia" w:ascii="宋体"/>
          <w:color w:val="auto"/>
          <w:sz w:val="24"/>
          <w:szCs w:val="24"/>
          <w:highlight w:val="none"/>
        </w:rPr>
        <w:t>我公司</w:t>
      </w:r>
      <w:r>
        <w:rPr>
          <w:rFonts w:ascii="宋体"/>
          <w:color w:val="auto"/>
          <w:sz w:val="24"/>
          <w:szCs w:val="24"/>
          <w:highlight w:val="none"/>
        </w:rPr>
        <w:t>在</w:t>
      </w:r>
      <w:r>
        <w:rPr>
          <w:rFonts w:hint="eastAsia" w:ascii="宋体"/>
          <w:color w:val="auto"/>
          <w:sz w:val="24"/>
          <w:szCs w:val="24"/>
          <w:highlight w:val="none"/>
        </w:rPr>
        <w:t>没</w:t>
      </w:r>
      <w:r>
        <w:rPr>
          <w:rFonts w:ascii="宋体"/>
          <w:color w:val="auto"/>
          <w:sz w:val="24"/>
          <w:szCs w:val="24"/>
          <w:highlight w:val="none"/>
        </w:rPr>
        <w:t>有有效的证明材</w:t>
      </w:r>
      <w:r>
        <w:rPr>
          <w:rFonts w:hint="eastAsia" w:ascii="宋体"/>
          <w:color w:val="auto"/>
          <w:sz w:val="24"/>
          <w:szCs w:val="24"/>
          <w:highlight w:val="none"/>
        </w:rPr>
        <w:t>料，以</w:t>
      </w:r>
      <w:r>
        <w:rPr>
          <w:rFonts w:ascii="宋体"/>
          <w:color w:val="auto"/>
          <w:sz w:val="24"/>
          <w:szCs w:val="24"/>
          <w:highlight w:val="none"/>
        </w:rPr>
        <w:t>证明其他投标人不符合</w:t>
      </w:r>
      <w:r>
        <w:rPr>
          <w:rFonts w:hint="eastAsia" w:ascii="宋体"/>
          <w:color w:val="auto"/>
          <w:sz w:val="24"/>
          <w:szCs w:val="24"/>
          <w:highlight w:val="none"/>
        </w:rPr>
        <w:t>《招标</w:t>
      </w:r>
      <w:r>
        <w:rPr>
          <w:rFonts w:ascii="宋体"/>
          <w:color w:val="auto"/>
          <w:sz w:val="24"/>
          <w:szCs w:val="24"/>
          <w:highlight w:val="none"/>
        </w:rPr>
        <w:t>文件</w:t>
      </w:r>
      <w:r>
        <w:rPr>
          <w:rFonts w:hint="eastAsia" w:ascii="宋体"/>
          <w:color w:val="auto"/>
          <w:sz w:val="24"/>
          <w:szCs w:val="24"/>
          <w:highlight w:val="none"/>
        </w:rPr>
        <w:t>》“</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”时，我公司承诺不</w:t>
      </w:r>
      <w:r>
        <w:rPr>
          <w:rFonts w:ascii="宋体"/>
          <w:color w:val="auto"/>
          <w:sz w:val="24"/>
          <w:szCs w:val="24"/>
          <w:highlight w:val="none"/>
        </w:rPr>
        <w:t>对其他投标人</w:t>
      </w:r>
      <w:r>
        <w:rPr>
          <w:rFonts w:hint="eastAsia" w:ascii="宋体"/>
          <w:color w:val="auto"/>
          <w:sz w:val="24"/>
          <w:szCs w:val="24"/>
          <w:highlight w:val="none"/>
        </w:rPr>
        <w:t>的承诺函提</w:t>
      </w:r>
      <w:r>
        <w:rPr>
          <w:rFonts w:ascii="宋体"/>
          <w:color w:val="auto"/>
          <w:sz w:val="24"/>
          <w:szCs w:val="24"/>
          <w:highlight w:val="none"/>
        </w:rPr>
        <w:t>起质疑投诉，</w:t>
      </w:r>
      <w:r>
        <w:rPr>
          <w:rFonts w:hint="eastAsia" w:ascii="宋体"/>
          <w:color w:val="auto"/>
          <w:sz w:val="24"/>
          <w:szCs w:val="24"/>
          <w:highlight w:val="none"/>
        </w:rPr>
        <w:t>同</w:t>
      </w:r>
      <w:r>
        <w:rPr>
          <w:rFonts w:ascii="宋体"/>
          <w:color w:val="auto"/>
          <w:sz w:val="24"/>
          <w:szCs w:val="24"/>
          <w:highlight w:val="none"/>
        </w:rPr>
        <w:t>意对已</w:t>
      </w:r>
      <w:r>
        <w:rPr>
          <w:rFonts w:hint="eastAsia" w:ascii="宋体"/>
          <w:color w:val="auto"/>
          <w:sz w:val="24"/>
          <w:szCs w:val="24"/>
          <w:highlight w:val="none"/>
        </w:rPr>
        <w:t>提</w:t>
      </w:r>
      <w:r>
        <w:rPr>
          <w:rFonts w:ascii="宋体"/>
          <w:color w:val="auto"/>
          <w:sz w:val="24"/>
          <w:szCs w:val="24"/>
          <w:highlight w:val="none"/>
        </w:rPr>
        <w:t>起</w:t>
      </w:r>
      <w:r>
        <w:rPr>
          <w:rFonts w:hint="eastAsia" w:ascii="宋体"/>
          <w:color w:val="auto"/>
          <w:sz w:val="24"/>
          <w:szCs w:val="24"/>
          <w:highlight w:val="none"/>
        </w:rPr>
        <w:t>的</w:t>
      </w:r>
      <w:r>
        <w:rPr>
          <w:rFonts w:ascii="宋体"/>
          <w:color w:val="auto"/>
          <w:sz w:val="24"/>
          <w:szCs w:val="24"/>
          <w:highlight w:val="none"/>
        </w:rPr>
        <w:t>质疑投诉</w:t>
      </w:r>
      <w:r>
        <w:rPr>
          <w:rFonts w:hint="eastAsia" w:ascii="宋体"/>
          <w:color w:val="auto"/>
          <w:sz w:val="24"/>
          <w:szCs w:val="24"/>
          <w:highlight w:val="none"/>
        </w:rPr>
        <w:t>按缺</w:t>
      </w:r>
      <w:r>
        <w:rPr>
          <w:rFonts w:ascii="宋体"/>
          <w:color w:val="auto"/>
          <w:sz w:val="24"/>
          <w:szCs w:val="24"/>
          <w:highlight w:val="none"/>
        </w:rPr>
        <w:t>乏</w:t>
      </w:r>
      <w:r>
        <w:rPr>
          <w:rFonts w:hint="eastAsia" w:ascii="宋体" w:hAnsi="宋体"/>
          <w:color w:val="auto"/>
          <w:sz w:val="24"/>
          <w:szCs w:val="24"/>
          <w:highlight w:val="none"/>
        </w:rPr>
        <w:t>事实依据、</w:t>
      </w:r>
      <w:r>
        <w:rPr>
          <w:rFonts w:hint="eastAsia" w:ascii="宋体"/>
          <w:color w:val="auto"/>
          <w:sz w:val="24"/>
          <w:szCs w:val="24"/>
          <w:highlight w:val="none"/>
        </w:rPr>
        <w:t>按</w:t>
      </w:r>
      <w:r>
        <w:rPr>
          <w:rFonts w:ascii="宋体"/>
          <w:color w:val="auto"/>
          <w:sz w:val="24"/>
          <w:szCs w:val="24"/>
          <w:highlight w:val="none"/>
        </w:rPr>
        <w:t>无</w:t>
      </w:r>
      <w:r>
        <w:rPr>
          <w:rFonts w:hint="eastAsia" w:ascii="宋体"/>
          <w:color w:val="auto"/>
          <w:sz w:val="24"/>
          <w:szCs w:val="24"/>
          <w:highlight w:val="none"/>
        </w:rPr>
        <w:t>效</w:t>
      </w:r>
      <w:r>
        <w:rPr>
          <w:rFonts w:ascii="宋体"/>
          <w:color w:val="auto"/>
          <w:sz w:val="24"/>
          <w:szCs w:val="24"/>
          <w:highlight w:val="none"/>
        </w:rPr>
        <w:t>质疑投诉</w:t>
      </w:r>
      <w:r>
        <w:rPr>
          <w:rFonts w:hint="eastAsia" w:ascii="宋体"/>
          <w:color w:val="auto"/>
          <w:sz w:val="24"/>
          <w:szCs w:val="24"/>
          <w:highlight w:val="none"/>
        </w:rPr>
        <w:t>处</w:t>
      </w:r>
      <w:r>
        <w:rPr>
          <w:rFonts w:ascii="宋体"/>
          <w:color w:val="auto"/>
          <w:sz w:val="24"/>
          <w:szCs w:val="24"/>
          <w:highlight w:val="none"/>
        </w:rPr>
        <w:t>理。</w:t>
      </w:r>
    </w:p>
    <w:p>
      <w:pPr>
        <w:widowControl w:val="0"/>
        <w:tabs>
          <w:tab w:val="left" w:pos="9365"/>
        </w:tabs>
        <w:snapToGrid w:val="0"/>
        <w:spacing w:after="56" w:line="560" w:lineRule="exact"/>
        <w:ind w:right="85"/>
        <w:jc w:val="center"/>
        <w:textAlignment w:val="top"/>
        <w:rPr>
          <w:rFonts w:ascii="宋体"/>
          <w:color w:val="auto"/>
          <w:sz w:val="24"/>
          <w:szCs w:val="24"/>
          <w:highlight w:val="none"/>
        </w:rPr>
      </w:pPr>
    </w:p>
    <w:p>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pPr>
        <w:tabs>
          <w:tab w:val="left" w:pos="540"/>
        </w:tabs>
        <w:spacing w:line="440" w:lineRule="exact"/>
        <w:rPr>
          <w:rFonts w:ascii="宋体" w:hAnsi="宋体"/>
          <w:color w:val="auto"/>
          <w:sz w:val="24"/>
          <w:szCs w:val="24"/>
          <w:highlight w:val="none"/>
        </w:rPr>
      </w:pPr>
      <w:r>
        <w:rPr>
          <w:rFonts w:ascii="宋体" w:hAnsi="宋体"/>
          <w:color w:val="auto"/>
          <w:sz w:val="24"/>
          <w:szCs w:val="24"/>
          <w:highlight w:val="none"/>
        </w:rPr>
        <w:br w:type="page"/>
      </w:r>
    </w:p>
    <w:p>
      <w:pPr>
        <w:widowControl w:val="0"/>
        <w:tabs>
          <w:tab w:val="left" w:pos="9365"/>
        </w:tabs>
        <w:snapToGrid w:val="0"/>
        <w:spacing w:after="56" w:line="560" w:lineRule="exact"/>
        <w:ind w:right="85"/>
        <w:jc w:val="center"/>
        <w:textAlignment w:val="top"/>
        <w:rPr>
          <w:rFonts w:ascii="宋体"/>
          <w:color w:val="auto"/>
          <w:sz w:val="24"/>
          <w:highlight w:val="none"/>
        </w:rPr>
      </w:pPr>
      <w:r>
        <w:rPr>
          <w:rFonts w:hint="eastAsia" w:ascii="黑体" w:hAnsi="黑体" w:eastAsia="黑体"/>
          <w:b/>
          <w:color w:val="auto"/>
          <w:sz w:val="30"/>
          <w:szCs w:val="30"/>
          <w:highlight w:val="none"/>
        </w:rPr>
        <w:t>《政府采购法》第二十二条第一款规定的供</w:t>
      </w:r>
      <w:r>
        <w:rPr>
          <w:rFonts w:ascii="黑体" w:hAnsi="黑体" w:eastAsia="黑体"/>
          <w:b/>
          <w:color w:val="auto"/>
          <w:sz w:val="30"/>
          <w:szCs w:val="30"/>
          <w:highlight w:val="none"/>
        </w:rPr>
        <w:t>应商基础性资</w:t>
      </w:r>
      <w:r>
        <w:rPr>
          <w:rFonts w:hint="eastAsia" w:ascii="黑体" w:hAnsi="黑体" w:eastAsia="黑体"/>
          <w:b/>
          <w:color w:val="auto"/>
          <w:sz w:val="30"/>
          <w:szCs w:val="30"/>
          <w:highlight w:val="none"/>
        </w:rPr>
        <w:t>格</w:t>
      </w:r>
      <w:r>
        <w:rPr>
          <w:rFonts w:ascii="黑体" w:hAnsi="黑体" w:eastAsia="黑体"/>
          <w:b/>
          <w:color w:val="auto"/>
          <w:sz w:val="30"/>
          <w:szCs w:val="30"/>
          <w:highlight w:val="none"/>
        </w:rPr>
        <w:t>的</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承诺事</w:t>
      </w:r>
      <w:r>
        <w:rPr>
          <w:rFonts w:ascii="黑体" w:hAnsi="黑体" w:eastAsia="黑体"/>
          <w:b/>
          <w:color w:val="auto"/>
          <w:sz w:val="30"/>
          <w:szCs w:val="30"/>
          <w:highlight w:val="none"/>
        </w:rPr>
        <w:t>项的</w:t>
      </w:r>
      <w:r>
        <w:rPr>
          <w:rFonts w:hint="eastAsia" w:ascii="黑体" w:hAnsi="黑体" w:eastAsia="黑体"/>
          <w:b/>
          <w:color w:val="auto"/>
          <w:sz w:val="30"/>
          <w:szCs w:val="30"/>
          <w:highlight w:val="none"/>
        </w:rPr>
        <w:t>认定标准</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政府采购监督检查、质疑投诉及政府采购行政处罚等</w:t>
      </w:r>
      <w:r>
        <w:rPr>
          <w:rFonts w:ascii="宋体" w:hAnsi="宋体"/>
          <w:color w:val="auto"/>
          <w:sz w:val="24"/>
          <w:szCs w:val="24"/>
          <w:highlight w:val="none"/>
        </w:rPr>
        <w:t>情形</w:t>
      </w:r>
      <w:r>
        <w:rPr>
          <w:rFonts w:hint="eastAsia" w:ascii="宋体" w:hAnsi="宋体"/>
          <w:color w:val="auto"/>
          <w:sz w:val="24"/>
          <w:szCs w:val="24"/>
          <w:highlight w:val="none"/>
        </w:rPr>
        <w:t>中，需要对资格承诺的真实性的进</w:t>
      </w:r>
      <w:r>
        <w:rPr>
          <w:rFonts w:ascii="宋体" w:hAnsi="宋体"/>
          <w:color w:val="auto"/>
          <w:sz w:val="24"/>
          <w:szCs w:val="24"/>
          <w:highlight w:val="none"/>
        </w:rPr>
        <w:t>行</w:t>
      </w:r>
      <w:r>
        <w:rPr>
          <w:rFonts w:hint="eastAsia" w:ascii="宋体" w:hAnsi="宋体"/>
          <w:color w:val="auto"/>
          <w:sz w:val="24"/>
          <w:szCs w:val="24"/>
          <w:highlight w:val="none"/>
        </w:rPr>
        <w:t>认定时，相</w:t>
      </w:r>
      <w:r>
        <w:rPr>
          <w:rFonts w:ascii="宋体" w:hAnsi="宋体"/>
          <w:color w:val="auto"/>
          <w:sz w:val="24"/>
          <w:szCs w:val="24"/>
          <w:highlight w:val="none"/>
        </w:rPr>
        <w:t>关</w:t>
      </w:r>
      <w:r>
        <w:rPr>
          <w:rFonts w:hint="eastAsia" w:ascii="宋体" w:hAnsi="宋体"/>
          <w:color w:val="auto"/>
          <w:sz w:val="24"/>
          <w:szCs w:val="24"/>
          <w:highlight w:val="none"/>
        </w:rPr>
        <w:t>供应商应提供如下关</w:t>
      </w:r>
      <w:r>
        <w:rPr>
          <w:rFonts w:ascii="宋体" w:hAnsi="宋体"/>
          <w:color w:val="auto"/>
          <w:sz w:val="24"/>
          <w:szCs w:val="24"/>
          <w:highlight w:val="none"/>
        </w:rPr>
        <w:t>于基础</w:t>
      </w:r>
      <w:r>
        <w:rPr>
          <w:rFonts w:hint="eastAsia" w:ascii="宋体" w:hAnsi="宋体"/>
          <w:color w:val="auto"/>
          <w:sz w:val="24"/>
          <w:szCs w:val="24"/>
          <w:highlight w:val="none"/>
        </w:rPr>
        <w:t>性资格的证明材料：</w:t>
      </w:r>
    </w:p>
    <w:p>
      <w:pPr>
        <w:widowControl w:val="0"/>
        <w:snapToGrid w:val="0"/>
        <w:spacing w:line="360" w:lineRule="auto"/>
        <w:ind w:firstLine="540" w:firstLineChars="225"/>
        <w:rPr>
          <w:rFonts w:ascii="宋体"/>
          <w:color w:val="auto"/>
          <w:szCs w:val="21"/>
          <w:highlight w:val="none"/>
        </w:rPr>
      </w:pPr>
      <w:r>
        <w:rPr>
          <w:rFonts w:hint="eastAsia" w:ascii="宋体" w:hAnsi="宋体"/>
          <w:color w:val="auto"/>
          <w:sz w:val="24"/>
          <w:szCs w:val="24"/>
          <w:highlight w:val="none"/>
        </w:rPr>
        <w:t>（一）具有独立承担民事责任的能力。■提供营业执照或事业单位法人证书，■提供税务登记证（三证合一的只需提供三证合一的营业执照）</w:t>
      </w:r>
      <w:r>
        <w:rPr>
          <w:rFonts w:hint="eastAsia" w:ascii="微软雅黑" w:hAnsi="微软雅黑" w:eastAsia="微软雅黑"/>
          <w:color w:val="auto"/>
          <w:szCs w:val="21"/>
          <w:highlight w:val="none"/>
          <w:shd w:val="clear" w:color="auto" w:fill="FFFFFF"/>
        </w:rPr>
        <w:t>。</w:t>
      </w:r>
    </w:p>
    <w:p>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（二）具有良好的商业信誉和健全的财务会计制度。■提供银行出具的近</w:t>
      </w:r>
      <w:r>
        <w:rPr>
          <w:rFonts w:ascii="宋体" w:hAnsi="宋体"/>
          <w:color w:val="auto"/>
          <w:sz w:val="24"/>
          <w:szCs w:val="24"/>
          <w:highlight w:val="none"/>
        </w:rPr>
        <w:t>1</w:t>
      </w:r>
      <w:r>
        <w:rPr>
          <w:rFonts w:hint="eastAsia" w:ascii="宋体" w:hAnsi="宋体"/>
          <w:color w:val="auto"/>
          <w:sz w:val="24"/>
          <w:szCs w:val="24"/>
          <w:highlight w:val="none"/>
        </w:rPr>
        <w:t>年内资信证明（法人为基本开户行）、或2022年度以来（任一年度）经审计的财务报告、或银行（保险公司）出具的投标担保函。</w:t>
      </w:r>
    </w:p>
    <w:p>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三）具备履行合同所必需的设备和专业技术能力。■提供相关设备或设施的购置发票或单据（任一），■专业人员用工合同（任一人），或技术人员的职称证书或职业（执业）资格证或等级证书等相关证书（任一人）等的证明材料。</w:t>
      </w:r>
    </w:p>
    <w:p>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（四）有依法缴纳税收和社会保障资金的良好记录。■提供近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个月）已依法缴纳税收的凭据；■提供近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个月）已依法缴纳社会保险的凭据。依法免税或不需要缴纳社会保障资金的供应商，应提供相应证明文件。</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（五）参加政府采购活动前</w:t>
      </w:r>
      <w:r>
        <w:rPr>
          <w:rFonts w:ascii="宋体" w:hAnsi="宋体"/>
          <w:color w:val="auto"/>
          <w:sz w:val="24"/>
          <w:szCs w:val="24"/>
          <w:highlight w:val="none"/>
        </w:rPr>
        <w:t>3</w:t>
      </w:r>
      <w:r>
        <w:rPr>
          <w:rFonts w:hint="eastAsia" w:ascii="宋体" w:hAnsi="宋体"/>
          <w:color w:val="auto"/>
          <w:sz w:val="24"/>
          <w:szCs w:val="24"/>
          <w:highlight w:val="none"/>
        </w:rPr>
        <w:t>年内在经营活动中没有重大违法记录。</w:t>
      </w:r>
    </w:p>
    <w:p>
      <w:pPr>
        <w:widowControl w:val="0"/>
        <w:snapToGrid w:val="0"/>
        <w:spacing w:line="360" w:lineRule="auto"/>
        <w:ind w:firstLine="540" w:firstLineChars="225"/>
        <w:rPr>
          <w:rFonts w:ascii="宋体" w:hAnsi="宋体"/>
          <w:color w:val="auto"/>
          <w:sz w:val="24"/>
          <w:szCs w:val="24"/>
          <w:highlight w:val="none"/>
        </w:rPr>
      </w:pP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供应商提供的证明材料不</w:t>
      </w:r>
      <w:r>
        <w:rPr>
          <w:rFonts w:ascii="宋体" w:hAnsi="宋体"/>
          <w:color w:val="auto"/>
          <w:sz w:val="24"/>
          <w:szCs w:val="24"/>
          <w:highlight w:val="none"/>
        </w:rPr>
        <w:t>符合上述认定标准的</w:t>
      </w:r>
      <w:r>
        <w:rPr>
          <w:rFonts w:hint="eastAsia" w:ascii="宋体" w:hAnsi="宋体"/>
          <w:color w:val="auto"/>
          <w:sz w:val="24"/>
          <w:szCs w:val="24"/>
          <w:highlight w:val="none"/>
        </w:rPr>
        <w:t>，评定该投标人不满足《政府采购法》投标人资格要求，为提供虚假承诺，投标、中标无效，并上报财政部门对其违规违法行为作进一步处理。</w:t>
      </w:r>
    </w:p>
    <w:p>
      <w:pPr>
        <w:tabs>
          <w:tab w:val="left" w:pos="540"/>
        </w:tabs>
        <w:spacing w:line="440" w:lineRule="exact"/>
        <w:rPr>
          <w:rFonts w:ascii="宋体"/>
          <w:color w:val="auto"/>
          <w:sz w:val="24"/>
          <w:szCs w:val="24"/>
          <w:highlight w:val="none"/>
        </w:rPr>
      </w:pPr>
      <w:r>
        <w:rPr>
          <w:rFonts w:hint="eastAsia" w:ascii="宋体"/>
          <w:color w:val="auto"/>
          <w:sz w:val="24"/>
          <w:szCs w:val="24"/>
          <w:highlight w:val="none"/>
        </w:rPr>
        <w:t xml:space="preserve">    </w:t>
      </w:r>
    </w:p>
    <w:p>
      <w:pPr>
        <w:tabs>
          <w:tab w:val="left" w:pos="540"/>
        </w:tabs>
        <w:spacing w:line="440" w:lineRule="exact"/>
        <w:rPr>
          <w:rFonts w:ascii="宋体"/>
          <w:color w:val="auto"/>
          <w:sz w:val="24"/>
          <w:szCs w:val="24"/>
          <w:highlight w:val="none"/>
        </w:rPr>
      </w:pPr>
    </w:p>
    <w:p>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pPr>
        <w:tabs>
          <w:tab w:val="left" w:pos="540"/>
        </w:tabs>
        <w:spacing w:line="440" w:lineRule="exact"/>
        <w:rPr>
          <w:rFonts w:ascii="宋体" w:hAnsi="宋体"/>
          <w:color w:val="auto"/>
          <w:sz w:val="24"/>
          <w:szCs w:val="24"/>
          <w:highlight w:val="none"/>
        </w:rPr>
      </w:pPr>
      <w:r>
        <w:rPr>
          <w:rFonts w:ascii="宋体" w:hAnsi="宋体"/>
          <w:color w:val="auto"/>
          <w:sz w:val="24"/>
          <w:szCs w:val="24"/>
          <w:highlight w:val="none"/>
        </w:rPr>
        <w:br w:type="page"/>
      </w:r>
    </w:p>
    <w:p>
      <w:pPr>
        <w:snapToGrid w:val="0"/>
        <w:spacing w:line="560" w:lineRule="atLeas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5-</w:t>
      </w:r>
      <w:r>
        <w:rPr>
          <w:rFonts w:hint="eastAsia" w:ascii="黑体" w:hAnsi="黑体" w:eastAsia="黑体"/>
          <w:b/>
          <w:color w:val="auto"/>
          <w:sz w:val="30"/>
          <w:szCs w:val="30"/>
          <w:highlight w:val="none"/>
        </w:rPr>
        <w:t>3、供应商负责人控股、设计等相关承诺书</w:t>
      </w:r>
    </w:p>
    <w:p>
      <w:pPr>
        <w:tabs>
          <w:tab w:val="left" w:pos="9365"/>
        </w:tabs>
        <w:spacing w:before="360" w:after="360" w:line="586" w:lineRule="atLeas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 xml:space="preserve">(采购人名称）    </w:t>
      </w:r>
    </w:p>
    <w:p>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招标活动中，我单位承诺满足以下要求：</w:t>
      </w:r>
    </w:p>
    <w:p>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一、单位负责人为同一人或者存在直接控股、管理关系的不同供应商，不参加同一合同项下的政府采购活动。</w:t>
      </w:r>
    </w:p>
    <w:p>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二、没有为本项目提供整体设计、规范编制或者项目管理、监理、检测等服务。</w:t>
      </w:r>
    </w:p>
    <w:p>
      <w:pPr>
        <w:tabs>
          <w:tab w:val="left" w:pos="9365"/>
        </w:tabs>
        <w:spacing w:before="57" w:after="57" w:line="586" w:lineRule="atLeast"/>
        <w:ind w:right="85"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三、若出现上述行为，我单位确</w:t>
      </w:r>
      <w:r>
        <w:rPr>
          <w:rFonts w:ascii="宋体" w:hAnsi="宋体"/>
          <w:color w:val="auto"/>
          <w:sz w:val="24"/>
          <w:szCs w:val="24"/>
          <w:highlight w:val="none"/>
        </w:rPr>
        <w:t>认投标无</w:t>
      </w:r>
      <w:r>
        <w:rPr>
          <w:rFonts w:hint="eastAsia" w:ascii="宋体" w:hAnsi="宋体"/>
          <w:color w:val="auto"/>
          <w:sz w:val="24"/>
          <w:szCs w:val="24"/>
          <w:highlight w:val="none"/>
        </w:rPr>
        <w:t>效、</w:t>
      </w:r>
      <w:r>
        <w:rPr>
          <w:rFonts w:ascii="宋体" w:hAnsi="宋体"/>
          <w:color w:val="auto"/>
          <w:sz w:val="24"/>
          <w:szCs w:val="24"/>
          <w:highlight w:val="none"/>
        </w:rPr>
        <w:t>承诺</w:t>
      </w:r>
      <w:r>
        <w:rPr>
          <w:rFonts w:hint="eastAsia" w:ascii="宋体" w:hAnsi="宋体"/>
          <w:color w:val="auto"/>
          <w:sz w:val="24"/>
          <w:szCs w:val="24"/>
          <w:highlight w:val="none"/>
        </w:rPr>
        <w:t>书</w:t>
      </w:r>
      <w:r>
        <w:rPr>
          <w:rFonts w:ascii="宋体" w:hAnsi="宋体"/>
          <w:color w:val="auto"/>
          <w:sz w:val="24"/>
          <w:szCs w:val="24"/>
          <w:highlight w:val="none"/>
        </w:rPr>
        <w:t>虚假</w:t>
      </w:r>
      <w:r>
        <w:rPr>
          <w:rFonts w:hint="eastAsia" w:ascii="宋体" w:hAnsi="宋体"/>
          <w:color w:val="auto"/>
          <w:sz w:val="24"/>
          <w:szCs w:val="24"/>
          <w:highlight w:val="none"/>
        </w:rPr>
        <w:t>，接受相关部门按照国家法律法规等有关规定对</w:t>
      </w:r>
      <w:r>
        <w:rPr>
          <w:rFonts w:ascii="宋体" w:hAnsi="宋体"/>
          <w:color w:val="auto"/>
          <w:sz w:val="24"/>
          <w:szCs w:val="24"/>
          <w:highlight w:val="none"/>
        </w:rPr>
        <w:t>我单位虚假承诺所</w:t>
      </w:r>
      <w:r>
        <w:rPr>
          <w:rFonts w:hint="eastAsia" w:ascii="宋体" w:hAnsi="宋体"/>
          <w:color w:val="auto"/>
          <w:sz w:val="24"/>
          <w:szCs w:val="24"/>
          <w:highlight w:val="none"/>
        </w:rPr>
        <w:t>给予的处理。</w:t>
      </w:r>
    </w:p>
    <w:p>
      <w:pPr>
        <w:tabs>
          <w:tab w:val="left" w:pos="9365"/>
        </w:tabs>
        <w:spacing w:before="57" w:after="57" w:line="586" w:lineRule="atLeast"/>
        <w:ind w:right="85"/>
        <w:jc w:val="left"/>
        <w:textAlignment w:val="top"/>
        <w:rPr>
          <w:rFonts w:ascii="宋体" w:hAnsi="宋体"/>
          <w:color w:val="auto"/>
          <w:sz w:val="24"/>
          <w:szCs w:val="24"/>
          <w:highlight w:val="none"/>
        </w:rPr>
      </w:pPr>
      <w:r>
        <w:rPr>
          <w:rFonts w:ascii="宋体" w:hAnsi="宋体"/>
          <w:color w:val="auto"/>
          <w:sz w:val="24"/>
          <w:szCs w:val="24"/>
          <w:highlight w:val="none"/>
        </w:rPr>
        <w:t> </w:t>
      </w:r>
    </w:p>
    <w:p>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szCs w:val="24"/>
          <w:highlight w:val="none"/>
        </w:rPr>
        <w:t>投标人（电子签章）：</w:t>
      </w:r>
    </w:p>
    <w:p>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szCs w:val="24"/>
          <w:highlight w:val="none"/>
        </w:rPr>
        <w:t>法定代表人（电子签名或签章）：</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szCs w:val="24"/>
          <w:highlight w:val="none"/>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widowControl w:val="0"/>
        <w:snapToGrid w:val="0"/>
        <w:spacing w:line="560" w:lineRule="exact"/>
        <w:rPr>
          <w:rFonts w:ascii="黑体" w:hAnsi="黑体" w:eastAsia="黑体"/>
          <w:b/>
          <w:color w:val="auto"/>
          <w:sz w:val="30"/>
          <w:szCs w:val="30"/>
          <w:highlight w:val="none"/>
        </w:rPr>
      </w:pPr>
      <w:r>
        <w:rPr>
          <w:rFonts w:ascii="黑体" w:hAnsi="黑体" w:eastAsia="黑体"/>
          <w:b/>
          <w:color w:val="auto"/>
          <w:sz w:val="30"/>
          <w:szCs w:val="30"/>
          <w:highlight w:val="none"/>
        </w:rPr>
        <w:br w:type="page"/>
      </w:r>
    </w:p>
    <w:p>
      <w:pPr>
        <w:snapToGrid w:val="0"/>
        <w:spacing w:line="560" w:lineRule="atLeas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15-4、投标承诺函</w:t>
      </w:r>
    </w:p>
    <w:p>
      <w:pPr>
        <w:widowControl w:val="0"/>
        <w:autoSpaceDE w:val="0"/>
        <w:autoSpaceDN w:val="0"/>
        <w:adjustRightInd w:val="0"/>
        <w:spacing w:line="240" w:lineRule="auto"/>
        <w:jc w:val="center"/>
        <w:textAlignment w:val="auto"/>
        <w:rPr>
          <w:rFonts w:ascii="黑体" w:hAnsi="黑体" w:eastAsia="黑体"/>
          <w:b/>
          <w:color w:val="auto"/>
          <w:sz w:val="30"/>
          <w:szCs w:val="30"/>
          <w:highlight w:val="none"/>
        </w:rPr>
      </w:pPr>
      <w:r>
        <w:rPr>
          <w:rFonts w:hint="eastAsia" w:ascii="黑体" w:hAnsi="黑体" w:eastAsia="黑体"/>
          <w:b/>
          <w:color w:val="auto"/>
          <w:sz w:val="30"/>
          <w:szCs w:val="30"/>
          <w:highlight w:val="none"/>
        </w:rPr>
        <w:t>（以投标承诺函形式，替代投标保证金的相关承诺事项）</w:t>
      </w:r>
    </w:p>
    <w:p>
      <w:pPr>
        <w:widowControl w:val="0"/>
        <w:tabs>
          <w:tab w:val="left" w:pos="9365"/>
        </w:tabs>
        <w:spacing w:before="360" w:after="360" w:line="36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(采购人名称） 、</w:t>
      </w:r>
      <w:r>
        <w:rPr>
          <w:rFonts w:hint="eastAsia"/>
          <w:color w:val="auto"/>
          <w:sz w:val="24"/>
          <w:szCs w:val="24"/>
          <w:highlight w:val="none"/>
        </w:rPr>
        <w:t>安阳市方正招标采购服务有限责任公司</w:t>
      </w:r>
    </w:p>
    <w:p>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采购活动中，我</w:t>
      </w:r>
      <w:r>
        <w:rPr>
          <w:rFonts w:hint="eastAsia"/>
          <w:color w:val="auto"/>
          <w:sz w:val="24"/>
          <w:highlight w:val="none"/>
        </w:rPr>
        <w:t>单位</w:t>
      </w:r>
      <w:r>
        <w:rPr>
          <w:rFonts w:hint="eastAsia" w:ascii="宋体" w:hAnsi="宋体"/>
          <w:color w:val="auto"/>
          <w:sz w:val="24"/>
          <w:szCs w:val="24"/>
          <w:highlight w:val="none"/>
        </w:rPr>
        <w:t>承诺：</w:t>
      </w:r>
    </w:p>
    <w:p>
      <w:pPr>
        <w:widowControl w:val="0"/>
        <w:tabs>
          <w:tab w:val="left" w:pos="65"/>
        </w:tabs>
        <w:spacing w:line="460" w:lineRule="atLeas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的原则自愿参加本项目投标；</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 xml:space="preserve">    二、在政府采购活动中提供真实、准确、有效、合法的材料，不</w:t>
      </w:r>
      <w:r>
        <w:rPr>
          <w:rFonts w:hint="eastAsia" w:ascii="宋体" w:hAnsi="宋体" w:cs="楷体_GB2312"/>
          <w:color w:val="auto"/>
          <w:sz w:val="24"/>
          <w:highlight w:val="none"/>
          <w:lang w:val="zh-CN"/>
        </w:rPr>
        <w:t>提供虚假材料；</w:t>
      </w:r>
    </w:p>
    <w:p>
      <w:pPr>
        <w:topLinePunct/>
        <w:adjustRightInd w:val="0"/>
        <w:snapToGrid w:val="0"/>
        <w:spacing w:before="156" w:beforeLines="50" w:line="300" w:lineRule="auto"/>
        <w:ind w:firstLine="480" w:firstLineChars="200"/>
        <w:rPr>
          <w:rFonts w:ascii="宋体" w:hAnsi="宋体" w:cs="楷体_GB2312"/>
          <w:color w:val="auto"/>
          <w:sz w:val="24"/>
          <w:highlight w:val="none"/>
          <w:lang w:val="zh-CN"/>
        </w:rPr>
      </w:pPr>
      <w:r>
        <w:rPr>
          <w:rFonts w:hint="eastAsia" w:ascii="宋体" w:hAnsi="宋体"/>
          <w:color w:val="auto"/>
          <w:sz w:val="24"/>
          <w:szCs w:val="24"/>
          <w:highlight w:val="none"/>
        </w:rPr>
        <w:t>三、</w:t>
      </w:r>
      <w:r>
        <w:rPr>
          <w:rFonts w:hint="eastAsia"/>
          <w:color w:val="auto"/>
          <w:sz w:val="24"/>
          <w:highlight w:val="none"/>
          <w:lang w:val="zh-CN"/>
        </w:rPr>
        <w:t>按照招标文件规定，</w:t>
      </w:r>
      <w:r>
        <w:rPr>
          <w:rFonts w:hint="eastAsia" w:ascii="宋体" w:hAnsi="宋体" w:cs="楷体_GB2312"/>
          <w:color w:val="auto"/>
          <w:sz w:val="24"/>
          <w:highlight w:val="none"/>
          <w:lang w:val="zh-CN"/>
        </w:rPr>
        <w:t>在提交投标文件截止时间后，在招标文件规定的投标有效期限内不撤回投标文件；</w:t>
      </w:r>
    </w:p>
    <w:p>
      <w:pPr>
        <w:topLinePunct/>
        <w:adjustRightInd w:val="0"/>
        <w:snapToGrid w:val="0"/>
        <w:spacing w:before="156" w:beforeLines="50" w:line="300" w:lineRule="auto"/>
        <w:ind w:firstLine="480" w:firstLineChars="200"/>
        <w:rPr>
          <w:rFonts w:ascii="宋体" w:cs="楷体_GB2312"/>
          <w:color w:val="auto"/>
          <w:sz w:val="24"/>
          <w:highlight w:val="none"/>
          <w:lang w:val="zh-CN"/>
        </w:rPr>
      </w:pPr>
      <w:r>
        <w:rPr>
          <w:rFonts w:hint="eastAsia"/>
          <w:color w:val="auto"/>
          <w:sz w:val="24"/>
          <w:highlight w:val="none"/>
        </w:rPr>
        <w:t>四、不</w:t>
      </w:r>
      <w:r>
        <w:rPr>
          <w:rFonts w:hint="eastAsia" w:ascii="宋体" w:hAnsi="宋体" w:cs="楷体_GB2312"/>
          <w:color w:val="auto"/>
          <w:sz w:val="24"/>
          <w:highlight w:val="none"/>
          <w:lang w:val="zh-CN"/>
        </w:rPr>
        <w:t>与其他投标人、采购人或采购代理机构串通或恶意串通。</w:t>
      </w:r>
    </w:p>
    <w:p>
      <w:pPr>
        <w:widowControl w:val="0"/>
        <w:tabs>
          <w:tab w:val="left" w:pos="65"/>
        </w:tabs>
        <w:spacing w:line="460" w:lineRule="atLeast"/>
        <w:ind w:firstLine="480" w:firstLineChars="200"/>
        <w:textAlignment w:val="auto"/>
        <w:rPr>
          <w:rFonts w:hint="eastAsia" w:eastAsia="宋体"/>
          <w:color w:val="auto"/>
          <w:sz w:val="24"/>
          <w:highlight w:val="none"/>
          <w:lang w:val="zh-CN" w:eastAsia="zh-CN"/>
        </w:rPr>
      </w:pPr>
      <w:r>
        <w:rPr>
          <w:rFonts w:hint="eastAsia"/>
          <w:color w:val="auto"/>
          <w:sz w:val="24"/>
          <w:highlight w:val="none"/>
        </w:rPr>
        <w:t>五、如我单位中标，</w:t>
      </w:r>
      <w:r>
        <w:rPr>
          <w:rFonts w:hint="eastAsia" w:ascii="宋体" w:hAnsi="宋体" w:cs="楷体_GB2312"/>
          <w:color w:val="auto"/>
          <w:sz w:val="24"/>
          <w:highlight w:val="none"/>
          <w:lang w:val="zh-CN"/>
        </w:rPr>
        <w:t>除不可抗拒力或</w:t>
      </w:r>
      <w:r>
        <w:rPr>
          <w:rFonts w:hint="eastAsia" w:ascii="宋体" w:hAnsi="宋体" w:cs="楷体_GB2312"/>
          <w:color w:val="auto"/>
          <w:sz w:val="24"/>
          <w:highlight w:val="none"/>
        </w:rPr>
        <w:t>招标</w:t>
      </w:r>
      <w:r>
        <w:rPr>
          <w:rFonts w:hint="eastAsia" w:ascii="宋体" w:hAnsi="宋体" w:cs="楷体_GB2312"/>
          <w:color w:val="auto"/>
          <w:sz w:val="24"/>
          <w:highlight w:val="none"/>
          <w:lang w:val="zh-CN"/>
        </w:rPr>
        <w:t>文件认可的情形外</w:t>
      </w:r>
      <w:r>
        <w:rPr>
          <w:rFonts w:hint="eastAsia"/>
          <w:color w:val="auto"/>
          <w:sz w:val="24"/>
          <w:highlight w:val="none"/>
        </w:rPr>
        <w:t>，我单位</w:t>
      </w:r>
      <w:r>
        <w:rPr>
          <w:rFonts w:hint="eastAsia" w:ascii="宋体" w:hAnsi="宋体"/>
          <w:color w:val="auto"/>
          <w:sz w:val="24"/>
          <w:szCs w:val="24"/>
          <w:highlight w:val="none"/>
        </w:rPr>
        <w:t>承诺</w:t>
      </w:r>
      <w:r>
        <w:rPr>
          <w:rFonts w:hint="eastAsia"/>
          <w:color w:val="auto"/>
          <w:sz w:val="24"/>
          <w:highlight w:val="none"/>
        </w:rPr>
        <w:t>及时领取中标通知书，</w:t>
      </w:r>
      <w:r>
        <w:rPr>
          <w:rFonts w:hint="eastAsia" w:ascii="宋体" w:hAnsi="宋体" w:cs="楷体_GB2312"/>
          <w:color w:val="auto"/>
          <w:sz w:val="24"/>
          <w:highlight w:val="none"/>
          <w:lang w:val="zh-CN"/>
        </w:rPr>
        <w:t>在成交通知书规定时间、地点与采购人签订合同</w:t>
      </w:r>
      <w:r>
        <w:rPr>
          <w:rFonts w:hint="eastAsia"/>
          <w:color w:val="auto"/>
          <w:sz w:val="24"/>
          <w:highlight w:val="none"/>
          <w:lang w:val="zh-CN"/>
        </w:rPr>
        <w:t>；</w:t>
      </w:r>
    </w:p>
    <w:p>
      <w:pPr>
        <w:widowControl w:val="0"/>
        <w:tabs>
          <w:tab w:val="left" w:pos="65"/>
        </w:tabs>
        <w:spacing w:line="460" w:lineRule="atLeast"/>
        <w:ind w:firstLine="480" w:firstLineChars="200"/>
        <w:textAlignment w:val="auto"/>
        <w:rPr>
          <w:color w:val="auto"/>
          <w:sz w:val="24"/>
          <w:highlight w:val="none"/>
        </w:rPr>
      </w:pPr>
      <w:r>
        <w:rPr>
          <w:rFonts w:hint="eastAsia"/>
          <w:color w:val="auto"/>
          <w:sz w:val="24"/>
          <w:highlight w:val="none"/>
        </w:rPr>
        <w:t xml:space="preserve">    六、</w:t>
      </w:r>
      <w:r>
        <w:rPr>
          <w:rFonts w:hint="eastAsia" w:ascii="宋体" w:hAnsi="宋体" w:cs="楷体_GB2312"/>
          <w:color w:val="auto"/>
          <w:sz w:val="24"/>
          <w:highlight w:val="none"/>
          <w:lang w:val="zh-CN"/>
        </w:rPr>
        <w:t>遵守法律法规及招标文件规定的其他情况；</w:t>
      </w:r>
    </w:p>
    <w:p>
      <w:pPr>
        <w:widowControl w:val="0"/>
        <w:tabs>
          <w:tab w:val="left" w:pos="65"/>
        </w:tabs>
        <w:spacing w:line="460" w:lineRule="atLeast"/>
        <w:ind w:firstLine="480" w:firstLineChars="200"/>
        <w:textAlignment w:val="auto"/>
        <w:rPr>
          <w:color w:val="auto"/>
          <w:sz w:val="24"/>
          <w:highlight w:val="none"/>
        </w:rPr>
      </w:pPr>
      <w:r>
        <w:rPr>
          <w:rFonts w:hint="eastAsia"/>
          <w:color w:val="auto"/>
          <w:sz w:val="24"/>
          <w:highlight w:val="none"/>
        </w:rPr>
        <w:t>七、按招标文件规定</w:t>
      </w:r>
      <w:r>
        <w:rPr>
          <w:rFonts w:hint="eastAsia" w:ascii="宋体" w:hAnsi="宋体"/>
          <w:color w:val="auto"/>
          <w:sz w:val="24"/>
          <w:szCs w:val="24"/>
          <w:highlight w:val="none"/>
        </w:rPr>
        <w:t>及时</w:t>
      </w:r>
      <w:r>
        <w:rPr>
          <w:rFonts w:hint="eastAsia"/>
          <w:color w:val="auto"/>
          <w:sz w:val="24"/>
          <w:highlight w:val="none"/>
        </w:rPr>
        <w:t>缴纳中标服务费。</w:t>
      </w:r>
    </w:p>
    <w:p>
      <w:pPr>
        <w:widowControl w:val="0"/>
        <w:tabs>
          <w:tab w:val="left" w:pos="65"/>
        </w:tabs>
        <w:spacing w:line="460" w:lineRule="atLeast"/>
        <w:ind w:firstLine="480" w:firstLineChars="200"/>
        <w:textAlignment w:val="auto"/>
        <w:rPr>
          <w:color w:val="auto"/>
          <w:sz w:val="24"/>
          <w:highlight w:val="none"/>
        </w:rPr>
      </w:pPr>
      <w:r>
        <w:rPr>
          <w:rFonts w:hint="eastAsia"/>
          <w:color w:val="auto"/>
          <w:sz w:val="24"/>
          <w:highlight w:val="none"/>
        </w:rPr>
        <w:t>八、违背上述承诺事项的，我单位无条件接受以下责任追究：</w:t>
      </w:r>
    </w:p>
    <w:p>
      <w:pPr>
        <w:widowControl w:val="0"/>
        <w:tabs>
          <w:tab w:val="left" w:pos="65"/>
        </w:tabs>
        <w:spacing w:line="460" w:lineRule="atLeast"/>
        <w:ind w:firstLine="480" w:firstLineChars="200"/>
        <w:textAlignment w:val="auto"/>
        <w:rPr>
          <w:rFonts w:ascii="宋体" w:hAnsi="宋体" w:cs="楷体_GB2312"/>
          <w:color w:val="auto"/>
          <w:sz w:val="24"/>
          <w:highlight w:val="none"/>
          <w:lang w:val="zh-CN"/>
        </w:rPr>
      </w:pPr>
      <w:r>
        <w:rPr>
          <w:rFonts w:hint="eastAsia" w:ascii="宋体" w:hAnsi="宋体" w:cs="楷体_GB2312"/>
          <w:color w:val="auto"/>
          <w:sz w:val="24"/>
          <w:highlight w:val="none"/>
          <w:lang w:val="zh-CN"/>
        </w:rPr>
        <w:t>（一）法定责任：</w:t>
      </w:r>
      <w:r>
        <w:rPr>
          <w:rFonts w:hint="eastAsia"/>
          <w:color w:val="auto"/>
          <w:sz w:val="24"/>
          <w:highlight w:val="none"/>
        </w:rPr>
        <w:t>按照政府采购相关法规，</w:t>
      </w:r>
      <w:r>
        <w:rPr>
          <w:rFonts w:ascii="宋体" w:hAnsi="宋体" w:cs="楷体_GB2312"/>
          <w:color w:val="auto"/>
          <w:sz w:val="24"/>
          <w:highlight w:val="none"/>
          <w:lang w:val="zh-CN"/>
        </w:rPr>
        <w:t>处以罚款，列入不良行为记录名单，在一至三年内禁止参加政府采购活动，有违法所得的，并处没收违法所得，情节严重的，由工商行政管理机关</w:t>
      </w:r>
      <w:r>
        <w:rPr>
          <w:rFonts w:hint="eastAsia" w:ascii="宋体" w:hAnsi="宋体" w:cs="楷体_GB2312"/>
          <w:color w:val="auto"/>
          <w:sz w:val="24"/>
          <w:highlight w:val="none"/>
          <w:lang w:val="zh-CN"/>
        </w:rPr>
        <w:t>（市场监督机关）</w:t>
      </w:r>
      <w:r>
        <w:rPr>
          <w:rFonts w:ascii="宋体" w:hAnsi="宋体" w:cs="楷体_GB2312"/>
          <w:color w:val="auto"/>
          <w:sz w:val="24"/>
          <w:highlight w:val="none"/>
          <w:lang w:val="zh-CN"/>
        </w:rPr>
        <w:t>吊销营业执照；构成犯罪的，依法追究刑事责任</w:t>
      </w:r>
      <w:r>
        <w:rPr>
          <w:rFonts w:hint="eastAsia" w:ascii="宋体" w:hAnsi="宋体" w:cs="楷体_GB2312"/>
          <w:color w:val="auto"/>
          <w:sz w:val="24"/>
          <w:highlight w:val="none"/>
          <w:lang w:val="zh-CN"/>
        </w:rPr>
        <w:t>。</w:t>
      </w:r>
    </w:p>
    <w:p>
      <w:pPr>
        <w:widowControl w:val="0"/>
        <w:tabs>
          <w:tab w:val="left" w:pos="65"/>
        </w:tabs>
        <w:spacing w:line="460" w:lineRule="atLeast"/>
        <w:ind w:firstLine="480" w:firstLineChars="200"/>
        <w:textAlignment w:val="auto"/>
        <w:rPr>
          <w:rFonts w:ascii="宋体" w:hAnsi="宋体" w:cs="楷体_GB2312"/>
          <w:color w:val="auto"/>
          <w:sz w:val="24"/>
          <w:highlight w:val="none"/>
          <w:lang w:val="zh-CN"/>
        </w:rPr>
      </w:pPr>
      <w:r>
        <w:rPr>
          <w:rFonts w:hint="eastAsia"/>
          <w:color w:val="auto"/>
          <w:sz w:val="24"/>
          <w:highlight w:val="none"/>
        </w:rPr>
        <w:t>给采购人及他人造成损失的，愿承担相应的赔偿责任。</w:t>
      </w:r>
    </w:p>
    <w:p>
      <w:pPr>
        <w:widowControl w:val="0"/>
        <w:tabs>
          <w:tab w:val="left" w:pos="65"/>
        </w:tabs>
        <w:spacing w:line="460" w:lineRule="atLeast"/>
        <w:ind w:firstLine="480" w:firstLineChars="200"/>
        <w:textAlignment w:val="auto"/>
        <w:rPr>
          <w:color w:val="auto"/>
          <w:sz w:val="24"/>
          <w:highlight w:val="none"/>
        </w:rPr>
      </w:pPr>
      <w:r>
        <w:rPr>
          <w:rFonts w:hint="eastAsia" w:ascii="宋体" w:hAnsi="宋体" w:cs="楷体_GB2312"/>
          <w:color w:val="auto"/>
          <w:sz w:val="24"/>
          <w:highlight w:val="none"/>
          <w:lang w:val="zh-CN"/>
        </w:rPr>
        <w:t>（二）违约责任：</w:t>
      </w:r>
      <w:r>
        <w:rPr>
          <w:rFonts w:hint="eastAsia"/>
          <w:color w:val="auto"/>
          <w:sz w:val="24"/>
          <w:highlight w:val="none"/>
        </w:rPr>
        <w:t xml:space="preserve"> </w:t>
      </w:r>
    </w:p>
    <w:p>
      <w:pPr>
        <w:widowControl w:val="0"/>
        <w:tabs>
          <w:tab w:val="left" w:pos="65"/>
        </w:tabs>
        <w:spacing w:line="460" w:lineRule="atLeast"/>
        <w:ind w:firstLine="480" w:firstLineChars="200"/>
        <w:textAlignment w:val="auto"/>
        <w:rPr>
          <w:color w:val="auto"/>
          <w:sz w:val="24"/>
          <w:highlight w:val="none"/>
        </w:rPr>
      </w:pPr>
      <w:r>
        <w:rPr>
          <w:rFonts w:hint="eastAsia"/>
          <w:color w:val="auto"/>
          <w:sz w:val="24"/>
          <w:highlight w:val="none"/>
        </w:rPr>
        <w:t>1、已中标的，中标（</w:t>
      </w:r>
      <w:r>
        <w:rPr>
          <w:rFonts w:hint="eastAsia" w:ascii="宋体" w:hAnsi="宋体" w:cs="宋体"/>
          <w:color w:val="auto"/>
          <w:szCs w:val="21"/>
          <w:highlight w:val="none"/>
        </w:rPr>
        <w:t>成交</w:t>
      </w:r>
      <w:r>
        <w:rPr>
          <w:rFonts w:hint="eastAsia"/>
          <w:color w:val="auto"/>
          <w:sz w:val="24"/>
          <w:highlight w:val="none"/>
        </w:rPr>
        <w:t>）无效；</w:t>
      </w:r>
    </w:p>
    <w:p>
      <w:pPr>
        <w:widowControl w:val="0"/>
        <w:tabs>
          <w:tab w:val="left" w:pos="65"/>
        </w:tabs>
        <w:spacing w:line="460" w:lineRule="atLeast"/>
        <w:ind w:firstLine="480" w:firstLineChars="200"/>
        <w:textAlignment w:val="auto"/>
        <w:rPr>
          <w:color w:val="auto"/>
          <w:sz w:val="24"/>
          <w:highlight w:val="none"/>
        </w:rPr>
      </w:pPr>
      <w:r>
        <w:rPr>
          <w:rFonts w:hint="eastAsia"/>
          <w:color w:val="auto"/>
          <w:sz w:val="24"/>
          <w:highlight w:val="none"/>
        </w:rPr>
        <w:t>2、支付采购人违约标的预算金额2%的</w:t>
      </w:r>
      <w:r>
        <w:rPr>
          <w:rFonts w:hint="eastAsia" w:ascii="宋体" w:hAnsi="宋体" w:cs="楷体_GB2312"/>
          <w:color w:val="auto"/>
          <w:sz w:val="24"/>
          <w:highlight w:val="none"/>
          <w:lang w:val="zh-CN"/>
        </w:rPr>
        <w:t>违约金</w:t>
      </w:r>
      <w:r>
        <w:rPr>
          <w:rFonts w:hint="eastAsia"/>
          <w:color w:val="auto"/>
          <w:sz w:val="24"/>
          <w:highlight w:val="none"/>
        </w:rPr>
        <w:t>；</w:t>
      </w:r>
    </w:p>
    <w:p>
      <w:pPr>
        <w:widowControl w:val="0"/>
        <w:tabs>
          <w:tab w:val="left" w:pos="65"/>
        </w:tabs>
        <w:spacing w:line="460" w:lineRule="atLeast"/>
        <w:ind w:firstLine="480" w:firstLineChars="200"/>
        <w:textAlignment w:val="auto"/>
        <w:rPr>
          <w:color w:val="auto"/>
          <w:sz w:val="24"/>
          <w:highlight w:val="none"/>
          <w:lang w:val="zh-CN"/>
        </w:rPr>
      </w:pPr>
      <w:r>
        <w:rPr>
          <w:rFonts w:hint="eastAsia"/>
          <w:color w:val="auto"/>
          <w:sz w:val="24"/>
          <w:highlight w:val="none"/>
        </w:rPr>
        <w:t>3、中标后</w:t>
      </w:r>
      <w:r>
        <w:rPr>
          <w:rFonts w:hint="eastAsia" w:ascii="宋体" w:hAnsi="宋体"/>
          <w:color w:val="auto"/>
          <w:sz w:val="24"/>
          <w:szCs w:val="24"/>
          <w:highlight w:val="none"/>
        </w:rPr>
        <w:t>未缴</w:t>
      </w:r>
      <w:r>
        <w:rPr>
          <w:rFonts w:hint="eastAsia"/>
          <w:color w:val="auto"/>
          <w:sz w:val="24"/>
          <w:highlight w:val="none"/>
        </w:rPr>
        <w:t>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原则，在履行承诺前，代理机构将视我单位为失信企业、不予办理其后相关业务。</w:t>
      </w:r>
    </w:p>
    <w:p>
      <w:pPr>
        <w:widowControl w:val="0"/>
        <w:autoSpaceDE w:val="0"/>
        <w:autoSpaceDN w:val="0"/>
        <w:adjustRightInd w:val="0"/>
        <w:spacing w:line="460" w:lineRule="atLeast"/>
        <w:ind w:left="-2" w:right="-817" w:hanging="149"/>
        <w:textAlignment w:val="auto"/>
        <w:rPr>
          <w:rFonts w:ascii="宋体" w:cs="楷体_GB2312"/>
          <w:color w:val="auto"/>
          <w:sz w:val="24"/>
          <w:highlight w:val="none"/>
          <w:lang w:val="zh-CN"/>
        </w:rPr>
      </w:pPr>
    </w:p>
    <w:p>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pPr>
        <w:snapToGrid w:val="0"/>
        <w:spacing w:line="560" w:lineRule="atLeast"/>
        <w:jc w:val="center"/>
        <w:rPr>
          <w:rFonts w:ascii="宋体" w:hAnsi="宋体"/>
          <w:b/>
          <w:color w:val="auto"/>
          <w:sz w:val="32"/>
          <w:szCs w:val="32"/>
          <w:highlight w:val="none"/>
        </w:rPr>
      </w:pPr>
      <w:r>
        <w:rPr>
          <w:rFonts w:ascii="宋体" w:hAnsi="宋体"/>
          <w:b/>
          <w:color w:val="auto"/>
          <w:sz w:val="32"/>
          <w:szCs w:val="32"/>
          <w:highlight w:val="none"/>
        </w:rPr>
        <w:br w:type="page"/>
      </w:r>
    </w:p>
    <w:p>
      <w:pPr>
        <w:snapToGrid w:val="0"/>
        <w:spacing w:line="560" w:lineRule="atLeas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5</w:t>
      </w:r>
      <w:r>
        <w:rPr>
          <w:rFonts w:hint="eastAsia" w:ascii="黑体" w:hAnsi="黑体" w:eastAsia="黑体"/>
          <w:b/>
          <w:color w:val="auto"/>
          <w:sz w:val="30"/>
          <w:szCs w:val="30"/>
          <w:highlight w:val="none"/>
        </w:rPr>
        <w:t>-5、其他资格证明材料</w:t>
      </w:r>
    </w:p>
    <w:p>
      <w:pPr>
        <w:snapToGrid w:val="0"/>
        <w:spacing w:line="560" w:lineRule="atLeast"/>
        <w:ind w:firstLine="480" w:firstLineChars="200"/>
        <w:rPr>
          <w:rFonts w:ascii="宋体" w:hAnsi="宋体"/>
          <w:b/>
          <w:color w:val="auto"/>
          <w:sz w:val="24"/>
          <w:szCs w:val="24"/>
          <w:highlight w:val="none"/>
        </w:rPr>
      </w:pPr>
      <w:r>
        <w:rPr>
          <w:rFonts w:hint="eastAsia" w:ascii="宋体" w:hAnsi="宋体"/>
          <w:color w:val="auto"/>
          <w:sz w:val="24"/>
          <w:szCs w:val="24"/>
          <w:highlight w:val="none"/>
        </w:rPr>
        <w:t>按招标文件要求提供的其他资格证明材料或供应商认为有必要提供的其他证明材料。（按招标文件要求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w:t>
      </w:r>
    </w:p>
    <w:p>
      <w:pPr>
        <w:tabs>
          <w:tab w:val="left" w:pos="9365"/>
        </w:tabs>
        <w:spacing w:before="360" w:after="360" w:line="586" w:lineRule="atLeast"/>
        <w:ind w:right="85" w:firstLine="600" w:firstLineChars="250"/>
        <w:jc w:val="left"/>
        <w:textAlignment w:val="top"/>
        <w:rPr>
          <w:rFonts w:ascii="宋体" w:hAnsi="宋体"/>
          <w:color w:val="auto"/>
          <w:sz w:val="24"/>
          <w:szCs w:val="24"/>
          <w:highlight w:val="none"/>
        </w:rPr>
      </w:pPr>
    </w:p>
    <w:p>
      <w:pPr>
        <w:snapToGrid w:val="0"/>
        <w:spacing w:before="240" w:after="240" w:line="540" w:lineRule="exact"/>
        <w:ind w:right="85"/>
        <w:jc w:val="left"/>
        <w:textAlignment w:val="top"/>
        <w:rPr>
          <w:rFonts w:ascii="宋体" w:hAnsi="宋体"/>
          <w:color w:val="auto"/>
          <w:sz w:val="24"/>
          <w:szCs w:val="24"/>
          <w:highlight w:val="none"/>
        </w:rPr>
      </w:pPr>
    </w:p>
    <w:p>
      <w:pPr>
        <w:snapToGrid w:val="0"/>
        <w:spacing w:line="560" w:lineRule="atLeast"/>
        <w:jc w:val="center"/>
        <w:rPr>
          <w:rFonts w:ascii="宋体" w:hAnsi="宋体"/>
          <w:b/>
          <w:color w:val="auto"/>
          <w:sz w:val="32"/>
          <w:szCs w:val="32"/>
          <w:highlight w:val="none"/>
        </w:rPr>
      </w:pPr>
    </w:p>
    <w:p>
      <w:pPr>
        <w:widowControl w:val="0"/>
        <w:snapToGrid w:val="0"/>
        <w:spacing w:line="560" w:lineRule="exact"/>
        <w:jc w:val="center"/>
        <w:rPr>
          <w:rFonts w:eastAsia="方正黑体简体"/>
          <w:b/>
          <w:color w:val="auto"/>
          <w:sz w:val="30"/>
          <w:szCs w:val="30"/>
          <w:highlight w:val="none"/>
        </w:rPr>
      </w:pPr>
    </w:p>
    <w:p>
      <w:pPr>
        <w:widowControl w:val="0"/>
        <w:snapToGrid w:val="0"/>
        <w:spacing w:line="560" w:lineRule="exact"/>
        <w:rPr>
          <w:rFonts w:eastAsia="方正黑体简体"/>
          <w:b/>
          <w:color w:val="auto"/>
          <w:sz w:val="30"/>
          <w:szCs w:val="30"/>
          <w:highlight w:val="none"/>
        </w:rPr>
      </w:pPr>
    </w:p>
    <w:sectPr>
      <w:pgSz w:w="11905" w:h="16837"/>
      <w:pgMar w:top="1091" w:right="1106" w:bottom="993" w:left="1418" w:header="567" w:footer="567"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Adobe 宋体 Std L">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firstLine="105" w:firstLineChars="50"/>
      <w:jc w:val="left"/>
      <w:rPr>
        <w:rFonts w:ascii="宋体" w:hAnsi="宋体"/>
        <w:szCs w:val="21"/>
        <w:u w:val="single"/>
      </w:rPr>
    </w:pP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val="0"/>
                            <w:snapToGrid w:val="0"/>
                            <w:spacing w:line="240" w:lineRule="atLeast"/>
                            <w:ind w:right="21" w:firstLine="105" w:firstLineChars="50"/>
                            <w:jc w:val="left"/>
                          </w:pPr>
                          <w:r>
                            <w:rPr>
                              <w:rFonts w:hint="eastAsia" w:ascii="宋体" w:hAnsi="宋体"/>
                              <w:szCs w:val="21"/>
                              <w:u w:val="single"/>
                            </w:rPr>
                            <w:t>《招标文件》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4"/>
                              <w:rFonts w:ascii="宋体" w:hAnsi="宋体"/>
                              <w:szCs w:val="21"/>
                              <w:u w:val="single"/>
                            </w:rPr>
                            <w:fldChar w:fldCharType="begin"/>
                          </w:r>
                          <w:r>
                            <w:rPr>
                              <w:rStyle w:val="24"/>
                              <w:rFonts w:ascii="宋体" w:hAnsi="宋体"/>
                              <w:szCs w:val="21"/>
                              <w:u w:val="single"/>
                            </w:rPr>
                            <w:instrText xml:space="preserve"> PAGE </w:instrText>
                          </w:r>
                          <w:r>
                            <w:rPr>
                              <w:rStyle w:val="24"/>
                              <w:rFonts w:ascii="宋体" w:hAnsi="宋体"/>
                              <w:szCs w:val="21"/>
                              <w:u w:val="single"/>
                            </w:rPr>
                            <w:fldChar w:fldCharType="separate"/>
                          </w:r>
                          <w:r>
                            <w:rPr>
                              <w:rStyle w:val="24"/>
                              <w:rFonts w:ascii="宋体" w:hAnsi="宋体"/>
                              <w:szCs w:val="21"/>
                              <w:u w:val="single"/>
                            </w:rPr>
                            <w:t>- 68 -</w:t>
                          </w:r>
                          <w:r>
                            <w:rPr>
                              <w:rStyle w:val="24"/>
                              <w:rFonts w:ascii="宋体" w:hAnsi="宋体"/>
                              <w:szCs w:val="21"/>
                              <w:u w:val="single"/>
                            </w:rPr>
                            <w:fldChar w:fldCharType="end"/>
                          </w:r>
                          <w:r>
                            <w:rPr>
                              <w:rStyle w:val="24"/>
                              <w:rFonts w:ascii="宋体" w:hAnsi="宋体"/>
                              <w:szCs w:val="21"/>
                              <w:u w:val="single"/>
                            </w:rPr>
                            <w:t xml:space="preserve"> </w:t>
                          </w:r>
                          <w:r>
                            <w:rPr>
                              <w:rStyle w:val="24"/>
                              <w:rFonts w:hint="eastAsia" w:ascii="宋体" w:hAnsi="宋体"/>
                              <w:szCs w:val="21"/>
                              <w:u w:val="single"/>
                            </w:rPr>
                            <w:t>（</w:t>
                          </w:r>
                          <w:r>
                            <w:rPr>
                              <w:rFonts w:hint="eastAsia" w:ascii="宋体" w:hAnsi="宋体"/>
                              <w:szCs w:val="21"/>
                              <w:u w:val="single"/>
                            </w:rPr>
                            <w:t>共</w:t>
                          </w:r>
                          <w:r>
                            <w:fldChar w:fldCharType="begin"/>
                          </w:r>
                          <w:r>
                            <w:instrText xml:space="preserve"> SECTIONPAGES   \* MERGEFORMAT </w:instrText>
                          </w:r>
                          <w:r>
                            <w:fldChar w:fldCharType="separate"/>
                          </w:r>
                          <w:r>
                            <w:rPr>
                              <w:rStyle w:val="24"/>
                              <w:szCs w:val="21"/>
                              <w:u w:val="single"/>
                            </w:rPr>
                            <w:t>68</w:t>
                          </w:r>
                          <w:r>
                            <w:rPr>
                              <w:rStyle w:val="24"/>
                              <w:szCs w:val="21"/>
                              <w:u w:val="single"/>
                            </w:rPr>
                            <w:fldChar w:fldCharType="end"/>
                          </w:r>
                          <w:r>
                            <w:rPr>
                              <w:rFonts w:hint="eastAsia" w:ascii="宋体" w:hAnsi="宋体"/>
                              <w:szCs w:val="21"/>
                              <w:u w:val="single"/>
                            </w:rPr>
                            <w:t>页</w:t>
                          </w:r>
                          <w:r>
                            <w:rPr>
                              <w:rFonts w:ascii="宋体" w:hAnsi="宋体"/>
                              <w:szCs w:val="21"/>
                              <w:u w:val="single"/>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widowControl w:val="0"/>
                      <w:snapToGrid w:val="0"/>
                      <w:spacing w:line="240" w:lineRule="atLeast"/>
                      <w:ind w:right="21" w:firstLine="105" w:firstLineChars="50"/>
                      <w:jc w:val="left"/>
                    </w:pPr>
                    <w:r>
                      <w:rPr>
                        <w:rFonts w:hint="eastAsia" w:ascii="宋体" w:hAnsi="宋体"/>
                        <w:szCs w:val="21"/>
                        <w:u w:val="single"/>
                      </w:rPr>
                      <w:t>《招标文件》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4"/>
                        <w:rFonts w:ascii="宋体" w:hAnsi="宋体"/>
                        <w:szCs w:val="21"/>
                        <w:u w:val="single"/>
                      </w:rPr>
                      <w:fldChar w:fldCharType="begin"/>
                    </w:r>
                    <w:r>
                      <w:rPr>
                        <w:rStyle w:val="24"/>
                        <w:rFonts w:ascii="宋体" w:hAnsi="宋体"/>
                        <w:szCs w:val="21"/>
                        <w:u w:val="single"/>
                      </w:rPr>
                      <w:instrText xml:space="preserve"> PAGE </w:instrText>
                    </w:r>
                    <w:r>
                      <w:rPr>
                        <w:rStyle w:val="24"/>
                        <w:rFonts w:ascii="宋体" w:hAnsi="宋体"/>
                        <w:szCs w:val="21"/>
                        <w:u w:val="single"/>
                      </w:rPr>
                      <w:fldChar w:fldCharType="separate"/>
                    </w:r>
                    <w:r>
                      <w:rPr>
                        <w:rStyle w:val="24"/>
                        <w:rFonts w:ascii="宋体" w:hAnsi="宋体"/>
                        <w:szCs w:val="21"/>
                        <w:u w:val="single"/>
                      </w:rPr>
                      <w:t>- 68 -</w:t>
                    </w:r>
                    <w:r>
                      <w:rPr>
                        <w:rStyle w:val="24"/>
                        <w:rFonts w:ascii="宋体" w:hAnsi="宋体"/>
                        <w:szCs w:val="21"/>
                        <w:u w:val="single"/>
                      </w:rPr>
                      <w:fldChar w:fldCharType="end"/>
                    </w:r>
                    <w:r>
                      <w:rPr>
                        <w:rStyle w:val="24"/>
                        <w:rFonts w:ascii="宋体" w:hAnsi="宋体"/>
                        <w:szCs w:val="21"/>
                        <w:u w:val="single"/>
                      </w:rPr>
                      <w:t xml:space="preserve"> </w:t>
                    </w:r>
                    <w:r>
                      <w:rPr>
                        <w:rStyle w:val="24"/>
                        <w:rFonts w:hint="eastAsia" w:ascii="宋体" w:hAnsi="宋体"/>
                        <w:szCs w:val="21"/>
                        <w:u w:val="single"/>
                      </w:rPr>
                      <w:t>（</w:t>
                    </w:r>
                    <w:r>
                      <w:rPr>
                        <w:rFonts w:hint="eastAsia" w:ascii="宋体" w:hAnsi="宋体"/>
                        <w:szCs w:val="21"/>
                        <w:u w:val="single"/>
                      </w:rPr>
                      <w:t>共</w:t>
                    </w:r>
                    <w:r>
                      <w:fldChar w:fldCharType="begin"/>
                    </w:r>
                    <w:r>
                      <w:instrText xml:space="preserve"> SECTIONPAGES   \* MERGEFORMAT </w:instrText>
                    </w:r>
                    <w:r>
                      <w:fldChar w:fldCharType="separate"/>
                    </w:r>
                    <w:r>
                      <w:rPr>
                        <w:rStyle w:val="24"/>
                        <w:szCs w:val="21"/>
                        <w:u w:val="single"/>
                      </w:rPr>
                      <w:t>68</w:t>
                    </w:r>
                    <w:r>
                      <w:rPr>
                        <w:rStyle w:val="24"/>
                        <w:szCs w:val="21"/>
                        <w:u w:val="single"/>
                      </w:rPr>
                      <w:fldChar w:fldCharType="end"/>
                    </w:r>
                    <w:r>
                      <w:rPr>
                        <w:rFonts w:hint="eastAsia" w:ascii="宋体" w:hAnsi="宋体"/>
                        <w:szCs w:val="21"/>
                        <w:u w:val="single"/>
                      </w:rPr>
                      <w:t>页</w:t>
                    </w:r>
                    <w:r>
                      <w:rPr>
                        <w:rFonts w:ascii="宋体" w:hAnsi="宋体"/>
                        <w:szCs w:val="21"/>
                        <w:u w:val="single"/>
                      </w:rPr>
                      <w:t>)</w:t>
                    </w:r>
                  </w:p>
                </w:txbxContent>
              </v:textbox>
            </v:shape>
          </w:pict>
        </mc:Fallback>
      </mc:AlternateContent>
    </w:r>
    <w:r>
      <w:rPr>
        <w:rFonts w:ascii="宋体" w:hAnsi="宋体"/>
      </w:rP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Hquf9r8AQAABwQAAA4AAABkcnMvZTJvRG9jLnhtbK1T&#10;TW/bMAy9D9h/EHRfnATLshpxiq5BhwHdB9DuBzCyHAuzRI1S4mS/fpQcZ1136WEXgaLIR75HanV9&#10;tJ04aAoGXSVnk6kU2imsjdtV8vvj3Zv3UoQIroYOna7kSQd5vX79atX7Us+xxa7WJBjEhbL3lWxj&#10;9GVRBNVqC2GCXjt+bJAsRL7SrqgJeka3XTGfTt8VPVLtCZUOgb2b4VGeEeklgNg0RukNqr3VLg6o&#10;pDuITCm0xge5zt02jVbxa9MEHUVXSWYa88lF2N6ms1ivoNwR+NaocwvwkhaecbJgHBe9QG0ggtiT&#10;+QfKGkUYsIkThbYYiGRFmMVs+kybhxa8zlxY6uAvoof/B6u+HL6RMDVvghQOLA/8UR+j+IBHMU/q&#10;9D6UHPTgOSwe2Z0iE9Pg71H9CMLhbQtup2+IsG811NzdLGUWT1IHnJBAtv1nrLkM7CNmoGNDNgGy&#10;GILReTKny2RSK4qdi+Xi6u2CnxS/zZZXy+kil4ByzPYU4keNViSjksSTz+hwuA8xdQPlGJKKObwz&#10;XZen37m/HBw4eHRen3N24pLaH4hssT4xFcJhn/g3sdEi/ZKi512qZPi5B9JSdJ8cy5EWbzRoNLaj&#10;AU5xaiWjFIN5G4cF3Xsyu5aRB8Ed3rBkjclsUj9DF2eheT8yyfMupwV8es9Rf/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Sd7nI2QAAAA4BAAAPAAAAAAAAAAEAIAAAACIAAABkcnMvZG93bnJl&#10;di54bWxQSwECFAAUAAAACACHTuJAeq5/2vwBAAAHBAAADgAAAAAAAAABACAAAAAoAQAAZHJzL2Uy&#10;b0RvYy54bWxQSwUGAAAAAAYABgBZAQAAlgU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4"/>
      </w:rPr>
    </w:pPr>
    <w:r>
      <w:rPr>
        <w:rStyle w:val="24"/>
      </w:rPr>
      <w:fldChar w:fldCharType="begin"/>
    </w:r>
    <w:r>
      <w:rPr>
        <w:rStyle w:val="24"/>
      </w:rPr>
      <w:instrText xml:space="preserve">PAGE  </w:instrText>
    </w:r>
    <w:r>
      <w:rPr>
        <w:rStyle w:val="24"/>
      </w:rP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firstLine="105" w:firstLineChars="50"/>
      <w:jc w:val="left"/>
      <w:rPr>
        <w:rFonts w:ascii="宋体" w:hAnsi="宋体"/>
        <w:szCs w:val="21"/>
        <w:u w:val="single"/>
      </w:rPr>
    </w:pPr>
    <w: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val="0"/>
                            <w:snapToGrid w:val="0"/>
                            <w:spacing w:line="240" w:lineRule="atLeast"/>
                            <w:ind w:right="21" w:firstLine="105" w:firstLineChars="50"/>
                            <w:jc w:val="left"/>
                          </w:pPr>
                          <w:r>
                            <w:rPr>
                              <w:rFonts w:hint="eastAsia" w:ascii="宋体" w:hAnsi="宋体"/>
                              <w:szCs w:val="21"/>
                              <w:u w:val="single"/>
                            </w:rPr>
                            <w:t>《招标文件》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4"/>
                              <w:rFonts w:ascii="宋体" w:hAnsi="宋体"/>
                              <w:szCs w:val="21"/>
                              <w:u w:val="single"/>
                            </w:rPr>
                            <w:fldChar w:fldCharType="begin"/>
                          </w:r>
                          <w:r>
                            <w:rPr>
                              <w:rStyle w:val="24"/>
                              <w:rFonts w:ascii="宋体" w:hAnsi="宋体"/>
                              <w:szCs w:val="21"/>
                              <w:u w:val="single"/>
                            </w:rPr>
                            <w:instrText xml:space="preserve"> PAGE </w:instrText>
                          </w:r>
                          <w:r>
                            <w:rPr>
                              <w:rStyle w:val="24"/>
                              <w:rFonts w:ascii="宋体" w:hAnsi="宋体"/>
                              <w:szCs w:val="21"/>
                              <w:u w:val="single"/>
                            </w:rPr>
                            <w:fldChar w:fldCharType="separate"/>
                          </w:r>
                          <w:r>
                            <w:rPr>
                              <w:rStyle w:val="24"/>
                              <w:rFonts w:ascii="宋体" w:hAnsi="宋体"/>
                              <w:szCs w:val="21"/>
                              <w:u w:val="single"/>
                            </w:rPr>
                            <w:t>40</w:t>
                          </w:r>
                          <w:r>
                            <w:rPr>
                              <w:rStyle w:val="24"/>
                              <w:rFonts w:ascii="宋体" w:hAnsi="宋体"/>
                              <w:szCs w:val="21"/>
                              <w:u w:val="single"/>
                            </w:rPr>
                            <w:fldChar w:fldCharType="end"/>
                          </w:r>
                          <w:r>
                            <w:rPr>
                              <w:rStyle w:val="24"/>
                              <w:rFonts w:ascii="宋体" w:hAnsi="宋体"/>
                              <w:szCs w:val="21"/>
                              <w:u w:val="single"/>
                            </w:rPr>
                            <w:t xml:space="preserve"> </w:t>
                          </w:r>
                          <w:r>
                            <w:rPr>
                              <w:rStyle w:val="24"/>
                              <w:rFonts w:hint="eastAsia" w:ascii="宋体" w:hAnsi="宋体"/>
                              <w:szCs w:val="21"/>
                              <w:u w:val="single"/>
                            </w:rPr>
                            <w:t>（</w:t>
                          </w:r>
                          <w:r>
                            <w:rPr>
                              <w:rFonts w:hint="eastAsia" w:ascii="宋体" w:hAnsi="宋体"/>
                              <w:szCs w:val="21"/>
                              <w:u w:val="single"/>
                            </w:rPr>
                            <w:t>共</w:t>
                          </w:r>
                          <w:r>
                            <w:rPr>
                              <w:rFonts w:hint="eastAsia" w:ascii="宋体" w:hAnsi="宋体"/>
                              <w:szCs w:val="21"/>
                              <w:u w:val="single"/>
                              <w:lang w:val="en-US" w:eastAsia="zh-CN"/>
                            </w:rPr>
                            <w:t>8</w:t>
                          </w:r>
                          <w:r>
                            <w:rPr>
                              <w:rFonts w:hint="eastAsia" w:ascii="宋体" w:hAnsi="宋体"/>
                              <w:szCs w:val="21"/>
                              <w:u w:val="single"/>
                            </w:rPr>
                            <w:t>2页</w:t>
                          </w:r>
                          <w:r>
                            <w:rPr>
                              <w:rFonts w:ascii="宋体" w:hAnsi="宋体"/>
                              <w:szCs w:val="21"/>
                              <w:u w:val="single"/>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widowControl w:val="0"/>
                      <w:snapToGrid w:val="0"/>
                      <w:spacing w:line="240" w:lineRule="atLeast"/>
                      <w:ind w:right="21" w:firstLine="105" w:firstLineChars="50"/>
                      <w:jc w:val="left"/>
                    </w:pPr>
                    <w:r>
                      <w:rPr>
                        <w:rFonts w:hint="eastAsia" w:ascii="宋体" w:hAnsi="宋体"/>
                        <w:szCs w:val="21"/>
                        <w:u w:val="single"/>
                      </w:rPr>
                      <w:t>《招标文件》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4"/>
                        <w:rFonts w:ascii="宋体" w:hAnsi="宋体"/>
                        <w:szCs w:val="21"/>
                        <w:u w:val="single"/>
                      </w:rPr>
                      <w:fldChar w:fldCharType="begin"/>
                    </w:r>
                    <w:r>
                      <w:rPr>
                        <w:rStyle w:val="24"/>
                        <w:rFonts w:ascii="宋体" w:hAnsi="宋体"/>
                        <w:szCs w:val="21"/>
                        <w:u w:val="single"/>
                      </w:rPr>
                      <w:instrText xml:space="preserve"> PAGE </w:instrText>
                    </w:r>
                    <w:r>
                      <w:rPr>
                        <w:rStyle w:val="24"/>
                        <w:rFonts w:ascii="宋体" w:hAnsi="宋体"/>
                        <w:szCs w:val="21"/>
                        <w:u w:val="single"/>
                      </w:rPr>
                      <w:fldChar w:fldCharType="separate"/>
                    </w:r>
                    <w:r>
                      <w:rPr>
                        <w:rStyle w:val="24"/>
                        <w:rFonts w:ascii="宋体" w:hAnsi="宋体"/>
                        <w:szCs w:val="21"/>
                        <w:u w:val="single"/>
                      </w:rPr>
                      <w:t>40</w:t>
                    </w:r>
                    <w:r>
                      <w:rPr>
                        <w:rStyle w:val="24"/>
                        <w:rFonts w:ascii="宋体" w:hAnsi="宋体"/>
                        <w:szCs w:val="21"/>
                        <w:u w:val="single"/>
                      </w:rPr>
                      <w:fldChar w:fldCharType="end"/>
                    </w:r>
                    <w:r>
                      <w:rPr>
                        <w:rStyle w:val="24"/>
                        <w:rFonts w:ascii="宋体" w:hAnsi="宋体"/>
                        <w:szCs w:val="21"/>
                        <w:u w:val="single"/>
                      </w:rPr>
                      <w:t xml:space="preserve"> </w:t>
                    </w:r>
                    <w:r>
                      <w:rPr>
                        <w:rStyle w:val="24"/>
                        <w:rFonts w:hint="eastAsia" w:ascii="宋体" w:hAnsi="宋体"/>
                        <w:szCs w:val="21"/>
                        <w:u w:val="single"/>
                      </w:rPr>
                      <w:t>（</w:t>
                    </w:r>
                    <w:r>
                      <w:rPr>
                        <w:rFonts w:hint="eastAsia" w:ascii="宋体" w:hAnsi="宋体"/>
                        <w:szCs w:val="21"/>
                        <w:u w:val="single"/>
                      </w:rPr>
                      <w:t>共</w:t>
                    </w:r>
                    <w:r>
                      <w:rPr>
                        <w:rFonts w:hint="eastAsia" w:ascii="宋体" w:hAnsi="宋体"/>
                        <w:szCs w:val="21"/>
                        <w:u w:val="single"/>
                        <w:lang w:val="en-US" w:eastAsia="zh-CN"/>
                      </w:rPr>
                      <w:t>8</w:t>
                    </w:r>
                    <w:r>
                      <w:rPr>
                        <w:rFonts w:hint="eastAsia" w:ascii="宋体" w:hAnsi="宋体"/>
                        <w:szCs w:val="21"/>
                        <w:u w:val="single"/>
                      </w:rPr>
                      <w:t>2页</w:t>
                    </w:r>
                    <w:r>
                      <w:rPr>
                        <w:rFonts w:ascii="宋体" w:hAnsi="宋体"/>
                        <w:szCs w:val="21"/>
                        <w:u w:val="single"/>
                      </w:rPr>
                      <w:t>)</w:t>
                    </w:r>
                  </w:p>
                </w:txbxContent>
              </v:textbox>
            </v:shape>
          </w:pict>
        </mc:Fallback>
      </mc:AlternateContent>
    </w:r>
    <w:r>
      <w:rPr>
        <w:rFonts w:ascii="宋体" w:hAnsi="宋体"/>
      </w:rPr>
      <mc:AlternateContent>
        <mc:Choice Requires="wps">
          <w:drawing>
            <wp:anchor distT="0" distB="0" distL="114300" distR="114300" simplePos="0" relativeHeight="251662336"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8"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70.85pt;margin-top:799.35pt;height:14.15pt;width:453.5pt;mso-position-horizontal-relative:page;mso-position-vertical-relative:page;z-index:-251654144;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BsdjDT9AQAABwQAAA4AAABkcnMvZTJvRG9jLnhtbK1T&#10;TW/bMAy9D9h/EHRfnATLshpxiq5BhwHdB9DuBzCyHAuzRI1S4mS/fpQcZ1136WEXgaLIR75HanV9&#10;tJ04aAoGXSVnk6kU2imsjdtV8vvj3Zv3UoQIroYOna7kSQd5vX79atX7Us+xxa7WJBjEhbL3lWxj&#10;9GVRBNVqC2GCXjt+bJAsRL7SrqgJeka3XTGfTt8VPVLtCZUOgb2b4VGeEeklgNg0RukNqr3VLg6o&#10;pDuITCm0xge5zt02jVbxa9MEHUVXSWYa88lF2N6ms1ivoNwR+NaocwvwkhaecbJgHBe9QG0ggtiT&#10;+QfKGkUYsIkThbYYiGRFmMVs+kybhxa8zlxY6uAvoof/B6u+HL6RMHUleewOLA/8UR+j+IBHMU/q&#10;9D6UHPTgOSwe2c07k5kGf4/qRxAOb1twO31DhH2roebuZimzeJI64IQEsu0/Y81lYB8xAx0bskk6&#10;FkMwOk/mdJlMakWxc7FcXL1d8JPit9nyajld5BJQjtmeQvyo0YpkVJJ48hkdDvchpm6gHENSMYd3&#10;puvy9Dv3l4MDB4/O63POTlxS+wORLdYnpkI47BP/JjZapF9S9LxLlQw/90Baiu6TYznS4o0GjcZ2&#10;NMApTq1klGIwb+OwoHtPZtcy8iC4wxuWrDGZTepn6OIsNO9HJnne5bSAT+856s//Xf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ne5yNkAAAAOAQAADwAAAAAAAAABACAAAAAiAAAAZHJzL2Rvd25y&#10;ZXYueG1sUEsBAhQAFAAAAAgAh07iQBsdjDT9AQAABwQAAA4AAAAAAAAAAQAgAAAAKAEAAGRycy9l&#10;Mm9Eb2MueG1sUEsFBgAAAAAGAAYAWQEAAJcFAAAAAA==&#10;">
              <v:fill on="f" focussize="0,0"/>
              <v:stroke on="f"/>
              <v:imagedata o:title=""/>
              <o:lock v:ext="edit" aspectratio="f"/>
              <v:textbox inset="0mm,0mm,0mm,0m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SBUMNP0BAAAHBAAADgAAAGRycy9lMm9Eb2MueG1srVNN&#10;b9swDL0P2H8QdF/sBMuyGnGKrkGHAd0H0O4HKLIcC7NEjVJiZ79+lBRnXXfpYReDosgnvsfn9fVo&#10;enZU6DXYms9nJWfKSmi03df8++Pdm/ec+SBsI3qwquYn5fn15vWr9eAqtYAO+kYhIxDrq8HVvAvB&#10;VUXhZaeM8DNwytJlC2hEoCPuiwbFQOimLxZl+a4YABuHIJX3lN3mS35GxJcAQttqqbYgD0bZkFFR&#10;9SIQJd9p5/kmTdu2SoavbetVYH3NiWlIX3qE4l38Fpu1qPYoXKfleQTxkhGecTJCW3r0ArUVQbAD&#10;6n+gjJYIHtowk2CKTCQpQizm5TNtHjrhVOJCUnt3Ed3/P1j55fgNmW5qvuDMCkMLf1RjYB9gZPOo&#10;zuB8RUUPjsrCSGnyTGLq3T3IH55ZuO2E3asbRBg6JRqaLnUWT1ozjo8gu+EzNPSMOARIQGOLJkpH&#10;YjBCp82cLpuJo0hKLlfLq7dLupJ0N19drcplHK4Q1dTt0IePCgyLQc2RNp/QxfHeh1w6lcTHLNzp&#10;vk/b7+1fCcLMGZXsc+6OXOL4mcgOmhNRQch+or+Jgg7wF2cDeanm/udBoOKs/2RJjmi8KcAp2E2B&#10;sJJaax44y+FtyAY9ONT7jpCz4BZuSLJWJzZxnjwFqRAP5I+kx9nL0YBPz6nqz/+7+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dN05x2AAAAAoBAAAPAAAAAAAAAAEAIAAAACIAAABkcnMvZG93bnJl&#10;di54bWxQSwECFAAUAAAACACHTuJASBUMNP0BAAAHBAAADgAAAAAAAAABACAAAAAnAQAAZHJzL2Uy&#10;b0RvYy54bWxQSwUGAAAAAAYABgBZAQAAlgUAAAAA&#10;">
              <v:fill on="f" focussize="0,0"/>
              <v:stroke on="f"/>
              <v:imagedata o:title=""/>
              <o:lock v:ext="edit" aspectratio="f"/>
              <v:textbox inset="0mm,0mm,0mm,0mm"/>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05C1B"/>
    <w:multiLevelType w:val="singleLevel"/>
    <w:tmpl w:val="B3805C1B"/>
    <w:lvl w:ilvl="0" w:tentative="0">
      <w:start w:val="1"/>
      <w:numFmt w:val="decimal"/>
      <w:suff w:val="space"/>
      <w:lvlText w:val="%1."/>
      <w:lvlJc w:val="left"/>
    </w:lvl>
  </w:abstractNum>
  <w:abstractNum w:abstractNumId="1">
    <w:nsid w:val="B93EA0F2"/>
    <w:multiLevelType w:val="singleLevel"/>
    <w:tmpl w:val="B93EA0F2"/>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32FF1E31"/>
    <w:multiLevelType w:val="multilevel"/>
    <w:tmpl w:val="32FF1E31"/>
    <w:lvl w:ilvl="0" w:tentative="0">
      <w:start w:val="1"/>
      <w:numFmt w:val="decimal"/>
      <w:lvlText w:val="%1."/>
      <w:lvlJc w:val="left"/>
      <w:pPr>
        <w:ind w:left="938" w:hanging="360"/>
      </w:pPr>
      <w:rPr>
        <w:rFonts w:hint="default"/>
      </w:rPr>
    </w:lvl>
    <w:lvl w:ilvl="1" w:tentative="0">
      <w:start w:val="1"/>
      <w:numFmt w:val="lowerLetter"/>
      <w:lvlText w:val="%2)"/>
      <w:lvlJc w:val="left"/>
      <w:pPr>
        <w:ind w:left="1418" w:hanging="420"/>
      </w:pPr>
    </w:lvl>
    <w:lvl w:ilvl="2" w:tentative="0">
      <w:start w:val="1"/>
      <w:numFmt w:val="lowerRoman"/>
      <w:lvlText w:val="%3."/>
      <w:lvlJc w:val="right"/>
      <w:pPr>
        <w:ind w:left="1838" w:hanging="420"/>
      </w:pPr>
    </w:lvl>
    <w:lvl w:ilvl="3" w:tentative="0">
      <w:start w:val="1"/>
      <w:numFmt w:val="decimal"/>
      <w:lvlText w:val="%4."/>
      <w:lvlJc w:val="left"/>
      <w:pPr>
        <w:ind w:left="2258" w:hanging="420"/>
      </w:pPr>
    </w:lvl>
    <w:lvl w:ilvl="4" w:tentative="0">
      <w:start w:val="1"/>
      <w:numFmt w:val="lowerLetter"/>
      <w:lvlText w:val="%5)"/>
      <w:lvlJc w:val="left"/>
      <w:pPr>
        <w:ind w:left="2678" w:hanging="420"/>
      </w:pPr>
    </w:lvl>
    <w:lvl w:ilvl="5" w:tentative="0">
      <w:start w:val="1"/>
      <w:numFmt w:val="lowerRoman"/>
      <w:lvlText w:val="%6."/>
      <w:lvlJc w:val="right"/>
      <w:pPr>
        <w:ind w:left="3098" w:hanging="420"/>
      </w:pPr>
    </w:lvl>
    <w:lvl w:ilvl="6" w:tentative="0">
      <w:start w:val="1"/>
      <w:numFmt w:val="decimal"/>
      <w:lvlText w:val="%7."/>
      <w:lvlJc w:val="left"/>
      <w:pPr>
        <w:ind w:left="3518" w:hanging="420"/>
      </w:pPr>
    </w:lvl>
    <w:lvl w:ilvl="7" w:tentative="0">
      <w:start w:val="1"/>
      <w:numFmt w:val="lowerLetter"/>
      <w:lvlText w:val="%8)"/>
      <w:lvlJc w:val="left"/>
      <w:pPr>
        <w:ind w:left="3938" w:hanging="420"/>
      </w:pPr>
    </w:lvl>
    <w:lvl w:ilvl="8" w:tentative="0">
      <w:start w:val="1"/>
      <w:numFmt w:val="lowerRoman"/>
      <w:lvlText w:val="%9."/>
      <w:lvlJc w:val="right"/>
      <w:pPr>
        <w:ind w:left="4358" w:hanging="420"/>
      </w:pPr>
    </w:lvl>
  </w:abstractNum>
  <w:abstractNum w:abstractNumId="8">
    <w:nsid w:val="7A0F6431"/>
    <w:multiLevelType w:val="singleLevel"/>
    <w:tmpl w:val="7A0F6431"/>
    <w:lvl w:ilvl="0" w:tentative="0">
      <w:start w:val="1"/>
      <w:numFmt w:val="decimal"/>
      <w:suff w:val="space"/>
      <w:lvlText w:val="%1."/>
      <w:lvlJc w:val="left"/>
    </w:lvl>
  </w:abstractNum>
  <w:num w:numId="1">
    <w:abstractNumId w:val="1"/>
  </w:num>
  <w:num w:numId="2">
    <w:abstractNumId w:val="8"/>
  </w:num>
  <w:num w:numId="3">
    <w:abstractNumId w:val="6"/>
  </w:num>
  <w:num w:numId="4">
    <w:abstractNumId w:val="4"/>
  </w:num>
  <w:num w:numId="5">
    <w:abstractNumId w:val="3"/>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dit="forms" w:formatting="1" w:enforcement="1" w:cryptProviderType="rsaFull" w:cryptAlgorithmClass="hash" w:cryptAlgorithmType="typeAny" w:cryptAlgorithmSid="4" w:cryptSpinCount="0" w:hash="eIzK5rY3KdO8v83Op1jjGCQuAOM=" w:salt="feqcVMxzH05OHuYHl6WXPA=="/>
  <w:defaultTabStop w:val="420"/>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zMDdjZWM2YjY2YTQ0YTA2YTk1NzgyZTJmNzM5Y2MifQ=="/>
    <w:docVar w:name="KSO_WPS_MARK_KEY" w:val="bad72041-2999-46fe-ad07-8d4e9fdd0f76"/>
  </w:docVars>
  <w:rsids>
    <w:rsidRoot w:val="00172A27"/>
    <w:rsid w:val="00001AFE"/>
    <w:rsid w:val="00001D7A"/>
    <w:rsid w:val="00004FEA"/>
    <w:rsid w:val="00006184"/>
    <w:rsid w:val="00010A0D"/>
    <w:rsid w:val="000118FF"/>
    <w:rsid w:val="00011F9D"/>
    <w:rsid w:val="000129C4"/>
    <w:rsid w:val="00013814"/>
    <w:rsid w:val="00013DB2"/>
    <w:rsid w:val="00014CB5"/>
    <w:rsid w:val="00014FA0"/>
    <w:rsid w:val="00015C36"/>
    <w:rsid w:val="00016334"/>
    <w:rsid w:val="00017560"/>
    <w:rsid w:val="0001783F"/>
    <w:rsid w:val="00017E1E"/>
    <w:rsid w:val="00020336"/>
    <w:rsid w:val="00023676"/>
    <w:rsid w:val="00024608"/>
    <w:rsid w:val="00025438"/>
    <w:rsid w:val="00025F1E"/>
    <w:rsid w:val="0002701F"/>
    <w:rsid w:val="0002737B"/>
    <w:rsid w:val="0003123D"/>
    <w:rsid w:val="0003321D"/>
    <w:rsid w:val="000339BC"/>
    <w:rsid w:val="0003567F"/>
    <w:rsid w:val="00036AA4"/>
    <w:rsid w:val="00040523"/>
    <w:rsid w:val="0004137D"/>
    <w:rsid w:val="00041891"/>
    <w:rsid w:val="00042CA8"/>
    <w:rsid w:val="00042F27"/>
    <w:rsid w:val="000435E8"/>
    <w:rsid w:val="000437D6"/>
    <w:rsid w:val="00043821"/>
    <w:rsid w:val="00043CBA"/>
    <w:rsid w:val="00043D90"/>
    <w:rsid w:val="000441FD"/>
    <w:rsid w:val="00045899"/>
    <w:rsid w:val="000458E7"/>
    <w:rsid w:val="00047D2A"/>
    <w:rsid w:val="00050832"/>
    <w:rsid w:val="00052D79"/>
    <w:rsid w:val="00053112"/>
    <w:rsid w:val="000532EB"/>
    <w:rsid w:val="00056986"/>
    <w:rsid w:val="00056C7E"/>
    <w:rsid w:val="00057BA0"/>
    <w:rsid w:val="00057F78"/>
    <w:rsid w:val="0006134B"/>
    <w:rsid w:val="000622B5"/>
    <w:rsid w:val="00062784"/>
    <w:rsid w:val="00062821"/>
    <w:rsid w:val="00065301"/>
    <w:rsid w:val="00067F66"/>
    <w:rsid w:val="00070DCC"/>
    <w:rsid w:val="00071C34"/>
    <w:rsid w:val="00072834"/>
    <w:rsid w:val="00072ABE"/>
    <w:rsid w:val="000732AB"/>
    <w:rsid w:val="0007358E"/>
    <w:rsid w:val="0007390E"/>
    <w:rsid w:val="00073A45"/>
    <w:rsid w:val="0007400E"/>
    <w:rsid w:val="00074985"/>
    <w:rsid w:val="00077629"/>
    <w:rsid w:val="00080AE9"/>
    <w:rsid w:val="00081801"/>
    <w:rsid w:val="00081C6C"/>
    <w:rsid w:val="00081D33"/>
    <w:rsid w:val="000823AD"/>
    <w:rsid w:val="0008258F"/>
    <w:rsid w:val="000829A8"/>
    <w:rsid w:val="000829DB"/>
    <w:rsid w:val="00083869"/>
    <w:rsid w:val="00084C56"/>
    <w:rsid w:val="00085435"/>
    <w:rsid w:val="00086B70"/>
    <w:rsid w:val="0009056C"/>
    <w:rsid w:val="000906F2"/>
    <w:rsid w:val="00090D6B"/>
    <w:rsid w:val="00090EB6"/>
    <w:rsid w:val="00091C5E"/>
    <w:rsid w:val="0009268E"/>
    <w:rsid w:val="000929AC"/>
    <w:rsid w:val="00093A6B"/>
    <w:rsid w:val="000949EC"/>
    <w:rsid w:val="000956CE"/>
    <w:rsid w:val="000962DF"/>
    <w:rsid w:val="000A0A16"/>
    <w:rsid w:val="000A1EF0"/>
    <w:rsid w:val="000A2F4F"/>
    <w:rsid w:val="000A3FE8"/>
    <w:rsid w:val="000A4640"/>
    <w:rsid w:val="000A55EE"/>
    <w:rsid w:val="000A61F5"/>
    <w:rsid w:val="000A688B"/>
    <w:rsid w:val="000A7A3C"/>
    <w:rsid w:val="000B1334"/>
    <w:rsid w:val="000B2559"/>
    <w:rsid w:val="000B3DD8"/>
    <w:rsid w:val="000B4150"/>
    <w:rsid w:val="000B4758"/>
    <w:rsid w:val="000B4E0B"/>
    <w:rsid w:val="000B535A"/>
    <w:rsid w:val="000B5412"/>
    <w:rsid w:val="000B6571"/>
    <w:rsid w:val="000C0072"/>
    <w:rsid w:val="000C0358"/>
    <w:rsid w:val="000C17C5"/>
    <w:rsid w:val="000C1BB9"/>
    <w:rsid w:val="000C2AA6"/>
    <w:rsid w:val="000C418B"/>
    <w:rsid w:val="000C5E57"/>
    <w:rsid w:val="000D1898"/>
    <w:rsid w:val="000D2631"/>
    <w:rsid w:val="000E02FC"/>
    <w:rsid w:val="000E034A"/>
    <w:rsid w:val="000E127A"/>
    <w:rsid w:val="000E3874"/>
    <w:rsid w:val="000E41D5"/>
    <w:rsid w:val="000E54A0"/>
    <w:rsid w:val="000E6E96"/>
    <w:rsid w:val="000F0906"/>
    <w:rsid w:val="000F108C"/>
    <w:rsid w:val="000F3188"/>
    <w:rsid w:val="000F3282"/>
    <w:rsid w:val="000F3D46"/>
    <w:rsid w:val="000F3E7E"/>
    <w:rsid w:val="000F4146"/>
    <w:rsid w:val="000F4C91"/>
    <w:rsid w:val="000F71A3"/>
    <w:rsid w:val="000F756B"/>
    <w:rsid w:val="000F7917"/>
    <w:rsid w:val="000F79CB"/>
    <w:rsid w:val="000F7BE8"/>
    <w:rsid w:val="0010005D"/>
    <w:rsid w:val="00103B89"/>
    <w:rsid w:val="00104373"/>
    <w:rsid w:val="001056D3"/>
    <w:rsid w:val="00107435"/>
    <w:rsid w:val="00110434"/>
    <w:rsid w:val="001106D7"/>
    <w:rsid w:val="00110916"/>
    <w:rsid w:val="00111476"/>
    <w:rsid w:val="001118D4"/>
    <w:rsid w:val="00112AEB"/>
    <w:rsid w:val="00113D0A"/>
    <w:rsid w:val="00115075"/>
    <w:rsid w:val="001163D8"/>
    <w:rsid w:val="00117724"/>
    <w:rsid w:val="00120466"/>
    <w:rsid w:val="00123128"/>
    <w:rsid w:val="00124C33"/>
    <w:rsid w:val="00124FA8"/>
    <w:rsid w:val="0012536B"/>
    <w:rsid w:val="00126132"/>
    <w:rsid w:val="00126947"/>
    <w:rsid w:val="00126CF1"/>
    <w:rsid w:val="001301F8"/>
    <w:rsid w:val="00131B13"/>
    <w:rsid w:val="00131CCB"/>
    <w:rsid w:val="00132364"/>
    <w:rsid w:val="001331D2"/>
    <w:rsid w:val="001336BC"/>
    <w:rsid w:val="001342A5"/>
    <w:rsid w:val="00135227"/>
    <w:rsid w:val="00136214"/>
    <w:rsid w:val="001364C3"/>
    <w:rsid w:val="001373F3"/>
    <w:rsid w:val="001376B5"/>
    <w:rsid w:val="001378C9"/>
    <w:rsid w:val="001401E4"/>
    <w:rsid w:val="001403FB"/>
    <w:rsid w:val="001409F2"/>
    <w:rsid w:val="00142AE3"/>
    <w:rsid w:val="00143774"/>
    <w:rsid w:val="00144530"/>
    <w:rsid w:val="00150B72"/>
    <w:rsid w:val="001531FB"/>
    <w:rsid w:val="001532B2"/>
    <w:rsid w:val="001537D5"/>
    <w:rsid w:val="0015450A"/>
    <w:rsid w:val="00155C9A"/>
    <w:rsid w:val="00157A88"/>
    <w:rsid w:val="00161EAD"/>
    <w:rsid w:val="00164338"/>
    <w:rsid w:val="00164383"/>
    <w:rsid w:val="00166938"/>
    <w:rsid w:val="0016693E"/>
    <w:rsid w:val="00167109"/>
    <w:rsid w:val="0016783C"/>
    <w:rsid w:val="001708C3"/>
    <w:rsid w:val="00170AE1"/>
    <w:rsid w:val="0017176A"/>
    <w:rsid w:val="001717B5"/>
    <w:rsid w:val="001719D7"/>
    <w:rsid w:val="00172A27"/>
    <w:rsid w:val="00172A7E"/>
    <w:rsid w:val="00174A16"/>
    <w:rsid w:val="00175E3A"/>
    <w:rsid w:val="00182CA9"/>
    <w:rsid w:val="00186884"/>
    <w:rsid w:val="00187C84"/>
    <w:rsid w:val="001918A1"/>
    <w:rsid w:val="00191971"/>
    <w:rsid w:val="00192DD9"/>
    <w:rsid w:val="00194451"/>
    <w:rsid w:val="0019640C"/>
    <w:rsid w:val="001965DC"/>
    <w:rsid w:val="0019697C"/>
    <w:rsid w:val="00196E5D"/>
    <w:rsid w:val="001A01A7"/>
    <w:rsid w:val="001A02B0"/>
    <w:rsid w:val="001A1BB5"/>
    <w:rsid w:val="001A1D5B"/>
    <w:rsid w:val="001A2564"/>
    <w:rsid w:val="001A2827"/>
    <w:rsid w:val="001A2905"/>
    <w:rsid w:val="001A46D0"/>
    <w:rsid w:val="001A5D00"/>
    <w:rsid w:val="001A733E"/>
    <w:rsid w:val="001B3387"/>
    <w:rsid w:val="001B353D"/>
    <w:rsid w:val="001B4202"/>
    <w:rsid w:val="001B4C3B"/>
    <w:rsid w:val="001B5626"/>
    <w:rsid w:val="001B598B"/>
    <w:rsid w:val="001B6072"/>
    <w:rsid w:val="001B7085"/>
    <w:rsid w:val="001B7B35"/>
    <w:rsid w:val="001C015C"/>
    <w:rsid w:val="001C050D"/>
    <w:rsid w:val="001C078C"/>
    <w:rsid w:val="001C219F"/>
    <w:rsid w:val="001C2389"/>
    <w:rsid w:val="001C2D34"/>
    <w:rsid w:val="001C3545"/>
    <w:rsid w:val="001C397C"/>
    <w:rsid w:val="001C4B92"/>
    <w:rsid w:val="001C56BF"/>
    <w:rsid w:val="001C58DB"/>
    <w:rsid w:val="001C6505"/>
    <w:rsid w:val="001C6FC8"/>
    <w:rsid w:val="001D14A1"/>
    <w:rsid w:val="001D17A7"/>
    <w:rsid w:val="001D292F"/>
    <w:rsid w:val="001D2A62"/>
    <w:rsid w:val="001D2CF7"/>
    <w:rsid w:val="001D2F63"/>
    <w:rsid w:val="001D3921"/>
    <w:rsid w:val="001D3B0B"/>
    <w:rsid w:val="001D6772"/>
    <w:rsid w:val="001D6C63"/>
    <w:rsid w:val="001D742A"/>
    <w:rsid w:val="001D79E1"/>
    <w:rsid w:val="001D7FC1"/>
    <w:rsid w:val="001E04F2"/>
    <w:rsid w:val="001E0A3F"/>
    <w:rsid w:val="001E1A46"/>
    <w:rsid w:val="001E25BA"/>
    <w:rsid w:val="001E25FA"/>
    <w:rsid w:val="001E2ED6"/>
    <w:rsid w:val="001E30AE"/>
    <w:rsid w:val="001E364B"/>
    <w:rsid w:val="001E45BE"/>
    <w:rsid w:val="001F6921"/>
    <w:rsid w:val="001F7D39"/>
    <w:rsid w:val="001F7ECB"/>
    <w:rsid w:val="00202D93"/>
    <w:rsid w:val="00202E2A"/>
    <w:rsid w:val="00203933"/>
    <w:rsid w:val="00204C09"/>
    <w:rsid w:val="002052BF"/>
    <w:rsid w:val="0020536F"/>
    <w:rsid w:val="002053E8"/>
    <w:rsid w:val="00205670"/>
    <w:rsid w:val="00205DC9"/>
    <w:rsid w:val="0020635B"/>
    <w:rsid w:val="002064E1"/>
    <w:rsid w:val="00207968"/>
    <w:rsid w:val="00207B50"/>
    <w:rsid w:val="00212022"/>
    <w:rsid w:val="00214228"/>
    <w:rsid w:val="0021493D"/>
    <w:rsid w:val="00214DD7"/>
    <w:rsid w:val="00214F54"/>
    <w:rsid w:val="002155C5"/>
    <w:rsid w:val="0021708F"/>
    <w:rsid w:val="002228C6"/>
    <w:rsid w:val="002238AE"/>
    <w:rsid w:val="002238BD"/>
    <w:rsid w:val="002247B5"/>
    <w:rsid w:val="00226074"/>
    <w:rsid w:val="0022623B"/>
    <w:rsid w:val="0022680B"/>
    <w:rsid w:val="00227CB1"/>
    <w:rsid w:val="0023012A"/>
    <w:rsid w:val="00231D21"/>
    <w:rsid w:val="0023225F"/>
    <w:rsid w:val="0023255F"/>
    <w:rsid w:val="00233C07"/>
    <w:rsid w:val="00235797"/>
    <w:rsid w:val="0023589D"/>
    <w:rsid w:val="00235F2B"/>
    <w:rsid w:val="00235F6E"/>
    <w:rsid w:val="00236EE2"/>
    <w:rsid w:val="00237A15"/>
    <w:rsid w:val="00240733"/>
    <w:rsid w:val="00241D3A"/>
    <w:rsid w:val="002423AD"/>
    <w:rsid w:val="0024269B"/>
    <w:rsid w:val="00244532"/>
    <w:rsid w:val="00244845"/>
    <w:rsid w:val="00244B40"/>
    <w:rsid w:val="00246A36"/>
    <w:rsid w:val="00247523"/>
    <w:rsid w:val="002475F4"/>
    <w:rsid w:val="00247993"/>
    <w:rsid w:val="00247F59"/>
    <w:rsid w:val="0025043E"/>
    <w:rsid w:val="00250D5C"/>
    <w:rsid w:val="0025169E"/>
    <w:rsid w:val="00253446"/>
    <w:rsid w:val="00254149"/>
    <w:rsid w:val="00254F6E"/>
    <w:rsid w:val="0025656F"/>
    <w:rsid w:val="002574D7"/>
    <w:rsid w:val="00257B22"/>
    <w:rsid w:val="00262FD4"/>
    <w:rsid w:val="002665E4"/>
    <w:rsid w:val="002673AF"/>
    <w:rsid w:val="00270437"/>
    <w:rsid w:val="0027067C"/>
    <w:rsid w:val="00270D09"/>
    <w:rsid w:val="00270FE1"/>
    <w:rsid w:val="00271ABB"/>
    <w:rsid w:val="0027281A"/>
    <w:rsid w:val="00272DEC"/>
    <w:rsid w:val="002759A2"/>
    <w:rsid w:val="00275EA8"/>
    <w:rsid w:val="00276204"/>
    <w:rsid w:val="0027648D"/>
    <w:rsid w:val="00276C58"/>
    <w:rsid w:val="00280E45"/>
    <w:rsid w:val="002810F8"/>
    <w:rsid w:val="00282504"/>
    <w:rsid w:val="00283767"/>
    <w:rsid w:val="00284E69"/>
    <w:rsid w:val="0028617A"/>
    <w:rsid w:val="0028785C"/>
    <w:rsid w:val="00287D26"/>
    <w:rsid w:val="002901A4"/>
    <w:rsid w:val="00290D50"/>
    <w:rsid w:val="00291105"/>
    <w:rsid w:val="002936B7"/>
    <w:rsid w:val="0029442F"/>
    <w:rsid w:val="0029595B"/>
    <w:rsid w:val="00295A34"/>
    <w:rsid w:val="00296501"/>
    <w:rsid w:val="00297034"/>
    <w:rsid w:val="00297273"/>
    <w:rsid w:val="002975BF"/>
    <w:rsid w:val="0029799B"/>
    <w:rsid w:val="002A0906"/>
    <w:rsid w:val="002A1CD2"/>
    <w:rsid w:val="002A2B5C"/>
    <w:rsid w:val="002A2B93"/>
    <w:rsid w:val="002A4898"/>
    <w:rsid w:val="002A4F6F"/>
    <w:rsid w:val="002A5411"/>
    <w:rsid w:val="002A6206"/>
    <w:rsid w:val="002B01D6"/>
    <w:rsid w:val="002B2CE9"/>
    <w:rsid w:val="002B2F3A"/>
    <w:rsid w:val="002B5E0D"/>
    <w:rsid w:val="002B6471"/>
    <w:rsid w:val="002B7A62"/>
    <w:rsid w:val="002C00FF"/>
    <w:rsid w:val="002C08E4"/>
    <w:rsid w:val="002C30F7"/>
    <w:rsid w:val="002C4340"/>
    <w:rsid w:val="002C4F66"/>
    <w:rsid w:val="002C61E4"/>
    <w:rsid w:val="002C65FF"/>
    <w:rsid w:val="002C698C"/>
    <w:rsid w:val="002C75BE"/>
    <w:rsid w:val="002D157C"/>
    <w:rsid w:val="002D3A86"/>
    <w:rsid w:val="002D40BF"/>
    <w:rsid w:val="002D6B6F"/>
    <w:rsid w:val="002D7A77"/>
    <w:rsid w:val="002D7BE8"/>
    <w:rsid w:val="002E098C"/>
    <w:rsid w:val="002E22C8"/>
    <w:rsid w:val="002E3E40"/>
    <w:rsid w:val="002E474B"/>
    <w:rsid w:val="002E6E80"/>
    <w:rsid w:val="002E76EF"/>
    <w:rsid w:val="002E78B5"/>
    <w:rsid w:val="002E7E70"/>
    <w:rsid w:val="002F08C6"/>
    <w:rsid w:val="002F14E3"/>
    <w:rsid w:val="002F24F3"/>
    <w:rsid w:val="002F2754"/>
    <w:rsid w:val="002F27B6"/>
    <w:rsid w:val="002F2CD7"/>
    <w:rsid w:val="002F3781"/>
    <w:rsid w:val="002F37CB"/>
    <w:rsid w:val="002F4ADA"/>
    <w:rsid w:val="002F5465"/>
    <w:rsid w:val="002F7AD0"/>
    <w:rsid w:val="002F7EF3"/>
    <w:rsid w:val="0030169A"/>
    <w:rsid w:val="0030198D"/>
    <w:rsid w:val="00303A7C"/>
    <w:rsid w:val="0030541F"/>
    <w:rsid w:val="00306123"/>
    <w:rsid w:val="00307CF1"/>
    <w:rsid w:val="0031007D"/>
    <w:rsid w:val="003107DD"/>
    <w:rsid w:val="00311B9B"/>
    <w:rsid w:val="00311CDC"/>
    <w:rsid w:val="0031279C"/>
    <w:rsid w:val="00313380"/>
    <w:rsid w:val="00313E93"/>
    <w:rsid w:val="003142BE"/>
    <w:rsid w:val="0031536A"/>
    <w:rsid w:val="003157D1"/>
    <w:rsid w:val="00317222"/>
    <w:rsid w:val="0031763C"/>
    <w:rsid w:val="0031778B"/>
    <w:rsid w:val="00321555"/>
    <w:rsid w:val="00322799"/>
    <w:rsid w:val="003241F1"/>
    <w:rsid w:val="00324777"/>
    <w:rsid w:val="00324984"/>
    <w:rsid w:val="00325EB2"/>
    <w:rsid w:val="003301E5"/>
    <w:rsid w:val="00333BB7"/>
    <w:rsid w:val="00334CC7"/>
    <w:rsid w:val="003355B7"/>
    <w:rsid w:val="00336333"/>
    <w:rsid w:val="00336C72"/>
    <w:rsid w:val="0034044F"/>
    <w:rsid w:val="00343634"/>
    <w:rsid w:val="00343A1D"/>
    <w:rsid w:val="00343D9C"/>
    <w:rsid w:val="00344987"/>
    <w:rsid w:val="003459A8"/>
    <w:rsid w:val="003463EF"/>
    <w:rsid w:val="00346AF1"/>
    <w:rsid w:val="00347CFE"/>
    <w:rsid w:val="0035121B"/>
    <w:rsid w:val="003527A5"/>
    <w:rsid w:val="00352A69"/>
    <w:rsid w:val="00352D4E"/>
    <w:rsid w:val="00353D74"/>
    <w:rsid w:val="003543C6"/>
    <w:rsid w:val="0035556C"/>
    <w:rsid w:val="0035574A"/>
    <w:rsid w:val="00356466"/>
    <w:rsid w:val="00357E84"/>
    <w:rsid w:val="00360A1D"/>
    <w:rsid w:val="00360ACB"/>
    <w:rsid w:val="0036171B"/>
    <w:rsid w:val="00361811"/>
    <w:rsid w:val="00363155"/>
    <w:rsid w:val="00363B02"/>
    <w:rsid w:val="00364024"/>
    <w:rsid w:val="003642B6"/>
    <w:rsid w:val="003649C7"/>
    <w:rsid w:val="00365BD8"/>
    <w:rsid w:val="0036763F"/>
    <w:rsid w:val="003676C5"/>
    <w:rsid w:val="0037102A"/>
    <w:rsid w:val="003716BF"/>
    <w:rsid w:val="00371760"/>
    <w:rsid w:val="00372E14"/>
    <w:rsid w:val="00372FB1"/>
    <w:rsid w:val="0037418D"/>
    <w:rsid w:val="003758BE"/>
    <w:rsid w:val="00375BC2"/>
    <w:rsid w:val="00376869"/>
    <w:rsid w:val="003768B2"/>
    <w:rsid w:val="003778E8"/>
    <w:rsid w:val="00380598"/>
    <w:rsid w:val="00380ED1"/>
    <w:rsid w:val="00381B01"/>
    <w:rsid w:val="00382317"/>
    <w:rsid w:val="003829D9"/>
    <w:rsid w:val="00383B17"/>
    <w:rsid w:val="00384A92"/>
    <w:rsid w:val="003854F3"/>
    <w:rsid w:val="00385956"/>
    <w:rsid w:val="00386518"/>
    <w:rsid w:val="00391A61"/>
    <w:rsid w:val="00397B1C"/>
    <w:rsid w:val="00397E86"/>
    <w:rsid w:val="003A01CC"/>
    <w:rsid w:val="003A027C"/>
    <w:rsid w:val="003A1388"/>
    <w:rsid w:val="003A1D20"/>
    <w:rsid w:val="003A258C"/>
    <w:rsid w:val="003A40E7"/>
    <w:rsid w:val="003A4472"/>
    <w:rsid w:val="003A5DC1"/>
    <w:rsid w:val="003A5FBA"/>
    <w:rsid w:val="003A66AB"/>
    <w:rsid w:val="003A78B7"/>
    <w:rsid w:val="003A7D91"/>
    <w:rsid w:val="003B06A2"/>
    <w:rsid w:val="003B0EA2"/>
    <w:rsid w:val="003B13BE"/>
    <w:rsid w:val="003B24AF"/>
    <w:rsid w:val="003B5B12"/>
    <w:rsid w:val="003B5BD6"/>
    <w:rsid w:val="003B5D7B"/>
    <w:rsid w:val="003B5F19"/>
    <w:rsid w:val="003B6A79"/>
    <w:rsid w:val="003B72E5"/>
    <w:rsid w:val="003C0E0B"/>
    <w:rsid w:val="003C1220"/>
    <w:rsid w:val="003C2C2C"/>
    <w:rsid w:val="003C5333"/>
    <w:rsid w:val="003C5626"/>
    <w:rsid w:val="003C6339"/>
    <w:rsid w:val="003C6B76"/>
    <w:rsid w:val="003C6D3A"/>
    <w:rsid w:val="003D0DB0"/>
    <w:rsid w:val="003D2EB2"/>
    <w:rsid w:val="003D3B92"/>
    <w:rsid w:val="003D4056"/>
    <w:rsid w:val="003D415D"/>
    <w:rsid w:val="003D46D1"/>
    <w:rsid w:val="003E1356"/>
    <w:rsid w:val="003E4925"/>
    <w:rsid w:val="003E58E5"/>
    <w:rsid w:val="003E67CA"/>
    <w:rsid w:val="003E7C9B"/>
    <w:rsid w:val="003E7D25"/>
    <w:rsid w:val="003F0417"/>
    <w:rsid w:val="003F19AA"/>
    <w:rsid w:val="003F36ED"/>
    <w:rsid w:val="003F428A"/>
    <w:rsid w:val="003F5AB0"/>
    <w:rsid w:val="003F5BC2"/>
    <w:rsid w:val="003F6324"/>
    <w:rsid w:val="00400F91"/>
    <w:rsid w:val="00401580"/>
    <w:rsid w:val="00402338"/>
    <w:rsid w:val="00403958"/>
    <w:rsid w:val="00404C6D"/>
    <w:rsid w:val="00405A9D"/>
    <w:rsid w:val="00406CCB"/>
    <w:rsid w:val="00406E3F"/>
    <w:rsid w:val="00406E48"/>
    <w:rsid w:val="004137F3"/>
    <w:rsid w:val="00415470"/>
    <w:rsid w:val="00416388"/>
    <w:rsid w:val="00417D4F"/>
    <w:rsid w:val="004207AF"/>
    <w:rsid w:val="004208A8"/>
    <w:rsid w:val="00420D65"/>
    <w:rsid w:val="004223F4"/>
    <w:rsid w:val="004224DB"/>
    <w:rsid w:val="00424E3C"/>
    <w:rsid w:val="00427087"/>
    <w:rsid w:val="004300B5"/>
    <w:rsid w:val="00430E6B"/>
    <w:rsid w:val="0043103D"/>
    <w:rsid w:val="00431912"/>
    <w:rsid w:val="004342C9"/>
    <w:rsid w:val="00435B06"/>
    <w:rsid w:val="00436A49"/>
    <w:rsid w:val="00436DE1"/>
    <w:rsid w:val="00440412"/>
    <w:rsid w:val="00443674"/>
    <w:rsid w:val="00443769"/>
    <w:rsid w:val="00443935"/>
    <w:rsid w:val="004442B3"/>
    <w:rsid w:val="00444A73"/>
    <w:rsid w:val="00445986"/>
    <w:rsid w:val="00446613"/>
    <w:rsid w:val="0044662E"/>
    <w:rsid w:val="00447654"/>
    <w:rsid w:val="004476BD"/>
    <w:rsid w:val="004476E6"/>
    <w:rsid w:val="004513F9"/>
    <w:rsid w:val="004529F7"/>
    <w:rsid w:val="00452F36"/>
    <w:rsid w:val="00453130"/>
    <w:rsid w:val="0045394E"/>
    <w:rsid w:val="00453C2B"/>
    <w:rsid w:val="00453C73"/>
    <w:rsid w:val="00454B5D"/>
    <w:rsid w:val="00455B44"/>
    <w:rsid w:val="00456FA3"/>
    <w:rsid w:val="0045754E"/>
    <w:rsid w:val="0046086D"/>
    <w:rsid w:val="004621FC"/>
    <w:rsid w:val="004624DE"/>
    <w:rsid w:val="00462CC5"/>
    <w:rsid w:val="004640E1"/>
    <w:rsid w:val="00464491"/>
    <w:rsid w:val="00465DE3"/>
    <w:rsid w:val="004668C7"/>
    <w:rsid w:val="0047305B"/>
    <w:rsid w:val="004755C3"/>
    <w:rsid w:val="00475A0F"/>
    <w:rsid w:val="00475FF7"/>
    <w:rsid w:val="004766C8"/>
    <w:rsid w:val="00476B16"/>
    <w:rsid w:val="004771A7"/>
    <w:rsid w:val="00477DF1"/>
    <w:rsid w:val="004805E1"/>
    <w:rsid w:val="0048088F"/>
    <w:rsid w:val="0048194E"/>
    <w:rsid w:val="00481A4B"/>
    <w:rsid w:val="004852F8"/>
    <w:rsid w:val="004864A7"/>
    <w:rsid w:val="00486D4E"/>
    <w:rsid w:val="00492B91"/>
    <w:rsid w:val="0049352F"/>
    <w:rsid w:val="00493D28"/>
    <w:rsid w:val="00495099"/>
    <w:rsid w:val="004964CB"/>
    <w:rsid w:val="004A1557"/>
    <w:rsid w:val="004A3CA1"/>
    <w:rsid w:val="004A40B9"/>
    <w:rsid w:val="004A465C"/>
    <w:rsid w:val="004A6204"/>
    <w:rsid w:val="004A73CD"/>
    <w:rsid w:val="004A791C"/>
    <w:rsid w:val="004B0C70"/>
    <w:rsid w:val="004B10CD"/>
    <w:rsid w:val="004B2765"/>
    <w:rsid w:val="004B2A37"/>
    <w:rsid w:val="004B30E9"/>
    <w:rsid w:val="004B3309"/>
    <w:rsid w:val="004B362E"/>
    <w:rsid w:val="004B3835"/>
    <w:rsid w:val="004B43B7"/>
    <w:rsid w:val="004B5C2B"/>
    <w:rsid w:val="004B6984"/>
    <w:rsid w:val="004C01CB"/>
    <w:rsid w:val="004C05F2"/>
    <w:rsid w:val="004C223F"/>
    <w:rsid w:val="004C2689"/>
    <w:rsid w:val="004C2B0F"/>
    <w:rsid w:val="004C407E"/>
    <w:rsid w:val="004C4AB1"/>
    <w:rsid w:val="004C7A15"/>
    <w:rsid w:val="004D11B7"/>
    <w:rsid w:val="004D3F97"/>
    <w:rsid w:val="004D52E2"/>
    <w:rsid w:val="004D55CE"/>
    <w:rsid w:val="004D57A0"/>
    <w:rsid w:val="004D61D0"/>
    <w:rsid w:val="004D69B9"/>
    <w:rsid w:val="004E0448"/>
    <w:rsid w:val="004E0508"/>
    <w:rsid w:val="004E0791"/>
    <w:rsid w:val="004E0DB8"/>
    <w:rsid w:val="004E1C15"/>
    <w:rsid w:val="004E4001"/>
    <w:rsid w:val="004E44CC"/>
    <w:rsid w:val="004E4850"/>
    <w:rsid w:val="004E5CA5"/>
    <w:rsid w:val="004E60AA"/>
    <w:rsid w:val="004E635C"/>
    <w:rsid w:val="004E640D"/>
    <w:rsid w:val="004E7D70"/>
    <w:rsid w:val="004F0E19"/>
    <w:rsid w:val="004F176F"/>
    <w:rsid w:val="004F345D"/>
    <w:rsid w:val="004F354D"/>
    <w:rsid w:val="004F6977"/>
    <w:rsid w:val="004F7B32"/>
    <w:rsid w:val="00500F3C"/>
    <w:rsid w:val="00501FA2"/>
    <w:rsid w:val="005022FE"/>
    <w:rsid w:val="005034FC"/>
    <w:rsid w:val="00503F67"/>
    <w:rsid w:val="005045FB"/>
    <w:rsid w:val="005055E2"/>
    <w:rsid w:val="00506448"/>
    <w:rsid w:val="005106D5"/>
    <w:rsid w:val="00510994"/>
    <w:rsid w:val="005112F3"/>
    <w:rsid w:val="005126E8"/>
    <w:rsid w:val="005133C2"/>
    <w:rsid w:val="0051591D"/>
    <w:rsid w:val="005171DA"/>
    <w:rsid w:val="00517BF1"/>
    <w:rsid w:val="00520645"/>
    <w:rsid w:val="00520920"/>
    <w:rsid w:val="0052107B"/>
    <w:rsid w:val="00521372"/>
    <w:rsid w:val="00521E6E"/>
    <w:rsid w:val="00523184"/>
    <w:rsid w:val="0052357A"/>
    <w:rsid w:val="00523AEC"/>
    <w:rsid w:val="00530CE7"/>
    <w:rsid w:val="005316A8"/>
    <w:rsid w:val="00531DBF"/>
    <w:rsid w:val="005327B2"/>
    <w:rsid w:val="00535C65"/>
    <w:rsid w:val="00536DF1"/>
    <w:rsid w:val="00540FEC"/>
    <w:rsid w:val="005414D6"/>
    <w:rsid w:val="00541F83"/>
    <w:rsid w:val="00542867"/>
    <w:rsid w:val="00542E00"/>
    <w:rsid w:val="005430C7"/>
    <w:rsid w:val="00543809"/>
    <w:rsid w:val="00543CB6"/>
    <w:rsid w:val="005446B0"/>
    <w:rsid w:val="005465AC"/>
    <w:rsid w:val="0054690E"/>
    <w:rsid w:val="00546B8F"/>
    <w:rsid w:val="005475A9"/>
    <w:rsid w:val="00547E4F"/>
    <w:rsid w:val="00550074"/>
    <w:rsid w:val="00551DFC"/>
    <w:rsid w:val="0055211A"/>
    <w:rsid w:val="00552F55"/>
    <w:rsid w:val="0055455F"/>
    <w:rsid w:val="00555BCD"/>
    <w:rsid w:val="00555EF8"/>
    <w:rsid w:val="005605F8"/>
    <w:rsid w:val="005610E6"/>
    <w:rsid w:val="005633D7"/>
    <w:rsid w:val="0056343B"/>
    <w:rsid w:val="00563DD5"/>
    <w:rsid w:val="005650C2"/>
    <w:rsid w:val="00565484"/>
    <w:rsid w:val="00565A8C"/>
    <w:rsid w:val="00565EF8"/>
    <w:rsid w:val="005703D1"/>
    <w:rsid w:val="005727B7"/>
    <w:rsid w:val="00574068"/>
    <w:rsid w:val="00574682"/>
    <w:rsid w:val="0057682D"/>
    <w:rsid w:val="005807B2"/>
    <w:rsid w:val="00580954"/>
    <w:rsid w:val="00581DAF"/>
    <w:rsid w:val="00582FCA"/>
    <w:rsid w:val="00583A5C"/>
    <w:rsid w:val="00583C23"/>
    <w:rsid w:val="00584238"/>
    <w:rsid w:val="005850D6"/>
    <w:rsid w:val="0058565E"/>
    <w:rsid w:val="0058643C"/>
    <w:rsid w:val="00586EDA"/>
    <w:rsid w:val="005927CD"/>
    <w:rsid w:val="00592F0D"/>
    <w:rsid w:val="0059343A"/>
    <w:rsid w:val="005946B8"/>
    <w:rsid w:val="00595440"/>
    <w:rsid w:val="00595F94"/>
    <w:rsid w:val="00596297"/>
    <w:rsid w:val="005964EC"/>
    <w:rsid w:val="00596E98"/>
    <w:rsid w:val="005971FD"/>
    <w:rsid w:val="0059746C"/>
    <w:rsid w:val="005A0661"/>
    <w:rsid w:val="005A129B"/>
    <w:rsid w:val="005A1DA9"/>
    <w:rsid w:val="005A1FDF"/>
    <w:rsid w:val="005A4F1F"/>
    <w:rsid w:val="005A5411"/>
    <w:rsid w:val="005A6732"/>
    <w:rsid w:val="005A6BD9"/>
    <w:rsid w:val="005A6F0F"/>
    <w:rsid w:val="005B0458"/>
    <w:rsid w:val="005B143F"/>
    <w:rsid w:val="005B1DF6"/>
    <w:rsid w:val="005B213E"/>
    <w:rsid w:val="005B216A"/>
    <w:rsid w:val="005B49EB"/>
    <w:rsid w:val="005B6992"/>
    <w:rsid w:val="005B7FA4"/>
    <w:rsid w:val="005C3296"/>
    <w:rsid w:val="005C528B"/>
    <w:rsid w:val="005C70CC"/>
    <w:rsid w:val="005D2CB5"/>
    <w:rsid w:val="005D37A8"/>
    <w:rsid w:val="005D386F"/>
    <w:rsid w:val="005D3969"/>
    <w:rsid w:val="005D72C1"/>
    <w:rsid w:val="005E1AFA"/>
    <w:rsid w:val="005E28E6"/>
    <w:rsid w:val="005E4813"/>
    <w:rsid w:val="005E6E82"/>
    <w:rsid w:val="005E7DDA"/>
    <w:rsid w:val="005F1051"/>
    <w:rsid w:val="005F6167"/>
    <w:rsid w:val="005F6DE7"/>
    <w:rsid w:val="005F7150"/>
    <w:rsid w:val="005F7CCD"/>
    <w:rsid w:val="00601855"/>
    <w:rsid w:val="006026FD"/>
    <w:rsid w:val="006031DC"/>
    <w:rsid w:val="00604425"/>
    <w:rsid w:val="0060535C"/>
    <w:rsid w:val="0060542A"/>
    <w:rsid w:val="006061C8"/>
    <w:rsid w:val="00607010"/>
    <w:rsid w:val="00607538"/>
    <w:rsid w:val="006102B7"/>
    <w:rsid w:val="00613D71"/>
    <w:rsid w:val="0061459D"/>
    <w:rsid w:val="006243E7"/>
    <w:rsid w:val="00624C49"/>
    <w:rsid w:val="006254F3"/>
    <w:rsid w:val="00625C51"/>
    <w:rsid w:val="00625F00"/>
    <w:rsid w:val="006266EB"/>
    <w:rsid w:val="00627144"/>
    <w:rsid w:val="00627321"/>
    <w:rsid w:val="006313EC"/>
    <w:rsid w:val="006326CB"/>
    <w:rsid w:val="00632CCD"/>
    <w:rsid w:val="0063507E"/>
    <w:rsid w:val="00635319"/>
    <w:rsid w:val="0063603C"/>
    <w:rsid w:val="0063697C"/>
    <w:rsid w:val="006369CC"/>
    <w:rsid w:val="006374EF"/>
    <w:rsid w:val="00640E45"/>
    <w:rsid w:val="00641021"/>
    <w:rsid w:val="006428C7"/>
    <w:rsid w:val="00642EAE"/>
    <w:rsid w:val="00643275"/>
    <w:rsid w:val="00643E16"/>
    <w:rsid w:val="00645391"/>
    <w:rsid w:val="00646631"/>
    <w:rsid w:val="00646F06"/>
    <w:rsid w:val="00647F26"/>
    <w:rsid w:val="00651697"/>
    <w:rsid w:val="00652737"/>
    <w:rsid w:val="006536D6"/>
    <w:rsid w:val="00654653"/>
    <w:rsid w:val="006555AD"/>
    <w:rsid w:val="006560FF"/>
    <w:rsid w:val="00657569"/>
    <w:rsid w:val="00661118"/>
    <w:rsid w:val="00662875"/>
    <w:rsid w:val="00663399"/>
    <w:rsid w:val="00663870"/>
    <w:rsid w:val="00663C71"/>
    <w:rsid w:val="006640F9"/>
    <w:rsid w:val="006641C6"/>
    <w:rsid w:val="006647CF"/>
    <w:rsid w:val="00664E25"/>
    <w:rsid w:val="00665424"/>
    <w:rsid w:val="006656A2"/>
    <w:rsid w:val="00665738"/>
    <w:rsid w:val="00666247"/>
    <w:rsid w:val="006679EB"/>
    <w:rsid w:val="00672A26"/>
    <w:rsid w:val="00674C5F"/>
    <w:rsid w:val="00674F5E"/>
    <w:rsid w:val="00675866"/>
    <w:rsid w:val="006763B3"/>
    <w:rsid w:val="006765BB"/>
    <w:rsid w:val="006778A5"/>
    <w:rsid w:val="00677A19"/>
    <w:rsid w:val="00680491"/>
    <w:rsid w:val="00682F0F"/>
    <w:rsid w:val="006830A1"/>
    <w:rsid w:val="00683222"/>
    <w:rsid w:val="00683387"/>
    <w:rsid w:val="00686A7A"/>
    <w:rsid w:val="00686F46"/>
    <w:rsid w:val="00687B51"/>
    <w:rsid w:val="006900BC"/>
    <w:rsid w:val="006907CD"/>
    <w:rsid w:val="00690B47"/>
    <w:rsid w:val="006919C3"/>
    <w:rsid w:val="00692DDF"/>
    <w:rsid w:val="0069376A"/>
    <w:rsid w:val="00694AAB"/>
    <w:rsid w:val="00694BF0"/>
    <w:rsid w:val="00697F32"/>
    <w:rsid w:val="006A14CE"/>
    <w:rsid w:val="006A1725"/>
    <w:rsid w:val="006A1854"/>
    <w:rsid w:val="006A5EAE"/>
    <w:rsid w:val="006A61E5"/>
    <w:rsid w:val="006A7616"/>
    <w:rsid w:val="006A76FE"/>
    <w:rsid w:val="006B46DC"/>
    <w:rsid w:val="006B57C3"/>
    <w:rsid w:val="006B666A"/>
    <w:rsid w:val="006B74E9"/>
    <w:rsid w:val="006B755E"/>
    <w:rsid w:val="006B7F89"/>
    <w:rsid w:val="006C05F3"/>
    <w:rsid w:val="006C0C8E"/>
    <w:rsid w:val="006C194E"/>
    <w:rsid w:val="006C2A54"/>
    <w:rsid w:val="006C3846"/>
    <w:rsid w:val="006C431D"/>
    <w:rsid w:val="006C4725"/>
    <w:rsid w:val="006D13F5"/>
    <w:rsid w:val="006D1FA6"/>
    <w:rsid w:val="006D21F0"/>
    <w:rsid w:val="006D2952"/>
    <w:rsid w:val="006D3090"/>
    <w:rsid w:val="006D386C"/>
    <w:rsid w:val="006D3EDC"/>
    <w:rsid w:val="006D4845"/>
    <w:rsid w:val="006D5CDB"/>
    <w:rsid w:val="006D6ADF"/>
    <w:rsid w:val="006D6BD7"/>
    <w:rsid w:val="006D7839"/>
    <w:rsid w:val="006E02B1"/>
    <w:rsid w:val="006E0414"/>
    <w:rsid w:val="006E06C4"/>
    <w:rsid w:val="006E157D"/>
    <w:rsid w:val="006E34FF"/>
    <w:rsid w:val="006E60D0"/>
    <w:rsid w:val="006E6DDB"/>
    <w:rsid w:val="006F0AC4"/>
    <w:rsid w:val="006F2128"/>
    <w:rsid w:val="006F2CEE"/>
    <w:rsid w:val="006F4297"/>
    <w:rsid w:val="006F5195"/>
    <w:rsid w:val="006F5816"/>
    <w:rsid w:val="006F61C3"/>
    <w:rsid w:val="006F730A"/>
    <w:rsid w:val="006F7546"/>
    <w:rsid w:val="00700495"/>
    <w:rsid w:val="00701907"/>
    <w:rsid w:val="0070375B"/>
    <w:rsid w:val="00704686"/>
    <w:rsid w:val="007048C9"/>
    <w:rsid w:val="007064D1"/>
    <w:rsid w:val="00706C75"/>
    <w:rsid w:val="00707EEA"/>
    <w:rsid w:val="007104CA"/>
    <w:rsid w:val="007106FF"/>
    <w:rsid w:val="00710932"/>
    <w:rsid w:val="00711C46"/>
    <w:rsid w:val="0071220C"/>
    <w:rsid w:val="00714BDB"/>
    <w:rsid w:val="00714E63"/>
    <w:rsid w:val="0071751C"/>
    <w:rsid w:val="007178AF"/>
    <w:rsid w:val="007209A3"/>
    <w:rsid w:val="007259AE"/>
    <w:rsid w:val="00725BFA"/>
    <w:rsid w:val="00726131"/>
    <w:rsid w:val="007269A4"/>
    <w:rsid w:val="00727604"/>
    <w:rsid w:val="00732632"/>
    <w:rsid w:val="00732BD2"/>
    <w:rsid w:val="0073367B"/>
    <w:rsid w:val="00733AA3"/>
    <w:rsid w:val="00733D68"/>
    <w:rsid w:val="00733E60"/>
    <w:rsid w:val="00734BF0"/>
    <w:rsid w:val="007358D4"/>
    <w:rsid w:val="00737B33"/>
    <w:rsid w:val="00737D3F"/>
    <w:rsid w:val="0074025C"/>
    <w:rsid w:val="007427E1"/>
    <w:rsid w:val="00742808"/>
    <w:rsid w:val="0074297D"/>
    <w:rsid w:val="00743951"/>
    <w:rsid w:val="0074407F"/>
    <w:rsid w:val="007453C6"/>
    <w:rsid w:val="00745C40"/>
    <w:rsid w:val="00746488"/>
    <w:rsid w:val="00746653"/>
    <w:rsid w:val="0074680B"/>
    <w:rsid w:val="00750CFD"/>
    <w:rsid w:val="007532C7"/>
    <w:rsid w:val="00753442"/>
    <w:rsid w:val="00754000"/>
    <w:rsid w:val="0075534B"/>
    <w:rsid w:val="0075586C"/>
    <w:rsid w:val="007561EF"/>
    <w:rsid w:val="0075646B"/>
    <w:rsid w:val="00757C0C"/>
    <w:rsid w:val="00760447"/>
    <w:rsid w:val="00760C76"/>
    <w:rsid w:val="0076115B"/>
    <w:rsid w:val="007623A6"/>
    <w:rsid w:val="007644D4"/>
    <w:rsid w:val="00767E50"/>
    <w:rsid w:val="00770BE0"/>
    <w:rsid w:val="00771BDB"/>
    <w:rsid w:val="00774DD6"/>
    <w:rsid w:val="00774E6B"/>
    <w:rsid w:val="007773D4"/>
    <w:rsid w:val="0077782A"/>
    <w:rsid w:val="007806EF"/>
    <w:rsid w:val="007830DD"/>
    <w:rsid w:val="0078437C"/>
    <w:rsid w:val="00784AE6"/>
    <w:rsid w:val="00784CA4"/>
    <w:rsid w:val="00784D51"/>
    <w:rsid w:val="00784E89"/>
    <w:rsid w:val="0078521D"/>
    <w:rsid w:val="007859D4"/>
    <w:rsid w:val="007864CA"/>
    <w:rsid w:val="00787769"/>
    <w:rsid w:val="007909DF"/>
    <w:rsid w:val="00794040"/>
    <w:rsid w:val="0079507F"/>
    <w:rsid w:val="00797162"/>
    <w:rsid w:val="007A030A"/>
    <w:rsid w:val="007A0608"/>
    <w:rsid w:val="007A1A61"/>
    <w:rsid w:val="007A2172"/>
    <w:rsid w:val="007A2E2A"/>
    <w:rsid w:val="007A31E6"/>
    <w:rsid w:val="007A3201"/>
    <w:rsid w:val="007A4296"/>
    <w:rsid w:val="007A4477"/>
    <w:rsid w:val="007A4951"/>
    <w:rsid w:val="007A69E3"/>
    <w:rsid w:val="007A7D92"/>
    <w:rsid w:val="007B1D8C"/>
    <w:rsid w:val="007B2424"/>
    <w:rsid w:val="007B39B5"/>
    <w:rsid w:val="007B44B7"/>
    <w:rsid w:val="007B47F3"/>
    <w:rsid w:val="007B76CF"/>
    <w:rsid w:val="007C06DB"/>
    <w:rsid w:val="007C07F2"/>
    <w:rsid w:val="007C1F9B"/>
    <w:rsid w:val="007C442F"/>
    <w:rsid w:val="007C6C44"/>
    <w:rsid w:val="007C7F1C"/>
    <w:rsid w:val="007D19D1"/>
    <w:rsid w:val="007D26D0"/>
    <w:rsid w:val="007D2F6E"/>
    <w:rsid w:val="007D31FD"/>
    <w:rsid w:val="007D4096"/>
    <w:rsid w:val="007D502C"/>
    <w:rsid w:val="007D5FE6"/>
    <w:rsid w:val="007D6DFC"/>
    <w:rsid w:val="007D71B9"/>
    <w:rsid w:val="007D79F3"/>
    <w:rsid w:val="007E03DA"/>
    <w:rsid w:val="007E21C1"/>
    <w:rsid w:val="007E37B6"/>
    <w:rsid w:val="007E7CC7"/>
    <w:rsid w:val="007F0892"/>
    <w:rsid w:val="007F12B7"/>
    <w:rsid w:val="007F1647"/>
    <w:rsid w:val="007F1AEC"/>
    <w:rsid w:val="007F1EC8"/>
    <w:rsid w:val="007F25A9"/>
    <w:rsid w:val="007F33A7"/>
    <w:rsid w:val="007F40D3"/>
    <w:rsid w:val="007F539D"/>
    <w:rsid w:val="007F5717"/>
    <w:rsid w:val="007F5EF2"/>
    <w:rsid w:val="007F735F"/>
    <w:rsid w:val="00800944"/>
    <w:rsid w:val="00801036"/>
    <w:rsid w:val="00801575"/>
    <w:rsid w:val="00804AE3"/>
    <w:rsid w:val="00804B83"/>
    <w:rsid w:val="00804F81"/>
    <w:rsid w:val="00806EC3"/>
    <w:rsid w:val="00807AA6"/>
    <w:rsid w:val="00810D09"/>
    <w:rsid w:val="00810FF6"/>
    <w:rsid w:val="0081368C"/>
    <w:rsid w:val="00813C37"/>
    <w:rsid w:val="00813D5B"/>
    <w:rsid w:val="008147EC"/>
    <w:rsid w:val="00815D71"/>
    <w:rsid w:val="008164DC"/>
    <w:rsid w:val="00817DF4"/>
    <w:rsid w:val="00820836"/>
    <w:rsid w:val="008231BA"/>
    <w:rsid w:val="00824E2B"/>
    <w:rsid w:val="00826980"/>
    <w:rsid w:val="00830096"/>
    <w:rsid w:val="008306DE"/>
    <w:rsid w:val="008313B2"/>
    <w:rsid w:val="00832276"/>
    <w:rsid w:val="00832B98"/>
    <w:rsid w:val="00833512"/>
    <w:rsid w:val="008349D4"/>
    <w:rsid w:val="00835309"/>
    <w:rsid w:val="00837F0A"/>
    <w:rsid w:val="00840112"/>
    <w:rsid w:val="00840199"/>
    <w:rsid w:val="008405A7"/>
    <w:rsid w:val="00841134"/>
    <w:rsid w:val="0084151A"/>
    <w:rsid w:val="00842423"/>
    <w:rsid w:val="00843DEE"/>
    <w:rsid w:val="00845419"/>
    <w:rsid w:val="00846055"/>
    <w:rsid w:val="00847405"/>
    <w:rsid w:val="00850132"/>
    <w:rsid w:val="00853B1B"/>
    <w:rsid w:val="00855A00"/>
    <w:rsid w:val="00856495"/>
    <w:rsid w:val="0085721D"/>
    <w:rsid w:val="008577D4"/>
    <w:rsid w:val="0086059E"/>
    <w:rsid w:val="00860DDC"/>
    <w:rsid w:val="00862065"/>
    <w:rsid w:val="00863DB6"/>
    <w:rsid w:val="00863FD0"/>
    <w:rsid w:val="008644A7"/>
    <w:rsid w:val="008657F9"/>
    <w:rsid w:val="00865B14"/>
    <w:rsid w:val="00866479"/>
    <w:rsid w:val="00871667"/>
    <w:rsid w:val="008720D8"/>
    <w:rsid w:val="0087367F"/>
    <w:rsid w:val="00873A06"/>
    <w:rsid w:val="00874D70"/>
    <w:rsid w:val="00875555"/>
    <w:rsid w:val="00876C5D"/>
    <w:rsid w:val="00880915"/>
    <w:rsid w:val="00881282"/>
    <w:rsid w:val="00883E6C"/>
    <w:rsid w:val="00885AD4"/>
    <w:rsid w:val="008862B5"/>
    <w:rsid w:val="0088721E"/>
    <w:rsid w:val="00887299"/>
    <w:rsid w:val="0088740B"/>
    <w:rsid w:val="00887544"/>
    <w:rsid w:val="0089060D"/>
    <w:rsid w:val="008908F5"/>
    <w:rsid w:val="00890A4C"/>
    <w:rsid w:val="00890DDA"/>
    <w:rsid w:val="00891513"/>
    <w:rsid w:val="00891914"/>
    <w:rsid w:val="008945FD"/>
    <w:rsid w:val="008951AC"/>
    <w:rsid w:val="00895402"/>
    <w:rsid w:val="008961B7"/>
    <w:rsid w:val="0089654C"/>
    <w:rsid w:val="00896708"/>
    <w:rsid w:val="0089677E"/>
    <w:rsid w:val="008978CC"/>
    <w:rsid w:val="00897E6F"/>
    <w:rsid w:val="008A1673"/>
    <w:rsid w:val="008A1F71"/>
    <w:rsid w:val="008A226B"/>
    <w:rsid w:val="008A2808"/>
    <w:rsid w:val="008A694E"/>
    <w:rsid w:val="008B354A"/>
    <w:rsid w:val="008B5987"/>
    <w:rsid w:val="008B6B10"/>
    <w:rsid w:val="008C2E65"/>
    <w:rsid w:val="008C34DE"/>
    <w:rsid w:val="008C37C8"/>
    <w:rsid w:val="008C4DFD"/>
    <w:rsid w:val="008C5BD8"/>
    <w:rsid w:val="008C5C8C"/>
    <w:rsid w:val="008D0BF5"/>
    <w:rsid w:val="008D114B"/>
    <w:rsid w:val="008D34FE"/>
    <w:rsid w:val="008D4E68"/>
    <w:rsid w:val="008D52D6"/>
    <w:rsid w:val="008D6987"/>
    <w:rsid w:val="008D7DDB"/>
    <w:rsid w:val="008E08F8"/>
    <w:rsid w:val="008E1900"/>
    <w:rsid w:val="008E1F19"/>
    <w:rsid w:val="008E5912"/>
    <w:rsid w:val="008F075C"/>
    <w:rsid w:val="008F0AF1"/>
    <w:rsid w:val="008F0B32"/>
    <w:rsid w:val="008F11E2"/>
    <w:rsid w:val="008F208A"/>
    <w:rsid w:val="008F3660"/>
    <w:rsid w:val="008F3F09"/>
    <w:rsid w:val="008F436E"/>
    <w:rsid w:val="008F7B87"/>
    <w:rsid w:val="009005F8"/>
    <w:rsid w:val="00901F97"/>
    <w:rsid w:val="009025A6"/>
    <w:rsid w:val="009027DA"/>
    <w:rsid w:val="00902BA3"/>
    <w:rsid w:val="00902C55"/>
    <w:rsid w:val="00904F5A"/>
    <w:rsid w:val="00906098"/>
    <w:rsid w:val="00907206"/>
    <w:rsid w:val="00907611"/>
    <w:rsid w:val="00910BF0"/>
    <w:rsid w:val="00911C69"/>
    <w:rsid w:val="009121CD"/>
    <w:rsid w:val="009128B0"/>
    <w:rsid w:val="009129DD"/>
    <w:rsid w:val="00912DEC"/>
    <w:rsid w:val="0091364C"/>
    <w:rsid w:val="009149A9"/>
    <w:rsid w:val="009152A2"/>
    <w:rsid w:val="00915D80"/>
    <w:rsid w:val="0092040D"/>
    <w:rsid w:val="009205BD"/>
    <w:rsid w:val="00924E28"/>
    <w:rsid w:val="00925384"/>
    <w:rsid w:val="00926348"/>
    <w:rsid w:val="00926F34"/>
    <w:rsid w:val="0092735E"/>
    <w:rsid w:val="009276E2"/>
    <w:rsid w:val="009301F1"/>
    <w:rsid w:val="00930D8F"/>
    <w:rsid w:val="00933311"/>
    <w:rsid w:val="00934A69"/>
    <w:rsid w:val="00935197"/>
    <w:rsid w:val="009353BF"/>
    <w:rsid w:val="009356A4"/>
    <w:rsid w:val="00936722"/>
    <w:rsid w:val="009376A3"/>
    <w:rsid w:val="00937A0D"/>
    <w:rsid w:val="009405F0"/>
    <w:rsid w:val="00940829"/>
    <w:rsid w:val="00940F46"/>
    <w:rsid w:val="009443BC"/>
    <w:rsid w:val="009451C2"/>
    <w:rsid w:val="0095018E"/>
    <w:rsid w:val="00950C28"/>
    <w:rsid w:val="00951019"/>
    <w:rsid w:val="00951C06"/>
    <w:rsid w:val="009528ED"/>
    <w:rsid w:val="00952920"/>
    <w:rsid w:val="00954212"/>
    <w:rsid w:val="009546D8"/>
    <w:rsid w:val="009548FE"/>
    <w:rsid w:val="00954B36"/>
    <w:rsid w:val="009558F0"/>
    <w:rsid w:val="00957429"/>
    <w:rsid w:val="00962BA0"/>
    <w:rsid w:val="009632D7"/>
    <w:rsid w:val="00963962"/>
    <w:rsid w:val="00964509"/>
    <w:rsid w:val="00965A62"/>
    <w:rsid w:val="00965A8D"/>
    <w:rsid w:val="00965F39"/>
    <w:rsid w:val="00966C54"/>
    <w:rsid w:val="009678FD"/>
    <w:rsid w:val="0097123A"/>
    <w:rsid w:val="00972789"/>
    <w:rsid w:val="00972CB3"/>
    <w:rsid w:val="0097416F"/>
    <w:rsid w:val="009748E6"/>
    <w:rsid w:val="009751AB"/>
    <w:rsid w:val="0097541B"/>
    <w:rsid w:val="00975828"/>
    <w:rsid w:val="00975DA4"/>
    <w:rsid w:val="0097649D"/>
    <w:rsid w:val="00976B02"/>
    <w:rsid w:val="00977987"/>
    <w:rsid w:val="00984598"/>
    <w:rsid w:val="00984C44"/>
    <w:rsid w:val="00984F86"/>
    <w:rsid w:val="009853EE"/>
    <w:rsid w:val="00987B06"/>
    <w:rsid w:val="00987D47"/>
    <w:rsid w:val="00990D29"/>
    <w:rsid w:val="009916C7"/>
    <w:rsid w:val="00991914"/>
    <w:rsid w:val="00992DFF"/>
    <w:rsid w:val="0099304D"/>
    <w:rsid w:val="0099417E"/>
    <w:rsid w:val="009944E0"/>
    <w:rsid w:val="00994E8C"/>
    <w:rsid w:val="00995613"/>
    <w:rsid w:val="00995CE5"/>
    <w:rsid w:val="009969FD"/>
    <w:rsid w:val="009A23E0"/>
    <w:rsid w:val="009A32F5"/>
    <w:rsid w:val="009A42A8"/>
    <w:rsid w:val="009A4397"/>
    <w:rsid w:val="009A4FA2"/>
    <w:rsid w:val="009A5462"/>
    <w:rsid w:val="009A58EC"/>
    <w:rsid w:val="009A5BBB"/>
    <w:rsid w:val="009A5EF9"/>
    <w:rsid w:val="009A6073"/>
    <w:rsid w:val="009A70D7"/>
    <w:rsid w:val="009A7DF7"/>
    <w:rsid w:val="009B09C6"/>
    <w:rsid w:val="009B1700"/>
    <w:rsid w:val="009B1ACA"/>
    <w:rsid w:val="009B4A2A"/>
    <w:rsid w:val="009B5B0A"/>
    <w:rsid w:val="009B717A"/>
    <w:rsid w:val="009C0A02"/>
    <w:rsid w:val="009C0FC8"/>
    <w:rsid w:val="009C149E"/>
    <w:rsid w:val="009C2256"/>
    <w:rsid w:val="009C3479"/>
    <w:rsid w:val="009C3782"/>
    <w:rsid w:val="009C3E2A"/>
    <w:rsid w:val="009C4B02"/>
    <w:rsid w:val="009C53AF"/>
    <w:rsid w:val="009C5A69"/>
    <w:rsid w:val="009D0BFE"/>
    <w:rsid w:val="009D182C"/>
    <w:rsid w:val="009D41CA"/>
    <w:rsid w:val="009D4C29"/>
    <w:rsid w:val="009D4D81"/>
    <w:rsid w:val="009D4ED5"/>
    <w:rsid w:val="009D5001"/>
    <w:rsid w:val="009D5869"/>
    <w:rsid w:val="009D6688"/>
    <w:rsid w:val="009E1151"/>
    <w:rsid w:val="009E26B9"/>
    <w:rsid w:val="009E3018"/>
    <w:rsid w:val="009E3502"/>
    <w:rsid w:val="009E3B58"/>
    <w:rsid w:val="009E40DD"/>
    <w:rsid w:val="009E45C9"/>
    <w:rsid w:val="009E56B5"/>
    <w:rsid w:val="009E56F4"/>
    <w:rsid w:val="009E662A"/>
    <w:rsid w:val="009E6BFC"/>
    <w:rsid w:val="009E74C5"/>
    <w:rsid w:val="009E776F"/>
    <w:rsid w:val="009F0DB1"/>
    <w:rsid w:val="009F1936"/>
    <w:rsid w:val="009F2040"/>
    <w:rsid w:val="009F2104"/>
    <w:rsid w:val="009F2584"/>
    <w:rsid w:val="009F278F"/>
    <w:rsid w:val="009F2800"/>
    <w:rsid w:val="009F412B"/>
    <w:rsid w:val="009F4407"/>
    <w:rsid w:val="009F47A2"/>
    <w:rsid w:val="009F6808"/>
    <w:rsid w:val="009F6A0B"/>
    <w:rsid w:val="009F7BBD"/>
    <w:rsid w:val="009F7BF9"/>
    <w:rsid w:val="00A00951"/>
    <w:rsid w:val="00A009A2"/>
    <w:rsid w:val="00A02E8A"/>
    <w:rsid w:val="00A03446"/>
    <w:rsid w:val="00A03AF5"/>
    <w:rsid w:val="00A03BF8"/>
    <w:rsid w:val="00A049F9"/>
    <w:rsid w:val="00A051C8"/>
    <w:rsid w:val="00A061F5"/>
    <w:rsid w:val="00A06B44"/>
    <w:rsid w:val="00A10960"/>
    <w:rsid w:val="00A141B7"/>
    <w:rsid w:val="00A14D5E"/>
    <w:rsid w:val="00A17418"/>
    <w:rsid w:val="00A23C9E"/>
    <w:rsid w:val="00A2594E"/>
    <w:rsid w:val="00A26BE5"/>
    <w:rsid w:val="00A26C1C"/>
    <w:rsid w:val="00A30F8F"/>
    <w:rsid w:val="00A31EB5"/>
    <w:rsid w:val="00A323CC"/>
    <w:rsid w:val="00A32C0E"/>
    <w:rsid w:val="00A32EFD"/>
    <w:rsid w:val="00A33522"/>
    <w:rsid w:val="00A3358B"/>
    <w:rsid w:val="00A34916"/>
    <w:rsid w:val="00A34F62"/>
    <w:rsid w:val="00A35B95"/>
    <w:rsid w:val="00A35F40"/>
    <w:rsid w:val="00A360FE"/>
    <w:rsid w:val="00A363CB"/>
    <w:rsid w:val="00A37D99"/>
    <w:rsid w:val="00A37E06"/>
    <w:rsid w:val="00A4131F"/>
    <w:rsid w:val="00A41636"/>
    <w:rsid w:val="00A42C6D"/>
    <w:rsid w:val="00A44252"/>
    <w:rsid w:val="00A4766A"/>
    <w:rsid w:val="00A50F48"/>
    <w:rsid w:val="00A527BC"/>
    <w:rsid w:val="00A52E90"/>
    <w:rsid w:val="00A53099"/>
    <w:rsid w:val="00A5579C"/>
    <w:rsid w:val="00A562C0"/>
    <w:rsid w:val="00A60D25"/>
    <w:rsid w:val="00A61370"/>
    <w:rsid w:val="00A61F5D"/>
    <w:rsid w:val="00A6310F"/>
    <w:rsid w:val="00A636CF"/>
    <w:rsid w:val="00A6575E"/>
    <w:rsid w:val="00A65E12"/>
    <w:rsid w:val="00A66C80"/>
    <w:rsid w:val="00A66FC6"/>
    <w:rsid w:val="00A67467"/>
    <w:rsid w:val="00A712E2"/>
    <w:rsid w:val="00A722B9"/>
    <w:rsid w:val="00A74655"/>
    <w:rsid w:val="00A74B2E"/>
    <w:rsid w:val="00A74F6E"/>
    <w:rsid w:val="00A758F4"/>
    <w:rsid w:val="00A75E9A"/>
    <w:rsid w:val="00A80C48"/>
    <w:rsid w:val="00A81916"/>
    <w:rsid w:val="00A82897"/>
    <w:rsid w:val="00A8399D"/>
    <w:rsid w:val="00A919AE"/>
    <w:rsid w:val="00A9310B"/>
    <w:rsid w:val="00A9411B"/>
    <w:rsid w:val="00A94213"/>
    <w:rsid w:val="00A94A12"/>
    <w:rsid w:val="00A96FC8"/>
    <w:rsid w:val="00A975AF"/>
    <w:rsid w:val="00AA0467"/>
    <w:rsid w:val="00AA0A0E"/>
    <w:rsid w:val="00AA19AA"/>
    <w:rsid w:val="00AA1C29"/>
    <w:rsid w:val="00AA2110"/>
    <w:rsid w:val="00AA236A"/>
    <w:rsid w:val="00AA2E8C"/>
    <w:rsid w:val="00AA2EB8"/>
    <w:rsid w:val="00AA33E7"/>
    <w:rsid w:val="00AA347C"/>
    <w:rsid w:val="00AA4AFD"/>
    <w:rsid w:val="00AA51FF"/>
    <w:rsid w:val="00AA5D90"/>
    <w:rsid w:val="00AA66A4"/>
    <w:rsid w:val="00AA6CAA"/>
    <w:rsid w:val="00AA7C31"/>
    <w:rsid w:val="00AB03EF"/>
    <w:rsid w:val="00AB0BFA"/>
    <w:rsid w:val="00AB3041"/>
    <w:rsid w:val="00AB3D2E"/>
    <w:rsid w:val="00AB4415"/>
    <w:rsid w:val="00AB6C79"/>
    <w:rsid w:val="00AC01EA"/>
    <w:rsid w:val="00AC09DC"/>
    <w:rsid w:val="00AC298F"/>
    <w:rsid w:val="00AC5D36"/>
    <w:rsid w:val="00AC6D00"/>
    <w:rsid w:val="00AC7F8A"/>
    <w:rsid w:val="00AD04E7"/>
    <w:rsid w:val="00AD067A"/>
    <w:rsid w:val="00AD50CA"/>
    <w:rsid w:val="00AD5870"/>
    <w:rsid w:val="00AD5C4D"/>
    <w:rsid w:val="00AE0A58"/>
    <w:rsid w:val="00AE1BD0"/>
    <w:rsid w:val="00AE317D"/>
    <w:rsid w:val="00AE35E2"/>
    <w:rsid w:val="00AE3BA1"/>
    <w:rsid w:val="00AE4B00"/>
    <w:rsid w:val="00AE4F5A"/>
    <w:rsid w:val="00AE4F9B"/>
    <w:rsid w:val="00AE5250"/>
    <w:rsid w:val="00AE5259"/>
    <w:rsid w:val="00AE5C8E"/>
    <w:rsid w:val="00AE6B15"/>
    <w:rsid w:val="00AE6FD6"/>
    <w:rsid w:val="00AE7253"/>
    <w:rsid w:val="00AF08D6"/>
    <w:rsid w:val="00AF0B6C"/>
    <w:rsid w:val="00AF2763"/>
    <w:rsid w:val="00AF2881"/>
    <w:rsid w:val="00AF384E"/>
    <w:rsid w:val="00AF6CDF"/>
    <w:rsid w:val="00B029B7"/>
    <w:rsid w:val="00B0328B"/>
    <w:rsid w:val="00B03E26"/>
    <w:rsid w:val="00B04199"/>
    <w:rsid w:val="00B0583F"/>
    <w:rsid w:val="00B05932"/>
    <w:rsid w:val="00B0669C"/>
    <w:rsid w:val="00B11780"/>
    <w:rsid w:val="00B11E69"/>
    <w:rsid w:val="00B120D1"/>
    <w:rsid w:val="00B125E0"/>
    <w:rsid w:val="00B12E1D"/>
    <w:rsid w:val="00B134AB"/>
    <w:rsid w:val="00B14377"/>
    <w:rsid w:val="00B14C3D"/>
    <w:rsid w:val="00B15AE4"/>
    <w:rsid w:val="00B20054"/>
    <w:rsid w:val="00B25C02"/>
    <w:rsid w:val="00B275F1"/>
    <w:rsid w:val="00B308A3"/>
    <w:rsid w:val="00B316E4"/>
    <w:rsid w:val="00B31F02"/>
    <w:rsid w:val="00B32E6F"/>
    <w:rsid w:val="00B33002"/>
    <w:rsid w:val="00B33815"/>
    <w:rsid w:val="00B342C1"/>
    <w:rsid w:val="00B35E7F"/>
    <w:rsid w:val="00B36561"/>
    <w:rsid w:val="00B400EA"/>
    <w:rsid w:val="00B40A75"/>
    <w:rsid w:val="00B40D41"/>
    <w:rsid w:val="00B41904"/>
    <w:rsid w:val="00B434EE"/>
    <w:rsid w:val="00B45F01"/>
    <w:rsid w:val="00B46129"/>
    <w:rsid w:val="00B46A8B"/>
    <w:rsid w:val="00B46ADD"/>
    <w:rsid w:val="00B46C85"/>
    <w:rsid w:val="00B46CD8"/>
    <w:rsid w:val="00B535E8"/>
    <w:rsid w:val="00B547C8"/>
    <w:rsid w:val="00B55839"/>
    <w:rsid w:val="00B57631"/>
    <w:rsid w:val="00B57C55"/>
    <w:rsid w:val="00B6146A"/>
    <w:rsid w:val="00B62F25"/>
    <w:rsid w:val="00B630CF"/>
    <w:rsid w:val="00B63492"/>
    <w:rsid w:val="00B635EB"/>
    <w:rsid w:val="00B65358"/>
    <w:rsid w:val="00B65ACE"/>
    <w:rsid w:val="00B65C97"/>
    <w:rsid w:val="00B65EC2"/>
    <w:rsid w:val="00B66FE1"/>
    <w:rsid w:val="00B7007B"/>
    <w:rsid w:val="00B70732"/>
    <w:rsid w:val="00B71476"/>
    <w:rsid w:val="00B728F3"/>
    <w:rsid w:val="00B73982"/>
    <w:rsid w:val="00B73ECE"/>
    <w:rsid w:val="00B764F7"/>
    <w:rsid w:val="00B77029"/>
    <w:rsid w:val="00B77183"/>
    <w:rsid w:val="00B77648"/>
    <w:rsid w:val="00B817E0"/>
    <w:rsid w:val="00B83416"/>
    <w:rsid w:val="00B83455"/>
    <w:rsid w:val="00B83578"/>
    <w:rsid w:val="00B843CD"/>
    <w:rsid w:val="00B84BD5"/>
    <w:rsid w:val="00B85057"/>
    <w:rsid w:val="00B86B05"/>
    <w:rsid w:val="00B86B09"/>
    <w:rsid w:val="00B86B7A"/>
    <w:rsid w:val="00B87698"/>
    <w:rsid w:val="00B876EF"/>
    <w:rsid w:val="00B877C1"/>
    <w:rsid w:val="00B92014"/>
    <w:rsid w:val="00B93713"/>
    <w:rsid w:val="00B94616"/>
    <w:rsid w:val="00B96979"/>
    <w:rsid w:val="00B96A9D"/>
    <w:rsid w:val="00BA19EC"/>
    <w:rsid w:val="00BA2225"/>
    <w:rsid w:val="00BA39C4"/>
    <w:rsid w:val="00BA3BB4"/>
    <w:rsid w:val="00BA3FE4"/>
    <w:rsid w:val="00BA474B"/>
    <w:rsid w:val="00BB3AEE"/>
    <w:rsid w:val="00BB417F"/>
    <w:rsid w:val="00BB444A"/>
    <w:rsid w:val="00BB6334"/>
    <w:rsid w:val="00BB64EA"/>
    <w:rsid w:val="00BB6C2F"/>
    <w:rsid w:val="00BB79F9"/>
    <w:rsid w:val="00BC1E7E"/>
    <w:rsid w:val="00BC2AA4"/>
    <w:rsid w:val="00BC2C37"/>
    <w:rsid w:val="00BC3593"/>
    <w:rsid w:val="00BC375A"/>
    <w:rsid w:val="00BC4B4D"/>
    <w:rsid w:val="00BC55A1"/>
    <w:rsid w:val="00BC680C"/>
    <w:rsid w:val="00BC7D96"/>
    <w:rsid w:val="00BC7EF5"/>
    <w:rsid w:val="00BD2099"/>
    <w:rsid w:val="00BD25BF"/>
    <w:rsid w:val="00BD2F9C"/>
    <w:rsid w:val="00BD32FA"/>
    <w:rsid w:val="00BD79D8"/>
    <w:rsid w:val="00BE0054"/>
    <w:rsid w:val="00BE0F2C"/>
    <w:rsid w:val="00BE0F82"/>
    <w:rsid w:val="00BE309E"/>
    <w:rsid w:val="00BE312A"/>
    <w:rsid w:val="00BE4694"/>
    <w:rsid w:val="00BE51FD"/>
    <w:rsid w:val="00BE5CD8"/>
    <w:rsid w:val="00BE5D49"/>
    <w:rsid w:val="00BE73F0"/>
    <w:rsid w:val="00BF00E3"/>
    <w:rsid w:val="00BF0778"/>
    <w:rsid w:val="00BF13A5"/>
    <w:rsid w:val="00BF16D5"/>
    <w:rsid w:val="00BF2689"/>
    <w:rsid w:val="00BF3213"/>
    <w:rsid w:val="00BF3DEE"/>
    <w:rsid w:val="00BF44BF"/>
    <w:rsid w:val="00BF64E4"/>
    <w:rsid w:val="00BF760E"/>
    <w:rsid w:val="00BF7F71"/>
    <w:rsid w:val="00C00872"/>
    <w:rsid w:val="00C00F07"/>
    <w:rsid w:val="00C02817"/>
    <w:rsid w:val="00C029DF"/>
    <w:rsid w:val="00C04198"/>
    <w:rsid w:val="00C0489E"/>
    <w:rsid w:val="00C04E48"/>
    <w:rsid w:val="00C055C3"/>
    <w:rsid w:val="00C066DE"/>
    <w:rsid w:val="00C0725D"/>
    <w:rsid w:val="00C0742D"/>
    <w:rsid w:val="00C116D2"/>
    <w:rsid w:val="00C126FA"/>
    <w:rsid w:val="00C12952"/>
    <w:rsid w:val="00C1311B"/>
    <w:rsid w:val="00C14230"/>
    <w:rsid w:val="00C149E5"/>
    <w:rsid w:val="00C15A1F"/>
    <w:rsid w:val="00C167AC"/>
    <w:rsid w:val="00C169E4"/>
    <w:rsid w:val="00C16B96"/>
    <w:rsid w:val="00C17BF6"/>
    <w:rsid w:val="00C20E2F"/>
    <w:rsid w:val="00C20F53"/>
    <w:rsid w:val="00C21346"/>
    <w:rsid w:val="00C22776"/>
    <w:rsid w:val="00C2476B"/>
    <w:rsid w:val="00C250DA"/>
    <w:rsid w:val="00C25E5D"/>
    <w:rsid w:val="00C3000A"/>
    <w:rsid w:val="00C31CCC"/>
    <w:rsid w:val="00C322D5"/>
    <w:rsid w:val="00C32997"/>
    <w:rsid w:val="00C32FDE"/>
    <w:rsid w:val="00C335EC"/>
    <w:rsid w:val="00C34C50"/>
    <w:rsid w:val="00C35819"/>
    <w:rsid w:val="00C374B1"/>
    <w:rsid w:val="00C37A1C"/>
    <w:rsid w:val="00C45049"/>
    <w:rsid w:val="00C45F57"/>
    <w:rsid w:val="00C45F95"/>
    <w:rsid w:val="00C46248"/>
    <w:rsid w:val="00C46500"/>
    <w:rsid w:val="00C47957"/>
    <w:rsid w:val="00C50250"/>
    <w:rsid w:val="00C51A8A"/>
    <w:rsid w:val="00C51EDF"/>
    <w:rsid w:val="00C52165"/>
    <w:rsid w:val="00C5250C"/>
    <w:rsid w:val="00C529FC"/>
    <w:rsid w:val="00C56001"/>
    <w:rsid w:val="00C57474"/>
    <w:rsid w:val="00C57D0B"/>
    <w:rsid w:val="00C60395"/>
    <w:rsid w:val="00C62CB0"/>
    <w:rsid w:val="00C63D24"/>
    <w:rsid w:val="00C640CD"/>
    <w:rsid w:val="00C65CD9"/>
    <w:rsid w:val="00C65E89"/>
    <w:rsid w:val="00C671F1"/>
    <w:rsid w:val="00C700AE"/>
    <w:rsid w:val="00C712D1"/>
    <w:rsid w:val="00C729BA"/>
    <w:rsid w:val="00C72A14"/>
    <w:rsid w:val="00C72DC4"/>
    <w:rsid w:val="00C72E5F"/>
    <w:rsid w:val="00C73520"/>
    <w:rsid w:val="00C73CA6"/>
    <w:rsid w:val="00C743D6"/>
    <w:rsid w:val="00C77745"/>
    <w:rsid w:val="00C8002B"/>
    <w:rsid w:val="00C80DF8"/>
    <w:rsid w:val="00C8142C"/>
    <w:rsid w:val="00C8145D"/>
    <w:rsid w:val="00C81498"/>
    <w:rsid w:val="00C836DD"/>
    <w:rsid w:val="00C839B4"/>
    <w:rsid w:val="00C8592B"/>
    <w:rsid w:val="00C8660A"/>
    <w:rsid w:val="00C90D17"/>
    <w:rsid w:val="00C91DD7"/>
    <w:rsid w:val="00C92DFF"/>
    <w:rsid w:val="00C92F61"/>
    <w:rsid w:val="00C96F31"/>
    <w:rsid w:val="00C97097"/>
    <w:rsid w:val="00C978AA"/>
    <w:rsid w:val="00CA0D24"/>
    <w:rsid w:val="00CA2033"/>
    <w:rsid w:val="00CA279F"/>
    <w:rsid w:val="00CA31B3"/>
    <w:rsid w:val="00CA38BC"/>
    <w:rsid w:val="00CA49C2"/>
    <w:rsid w:val="00CA4B22"/>
    <w:rsid w:val="00CA569B"/>
    <w:rsid w:val="00CA652B"/>
    <w:rsid w:val="00CA6FFD"/>
    <w:rsid w:val="00CA7199"/>
    <w:rsid w:val="00CB3BE0"/>
    <w:rsid w:val="00CB407E"/>
    <w:rsid w:val="00CB43E4"/>
    <w:rsid w:val="00CB5FD7"/>
    <w:rsid w:val="00CB68AF"/>
    <w:rsid w:val="00CB74C4"/>
    <w:rsid w:val="00CB7BB9"/>
    <w:rsid w:val="00CB7F74"/>
    <w:rsid w:val="00CC14C1"/>
    <w:rsid w:val="00CC157B"/>
    <w:rsid w:val="00CC25EB"/>
    <w:rsid w:val="00CC4269"/>
    <w:rsid w:val="00CC5A42"/>
    <w:rsid w:val="00CC6ED1"/>
    <w:rsid w:val="00CC7CE2"/>
    <w:rsid w:val="00CD05FD"/>
    <w:rsid w:val="00CD12D7"/>
    <w:rsid w:val="00CD160A"/>
    <w:rsid w:val="00CD1819"/>
    <w:rsid w:val="00CD1B8D"/>
    <w:rsid w:val="00CD2730"/>
    <w:rsid w:val="00CD2896"/>
    <w:rsid w:val="00CD44A9"/>
    <w:rsid w:val="00CD57D3"/>
    <w:rsid w:val="00CD6149"/>
    <w:rsid w:val="00CD69B2"/>
    <w:rsid w:val="00CD6FD1"/>
    <w:rsid w:val="00CD7D98"/>
    <w:rsid w:val="00CE3598"/>
    <w:rsid w:val="00CE4106"/>
    <w:rsid w:val="00CE4865"/>
    <w:rsid w:val="00CE5B3A"/>
    <w:rsid w:val="00CE6A45"/>
    <w:rsid w:val="00CE73E6"/>
    <w:rsid w:val="00CE79BB"/>
    <w:rsid w:val="00CF0A0F"/>
    <w:rsid w:val="00CF23E3"/>
    <w:rsid w:val="00CF2623"/>
    <w:rsid w:val="00CF2968"/>
    <w:rsid w:val="00CF328E"/>
    <w:rsid w:val="00CF605E"/>
    <w:rsid w:val="00D01398"/>
    <w:rsid w:val="00D032D8"/>
    <w:rsid w:val="00D034F3"/>
    <w:rsid w:val="00D03688"/>
    <w:rsid w:val="00D067CA"/>
    <w:rsid w:val="00D06DA1"/>
    <w:rsid w:val="00D06FA6"/>
    <w:rsid w:val="00D070C2"/>
    <w:rsid w:val="00D14E9B"/>
    <w:rsid w:val="00D176DA"/>
    <w:rsid w:val="00D17DC1"/>
    <w:rsid w:val="00D20263"/>
    <w:rsid w:val="00D21F09"/>
    <w:rsid w:val="00D22BD0"/>
    <w:rsid w:val="00D22EDD"/>
    <w:rsid w:val="00D23F47"/>
    <w:rsid w:val="00D24305"/>
    <w:rsid w:val="00D2454F"/>
    <w:rsid w:val="00D3006E"/>
    <w:rsid w:val="00D30C94"/>
    <w:rsid w:val="00D3146C"/>
    <w:rsid w:val="00D31AD2"/>
    <w:rsid w:val="00D32503"/>
    <w:rsid w:val="00D32A20"/>
    <w:rsid w:val="00D32F52"/>
    <w:rsid w:val="00D34909"/>
    <w:rsid w:val="00D34B0E"/>
    <w:rsid w:val="00D363F6"/>
    <w:rsid w:val="00D36D1E"/>
    <w:rsid w:val="00D37296"/>
    <w:rsid w:val="00D37B8E"/>
    <w:rsid w:val="00D4118C"/>
    <w:rsid w:val="00D43C1D"/>
    <w:rsid w:val="00D43D85"/>
    <w:rsid w:val="00D44FF9"/>
    <w:rsid w:val="00D4654C"/>
    <w:rsid w:val="00D46CDB"/>
    <w:rsid w:val="00D46DF1"/>
    <w:rsid w:val="00D4786B"/>
    <w:rsid w:val="00D50964"/>
    <w:rsid w:val="00D50FE7"/>
    <w:rsid w:val="00D51C9A"/>
    <w:rsid w:val="00D5414D"/>
    <w:rsid w:val="00D541DC"/>
    <w:rsid w:val="00D55412"/>
    <w:rsid w:val="00D55508"/>
    <w:rsid w:val="00D56AFD"/>
    <w:rsid w:val="00D571D9"/>
    <w:rsid w:val="00D6227C"/>
    <w:rsid w:val="00D62645"/>
    <w:rsid w:val="00D631BC"/>
    <w:rsid w:val="00D63C60"/>
    <w:rsid w:val="00D64231"/>
    <w:rsid w:val="00D651DD"/>
    <w:rsid w:val="00D65269"/>
    <w:rsid w:val="00D70BC5"/>
    <w:rsid w:val="00D714C3"/>
    <w:rsid w:val="00D72021"/>
    <w:rsid w:val="00D72099"/>
    <w:rsid w:val="00D749BA"/>
    <w:rsid w:val="00D7649C"/>
    <w:rsid w:val="00D77666"/>
    <w:rsid w:val="00D810E8"/>
    <w:rsid w:val="00D82AD9"/>
    <w:rsid w:val="00D82E7A"/>
    <w:rsid w:val="00D83165"/>
    <w:rsid w:val="00D8376F"/>
    <w:rsid w:val="00D86C21"/>
    <w:rsid w:val="00D87E6F"/>
    <w:rsid w:val="00D9279B"/>
    <w:rsid w:val="00D94630"/>
    <w:rsid w:val="00D94E6E"/>
    <w:rsid w:val="00D95959"/>
    <w:rsid w:val="00D96227"/>
    <w:rsid w:val="00D96679"/>
    <w:rsid w:val="00D97347"/>
    <w:rsid w:val="00DA1BEE"/>
    <w:rsid w:val="00DA1DAE"/>
    <w:rsid w:val="00DA42EF"/>
    <w:rsid w:val="00DA43B9"/>
    <w:rsid w:val="00DA4B0E"/>
    <w:rsid w:val="00DA6ACF"/>
    <w:rsid w:val="00DA7DED"/>
    <w:rsid w:val="00DB026F"/>
    <w:rsid w:val="00DB0C79"/>
    <w:rsid w:val="00DB11F4"/>
    <w:rsid w:val="00DB2DC1"/>
    <w:rsid w:val="00DB45ED"/>
    <w:rsid w:val="00DB6685"/>
    <w:rsid w:val="00DB6C15"/>
    <w:rsid w:val="00DB730B"/>
    <w:rsid w:val="00DB74DE"/>
    <w:rsid w:val="00DC13B7"/>
    <w:rsid w:val="00DC1CA3"/>
    <w:rsid w:val="00DC1FAF"/>
    <w:rsid w:val="00DC25CB"/>
    <w:rsid w:val="00DC393D"/>
    <w:rsid w:val="00DC4987"/>
    <w:rsid w:val="00DC4E08"/>
    <w:rsid w:val="00DC511E"/>
    <w:rsid w:val="00DC59C7"/>
    <w:rsid w:val="00DC6790"/>
    <w:rsid w:val="00DC7436"/>
    <w:rsid w:val="00DD091C"/>
    <w:rsid w:val="00DD427D"/>
    <w:rsid w:val="00DD45DA"/>
    <w:rsid w:val="00DD5A53"/>
    <w:rsid w:val="00DD72A0"/>
    <w:rsid w:val="00DD7735"/>
    <w:rsid w:val="00DE1263"/>
    <w:rsid w:val="00DE1A0A"/>
    <w:rsid w:val="00DE2088"/>
    <w:rsid w:val="00DE2698"/>
    <w:rsid w:val="00DE3DFD"/>
    <w:rsid w:val="00DE471B"/>
    <w:rsid w:val="00DE4A6B"/>
    <w:rsid w:val="00DE517F"/>
    <w:rsid w:val="00DE584B"/>
    <w:rsid w:val="00DF1B3D"/>
    <w:rsid w:val="00DF1BCB"/>
    <w:rsid w:val="00DF3462"/>
    <w:rsid w:val="00DF4A45"/>
    <w:rsid w:val="00DF4D6C"/>
    <w:rsid w:val="00DF5387"/>
    <w:rsid w:val="00DF57ED"/>
    <w:rsid w:val="00DF57F6"/>
    <w:rsid w:val="00DF6A98"/>
    <w:rsid w:val="00E002FF"/>
    <w:rsid w:val="00E03DFC"/>
    <w:rsid w:val="00E054BB"/>
    <w:rsid w:val="00E05876"/>
    <w:rsid w:val="00E05DE6"/>
    <w:rsid w:val="00E06B35"/>
    <w:rsid w:val="00E06CC8"/>
    <w:rsid w:val="00E071CC"/>
    <w:rsid w:val="00E107B3"/>
    <w:rsid w:val="00E10F19"/>
    <w:rsid w:val="00E1181B"/>
    <w:rsid w:val="00E11826"/>
    <w:rsid w:val="00E11AB5"/>
    <w:rsid w:val="00E11E49"/>
    <w:rsid w:val="00E13C1C"/>
    <w:rsid w:val="00E14D21"/>
    <w:rsid w:val="00E15791"/>
    <w:rsid w:val="00E17330"/>
    <w:rsid w:val="00E1750C"/>
    <w:rsid w:val="00E200B1"/>
    <w:rsid w:val="00E20CA3"/>
    <w:rsid w:val="00E21B03"/>
    <w:rsid w:val="00E228EA"/>
    <w:rsid w:val="00E23D18"/>
    <w:rsid w:val="00E240A5"/>
    <w:rsid w:val="00E247F0"/>
    <w:rsid w:val="00E25817"/>
    <w:rsid w:val="00E25E60"/>
    <w:rsid w:val="00E266D4"/>
    <w:rsid w:val="00E27F56"/>
    <w:rsid w:val="00E300EC"/>
    <w:rsid w:val="00E36F26"/>
    <w:rsid w:val="00E37B70"/>
    <w:rsid w:val="00E4038B"/>
    <w:rsid w:val="00E436C5"/>
    <w:rsid w:val="00E43943"/>
    <w:rsid w:val="00E449A7"/>
    <w:rsid w:val="00E44BD5"/>
    <w:rsid w:val="00E454D5"/>
    <w:rsid w:val="00E459F7"/>
    <w:rsid w:val="00E45C76"/>
    <w:rsid w:val="00E465EC"/>
    <w:rsid w:val="00E46900"/>
    <w:rsid w:val="00E5153C"/>
    <w:rsid w:val="00E523EB"/>
    <w:rsid w:val="00E530DB"/>
    <w:rsid w:val="00E57728"/>
    <w:rsid w:val="00E57A7F"/>
    <w:rsid w:val="00E602CC"/>
    <w:rsid w:val="00E60674"/>
    <w:rsid w:val="00E63CFB"/>
    <w:rsid w:val="00E644E0"/>
    <w:rsid w:val="00E65E72"/>
    <w:rsid w:val="00E66159"/>
    <w:rsid w:val="00E677EB"/>
    <w:rsid w:val="00E679D7"/>
    <w:rsid w:val="00E70AF7"/>
    <w:rsid w:val="00E70F72"/>
    <w:rsid w:val="00E71F55"/>
    <w:rsid w:val="00E722B9"/>
    <w:rsid w:val="00E72EFB"/>
    <w:rsid w:val="00E77002"/>
    <w:rsid w:val="00E770A3"/>
    <w:rsid w:val="00E77246"/>
    <w:rsid w:val="00E80091"/>
    <w:rsid w:val="00E80344"/>
    <w:rsid w:val="00E80773"/>
    <w:rsid w:val="00E80B46"/>
    <w:rsid w:val="00E818AD"/>
    <w:rsid w:val="00E84974"/>
    <w:rsid w:val="00E85EB4"/>
    <w:rsid w:val="00E86344"/>
    <w:rsid w:val="00E86CC2"/>
    <w:rsid w:val="00E917E6"/>
    <w:rsid w:val="00E91CB8"/>
    <w:rsid w:val="00E95B75"/>
    <w:rsid w:val="00E968CB"/>
    <w:rsid w:val="00EA1510"/>
    <w:rsid w:val="00EA248D"/>
    <w:rsid w:val="00EA3B54"/>
    <w:rsid w:val="00EA499B"/>
    <w:rsid w:val="00EA4F20"/>
    <w:rsid w:val="00EA5100"/>
    <w:rsid w:val="00EA58BF"/>
    <w:rsid w:val="00EA6050"/>
    <w:rsid w:val="00EA6552"/>
    <w:rsid w:val="00EA73DB"/>
    <w:rsid w:val="00EA7624"/>
    <w:rsid w:val="00EA77E5"/>
    <w:rsid w:val="00EB0C2C"/>
    <w:rsid w:val="00EB0E5E"/>
    <w:rsid w:val="00EB0E68"/>
    <w:rsid w:val="00EB119F"/>
    <w:rsid w:val="00EB1E50"/>
    <w:rsid w:val="00EB23AB"/>
    <w:rsid w:val="00EB52B2"/>
    <w:rsid w:val="00EB6D1C"/>
    <w:rsid w:val="00EB7072"/>
    <w:rsid w:val="00EB7C31"/>
    <w:rsid w:val="00EC2B31"/>
    <w:rsid w:val="00EC5B6B"/>
    <w:rsid w:val="00EC5BB3"/>
    <w:rsid w:val="00ED0AF9"/>
    <w:rsid w:val="00ED10F6"/>
    <w:rsid w:val="00ED1122"/>
    <w:rsid w:val="00ED11C2"/>
    <w:rsid w:val="00ED1498"/>
    <w:rsid w:val="00ED1EFC"/>
    <w:rsid w:val="00ED1FF5"/>
    <w:rsid w:val="00ED2770"/>
    <w:rsid w:val="00ED4032"/>
    <w:rsid w:val="00ED4DC8"/>
    <w:rsid w:val="00ED567D"/>
    <w:rsid w:val="00ED61F8"/>
    <w:rsid w:val="00ED6BB4"/>
    <w:rsid w:val="00EE0013"/>
    <w:rsid w:val="00EE01E6"/>
    <w:rsid w:val="00EE3505"/>
    <w:rsid w:val="00EE43F3"/>
    <w:rsid w:val="00EE5CB2"/>
    <w:rsid w:val="00EE6E75"/>
    <w:rsid w:val="00EE6FB4"/>
    <w:rsid w:val="00EE749F"/>
    <w:rsid w:val="00EF1E03"/>
    <w:rsid w:val="00EF21EC"/>
    <w:rsid w:val="00EF38B4"/>
    <w:rsid w:val="00EF4C51"/>
    <w:rsid w:val="00EF57D8"/>
    <w:rsid w:val="00EF7D5A"/>
    <w:rsid w:val="00EF7F19"/>
    <w:rsid w:val="00F03617"/>
    <w:rsid w:val="00F043E1"/>
    <w:rsid w:val="00F04AA0"/>
    <w:rsid w:val="00F04EF2"/>
    <w:rsid w:val="00F05110"/>
    <w:rsid w:val="00F05FA7"/>
    <w:rsid w:val="00F06EAB"/>
    <w:rsid w:val="00F0733C"/>
    <w:rsid w:val="00F112EA"/>
    <w:rsid w:val="00F114C9"/>
    <w:rsid w:val="00F11D35"/>
    <w:rsid w:val="00F13519"/>
    <w:rsid w:val="00F16C66"/>
    <w:rsid w:val="00F2010B"/>
    <w:rsid w:val="00F201B3"/>
    <w:rsid w:val="00F2061F"/>
    <w:rsid w:val="00F20C89"/>
    <w:rsid w:val="00F225DC"/>
    <w:rsid w:val="00F22D7F"/>
    <w:rsid w:val="00F25C21"/>
    <w:rsid w:val="00F260BB"/>
    <w:rsid w:val="00F2626E"/>
    <w:rsid w:val="00F26B4C"/>
    <w:rsid w:val="00F275C1"/>
    <w:rsid w:val="00F31C39"/>
    <w:rsid w:val="00F33581"/>
    <w:rsid w:val="00F33E49"/>
    <w:rsid w:val="00F34DA5"/>
    <w:rsid w:val="00F34EF1"/>
    <w:rsid w:val="00F35EC8"/>
    <w:rsid w:val="00F3777C"/>
    <w:rsid w:val="00F377A4"/>
    <w:rsid w:val="00F4011A"/>
    <w:rsid w:val="00F409AF"/>
    <w:rsid w:val="00F41368"/>
    <w:rsid w:val="00F41834"/>
    <w:rsid w:val="00F41A16"/>
    <w:rsid w:val="00F425F4"/>
    <w:rsid w:val="00F44420"/>
    <w:rsid w:val="00F45A2E"/>
    <w:rsid w:val="00F45CFC"/>
    <w:rsid w:val="00F469BA"/>
    <w:rsid w:val="00F50BFB"/>
    <w:rsid w:val="00F52628"/>
    <w:rsid w:val="00F55FA6"/>
    <w:rsid w:val="00F56462"/>
    <w:rsid w:val="00F5774B"/>
    <w:rsid w:val="00F60480"/>
    <w:rsid w:val="00F60A2C"/>
    <w:rsid w:val="00F60BC8"/>
    <w:rsid w:val="00F635CC"/>
    <w:rsid w:val="00F646CF"/>
    <w:rsid w:val="00F64A08"/>
    <w:rsid w:val="00F64A51"/>
    <w:rsid w:val="00F672B8"/>
    <w:rsid w:val="00F678E0"/>
    <w:rsid w:val="00F703CA"/>
    <w:rsid w:val="00F715E6"/>
    <w:rsid w:val="00F71A6D"/>
    <w:rsid w:val="00F7263B"/>
    <w:rsid w:val="00F72C37"/>
    <w:rsid w:val="00F741D6"/>
    <w:rsid w:val="00F76B51"/>
    <w:rsid w:val="00F774B6"/>
    <w:rsid w:val="00F779CD"/>
    <w:rsid w:val="00F80A6A"/>
    <w:rsid w:val="00F8129F"/>
    <w:rsid w:val="00F81ED3"/>
    <w:rsid w:val="00F82D21"/>
    <w:rsid w:val="00F837B8"/>
    <w:rsid w:val="00F84D96"/>
    <w:rsid w:val="00F85108"/>
    <w:rsid w:val="00F86002"/>
    <w:rsid w:val="00F87808"/>
    <w:rsid w:val="00F9007D"/>
    <w:rsid w:val="00F91422"/>
    <w:rsid w:val="00F9159D"/>
    <w:rsid w:val="00F9167A"/>
    <w:rsid w:val="00F91D1F"/>
    <w:rsid w:val="00F91DBB"/>
    <w:rsid w:val="00F92EFE"/>
    <w:rsid w:val="00F9344F"/>
    <w:rsid w:val="00F961B9"/>
    <w:rsid w:val="00F97856"/>
    <w:rsid w:val="00FA1514"/>
    <w:rsid w:val="00FA207E"/>
    <w:rsid w:val="00FA3066"/>
    <w:rsid w:val="00FA347E"/>
    <w:rsid w:val="00FA3EAA"/>
    <w:rsid w:val="00FA5195"/>
    <w:rsid w:val="00FA7568"/>
    <w:rsid w:val="00FB2B62"/>
    <w:rsid w:val="00FB3398"/>
    <w:rsid w:val="00FB38B9"/>
    <w:rsid w:val="00FB3EF3"/>
    <w:rsid w:val="00FB4C77"/>
    <w:rsid w:val="00FB4FC4"/>
    <w:rsid w:val="00FB50D6"/>
    <w:rsid w:val="00FB665C"/>
    <w:rsid w:val="00FB668B"/>
    <w:rsid w:val="00FB69A4"/>
    <w:rsid w:val="00FC072E"/>
    <w:rsid w:val="00FC16C3"/>
    <w:rsid w:val="00FC22C3"/>
    <w:rsid w:val="00FC368D"/>
    <w:rsid w:val="00FC426E"/>
    <w:rsid w:val="00FC6962"/>
    <w:rsid w:val="00FD085A"/>
    <w:rsid w:val="00FD094D"/>
    <w:rsid w:val="00FD1533"/>
    <w:rsid w:val="00FD258F"/>
    <w:rsid w:val="00FD423D"/>
    <w:rsid w:val="00FD4348"/>
    <w:rsid w:val="00FD50B3"/>
    <w:rsid w:val="00FD56A3"/>
    <w:rsid w:val="00FD5E24"/>
    <w:rsid w:val="00FD7735"/>
    <w:rsid w:val="00FD7D5C"/>
    <w:rsid w:val="00FE0D99"/>
    <w:rsid w:val="00FE1080"/>
    <w:rsid w:val="00FE133D"/>
    <w:rsid w:val="00FE2E92"/>
    <w:rsid w:val="00FE4D17"/>
    <w:rsid w:val="00FE4F73"/>
    <w:rsid w:val="00FE5427"/>
    <w:rsid w:val="00FE63A1"/>
    <w:rsid w:val="00FE65B0"/>
    <w:rsid w:val="00FE6A29"/>
    <w:rsid w:val="00FF23BD"/>
    <w:rsid w:val="00FF2B7F"/>
    <w:rsid w:val="00FF536D"/>
    <w:rsid w:val="00FF623A"/>
    <w:rsid w:val="00FF6240"/>
    <w:rsid w:val="00FF680E"/>
    <w:rsid w:val="045A2047"/>
    <w:rsid w:val="0A5024FE"/>
    <w:rsid w:val="0D4A738D"/>
    <w:rsid w:val="0E6B10C2"/>
    <w:rsid w:val="0F5467AF"/>
    <w:rsid w:val="0FA87BB9"/>
    <w:rsid w:val="0FEB4759"/>
    <w:rsid w:val="111909B9"/>
    <w:rsid w:val="17053335"/>
    <w:rsid w:val="18920D66"/>
    <w:rsid w:val="193667F5"/>
    <w:rsid w:val="193B6336"/>
    <w:rsid w:val="1AC13E11"/>
    <w:rsid w:val="1B0A6F8C"/>
    <w:rsid w:val="1B807468"/>
    <w:rsid w:val="1E1D74CF"/>
    <w:rsid w:val="1F9D4F4B"/>
    <w:rsid w:val="1FC509B0"/>
    <w:rsid w:val="20FE16F8"/>
    <w:rsid w:val="23C96552"/>
    <w:rsid w:val="24187101"/>
    <w:rsid w:val="244D6C38"/>
    <w:rsid w:val="2475605F"/>
    <w:rsid w:val="26142328"/>
    <w:rsid w:val="28382C3A"/>
    <w:rsid w:val="297C1823"/>
    <w:rsid w:val="2B8C09AA"/>
    <w:rsid w:val="2E6859B0"/>
    <w:rsid w:val="2ECB3AD2"/>
    <w:rsid w:val="2F0E550F"/>
    <w:rsid w:val="2FD93C26"/>
    <w:rsid w:val="31077DE5"/>
    <w:rsid w:val="32685EDF"/>
    <w:rsid w:val="35E10098"/>
    <w:rsid w:val="35E6662C"/>
    <w:rsid w:val="3623352B"/>
    <w:rsid w:val="396F3A83"/>
    <w:rsid w:val="3984743C"/>
    <w:rsid w:val="3C8245F0"/>
    <w:rsid w:val="3D301F7A"/>
    <w:rsid w:val="3FFF60B1"/>
    <w:rsid w:val="440C6E7A"/>
    <w:rsid w:val="453827AF"/>
    <w:rsid w:val="46C72AAA"/>
    <w:rsid w:val="47B3762B"/>
    <w:rsid w:val="48194922"/>
    <w:rsid w:val="4A104DDA"/>
    <w:rsid w:val="4A6414E2"/>
    <w:rsid w:val="4BCC28C2"/>
    <w:rsid w:val="4BDD1FF5"/>
    <w:rsid w:val="4C87303B"/>
    <w:rsid w:val="4D5A41D2"/>
    <w:rsid w:val="4D730EE3"/>
    <w:rsid w:val="50DE50F1"/>
    <w:rsid w:val="525C37D5"/>
    <w:rsid w:val="550F232E"/>
    <w:rsid w:val="5609604A"/>
    <w:rsid w:val="56EF1FE3"/>
    <w:rsid w:val="59A31EA9"/>
    <w:rsid w:val="5A701F01"/>
    <w:rsid w:val="5AA664F1"/>
    <w:rsid w:val="5AB67F96"/>
    <w:rsid w:val="5BD8483D"/>
    <w:rsid w:val="5EC93A80"/>
    <w:rsid w:val="5F213DCC"/>
    <w:rsid w:val="5F8C4929"/>
    <w:rsid w:val="61657CC9"/>
    <w:rsid w:val="61771F9D"/>
    <w:rsid w:val="62A35132"/>
    <w:rsid w:val="62DB7F23"/>
    <w:rsid w:val="630E6B00"/>
    <w:rsid w:val="636D0703"/>
    <w:rsid w:val="63F35D7F"/>
    <w:rsid w:val="651C0FAE"/>
    <w:rsid w:val="66126DD3"/>
    <w:rsid w:val="68123338"/>
    <w:rsid w:val="68636B44"/>
    <w:rsid w:val="68646F1F"/>
    <w:rsid w:val="68E83DD0"/>
    <w:rsid w:val="68F52A96"/>
    <w:rsid w:val="69CC6371"/>
    <w:rsid w:val="6A863C32"/>
    <w:rsid w:val="6C180827"/>
    <w:rsid w:val="6EE252F2"/>
    <w:rsid w:val="710A3346"/>
    <w:rsid w:val="721530FE"/>
    <w:rsid w:val="74026FA8"/>
    <w:rsid w:val="74726C8F"/>
    <w:rsid w:val="75D601D8"/>
    <w:rsid w:val="76A65BD7"/>
    <w:rsid w:val="77FA4C7A"/>
    <w:rsid w:val="785C5671"/>
    <w:rsid w:val="7A321FA6"/>
    <w:rsid w:val="7AF313DB"/>
    <w:rsid w:val="7E0B6632"/>
    <w:rsid w:val="7E93358B"/>
    <w:rsid w:val="B37FEDE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iPriority="99" w:semiHidden="0"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7"/>
    <w:qFormat/>
    <w:uiPriority w:val="99"/>
    <w:pPr>
      <w:keepNext/>
      <w:keepLines/>
      <w:widowControl w:val="0"/>
      <w:spacing w:before="340" w:after="330" w:line="576" w:lineRule="auto"/>
      <w:textAlignment w:val="auto"/>
      <w:outlineLvl w:val="0"/>
    </w:pPr>
    <w:rPr>
      <w:b/>
      <w:bCs/>
      <w:kern w:val="44"/>
      <w:sz w:val="44"/>
      <w:szCs w:val="44"/>
    </w:rPr>
  </w:style>
  <w:style w:type="paragraph" w:styleId="3">
    <w:name w:val="heading 2"/>
    <w:basedOn w:val="1"/>
    <w:next w:val="1"/>
    <w:link w:val="68"/>
    <w:unhideWhenUsed/>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28"/>
    <w:qFormat/>
    <w:uiPriority w:val="99"/>
    <w:pPr>
      <w:keepNext/>
      <w:keepLines/>
      <w:spacing w:before="260" w:after="260" w:line="416" w:lineRule="atLeast"/>
      <w:outlineLvl w:val="2"/>
    </w:pPr>
    <w:rPr>
      <w:b/>
      <w:bCs/>
      <w:sz w:val="32"/>
      <w:szCs w:val="32"/>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5">
    <w:name w:val="annotation text"/>
    <w:basedOn w:val="1"/>
    <w:link w:val="29"/>
    <w:semiHidden/>
    <w:qFormat/>
    <w:locked/>
    <w:uiPriority w:val="99"/>
    <w:pPr>
      <w:jc w:val="left"/>
    </w:pPr>
  </w:style>
  <w:style w:type="paragraph" w:styleId="6">
    <w:name w:val="Body Text"/>
    <w:basedOn w:val="1"/>
    <w:link w:val="66"/>
    <w:unhideWhenUsed/>
    <w:qFormat/>
    <w:locked/>
    <w:uiPriority w:val="99"/>
    <w:pPr>
      <w:spacing w:after="120"/>
    </w:pPr>
  </w:style>
  <w:style w:type="paragraph" w:styleId="7">
    <w:name w:val="Body Text Indent"/>
    <w:basedOn w:val="1"/>
    <w:link w:val="31"/>
    <w:qFormat/>
    <w:uiPriority w:val="99"/>
    <w:pPr>
      <w:widowControl w:val="0"/>
      <w:snapToGrid w:val="0"/>
      <w:spacing w:before="283" w:line="560" w:lineRule="exact"/>
      <w:ind w:firstLine="510"/>
    </w:pPr>
    <w:rPr>
      <w:sz w:val="20"/>
    </w:rPr>
  </w:style>
  <w:style w:type="paragraph" w:styleId="8">
    <w:name w:val="Plain Text"/>
    <w:basedOn w:val="1"/>
    <w:link w:val="61"/>
    <w:qFormat/>
    <w:uiPriority w:val="0"/>
    <w:pPr>
      <w:widowControl w:val="0"/>
      <w:spacing w:line="240" w:lineRule="auto"/>
      <w:textAlignment w:val="auto"/>
    </w:pPr>
    <w:rPr>
      <w:rFonts w:ascii="宋体" w:hAnsi="Courier New"/>
    </w:rPr>
  </w:style>
  <w:style w:type="paragraph" w:styleId="9">
    <w:name w:val="Date"/>
    <w:basedOn w:val="1"/>
    <w:next w:val="1"/>
    <w:link w:val="33"/>
    <w:qFormat/>
    <w:uiPriority w:val="99"/>
    <w:pPr>
      <w:ind w:left="100" w:leftChars="2500"/>
    </w:pPr>
  </w:style>
  <w:style w:type="paragraph" w:styleId="10">
    <w:name w:val="Balloon Text"/>
    <w:basedOn w:val="1"/>
    <w:link w:val="34"/>
    <w:qFormat/>
    <w:uiPriority w:val="99"/>
    <w:pPr>
      <w:spacing w:line="240" w:lineRule="auto"/>
    </w:pPr>
    <w:rPr>
      <w:sz w:val="18"/>
      <w:szCs w:val="18"/>
    </w:rPr>
  </w:style>
  <w:style w:type="paragraph" w:styleId="11">
    <w:name w:val="footer"/>
    <w:basedOn w:val="1"/>
    <w:link w:val="35"/>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6"/>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qFormat/>
    <w:uiPriority w:val="39"/>
  </w:style>
  <w:style w:type="paragraph" w:styleId="14">
    <w:name w:val="List"/>
    <w:basedOn w:val="1"/>
    <w:qFormat/>
    <w:locked/>
    <w:uiPriority w:val="0"/>
    <w:pPr>
      <w:jc w:val="center"/>
    </w:pPr>
    <w:rPr>
      <w:sz w:val="24"/>
    </w:rPr>
  </w:style>
  <w:style w:type="paragraph" w:styleId="15">
    <w:name w:val="toc 2"/>
    <w:basedOn w:val="1"/>
    <w:next w:val="1"/>
    <w:qFormat/>
    <w:uiPriority w:val="39"/>
    <w:pPr>
      <w:ind w:left="420" w:leftChars="200"/>
    </w:pPr>
  </w:style>
  <w:style w:type="paragraph" w:styleId="16">
    <w:name w:val="Body Text 2"/>
    <w:basedOn w:val="1"/>
    <w:link w:val="37"/>
    <w:qFormat/>
    <w:uiPriority w:val="99"/>
    <w:pPr>
      <w:spacing w:after="120" w:line="480" w:lineRule="auto"/>
    </w:pPr>
    <w:rPr>
      <w:sz w:val="20"/>
    </w:rPr>
  </w:style>
  <w:style w:type="paragraph" w:styleId="17">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8">
    <w:name w:val="annotation subject"/>
    <w:basedOn w:val="5"/>
    <w:next w:val="5"/>
    <w:link w:val="30"/>
    <w:semiHidden/>
    <w:qFormat/>
    <w:locked/>
    <w:uiPriority w:val="99"/>
    <w:rPr>
      <w:b/>
      <w:bCs/>
    </w:rPr>
  </w:style>
  <w:style w:type="paragraph" w:styleId="19">
    <w:name w:val="Body Text First Indent"/>
    <w:basedOn w:val="6"/>
    <w:link w:val="67"/>
    <w:unhideWhenUsed/>
    <w:qFormat/>
    <w:locked/>
    <w:uiPriority w:val="99"/>
    <w:pPr>
      <w:ind w:firstLine="420" w:firstLineChars="100"/>
    </w:pPr>
  </w:style>
  <w:style w:type="table" w:styleId="21">
    <w:name w:val="Table Grid"/>
    <w:basedOn w:val="2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99"/>
    <w:rPr>
      <w:rFonts w:cs="Times New Roman"/>
      <w:b/>
    </w:rPr>
  </w:style>
  <w:style w:type="character" w:styleId="24">
    <w:name w:val="page number"/>
    <w:basedOn w:val="22"/>
    <w:qFormat/>
    <w:uiPriority w:val="99"/>
    <w:rPr>
      <w:rFonts w:cs="Times New Roman"/>
    </w:rPr>
  </w:style>
  <w:style w:type="character" w:styleId="25">
    <w:name w:val="Hyperlink"/>
    <w:basedOn w:val="22"/>
    <w:qFormat/>
    <w:uiPriority w:val="99"/>
    <w:rPr>
      <w:rFonts w:cs="Times New Roman"/>
      <w:color w:val="0368A8"/>
      <w:u w:val="none"/>
    </w:rPr>
  </w:style>
  <w:style w:type="character" w:styleId="26">
    <w:name w:val="annotation reference"/>
    <w:basedOn w:val="22"/>
    <w:semiHidden/>
    <w:qFormat/>
    <w:locked/>
    <w:uiPriority w:val="99"/>
    <w:rPr>
      <w:rFonts w:cs="Times New Roman"/>
      <w:sz w:val="21"/>
      <w:szCs w:val="21"/>
    </w:rPr>
  </w:style>
  <w:style w:type="character" w:customStyle="1" w:styleId="27">
    <w:name w:val="标题 1 Char"/>
    <w:basedOn w:val="22"/>
    <w:link w:val="2"/>
    <w:qFormat/>
    <w:locked/>
    <w:uiPriority w:val="99"/>
    <w:rPr>
      <w:rFonts w:cs="Times New Roman"/>
      <w:b/>
      <w:color w:val="000000"/>
      <w:kern w:val="44"/>
      <w:sz w:val="44"/>
      <w:u w:val="none" w:color="000000"/>
    </w:rPr>
  </w:style>
  <w:style w:type="character" w:customStyle="1" w:styleId="28">
    <w:name w:val="标题 3 Char"/>
    <w:basedOn w:val="22"/>
    <w:link w:val="4"/>
    <w:semiHidden/>
    <w:qFormat/>
    <w:locked/>
    <w:uiPriority w:val="99"/>
    <w:rPr>
      <w:rFonts w:cs="Times New Roman"/>
      <w:b/>
      <w:color w:val="000000"/>
      <w:sz w:val="32"/>
      <w:u w:val="none" w:color="000000"/>
    </w:rPr>
  </w:style>
  <w:style w:type="character" w:customStyle="1" w:styleId="29">
    <w:name w:val="批注文字 Char"/>
    <w:basedOn w:val="22"/>
    <w:link w:val="5"/>
    <w:semiHidden/>
    <w:qFormat/>
    <w:locked/>
    <w:uiPriority w:val="99"/>
    <w:rPr>
      <w:rFonts w:cs="Times New Roman"/>
      <w:color w:val="000000"/>
      <w:sz w:val="21"/>
      <w:u w:color="000000"/>
    </w:rPr>
  </w:style>
  <w:style w:type="character" w:customStyle="1" w:styleId="30">
    <w:name w:val="批注主题 Char"/>
    <w:basedOn w:val="29"/>
    <w:link w:val="18"/>
    <w:semiHidden/>
    <w:qFormat/>
    <w:locked/>
    <w:uiPriority w:val="99"/>
    <w:rPr>
      <w:rFonts w:cs="Times New Roman"/>
      <w:b/>
      <w:bCs/>
      <w:color w:val="000000"/>
      <w:sz w:val="21"/>
      <w:u w:color="000000"/>
    </w:rPr>
  </w:style>
  <w:style w:type="character" w:customStyle="1" w:styleId="31">
    <w:name w:val="正文文本缩进 Char"/>
    <w:basedOn w:val="22"/>
    <w:link w:val="7"/>
    <w:semiHidden/>
    <w:qFormat/>
    <w:locked/>
    <w:uiPriority w:val="99"/>
    <w:rPr>
      <w:rFonts w:cs="Times New Roman"/>
      <w:color w:val="000000"/>
      <w:kern w:val="0"/>
      <w:sz w:val="20"/>
      <w:u w:val="none" w:color="000000"/>
    </w:rPr>
  </w:style>
  <w:style w:type="character" w:customStyle="1" w:styleId="32">
    <w:name w:val="Plain Text Char"/>
    <w:basedOn w:val="22"/>
    <w:qFormat/>
    <w:locked/>
    <w:uiPriority w:val="99"/>
    <w:rPr>
      <w:rFonts w:ascii="宋体" w:hAnsi="Courier New" w:eastAsia="宋体" w:cs="Times New Roman"/>
      <w:kern w:val="2"/>
      <w:sz w:val="21"/>
      <w:lang w:val="en-US" w:eastAsia="zh-CN"/>
    </w:rPr>
  </w:style>
  <w:style w:type="character" w:customStyle="1" w:styleId="33">
    <w:name w:val="日期 Char"/>
    <w:basedOn w:val="22"/>
    <w:link w:val="9"/>
    <w:qFormat/>
    <w:locked/>
    <w:uiPriority w:val="99"/>
    <w:rPr>
      <w:rFonts w:cs="Times New Roman"/>
      <w:color w:val="000000"/>
      <w:sz w:val="21"/>
      <w:u w:val="none" w:color="000000"/>
    </w:rPr>
  </w:style>
  <w:style w:type="character" w:customStyle="1" w:styleId="34">
    <w:name w:val="批注框文本 Char"/>
    <w:basedOn w:val="22"/>
    <w:link w:val="10"/>
    <w:qFormat/>
    <w:locked/>
    <w:uiPriority w:val="99"/>
    <w:rPr>
      <w:rFonts w:cs="Times New Roman"/>
      <w:color w:val="000000"/>
      <w:sz w:val="18"/>
      <w:u w:val="none" w:color="000000"/>
    </w:rPr>
  </w:style>
  <w:style w:type="character" w:customStyle="1" w:styleId="35">
    <w:name w:val="页脚 Char"/>
    <w:basedOn w:val="22"/>
    <w:link w:val="11"/>
    <w:semiHidden/>
    <w:qFormat/>
    <w:locked/>
    <w:uiPriority w:val="99"/>
    <w:rPr>
      <w:rFonts w:cs="Times New Roman"/>
      <w:color w:val="000000"/>
      <w:kern w:val="0"/>
      <w:sz w:val="18"/>
      <w:u w:val="none" w:color="000000"/>
    </w:rPr>
  </w:style>
  <w:style w:type="character" w:customStyle="1" w:styleId="36">
    <w:name w:val="页眉 Char"/>
    <w:basedOn w:val="22"/>
    <w:link w:val="12"/>
    <w:semiHidden/>
    <w:qFormat/>
    <w:locked/>
    <w:uiPriority w:val="99"/>
    <w:rPr>
      <w:rFonts w:cs="Times New Roman"/>
      <w:color w:val="000000"/>
      <w:kern w:val="0"/>
      <w:sz w:val="18"/>
      <w:u w:val="none" w:color="000000"/>
    </w:rPr>
  </w:style>
  <w:style w:type="character" w:customStyle="1" w:styleId="37">
    <w:name w:val="正文文本 2 Char"/>
    <w:basedOn w:val="22"/>
    <w:link w:val="16"/>
    <w:semiHidden/>
    <w:qFormat/>
    <w:locked/>
    <w:uiPriority w:val="99"/>
    <w:rPr>
      <w:rFonts w:cs="Times New Roman"/>
      <w:color w:val="000000"/>
      <w:kern w:val="0"/>
      <w:sz w:val="20"/>
      <w:u w:val="none" w:color="000000"/>
    </w:rPr>
  </w:style>
  <w:style w:type="paragraph" w:customStyle="1" w:styleId="38">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9">
    <w:name w:val="章标题"/>
    <w:basedOn w:val="1"/>
    <w:next w:val="40"/>
    <w:qFormat/>
    <w:uiPriority w:val="99"/>
    <w:pPr>
      <w:spacing w:before="158" w:after="153" w:line="323" w:lineRule="atLeast"/>
      <w:jc w:val="center"/>
    </w:pPr>
    <w:rPr>
      <w:rFonts w:ascii="Arial" w:eastAsia="黑体"/>
      <w:sz w:val="31"/>
    </w:rPr>
  </w:style>
  <w:style w:type="paragraph" w:customStyle="1" w:styleId="40">
    <w:name w:val="节标题"/>
    <w:basedOn w:val="1"/>
    <w:next w:val="41"/>
    <w:qFormat/>
    <w:uiPriority w:val="99"/>
    <w:pPr>
      <w:spacing w:line="289" w:lineRule="atLeast"/>
      <w:jc w:val="center"/>
    </w:pPr>
    <w:rPr>
      <w:sz w:val="28"/>
    </w:rPr>
  </w:style>
  <w:style w:type="paragraph" w:customStyle="1" w:styleId="41">
    <w:name w:val="小节标题"/>
    <w:basedOn w:val="1"/>
    <w:next w:val="1"/>
    <w:qFormat/>
    <w:uiPriority w:val="99"/>
    <w:pPr>
      <w:spacing w:before="175" w:after="102" w:line="351" w:lineRule="atLeast"/>
    </w:pPr>
    <w:rPr>
      <w:rFonts w:eastAsia="黑体"/>
    </w:rPr>
  </w:style>
  <w:style w:type="paragraph" w:customStyle="1" w:styleId="42">
    <w:name w:val="目录2"/>
    <w:basedOn w:val="1"/>
    <w:next w:val="1"/>
    <w:qFormat/>
    <w:uiPriority w:val="99"/>
    <w:pPr>
      <w:tabs>
        <w:tab w:val="left" w:leader="dot" w:pos="8503"/>
      </w:tabs>
      <w:spacing w:line="317" w:lineRule="atLeast"/>
      <w:ind w:firstLine="209"/>
    </w:pPr>
  </w:style>
  <w:style w:type="paragraph" w:customStyle="1" w:styleId="43">
    <w:name w:val="目录4"/>
    <w:basedOn w:val="1"/>
    <w:next w:val="1"/>
    <w:qFormat/>
    <w:uiPriority w:val="99"/>
    <w:pPr>
      <w:tabs>
        <w:tab w:val="left" w:leader="dot" w:pos="8503"/>
      </w:tabs>
      <w:spacing w:line="317" w:lineRule="atLeast"/>
      <w:ind w:firstLine="629"/>
    </w:pPr>
  </w:style>
  <w:style w:type="paragraph" w:customStyle="1" w:styleId="44">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45">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46">
    <w:name w:val="目录3"/>
    <w:basedOn w:val="1"/>
    <w:next w:val="1"/>
    <w:qFormat/>
    <w:uiPriority w:val="99"/>
    <w:pPr>
      <w:tabs>
        <w:tab w:val="left" w:leader="dot" w:pos="8503"/>
      </w:tabs>
      <w:spacing w:line="317" w:lineRule="atLeast"/>
      <w:ind w:firstLine="419"/>
    </w:pPr>
  </w:style>
  <w:style w:type="paragraph" w:customStyle="1" w:styleId="47">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8">
    <w:name w:val="文章总标题"/>
    <w:basedOn w:val="1"/>
    <w:next w:val="49"/>
    <w:qFormat/>
    <w:uiPriority w:val="99"/>
    <w:pPr>
      <w:spacing w:before="566" w:after="544" w:line="566" w:lineRule="atLeast"/>
      <w:jc w:val="center"/>
    </w:pPr>
    <w:rPr>
      <w:rFonts w:ascii="Arial" w:eastAsia="黑体"/>
      <w:sz w:val="54"/>
    </w:rPr>
  </w:style>
  <w:style w:type="paragraph" w:customStyle="1" w:styleId="49">
    <w:name w:val="文章附标题"/>
    <w:basedOn w:val="1"/>
    <w:next w:val="39"/>
    <w:qFormat/>
    <w:uiPriority w:val="99"/>
    <w:pPr>
      <w:spacing w:before="187" w:after="175" w:line="374" w:lineRule="atLeast"/>
      <w:jc w:val="center"/>
    </w:pPr>
    <w:rPr>
      <w:sz w:val="36"/>
    </w:rPr>
  </w:style>
  <w:style w:type="paragraph" w:customStyle="1" w:styleId="50">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51">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52">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53">
    <w:name w:val="WPS Plain"/>
    <w:qFormat/>
    <w:uiPriority w:val="99"/>
    <w:rPr>
      <w:rFonts w:ascii="Times New Roman" w:hAnsi="Times New Roman" w:eastAsia="宋体" w:cs="Times New Roman"/>
      <w:lang w:val="en-US" w:eastAsia="zh-CN" w:bidi="ar-SA"/>
    </w:rPr>
  </w:style>
  <w:style w:type="paragraph" w:customStyle="1" w:styleId="54">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55">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6">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7">
    <w:name w:val="List Paragraph1"/>
    <w:basedOn w:val="1"/>
    <w:qFormat/>
    <w:uiPriority w:val="99"/>
    <w:pPr>
      <w:ind w:firstLine="420" w:firstLineChars="200"/>
    </w:pPr>
  </w:style>
  <w:style w:type="character" w:customStyle="1" w:styleId="58">
    <w:name w:val="链接"/>
    <w:qFormat/>
    <w:uiPriority w:val="99"/>
    <w:rPr>
      <w:rFonts w:ascii="Times New Roman" w:eastAsia="宋体"/>
      <w:color w:val="0000FF"/>
      <w:sz w:val="21"/>
      <w:u w:val="single" w:color="0000FF"/>
      <w:lang w:val="en-US" w:eastAsia="zh-CN"/>
    </w:rPr>
  </w:style>
  <w:style w:type="character" w:customStyle="1" w:styleId="59">
    <w:name w:val="超级链接"/>
    <w:qFormat/>
    <w:uiPriority w:val="99"/>
    <w:rPr>
      <w:rFonts w:ascii="Times New Roman" w:eastAsia="宋体"/>
      <w:color w:val="0000FF"/>
      <w:sz w:val="21"/>
      <w:u w:val="single" w:color="0000FF"/>
      <w:lang w:val="en-US" w:eastAsia="zh-CN"/>
    </w:rPr>
  </w:style>
  <w:style w:type="character" w:customStyle="1" w:styleId="60">
    <w:name w:val="param_td12"/>
    <w:qFormat/>
    <w:uiPriority w:val="99"/>
  </w:style>
  <w:style w:type="character" w:customStyle="1" w:styleId="61">
    <w:name w:val="纯文本 Char"/>
    <w:link w:val="8"/>
    <w:qFormat/>
    <w:locked/>
    <w:uiPriority w:val="0"/>
    <w:rPr>
      <w:rFonts w:ascii="宋体" w:hAnsi="Courier New"/>
      <w:color w:val="000000"/>
      <w:kern w:val="0"/>
      <w:sz w:val="21"/>
      <w:u w:val="none" w:color="000000"/>
    </w:rPr>
  </w:style>
  <w:style w:type="character" w:customStyle="1" w:styleId="62">
    <w:name w:val="纯文本 Char Char"/>
    <w:qFormat/>
    <w:uiPriority w:val="99"/>
    <w:rPr>
      <w:rFonts w:ascii="宋体" w:hAnsi="Courier New" w:eastAsia="宋体"/>
      <w:kern w:val="2"/>
      <w:sz w:val="21"/>
      <w:lang w:val="en-US" w:eastAsia="zh-CN"/>
    </w:rPr>
  </w:style>
  <w:style w:type="character" w:customStyle="1" w:styleId="63">
    <w:name w:val="Char Char4"/>
    <w:qFormat/>
    <w:uiPriority w:val="99"/>
    <w:rPr>
      <w:rFonts w:ascii="宋体" w:eastAsia="宋体"/>
      <w:kern w:val="2"/>
      <w:sz w:val="28"/>
    </w:rPr>
  </w:style>
  <w:style w:type="character" w:customStyle="1" w:styleId="64">
    <w:name w:val="纯文本 Char1"/>
    <w:qFormat/>
    <w:locked/>
    <w:uiPriority w:val="99"/>
    <w:rPr>
      <w:rFonts w:ascii="宋体" w:hAnsi="Courier New"/>
      <w:kern w:val="2"/>
      <w:sz w:val="21"/>
      <w:u w:color="000000"/>
    </w:rPr>
  </w:style>
  <w:style w:type="character" w:customStyle="1" w:styleId="65">
    <w:name w:val="15"/>
    <w:basedOn w:val="22"/>
    <w:qFormat/>
    <w:uiPriority w:val="99"/>
    <w:rPr>
      <w:rFonts w:cs="Times New Roman"/>
    </w:rPr>
  </w:style>
  <w:style w:type="character" w:customStyle="1" w:styleId="66">
    <w:name w:val="正文文本 Char"/>
    <w:basedOn w:val="22"/>
    <w:link w:val="6"/>
    <w:semiHidden/>
    <w:qFormat/>
    <w:uiPriority w:val="99"/>
    <w:rPr>
      <w:color w:val="000000"/>
      <w:sz w:val="21"/>
      <w:u w:color="000000"/>
    </w:rPr>
  </w:style>
  <w:style w:type="character" w:customStyle="1" w:styleId="67">
    <w:name w:val="正文首行缩进 Char"/>
    <w:basedOn w:val="66"/>
    <w:link w:val="19"/>
    <w:semiHidden/>
    <w:qFormat/>
    <w:uiPriority w:val="99"/>
    <w:rPr>
      <w:color w:val="000000"/>
      <w:sz w:val="21"/>
      <w:u w:color="000000"/>
    </w:rPr>
  </w:style>
  <w:style w:type="character" w:customStyle="1" w:styleId="68">
    <w:name w:val="标题 2 Char"/>
    <w:basedOn w:val="22"/>
    <w:link w:val="3"/>
    <w:semiHidden/>
    <w:qFormat/>
    <w:uiPriority w:val="0"/>
    <w:rPr>
      <w:rFonts w:asciiTheme="majorHAnsi" w:hAnsiTheme="majorHAnsi" w:eastAsiaTheme="majorEastAsia" w:cstheme="majorBidi"/>
      <w:b/>
      <w:bCs/>
      <w:color w:val="000000"/>
      <w:sz w:val="32"/>
      <w:szCs w:val="32"/>
      <w:u w:color="000000"/>
    </w:rPr>
  </w:style>
  <w:style w:type="paragraph" w:customStyle="1" w:styleId="69">
    <w:name w:val="List Paragraph"/>
    <w:basedOn w:val="1"/>
    <w:unhideWhenUsed/>
    <w:qFormat/>
    <w:uiPriority w:val="99"/>
    <w:pPr>
      <w:ind w:firstLine="420" w:firstLineChars="200"/>
    </w:pPr>
  </w:style>
  <w:style w:type="character" w:customStyle="1" w:styleId="70">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71">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72">
    <w:name w:val="正文文本 (2)"/>
    <w:basedOn w:val="1"/>
    <w:link w:val="73"/>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73">
    <w:name w:val="正文文本 (2)_"/>
    <w:link w:val="72"/>
    <w:qFormat/>
    <w:uiPriority w:val="0"/>
    <w:rPr>
      <w:rFonts w:ascii="MingLiU" w:hAnsi="MingLiU" w:eastAsia="MingLiU" w:cs="MingLiU"/>
      <w:spacing w:val="30"/>
      <w:sz w:val="30"/>
      <w:szCs w:val="30"/>
      <w:u w:color="000000"/>
      <w:shd w:val="clear" w:color="auto" w:fill="FFFFFF"/>
    </w:rPr>
  </w:style>
  <w:style w:type="character" w:customStyle="1" w:styleId="74">
    <w:name w:val="样式 首行缩进:  0 字符 Char"/>
    <w:link w:val="75"/>
    <w:qFormat/>
    <w:locked/>
    <w:uiPriority w:val="0"/>
    <w:rPr>
      <w:sz w:val="24"/>
    </w:rPr>
  </w:style>
  <w:style w:type="paragraph" w:customStyle="1" w:styleId="75">
    <w:name w:val="样式 首行缩进:  0 字符"/>
    <w:basedOn w:val="1"/>
    <w:link w:val="74"/>
    <w:qFormat/>
    <w:uiPriority w:val="0"/>
    <w:pPr>
      <w:widowControl w:val="0"/>
      <w:spacing w:line="360" w:lineRule="auto"/>
      <w:ind w:firstLine="200" w:firstLineChars="200"/>
      <w:textAlignment w:val="auto"/>
    </w:pPr>
    <w:rPr>
      <w:color w:val="auto"/>
      <w:sz w:val="24"/>
    </w:rPr>
  </w:style>
  <w:style w:type="paragraph" w:customStyle="1" w:styleId="76">
    <w:name w:val="a"/>
    <w:basedOn w:val="1"/>
    <w:qFormat/>
    <w:uiPriority w:val="0"/>
    <w:pPr>
      <w:spacing w:before="100" w:beforeAutospacing="1" w:after="100" w:afterAutospacing="1"/>
      <w:jc w:val="left"/>
    </w:pPr>
    <w:rPr>
      <w:sz w:val="24"/>
    </w:rPr>
  </w:style>
  <w:style w:type="paragraph" w:customStyle="1" w:styleId="7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8">
    <w:name w:val="列出段落1"/>
    <w:basedOn w:val="1"/>
    <w:qFormat/>
    <w:uiPriority w:val="0"/>
    <w:pPr>
      <w:widowControl w:val="0"/>
      <w:spacing w:line="240" w:lineRule="auto"/>
      <w:ind w:firstLine="420" w:firstLineChars="200"/>
      <w:textAlignment w:val="auto"/>
    </w:pPr>
    <w:rPr>
      <w:color w:val="auto"/>
      <w:kern w:val="2"/>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85</Pages>
  <Words>47893</Words>
  <Characters>50606</Characters>
  <Lines>90</Lines>
  <Paragraphs>116</Paragraphs>
  <TotalTime>15</TotalTime>
  <ScaleCrop>false</ScaleCrop>
  <LinksUpToDate>false</LinksUpToDate>
  <CharactersWithSpaces>54137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2020-06-23T10:57:00Z</dcterms:created>
  <dc:creator>ZM</dc:creator>
  <cp:lastModifiedBy>安阳市方正招标采购服务有限责任公司:陶文雯</cp:lastModifiedBy>
  <cp:lastPrinted>2024-05-29T14:46:00Z</cp:lastPrinted>
  <dcterms:modified xsi:type="dcterms:W3CDTF">2024-06-28T06:58:16Z</dcterms:modified>
  <dc:title>内黄县第一高级中学所需多媒体教室设备项目</dc:title>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E356F22DE6494A23BD4891F9507FB296_13</vt:lpwstr>
  </property>
</Properties>
</file>