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ind w:firstLine="241" w:firstLineChars="50"/>
        <w:jc w:val="center"/>
        <w:rPr>
          <w:rFonts w:eastAsia="黑体"/>
          <w:b/>
          <w:color w:val="auto"/>
          <w:spacing w:val="40"/>
          <w:sz w:val="40"/>
          <w:szCs w:val="40"/>
        </w:rPr>
      </w:pPr>
      <w:bookmarkStart w:id="52" w:name="_GoBack"/>
      <w:bookmarkEnd w:id="52"/>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before="240" w:beforeLines="100" w:line="560" w:lineRule="exact"/>
        <w:jc w:val="distribute"/>
        <w:rPr>
          <w:rFonts w:ascii="黑体" w:eastAsia="黑体"/>
          <w:b/>
          <w:color w:val="auto"/>
          <w:sz w:val="44"/>
          <w:szCs w:val="44"/>
        </w:rPr>
      </w:pPr>
      <w:r>
        <w:rPr>
          <w:rFonts w:hint="eastAsia" w:ascii="黑体" w:eastAsia="黑体"/>
          <w:b/>
          <w:color w:val="auto"/>
          <w:sz w:val="44"/>
          <w:szCs w:val="44"/>
        </w:rPr>
        <w:t>安阳工学院科技园一期工程网络设备</w:t>
      </w:r>
    </w:p>
    <w:p>
      <w:pPr>
        <w:widowControl w:val="0"/>
        <w:snapToGrid w:val="0"/>
        <w:spacing w:before="240" w:beforeLines="100" w:line="560" w:lineRule="exact"/>
        <w:jc w:val="distribute"/>
        <w:rPr>
          <w:rFonts w:ascii="黑体" w:eastAsia="黑体"/>
          <w:b/>
          <w:color w:val="000000" w:themeColor="text1"/>
          <w:sz w:val="44"/>
          <w:szCs w:val="44"/>
          <w14:textFill>
            <w14:solidFill>
              <w14:schemeClr w14:val="tx1"/>
            </w14:solidFill>
          </w14:textFill>
        </w:rPr>
      </w:pPr>
      <w:r>
        <w:rPr>
          <w:rFonts w:hint="eastAsia" w:ascii="黑体" w:eastAsia="黑体"/>
          <w:b/>
          <w:color w:val="auto"/>
          <w:sz w:val="44"/>
          <w:szCs w:val="44"/>
        </w:rPr>
        <w:t>安装和运维系统采购项目</w:t>
      </w:r>
      <w:r>
        <w:rPr>
          <w:rFonts w:hint="eastAsia" w:ascii="黑体" w:eastAsia="黑体"/>
          <w:b/>
          <w:color w:val="000000" w:themeColor="text1"/>
          <w:sz w:val="44"/>
          <w:szCs w:val="44"/>
          <w14:textFill>
            <w14:solidFill>
              <w14:schemeClr w14:val="tx1"/>
            </w14:solidFill>
          </w14:textFill>
        </w:rPr>
        <w:t>包2(二次)</w:t>
      </w:r>
    </w:p>
    <w:p>
      <w:pPr>
        <w:widowControl w:val="0"/>
        <w:snapToGrid w:val="0"/>
        <w:spacing w:before="240" w:beforeLines="100" w:line="240" w:lineRule="auto"/>
        <w:jc w:val="center"/>
        <w:rPr>
          <w:rFonts w:eastAsia="黑体"/>
          <w:b/>
          <w:color w:val="auto"/>
          <w:sz w:val="44"/>
        </w:rPr>
      </w:pPr>
    </w:p>
    <w:p>
      <w:pPr>
        <w:widowControl w:val="0"/>
        <w:snapToGrid w:val="0"/>
        <w:spacing w:before="240" w:beforeLines="100" w:line="240" w:lineRule="auto"/>
        <w:jc w:val="center"/>
        <w:rPr>
          <w:rFonts w:eastAsia="黑体"/>
          <w:b/>
          <w:color w:val="auto"/>
          <w:sz w:val="44"/>
        </w:rPr>
      </w:pPr>
    </w:p>
    <w:p>
      <w:pPr>
        <w:widowControl w:val="0"/>
        <w:snapToGrid w:val="0"/>
        <w:spacing w:before="240"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rPr>
        <w:t>谈</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判</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件</w:t>
      </w:r>
    </w:p>
    <w:p>
      <w:pPr>
        <w:widowControl w:val="0"/>
        <w:snapToGrid w:val="0"/>
        <w:spacing w:before="240" w:beforeLines="100" w:line="560" w:lineRule="exact"/>
        <w:jc w:val="center"/>
        <w:rPr>
          <w:rFonts w:ascii="宋体" w:hAnsi="宋体"/>
          <w:color w:val="auto"/>
          <w:sz w:val="32"/>
          <w:szCs w:val="32"/>
        </w:rPr>
      </w:pPr>
      <w:r>
        <w:rPr>
          <w:rFonts w:hint="eastAsia" w:ascii="宋体" w:hAnsi="宋体"/>
          <w:color w:val="auto"/>
          <w:sz w:val="32"/>
          <w:szCs w:val="32"/>
        </w:rPr>
        <w:t xml:space="preserve">项目编号：安财竞谈-2023-58 </w:t>
      </w:r>
    </w:p>
    <w:p>
      <w:pPr>
        <w:widowControl w:val="0"/>
        <w:snapToGrid w:val="0"/>
        <w:spacing w:before="240" w:beforeLines="100" w:line="560" w:lineRule="exact"/>
        <w:jc w:val="center"/>
        <w:rPr>
          <w:rFonts w:eastAsia="黑体"/>
          <w:b/>
          <w:color w:val="auto"/>
          <w:sz w:val="30"/>
          <w:szCs w:val="30"/>
        </w:rPr>
      </w:pPr>
    </w:p>
    <w:p>
      <w:pPr>
        <w:widowControl w:val="0"/>
        <w:snapToGrid w:val="0"/>
        <w:spacing w:before="240" w:beforeLines="100" w:line="560" w:lineRule="exact"/>
        <w:jc w:val="center"/>
        <w:rPr>
          <w:rFonts w:eastAsia="黑体"/>
          <w:b/>
          <w:color w:val="auto"/>
          <w:sz w:val="44"/>
        </w:rPr>
      </w:pPr>
    </w:p>
    <w:p>
      <w:pPr>
        <w:widowControl w:val="0"/>
        <w:snapToGrid w:val="0"/>
        <w:spacing w:before="240" w:beforeLines="100" w:line="560" w:lineRule="exact"/>
        <w:jc w:val="center"/>
        <w:rPr>
          <w:rFonts w:eastAsia="黑体"/>
          <w:b/>
          <w:color w:val="auto"/>
          <w:sz w:val="44"/>
        </w:rPr>
      </w:pPr>
    </w:p>
    <w:p>
      <w:pPr>
        <w:widowControl w:val="0"/>
        <w:snapToGrid w:val="0"/>
        <w:spacing w:before="240" w:beforeLines="100" w:line="560" w:lineRule="exact"/>
        <w:jc w:val="center"/>
        <w:rPr>
          <w:rFonts w:eastAsia="黑体"/>
          <w:b/>
          <w:color w:val="auto"/>
          <w:sz w:val="44"/>
        </w:rPr>
      </w:pPr>
    </w:p>
    <w:p>
      <w:pPr>
        <w:widowControl w:val="0"/>
        <w:snapToGrid w:val="0"/>
        <w:spacing w:before="240" w:beforeLines="100" w:line="560" w:lineRule="exact"/>
        <w:rPr>
          <w:rFonts w:eastAsia="黑体"/>
          <w:b/>
          <w:color w:val="auto"/>
          <w:sz w:val="44"/>
        </w:rPr>
      </w:pPr>
    </w:p>
    <w:p>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采购人：安阳工学院</w:t>
      </w:r>
    </w:p>
    <w:p>
      <w:pPr>
        <w:widowControl w:val="0"/>
        <w:snapToGrid w:val="0"/>
        <w:spacing w:line="660" w:lineRule="exact"/>
        <w:ind w:firstLine="540" w:firstLineChars="168"/>
        <w:rPr>
          <w:rFonts w:ascii="黑体" w:hAnsi="黑体" w:eastAsia="黑体"/>
          <w:b/>
          <w:color w:val="auto"/>
          <w:sz w:val="32"/>
          <w:szCs w:val="32"/>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rPr>
        <w:t>代理机构：安阳市方正招标采购服务有限责任公司</w:t>
      </w:r>
    </w:p>
    <w:p>
      <w:pPr>
        <w:widowControl w:val="0"/>
        <w:snapToGrid w:val="0"/>
        <w:spacing w:line="660" w:lineRule="exact"/>
        <w:ind w:firstLine="540" w:firstLineChars="168"/>
        <w:rPr>
          <w:rFonts w:ascii="黑体" w:hAnsi="黑体" w:eastAsia="黑体"/>
          <w:b/>
          <w:color w:val="auto"/>
          <w:sz w:val="32"/>
          <w:szCs w:val="32"/>
        </w:rPr>
      </w:pPr>
    </w:p>
    <w:p>
      <w:pPr>
        <w:pStyle w:val="50"/>
        <w:jc w:val="center"/>
        <w:rPr>
          <w:rFonts w:ascii="黑体" w:hAnsi="黑体" w:eastAsia="黑体"/>
          <w:color w:val="auto"/>
          <w:sz w:val="36"/>
          <w:szCs w:val="36"/>
          <w:lang w:val="zh-CN"/>
        </w:rPr>
      </w:pPr>
      <w:r>
        <w:rPr>
          <w:rFonts w:hint="eastAsia" w:ascii="黑体" w:hAnsi="黑体" w:eastAsia="黑体"/>
          <w:color w:val="auto"/>
          <w:sz w:val="36"/>
          <w:szCs w:val="36"/>
          <w:lang w:val="zh-CN"/>
        </w:rPr>
        <w:t>目录</w:t>
      </w:r>
    </w:p>
    <w:p>
      <w:pPr>
        <w:pStyle w:val="11"/>
        <w:tabs>
          <w:tab w:val="right" w:leader="dot" w:pos="9371"/>
        </w:tabs>
        <w:rPr>
          <w:rFonts w:asciiTheme="minorHAnsi" w:hAnsiTheme="minorHAnsi" w:eastAsiaTheme="minorEastAsia" w:cstheme="minorBidi"/>
          <w:color w:val="auto"/>
          <w:kern w:val="2"/>
          <w:szCs w:val="22"/>
        </w:rPr>
      </w:pPr>
      <w:r>
        <w:rPr>
          <w:color w:val="auto"/>
        </w:rPr>
        <w:fldChar w:fldCharType="begin"/>
      </w:r>
      <w:r>
        <w:rPr>
          <w:color w:val="auto"/>
        </w:rPr>
        <w:instrText xml:space="preserve"> TOC \o "1-3" \h \z \u </w:instrText>
      </w:r>
      <w:r>
        <w:rPr>
          <w:color w:val="auto"/>
        </w:rPr>
        <w:fldChar w:fldCharType="separate"/>
      </w:r>
      <w:r>
        <w:rPr>
          <w:rStyle w:val="21"/>
        </w:rPr>
        <w:fldChar w:fldCharType="begin"/>
      </w:r>
      <w:r>
        <w:rPr>
          <w:rStyle w:val="21"/>
        </w:rPr>
        <w:instrText xml:space="preserve"> </w:instrText>
      </w:r>
      <w:r>
        <w:instrText xml:space="preserve">HYPERLINK \l "_Toc150758824"</w:instrText>
      </w:r>
      <w:r>
        <w:rPr>
          <w:rStyle w:val="21"/>
        </w:rPr>
        <w:instrText xml:space="preserve"> </w:instrText>
      </w:r>
      <w:r>
        <w:rPr>
          <w:rStyle w:val="21"/>
        </w:rPr>
        <w:fldChar w:fldCharType="separate"/>
      </w:r>
      <w:r>
        <w:rPr>
          <w:rStyle w:val="21"/>
          <w:rFonts w:hint="eastAsia" w:eastAsia="黑体"/>
          <w:b/>
        </w:rPr>
        <w:t>第一章</w:t>
      </w:r>
      <w:r>
        <w:rPr>
          <w:rStyle w:val="21"/>
          <w:rFonts w:eastAsia="黑体"/>
          <w:b/>
        </w:rPr>
        <w:t xml:space="preserve"> </w:t>
      </w:r>
      <w:r>
        <w:rPr>
          <w:rStyle w:val="21"/>
          <w:rFonts w:hint="eastAsia" w:eastAsia="黑体"/>
          <w:b/>
        </w:rPr>
        <w:t>谈判公告</w:t>
      </w:r>
      <w:r>
        <w:tab/>
      </w:r>
      <w:r>
        <w:fldChar w:fldCharType="begin"/>
      </w:r>
      <w:r>
        <w:instrText xml:space="preserve"> PAGEREF _Toc150758824 \h </w:instrText>
      </w:r>
      <w:r>
        <w:fldChar w:fldCharType="separate"/>
      </w:r>
      <w:r>
        <w:t>- 1 -</w:t>
      </w:r>
      <w:r>
        <w:fldChar w:fldCharType="end"/>
      </w:r>
      <w:r>
        <w:rPr>
          <w:rStyle w:val="21"/>
        </w:rPr>
        <w:fldChar w:fldCharType="end"/>
      </w:r>
    </w:p>
    <w:p>
      <w:pPr>
        <w:pStyle w:val="11"/>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"_Toc150758825" </w:instrText>
      </w:r>
      <w:r>
        <w:fldChar w:fldCharType="separate"/>
      </w:r>
      <w:r>
        <w:rPr>
          <w:rStyle w:val="21"/>
          <w:rFonts w:hint="eastAsia" w:eastAsia="黑体"/>
          <w:b/>
        </w:rPr>
        <w:t>第二章</w:t>
      </w:r>
      <w:r>
        <w:rPr>
          <w:rStyle w:val="21"/>
          <w:rFonts w:eastAsia="黑体"/>
          <w:b/>
        </w:rPr>
        <w:t xml:space="preserve"> </w:t>
      </w:r>
      <w:r>
        <w:rPr>
          <w:rStyle w:val="21"/>
          <w:rFonts w:hint="eastAsia" w:eastAsia="黑体"/>
          <w:b/>
        </w:rPr>
        <w:t>采购项目及技术服务要求</w:t>
      </w:r>
      <w:r>
        <w:tab/>
      </w:r>
      <w:r>
        <w:fldChar w:fldCharType="begin"/>
      </w:r>
      <w:r>
        <w:instrText xml:space="preserve"> PAGEREF _Toc150758825 \h </w:instrText>
      </w:r>
      <w:r>
        <w:fldChar w:fldCharType="separate"/>
      </w:r>
      <w:r>
        <w:t>- 6 -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"_Toc150758826" </w:instrText>
      </w:r>
      <w:r>
        <w:fldChar w:fldCharType="separate"/>
      </w:r>
      <w:r>
        <w:rPr>
          <w:rStyle w:val="21"/>
          <w:rFonts w:ascii="黑体" w:hAnsi="黑体" w:eastAsia="黑体"/>
          <w:b/>
        </w:rPr>
        <w:t xml:space="preserve">1. </w:t>
      </w:r>
      <w:r>
        <w:rPr>
          <w:rStyle w:val="21"/>
          <w:rFonts w:hint="eastAsia" w:ascii="黑体" w:hAnsi="黑体" w:eastAsia="黑体"/>
          <w:b/>
        </w:rPr>
        <w:t>采购项目、标段（包）划分、投标报价</w:t>
      </w:r>
      <w:r>
        <w:tab/>
      </w:r>
      <w:r>
        <w:fldChar w:fldCharType="begin"/>
      </w:r>
      <w:r>
        <w:instrText xml:space="preserve"> PAGEREF _Toc150758826 \h </w:instrText>
      </w:r>
      <w:r>
        <w:fldChar w:fldCharType="separate"/>
      </w:r>
      <w:r>
        <w:t>- 6 -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"_Toc150758827" </w:instrText>
      </w:r>
      <w:r>
        <w:fldChar w:fldCharType="separate"/>
      </w:r>
      <w:r>
        <w:rPr>
          <w:rStyle w:val="21"/>
          <w:rFonts w:ascii="黑体" w:hAnsi="黑体" w:eastAsia="黑体"/>
          <w:b/>
        </w:rPr>
        <w:t xml:space="preserve">2. </w:t>
      </w:r>
      <w:r>
        <w:rPr>
          <w:rStyle w:val="21"/>
          <w:rFonts w:hint="eastAsia" w:ascii="黑体" w:hAnsi="黑体" w:eastAsia="黑体"/>
          <w:b/>
        </w:rPr>
        <w:t>标段（包）内容（范围）及基本技术要求</w:t>
      </w:r>
      <w:r>
        <w:tab/>
      </w:r>
      <w:r>
        <w:fldChar w:fldCharType="begin"/>
      </w:r>
      <w:r>
        <w:instrText xml:space="preserve"> PAGEREF _Toc150758827 \h </w:instrText>
      </w:r>
      <w:r>
        <w:fldChar w:fldCharType="separate"/>
      </w:r>
      <w:r>
        <w:t>- 7 -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"_Toc150758828" </w:instrText>
      </w:r>
      <w:r>
        <w:fldChar w:fldCharType="separate"/>
      </w:r>
      <w:r>
        <w:rPr>
          <w:rStyle w:val="21"/>
          <w:rFonts w:ascii="黑体" w:hAnsi="黑体" w:eastAsia="黑体"/>
          <w:b/>
        </w:rPr>
        <w:t xml:space="preserve">3. </w:t>
      </w:r>
      <w:r>
        <w:rPr>
          <w:rStyle w:val="21"/>
          <w:rFonts w:hint="eastAsia" w:ascii="黑体" w:hAnsi="黑体" w:eastAsia="黑体"/>
          <w:b/>
        </w:rPr>
        <w:t>项目其他要求</w:t>
      </w:r>
      <w:r>
        <w:tab/>
      </w:r>
      <w:r>
        <w:fldChar w:fldCharType="begin"/>
      </w:r>
      <w:r>
        <w:instrText xml:space="preserve"> PAGEREF _Toc150758828 \h </w:instrText>
      </w:r>
      <w:r>
        <w:fldChar w:fldCharType="separate"/>
      </w:r>
      <w:r>
        <w:t>- 12 -</w:t>
      </w:r>
      <w:r>
        <w:fldChar w:fldCharType="end"/>
      </w:r>
      <w:r>
        <w:fldChar w:fldCharType="end"/>
      </w:r>
    </w:p>
    <w:p>
      <w:pPr>
        <w:pStyle w:val="11"/>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"_Toc150758829" </w:instrText>
      </w:r>
      <w:r>
        <w:fldChar w:fldCharType="separate"/>
      </w:r>
      <w:r>
        <w:rPr>
          <w:rStyle w:val="21"/>
          <w:rFonts w:hint="eastAsia" w:eastAsia="黑体"/>
          <w:b/>
        </w:rPr>
        <w:t>第三章</w:t>
      </w:r>
      <w:r>
        <w:rPr>
          <w:rStyle w:val="21"/>
          <w:rFonts w:eastAsia="黑体"/>
          <w:b/>
        </w:rPr>
        <w:t xml:space="preserve"> </w:t>
      </w:r>
      <w:r>
        <w:rPr>
          <w:rStyle w:val="21"/>
          <w:rFonts w:hint="eastAsia" w:eastAsia="黑体"/>
          <w:b/>
        </w:rPr>
        <w:t>投标人须知</w:t>
      </w:r>
      <w:r>
        <w:tab/>
      </w:r>
      <w:r>
        <w:fldChar w:fldCharType="begin"/>
      </w:r>
      <w:r>
        <w:instrText xml:space="preserve"> PAGEREF _Toc150758829 \h </w:instrText>
      </w:r>
      <w:r>
        <w:fldChar w:fldCharType="separate"/>
      </w:r>
      <w:r>
        <w:t>- 13 -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"_Toc150758830" </w:instrText>
      </w:r>
      <w:r>
        <w:fldChar w:fldCharType="separate"/>
      </w:r>
      <w:r>
        <w:rPr>
          <w:rStyle w:val="21"/>
          <w:rFonts w:hint="eastAsia" w:eastAsia="黑体"/>
          <w:b/>
        </w:rPr>
        <w:t>投标人须知前附表</w:t>
      </w:r>
      <w:r>
        <w:tab/>
      </w:r>
      <w:r>
        <w:fldChar w:fldCharType="begin"/>
      </w:r>
      <w:r>
        <w:instrText xml:space="preserve"> PAGEREF _Toc150758830 \h </w:instrText>
      </w:r>
      <w:r>
        <w:fldChar w:fldCharType="separate"/>
      </w:r>
      <w:r>
        <w:t>- 13 -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"_Toc150758831" </w:instrText>
      </w:r>
      <w:r>
        <w:fldChar w:fldCharType="separate"/>
      </w:r>
      <w:r>
        <w:rPr>
          <w:rStyle w:val="21"/>
          <w:rFonts w:ascii="黑体" w:hAnsi="黑体" w:eastAsia="黑体" w:cs="楷体_GB2312"/>
          <w:b/>
          <w:bCs/>
          <w:lang w:val="zh-CN"/>
        </w:rPr>
        <w:t xml:space="preserve">1. </w:t>
      </w:r>
      <w:r>
        <w:rPr>
          <w:rStyle w:val="21"/>
          <w:rFonts w:hint="eastAsia" w:ascii="黑体" w:hAnsi="黑体" w:eastAsia="黑体" w:cs="楷体_GB2312"/>
          <w:b/>
          <w:bCs/>
          <w:lang w:val="zh-CN"/>
        </w:rPr>
        <w:t>总则</w:t>
      </w:r>
      <w:r>
        <w:tab/>
      </w:r>
      <w:r>
        <w:fldChar w:fldCharType="begin"/>
      </w:r>
      <w:r>
        <w:instrText xml:space="preserve"> PAGEREF _Toc150758831 \h </w:instrText>
      </w:r>
      <w:r>
        <w:fldChar w:fldCharType="separate"/>
      </w:r>
      <w:r>
        <w:t>- 16 -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"_Toc150758832" </w:instrText>
      </w:r>
      <w:r>
        <w:fldChar w:fldCharType="separate"/>
      </w:r>
      <w:r>
        <w:rPr>
          <w:rStyle w:val="21"/>
          <w:rFonts w:ascii="黑体" w:hAnsi="黑体" w:eastAsia="黑体" w:cs="楷体_GB2312"/>
          <w:b/>
          <w:bCs/>
          <w:lang w:val="zh-CN"/>
        </w:rPr>
        <w:t xml:space="preserve">2. </w:t>
      </w:r>
      <w:r>
        <w:rPr>
          <w:rStyle w:val="21"/>
          <w:rFonts w:hint="eastAsia" w:ascii="黑体" w:hAnsi="黑体" w:eastAsia="黑体" w:cs="楷体_GB2312"/>
          <w:b/>
          <w:bCs/>
          <w:lang w:val="zh-CN"/>
        </w:rPr>
        <w:t>谈判文件</w:t>
      </w:r>
      <w:r>
        <w:tab/>
      </w:r>
      <w:r>
        <w:fldChar w:fldCharType="begin"/>
      </w:r>
      <w:r>
        <w:instrText xml:space="preserve"> PAGEREF _Toc150758832 \h </w:instrText>
      </w:r>
      <w:r>
        <w:fldChar w:fldCharType="separate"/>
      </w:r>
      <w:r>
        <w:t>- 19 -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"_Toc150758833" </w:instrText>
      </w:r>
      <w:r>
        <w:fldChar w:fldCharType="separate"/>
      </w:r>
      <w:r>
        <w:rPr>
          <w:rStyle w:val="21"/>
          <w:rFonts w:ascii="黑体" w:hAnsi="黑体" w:eastAsia="黑体" w:cs="楷体_GB2312"/>
          <w:b/>
          <w:bCs/>
          <w:lang w:val="zh-CN"/>
        </w:rPr>
        <w:t xml:space="preserve">3. </w:t>
      </w:r>
      <w:r>
        <w:rPr>
          <w:rStyle w:val="21"/>
          <w:rFonts w:hint="eastAsia" w:ascii="黑体" w:hAnsi="黑体" w:eastAsia="黑体" w:cs="楷体_GB2312"/>
          <w:b/>
          <w:bCs/>
          <w:lang w:val="zh-CN"/>
        </w:rPr>
        <w:t>投标文件（响应文件）</w:t>
      </w:r>
      <w:r>
        <w:tab/>
      </w:r>
      <w:r>
        <w:fldChar w:fldCharType="begin"/>
      </w:r>
      <w:r>
        <w:instrText xml:space="preserve"> PAGEREF _Toc150758833 \h </w:instrText>
      </w:r>
      <w:r>
        <w:fldChar w:fldCharType="separate"/>
      </w:r>
      <w:r>
        <w:t>- 20 -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"_Toc150758834" </w:instrText>
      </w:r>
      <w:r>
        <w:fldChar w:fldCharType="separate"/>
      </w:r>
      <w:r>
        <w:rPr>
          <w:rStyle w:val="21"/>
          <w:rFonts w:ascii="黑体" w:hAnsi="黑体" w:eastAsia="黑体" w:cs="楷体_GB2312"/>
          <w:b/>
          <w:bCs/>
          <w:lang w:val="zh-CN"/>
        </w:rPr>
        <w:t xml:space="preserve">4. </w:t>
      </w:r>
      <w:r>
        <w:rPr>
          <w:rStyle w:val="21"/>
          <w:rFonts w:hint="eastAsia" w:ascii="黑体" w:hAnsi="黑体" w:eastAsia="黑体" w:cs="楷体_GB2312"/>
          <w:b/>
          <w:bCs/>
          <w:lang w:val="zh-CN"/>
        </w:rPr>
        <w:t>投标（响应文件的递交）</w:t>
      </w:r>
      <w:r>
        <w:tab/>
      </w:r>
      <w:r>
        <w:fldChar w:fldCharType="begin"/>
      </w:r>
      <w:r>
        <w:instrText xml:space="preserve"> PAGEREF _Toc150758834 \h </w:instrText>
      </w:r>
      <w:r>
        <w:fldChar w:fldCharType="separate"/>
      </w:r>
      <w:r>
        <w:t>- 23 -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"_Toc150758835" </w:instrText>
      </w:r>
      <w:r>
        <w:fldChar w:fldCharType="separate"/>
      </w:r>
      <w:r>
        <w:rPr>
          <w:rStyle w:val="21"/>
          <w:rFonts w:ascii="黑体" w:hAnsi="黑体" w:eastAsia="黑体" w:cs="楷体_GB2312"/>
          <w:b/>
          <w:bCs/>
          <w:lang w:val="zh-CN"/>
        </w:rPr>
        <w:t xml:space="preserve">5. </w:t>
      </w:r>
      <w:r>
        <w:rPr>
          <w:rStyle w:val="21"/>
          <w:rFonts w:hint="eastAsia" w:ascii="黑体" w:hAnsi="黑体" w:eastAsia="黑体" w:cs="楷体_GB2312"/>
          <w:b/>
          <w:bCs/>
          <w:lang w:val="zh-CN"/>
        </w:rPr>
        <w:t>开标（响应文件的开启）</w:t>
      </w:r>
      <w:r>
        <w:tab/>
      </w:r>
      <w:r>
        <w:fldChar w:fldCharType="begin"/>
      </w:r>
      <w:r>
        <w:instrText xml:space="preserve"> PAGEREF _Toc150758835 \h </w:instrText>
      </w:r>
      <w:r>
        <w:fldChar w:fldCharType="separate"/>
      </w:r>
      <w:r>
        <w:t>- 24 -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"_Toc150758836" </w:instrText>
      </w:r>
      <w:r>
        <w:fldChar w:fldCharType="separate"/>
      </w:r>
      <w:r>
        <w:rPr>
          <w:rStyle w:val="21"/>
          <w:rFonts w:ascii="黑体" w:hAnsi="黑体" w:eastAsia="黑体" w:cs="楷体_GB2312"/>
          <w:b/>
          <w:bCs/>
          <w:lang w:val="zh-CN"/>
        </w:rPr>
        <w:t xml:space="preserve">6. </w:t>
      </w:r>
      <w:r>
        <w:rPr>
          <w:rStyle w:val="21"/>
          <w:rFonts w:hint="eastAsia" w:ascii="黑体" w:hAnsi="黑体" w:eastAsia="黑体" w:cs="楷体_GB2312"/>
          <w:b/>
          <w:bCs/>
          <w:lang w:val="zh-CN"/>
        </w:rPr>
        <w:t>评审</w:t>
      </w:r>
      <w:r>
        <w:tab/>
      </w:r>
      <w:r>
        <w:fldChar w:fldCharType="begin"/>
      </w:r>
      <w:r>
        <w:instrText xml:space="preserve"> PAGEREF _Toc150758836 \h </w:instrText>
      </w:r>
      <w:r>
        <w:fldChar w:fldCharType="separate"/>
      </w:r>
      <w:r>
        <w:t>- 24 -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"_Toc150758837" </w:instrText>
      </w:r>
      <w:r>
        <w:fldChar w:fldCharType="separate"/>
      </w:r>
      <w:r>
        <w:rPr>
          <w:rStyle w:val="21"/>
          <w:rFonts w:ascii="黑体" w:hAnsi="黑体" w:eastAsia="黑体" w:cs="楷体_GB2312"/>
          <w:b/>
          <w:bCs/>
          <w:lang w:val="zh-CN"/>
        </w:rPr>
        <w:t xml:space="preserve">7. </w:t>
      </w:r>
      <w:r>
        <w:rPr>
          <w:rStyle w:val="21"/>
          <w:rFonts w:hint="eastAsia" w:ascii="黑体" w:hAnsi="黑体" w:eastAsia="黑体" w:cs="楷体_GB2312"/>
          <w:b/>
          <w:bCs/>
          <w:lang w:val="zh-CN"/>
        </w:rPr>
        <w:t>授予合同</w:t>
      </w:r>
      <w:r>
        <w:tab/>
      </w:r>
      <w:r>
        <w:fldChar w:fldCharType="begin"/>
      </w:r>
      <w:r>
        <w:instrText xml:space="preserve"> PAGEREF _Toc150758837 \h </w:instrText>
      </w:r>
      <w:r>
        <w:fldChar w:fldCharType="separate"/>
      </w:r>
      <w:r>
        <w:t>- 25 -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"_Toc150758838" </w:instrText>
      </w:r>
      <w:r>
        <w:fldChar w:fldCharType="separate"/>
      </w:r>
      <w:r>
        <w:rPr>
          <w:rStyle w:val="21"/>
          <w:rFonts w:ascii="黑体" w:hAnsi="黑体" w:eastAsia="黑体" w:cs="楷体_GB2312"/>
          <w:b/>
          <w:bCs/>
          <w:lang w:val="zh-CN"/>
        </w:rPr>
        <w:t xml:space="preserve">8. </w:t>
      </w:r>
      <w:r>
        <w:rPr>
          <w:rStyle w:val="21"/>
          <w:rFonts w:hint="eastAsia" w:ascii="黑体" w:hAnsi="黑体" w:eastAsia="黑体" w:cs="楷体_GB2312"/>
          <w:b/>
          <w:bCs/>
          <w:lang w:val="zh-CN"/>
        </w:rPr>
        <w:t>验收</w:t>
      </w:r>
      <w:r>
        <w:tab/>
      </w:r>
      <w:r>
        <w:fldChar w:fldCharType="begin"/>
      </w:r>
      <w:r>
        <w:instrText xml:space="preserve"> PAGEREF _Toc150758838 \h </w:instrText>
      </w:r>
      <w:r>
        <w:fldChar w:fldCharType="separate"/>
      </w:r>
      <w:r>
        <w:t>- 27 -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"_Toc150758839" </w:instrText>
      </w:r>
      <w:r>
        <w:fldChar w:fldCharType="separate"/>
      </w:r>
      <w:r>
        <w:rPr>
          <w:rStyle w:val="21"/>
          <w:rFonts w:ascii="黑体" w:hAnsi="黑体" w:eastAsia="黑体" w:cs="楷体_GB2312"/>
          <w:b/>
          <w:bCs/>
          <w:lang w:val="zh-CN"/>
        </w:rPr>
        <w:t>9.</w:t>
      </w:r>
      <w:r>
        <w:rPr>
          <w:rStyle w:val="21"/>
          <w:rFonts w:hint="eastAsia" w:ascii="黑体" w:hAnsi="黑体" w:eastAsia="黑体" w:cs="楷体_GB2312"/>
          <w:b/>
          <w:bCs/>
          <w:lang w:val="zh-CN"/>
        </w:rPr>
        <w:t>付款</w:t>
      </w:r>
      <w:r>
        <w:tab/>
      </w:r>
      <w:r>
        <w:fldChar w:fldCharType="begin"/>
      </w:r>
      <w:r>
        <w:instrText xml:space="preserve"> PAGEREF _Toc150758839 \h </w:instrText>
      </w:r>
      <w:r>
        <w:fldChar w:fldCharType="separate"/>
      </w:r>
      <w:r>
        <w:t>- 28 -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"_Toc150758840" </w:instrText>
      </w:r>
      <w:r>
        <w:fldChar w:fldCharType="separate"/>
      </w:r>
      <w:r>
        <w:rPr>
          <w:rStyle w:val="21"/>
          <w:rFonts w:ascii="黑体" w:hAnsi="黑体" w:eastAsia="黑体" w:cs="楷体_GB2312"/>
          <w:b/>
          <w:bCs/>
          <w:lang w:val="zh-CN"/>
        </w:rPr>
        <w:t xml:space="preserve">10. </w:t>
      </w:r>
      <w:r>
        <w:rPr>
          <w:rStyle w:val="21"/>
          <w:rFonts w:hint="eastAsia" w:ascii="黑体" w:hAnsi="黑体" w:eastAsia="黑体" w:cs="楷体_GB2312"/>
          <w:b/>
          <w:bCs/>
          <w:lang w:val="zh-CN"/>
        </w:rPr>
        <w:t>其他</w:t>
      </w:r>
      <w:r>
        <w:tab/>
      </w:r>
      <w:r>
        <w:fldChar w:fldCharType="begin"/>
      </w:r>
      <w:r>
        <w:instrText xml:space="preserve"> PAGEREF _Toc150758840 \h </w:instrText>
      </w:r>
      <w:r>
        <w:fldChar w:fldCharType="separate"/>
      </w:r>
      <w:r>
        <w:t>- 28 -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"_Toc150758841" </w:instrText>
      </w:r>
      <w:r>
        <w:fldChar w:fldCharType="separate"/>
      </w:r>
      <w:r>
        <w:rPr>
          <w:rStyle w:val="21"/>
          <w:rFonts w:ascii="黑体" w:hAnsi="黑体" w:eastAsia="黑体" w:cs="楷体_GB2312"/>
          <w:b/>
          <w:bCs/>
          <w:lang w:val="zh-CN"/>
        </w:rPr>
        <w:t xml:space="preserve">11. </w:t>
      </w:r>
      <w:r>
        <w:rPr>
          <w:rStyle w:val="21"/>
          <w:rFonts w:hint="eastAsia" w:ascii="黑体" w:hAnsi="黑体" w:eastAsia="黑体" w:cs="楷体_GB2312"/>
          <w:b/>
          <w:bCs/>
          <w:lang w:val="zh-CN"/>
        </w:rPr>
        <w:t>河南省政府采购合同融资政策告知函</w:t>
      </w:r>
      <w:r>
        <w:tab/>
      </w:r>
      <w:r>
        <w:fldChar w:fldCharType="begin"/>
      </w:r>
      <w:r>
        <w:instrText xml:space="preserve"> PAGEREF _Toc150758841 \h </w:instrText>
      </w:r>
      <w:r>
        <w:fldChar w:fldCharType="separate"/>
      </w:r>
      <w:r>
        <w:t>- 28 -</w:t>
      </w:r>
      <w:r>
        <w:fldChar w:fldCharType="end"/>
      </w:r>
      <w:r>
        <w:fldChar w:fldCharType="end"/>
      </w:r>
    </w:p>
    <w:p>
      <w:pPr>
        <w:pStyle w:val="11"/>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"_Toc150758842" </w:instrText>
      </w:r>
      <w:r>
        <w:fldChar w:fldCharType="separate"/>
      </w:r>
      <w:r>
        <w:rPr>
          <w:rStyle w:val="21"/>
          <w:rFonts w:hint="eastAsia" w:ascii="黑体" w:hAnsi="黑体" w:eastAsia="黑体"/>
          <w:b/>
          <w:lang w:val="zh-CN"/>
        </w:rPr>
        <w:t>第四章</w:t>
      </w:r>
      <w:r>
        <w:rPr>
          <w:rStyle w:val="21"/>
          <w:rFonts w:ascii="黑体" w:hAnsi="黑体" w:eastAsia="黑体"/>
          <w:b/>
          <w:lang w:val="zh-CN"/>
        </w:rPr>
        <w:t xml:space="preserve"> </w:t>
      </w:r>
      <w:r>
        <w:rPr>
          <w:rStyle w:val="21"/>
          <w:rFonts w:hint="eastAsia" w:ascii="黑体" w:hAnsi="黑体" w:eastAsia="黑体"/>
          <w:b/>
          <w:lang w:val="zh-CN"/>
        </w:rPr>
        <w:t>评审办法</w:t>
      </w:r>
      <w:r>
        <w:tab/>
      </w:r>
      <w:r>
        <w:fldChar w:fldCharType="begin"/>
      </w:r>
      <w:r>
        <w:instrText xml:space="preserve"> PAGEREF _Toc150758842 \h </w:instrText>
      </w:r>
      <w:r>
        <w:fldChar w:fldCharType="separate"/>
      </w:r>
      <w:r>
        <w:t>- 29 -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"_Toc150758843" </w:instrText>
      </w:r>
      <w:r>
        <w:fldChar w:fldCharType="separate"/>
      </w:r>
      <w:r>
        <w:rPr>
          <w:rStyle w:val="21"/>
          <w:rFonts w:hint="eastAsia" w:ascii="黑体" w:hAnsi="黑体" w:eastAsia="黑体"/>
          <w:b/>
        </w:rPr>
        <w:t>评审办法前附表</w:t>
      </w:r>
      <w:r>
        <w:tab/>
      </w:r>
      <w:r>
        <w:fldChar w:fldCharType="begin"/>
      </w:r>
      <w:r>
        <w:instrText xml:space="preserve"> PAGEREF _Toc150758843 \h </w:instrText>
      </w:r>
      <w:r>
        <w:fldChar w:fldCharType="separate"/>
      </w:r>
      <w:r>
        <w:t>- 29 -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"_Toc150758844" </w:instrText>
      </w:r>
      <w:r>
        <w:fldChar w:fldCharType="separate"/>
      </w:r>
      <w:r>
        <w:rPr>
          <w:rStyle w:val="21"/>
          <w:rFonts w:ascii="黑体" w:hAnsi="黑体" w:eastAsia="黑体" w:cs="楷体_GB2312"/>
          <w:b/>
          <w:bCs/>
          <w:lang w:val="zh-CN"/>
        </w:rPr>
        <w:t xml:space="preserve">1. </w:t>
      </w:r>
      <w:r>
        <w:rPr>
          <w:rStyle w:val="21"/>
          <w:rFonts w:hint="eastAsia" w:ascii="黑体" w:hAnsi="黑体" w:eastAsia="黑体" w:cs="楷体_GB2312"/>
          <w:b/>
          <w:bCs/>
          <w:lang w:val="zh-CN"/>
        </w:rPr>
        <w:t>评审方法（评定成交的标准）</w:t>
      </w:r>
      <w:r>
        <w:tab/>
      </w:r>
      <w:r>
        <w:fldChar w:fldCharType="begin"/>
      </w:r>
      <w:r>
        <w:instrText xml:space="preserve"> PAGEREF _Toc150758844 \h </w:instrText>
      </w:r>
      <w:r>
        <w:fldChar w:fldCharType="separate"/>
      </w:r>
      <w:r>
        <w:t>- 30 -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"_Toc150758845" </w:instrText>
      </w:r>
      <w:r>
        <w:fldChar w:fldCharType="separate"/>
      </w:r>
      <w:r>
        <w:rPr>
          <w:rStyle w:val="21"/>
          <w:rFonts w:ascii="黑体" w:hAnsi="黑体" w:eastAsia="黑体" w:cs="楷体_GB2312"/>
          <w:b/>
          <w:bCs/>
          <w:lang w:val="zh-CN"/>
        </w:rPr>
        <w:t xml:space="preserve">2. </w:t>
      </w:r>
      <w:r>
        <w:rPr>
          <w:rStyle w:val="21"/>
          <w:rFonts w:hint="eastAsia" w:ascii="黑体" w:hAnsi="黑体" w:eastAsia="黑体" w:cs="楷体_GB2312"/>
          <w:b/>
          <w:bCs/>
          <w:lang w:val="zh-CN"/>
        </w:rPr>
        <w:t>评审标准</w:t>
      </w:r>
      <w:r>
        <w:tab/>
      </w:r>
      <w:r>
        <w:fldChar w:fldCharType="begin"/>
      </w:r>
      <w:r>
        <w:instrText xml:space="preserve"> PAGEREF _Toc150758845 \h </w:instrText>
      </w:r>
      <w:r>
        <w:fldChar w:fldCharType="separate"/>
      </w:r>
      <w:r>
        <w:t>- 30 -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"_Toc150758846" </w:instrText>
      </w:r>
      <w:r>
        <w:fldChar w:fldCharType="separate"/>
      </w:r>
      <w:r>
        <w:rPr>
          <w:rStyle w:val="21"/>
          <w:rFonts w:ascii="黑体" w:hAnsi="黑体" w:eastAsia="黑体" w:cs="楷体_GB2312"/>
          <w:b/>
          <w:bCs/>
          <w:lang w:val="zh-CN"/>
        </w:rPr>
        <w:t xml:space="preserve">3. </w:t>
      </w:r>
      <w:r>
        <w:rPr>
          <w:rStyle w:val="21"/>
          <w:rFonts w:hint="eastAsia" w:ascii="黑体" w:hAnsi="黑体" w:eastAsia="黑体" w:cs="楷体_GB2312"/>
          <w:b/>
          <w:bCs/>
          <w:lang w:val="zh-CN"/>
        </w:rPr>
        <w:t>评审程序</w:t>
      </w:r>
      <w:r>
        <w:tab/>
      </w:r>
      <w:r>
        <w:fldChar w:fldCharType="begin"/>
      </w:r>
      <w:r>
        <w:instrText xml:space="preserve"> PAGEREF _Toc150758846 \h </w:instrText>
      </w:r>
      <w:r>
        <w:fldChar w:fldCharType="separate"/>
      </w:r>
      <w:r>
        <w:t>- 30 -</w:t>
      </w:r>
      <w:r>
        <w:fldChar w:fldCharType="end"/>
      </w:r>
      <w:r>
        <w:fldChar w:fldCharType="end"/>
      </w:r>
    </w:p>
    <w:p>
      <w:pPr>
        <w:pStyle w:val="12"/>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"_Toc150758847" </w:instrText>
      </w:r>
      <w:r>
        <w:fldChar w:fldCharType="separate"/>
      </w:r>
      <w:r>
        <w:rPr>
          <w:rStyle w:val="21"/>
          <w:rFonts w:ascii="黑体" w:hAnsi="黑体" w:eastAsia="黑体" w:cs="楷体_GB2312"/>
          <w:b/>
          <w:bCs/>
          <w:lang w:val="zh-CN"/>
        </w:rPr>
        <w:t xml:space="preserve">4. </w:t>
      </w:r>
      <w:r>
        <w:rPr>
          <w:rStyle w:val="21"/>
          <w:rFonts w:hint="eastAsia" w:ascii="黑体" w:hAnsi="黑体" w:eastAsia="黑体" w:cs="楷体_GB2312"/>
          <w:b/>
          <w:bCs/>
          <w:lang w:val="zh-CN"/>
        </w:rPr>
        <w:t>政府采购促进中小企业发展扶持政策</w:t>
      </w:r>
      <w:r>
        <w:tab/>
      </w:r>
      <w:r>
        <w:fldChar w:fldCharType="begin"/>
      </w:r>
      <w:r>
        <w:instrText xml:space="preserve"> PAGEREF _Toc150758847 \h </w:instrText>
      </w:r>
      <w:r>
        <w:fldChar w:fldCharType="separate"/>
      </w:r>
      <w:r>
        <w:t>- 34 -</w:t>
      </w:r>
      <w:r>
        <w:fldChar w:fldCharType="end"/>
      </w:r>
      <w:r>
        <w:fldChar w:fldCharType="end"/>
      </w:r>
    </w:p>
    <w:p>
      <w:pPr>
        <w:pStyle w:val="11"/>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"_Toc150758848" </w:instrText>
      </w:r>
      <w:r>
        <w:fldChar w:fldCharType="separate"/>
      </w:r>
      <w:r>
        <w:rPr>
          <w:rStyle w:val="21"/>
          <w:rFonts w:hint="eastAsia" w:ascii="黑体" w:eastAsia="黑体"/>
          <w:b/>
        </w:rPr>
        <w:t>第五章</w:t>
      </w:r>
      <w:r>
        <w:rPr>
          <w:rStyle w:val="21"/>
          <w:rFonts w:ascii="黑体" w:eastAsia="黑体"/>
          <w:b/>
        </w:rPr>
        <w:t xml:space="preserve"> </w:t>
      </w:r>
      <w:r>
        <w:rPr>
          <w:rStyle w:val="21"/>
          <w:rFonts w:hint="eastAsia" w:ascii="黑体" w:eastAsia="黑体"/>
          <w:b/>
        </w:rPr>
        <w:t>合同主要条款</w:t>
      </w:r>
      <w:r>
        <w:tab/>
      </w:r>
      <w:r>
        <w:fldChar w:fldCharType="begin"/>
      </w:r>
      <w:r>
        <w:instrText xml:space="preserve"> PAGEREF _Toc150758848 \h </w:instrText>
      </w:r>
      <w:r>
        <w:fldChar w:fldCharType="separate"/>
      </w:r>
      <w:r>
        <w:t>- 38 -</w:t>
      </w:r>
      <w:r>
        <w:fldChar w:fldCharType="end"/>
      </w:r>
      <w:r>
        <w:fldChar w:fldCharType="end"/>
      </w:r>
    </w:p>
    <w:p>
      <w:pPr>
        <w:pStyle w:val="11"/>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"_Toc150758849" </w:instrText>
      </w:r>
      <w:r>
        <w:fldChar w:fldCharType="separate"/>
      </w:r>
      <w:r>
        <w:rPr>
          <w:rStyle w:val="21"/>
          <w:rFonts w:hint="eastAsia" w:ascii="黑体" w:hAnsi="黑体" w:eastAsia="黑体"/>
          <w:b/>
          <w:lang w:val="zh-CN"/>
        </w:rPr>
        <w:t>第六章</w:t>
      </w:r>
      <w:r>
        <w:rPr>
          <w:rStyle w:val="21"/>
          <w:rFonts w:ascii="黑体" w:hAnsi="黑体" w:eastAsia="黑体"/>
          <w:b/>
          <w:lang w:val="zh-CN"/>
        </w:rPr>
        <w:t xml:space="preserve"> </w:t>
      </w:r>
      <w:r>
        <w:rPr>
          <w:rStyle w:val="21"/>
          <w:rFonts w:hint="eastAsia" w:ascii="黑体" w:hAnsi="黑体" w:eastAsia="黑体"/>
          <w:b/>
          <w:lang w:val="zh-CN"/>
        </w:rPr>
        <w:t>投标文件格式</w:t>
      </w:r>
      <w:r>
        <w:tab/>
      </w:r>
      <w:r>
        <w:fldChar w:fldCharType="begin"/>
      </w:r>
      <w:r>
        <w:instrText xml:space="preserve"> PAGEREF _Toc150758849 \h </w:instrText>
      </w:r>
      <w:r>
        <w:fldChar w:fldCharType="separate"/>
      </w:r>
      <w:r>
        <w:t>- 42 -</w:t>
      </w:r>
      <w:r>
        <w:fldChar w:fldCharType="end"/>
      </w:r>
      <w:r>
        <w:fldChar w:fldCharType="end"/>
      </w:r>
    </w:p>
    <w:p>
      <w:pPr>
        <w:rPr>
          <w:color w:val="auto"/>
        </w:rPr>
      </w:pPr>
      <w:r>
        <w:rPr>
          <w:color w:val="auto"/>
        </w:rPr>
        <w:fldChar w:fldCharType="end"/>
      </w:r>
    </w:p>
    <w:p>
      <w:pPr>
        <w:widowControl w:val="0"/>
        <w:snapToGrid w:val="0"/>
        <w:spacing w:line="660" w:lineRule="exact"/>
        <w:ind w:firstLine="607" w:firstLineChars="168"/>
        <w:rPr>
          <w:rFonts w:ascii="黑体" w:hAnsi="黑体" w:eastAsia="黑体"/>
          <w:b/>
          <w:color w:val="auto"/>
          <w:sz w:val="36"/>
          <w:szCs w:val="36"/>
        </w:rPr>
      </w:pPr>
    </w:p>
    <w:p>
      <w:pPr>
        <w:widowControl w:val="0"/>
        <w:snapToGrid w:val="0"/>
        <w:spacing w:line="560" w:lineRule="exact"/>
        <w:ind w:firstLine="181" w:firstLineChars="50"/>
        <w:rPr>
          <w:rFonts w:ascii="黑体" w:eastAsia="黑体"/>
          <w:b/>
          <w:color w:val="auto"/>
          <w:sz w:val="36"/>
          <w:szCs w:val="36"/>
        </w:rPr>
        <w:sectPr>
          <w:pgSz w:w="11905" w:h="16837"/>
          <w:pgMar w:top="1418" w:right="1106" w:bottom="1418" w:left="1418" w:header="567" w:footer="567" w:gutter="0"/>
          <w:pgNumType w:fmt="numberInDash" w:start="0"/>
          <w:cols w:space="720" w:num="1"/>
          <w:titlePg/>
        </w:sectPr>
      </w:pPr>
    </w:p>
    <w:p>
      <w:pPr>
        <w:widowControl w:val="0"/>
        <w:snapToGrid w:val="0"/>
        <w:spacing w:line="560" w:lineRule="exact"/>
        <w:jc w:val="left"/>
        <w:rPr>
          <w:rFonts w:ascii="宋体"/>
          <w:b/>
          <w:color w:val="auto"/>
          <w:sz w:val="24"/>
          <w:szCs w:val="24"/>
        </w:rPr>
      </w:pPr>
    </w:p>
    <w:p>
      <w:pPr>
        <w:widowControl w:val="0"/>
        <w:snapToGrid w:val="0"/>
        <w:spacing w:line="560" w:lineRule="exact"/>
        <w:jc w:val="center"/>
        <w:outlineLvl w:val="0"/>
        <w:rPr>
          <w:color w:val="auto"/>
          <w:sz w:val="36"/>
          <w:szCs w:val="36"/>
        </w:rPr>
      </w:pPr>
      <w:bookmarkStart w:id="0" w:name="_Toc150758824"/>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谈判公告</w:t>
      </w:r>
      <w:bookmarkEnd w:id="0"/>
    </w:p>
    <w:p>
      <w:pPr>
        <w:widowControl w:val="0"/>
        <w:adjustRightInd w:val="0"/>
        <w:snapToGrid w:val="0"/>
        <w:spacing w:line="360" w:lineRule="auto"/>
        <w:ind w:firstLine="632" w:firstLineChars="225"/>
        <w:jc w:val="left"/>
        <w:rPr>
          <w:rFonts w:ascii="黑体" w:hAnsi="黑体" w:eastAsia="黑体"/>
          <w:b/>
          <w:color w:val="auto"/>
          <w:sz w:val="28"/>
          <w:szCs w:val="28"/>
        </w:rPr>
      </w:pPr>
    </w:p>
    <w:p>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1.1</w:t>
      </w:r>
      <w:r>
        <w:rPr>
          <w:rFonts w:hint="eastAsia" w:ascii="宋体" w:hAnsi="宋体"/>
          <w:color w:val="auto"/>
          <w:sz w:val="24"/>
          <w:szCs w:val="24"/>
        </w:rPr>
        <w:t xml:space="preserve">项目编号：安财竞谈-2023-58 </w:t>
      </w:r>
    </w:p>
    <w:p>
      <w:pPr>
        <w:widowControl w:val="0"/>
        <w:adjustRightInd w:val="0"/>
        <w:snapToGrid w:val="0"/>
        <w:spacing w:line="360" w:lineRule="auto"/>
        <w:ind w:firstLine="540" w:firstLineChars="225"/>
        <w:jc w:val="left"/>
        <w:rPr>
          <w:color w:val="auto"/>
          <w:sz w:val="24"/>
          <w:szCs w:val="24"/>
        </w:rPr>
      </w:pPr>
      <w:r>
        <w:rPr>
          <w:rFonts w:ascii="宋体" w:hAnsi="宋体"/>
          <w:color w:val="auto"/>
          <w:sz w:val="24"/>
          <w:szCs w:val="24"/>
        </w:rPr>
        <w:t>1.2</w:t>
      </w:r>
      <w:r>
        <w:rPr>
          <w:rFonts w:hint="eastAsia" w:ascii="宋体" w:hAnsi="宋体"/>
          <w:color w:val="auto"/>
          <w:sz w:val="24"/>
          <w:szCs w:val="24"/>
        </w:rPr>
        <w:t>项目名称：</w:t>
      </w:r>
      <w:r>
        <w:rPr>
          <w:rFonts w:hint="eastAsia"/>
          <w:color w:val="auto"/>
          <w:sz w:val="24"/>
          <w:szCs w:val="24"/>
        </w:rPr>
        <w:t>安阳工学院科技园一期工程网络设备安装和运维系统采购项目包2(二次)</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1.3采购方式：竞争性谈判</w:t>
      </w:r>
    </w:p>
    <w:p>
      <w:pPr>
        <w:adjustRightInd w:val="0"/>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ascii="宋体" w:hAnsi="宋体"/>
          <w:color w:val="auto"/>
          <w:sz w:val="24"/>
          <w:szCs w:val="24"/>
        </w:rPr>
        <w:t>1.</w:t>
      </w:r>
      <w:r>
        <w:rPr>
          <w:rFonts w:hint="eastAsia" w:ascii="宋体" w:hAnsi="宋体"/>
          <w:color w:val="auto"/>
          <w:sz w:val="24"/>
          <w:szCs w:val="24"/>
        </w:rPr>
        <w:t>4预算金额</w:t>
      </w:r>
      <w:r>
        <w:rPr>
          <w:rFonts w:hint="eastAsia" w:ascii="宋体" w:hAnsi="宋体"/>
          <w:color w:val="000000" w:themeColor="text1"/>
          <w:sz w:val="24"/>
          <w:szCs w:val="24"/>
          <w14:textFill>
            <w14:solidFill>
              <w14:schemeClr w14:val="tx1"/>
            </w14:solidFill>
          </w14:textFill>
        </w:rPr>
        <w:t>：66.6296万元</w:t>
      </w:r>
    </w:p>
    <w:tbl>
      <w:tblPr>
        <w:tblStyle w:val="16"/>
        <w:tblW w:w="888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695"/>
        <w:gridCol w:w="4231"/>
        <w:gridCol w:w="1366"/>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blCellSpacing w:w="0" w:type="dxa"/>
          <w:jc w:val="center"/>
        </w:trPr>
        <w:tc>
          <w:tcPr>
            <w:tcW w:w="767" w:type="dxa"/>
            <w:vAlign w:val="center"/>
          </w:tcPr>
          <w:p>
            <w:pPr>
              <w:spacing w:line="240"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695" w:type="dxa"/>
            <w:vAlign w:val="center"/>
          </w:tcPr>
          <w:p>
            <w:pPr>
              <w:spacing w:line="240"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包号</w:t>
            </w:r>
          </w:p>
        </w:tc>
        <w:tc>
          <w:tcPr>
            <w:tcW w:w="4231" w:type="dxa"/>
            <w:vAlign w:val="center"/>
          </w:tcPr>
          <w:p>
            <w:pPr>
              <w:spacing w:line="240"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包名称</w:t>
            </w:r>
          </w:p>
        </w:tc>
        <w:tc>
          <w:tcPr>
            <w:tcW w:w="1366" w:type="dxa"/>
            <w:vAlign w:val="center"/>
          </w:tcPr>
          <w:p>
            <w:pPr>
              <w:spacing w:line="240"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包预算（元）</w:t>
            </w:r>
          </w:p>
        </w:tc>
        <w:tc>
          <w:tcPr>
            <w:tcW w:w="1825" w:type="dxa"/>
            <w:vAlign w:val="center"/>
          </w:tcPr>
          <w:p>
            <w:pPr>
              <w:spacing w:line="240"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767" w:type="dxa"/>
            <w:vAlign w:val="center"/>
          </w:tcPr>
          <w:p>
            <w:pPr>
              <w:spacing w:line="240"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695" w:type="dxa"/>
            <w:vAlign w:val="center"/>
          </w:tcPr>
          <w:p>
            <w:pPr>
              <w:spacing w:line="240"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4231" w:type="dxa"/>
          </w:tcPr>
          <w:p>
            <w:pPr>
              <w:spacing w:line="240" w:lineRule="auto"/>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安阳工学院科技园一期工程网络设备安装和运维系统采购项目包2</w:t>
            </w:r>
          </w:p>
        </w:tc>
        <w:tc>
          <w:tcPr>
            <w:tcW w:w="1366" w:type="dxa"/>
            <w:vAlign w:val="center"/>
          </w:tcPr>
          <w:p>
            <w:pPr>
              <w:spacing w:line="240"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96</w:t>
            </w:r>
            <w:r>
              <w:rPr>
                <w:rFonts w:hint="eastAsia" w:ascii="宋体" w:hAnsi="宋体" w:cs="宋体"/>
                <w:color w:val="000000" w:themeColor="text1"/>
                <w:sz w:val="24"/>
                <w:szCs w:val="24"/>
                <w14:textFill>
                  <w14:solidFill>
                    <w14:schemeClr w14:val="tx1"/>
                  </w14:solidFill>
                </w14:textFill>
              </w:rPr>
              <w:t>000</w:t>
            </w:r>
          </w:p>
        </w:tc>
        <w:tc>
          <w:tcPr>
            <w:tcW w:w="1825" w:type="dxa"/>
            <w:vAlign w:val="center"/>
          </w:tcPr>
          <w:p>
            <w:pPr>
              <w:spacing w:line="240"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76</w:t>
            </w:r>
            <w:r>
              <w:rPr>
                <w:rFonts w:hint="eastAsia" w:ascii="宋体" w:hAnsi="宋体" w:cs="宋体"/>
                <w:color w:val="000000" w:themeColor="text1"/>
                <w:sz w:val="24"/>
                <w:szCs w:val="24"/>
                <w14:textFill>
                  <w14:solidFill>
                    <w14:schemeClr w14:val="tx1"/>
                  </w14:solidFill>
                </w14:textFill>
              </w:rPr>
              <w:t>000</w:t>
            </w:r>
          </w:p>
        </w:tc>
      </w:tr>
    </w:tbl>
    <w:p>
      <w:pPr>
        <w:adjustRightInd w:val="0"/>
        <w:snapToGrid w:val="0"/>
        <w:spacing w:line="360" w:lineRule="auto"/>
        <w:ind w:firstLine="540" w:firstLineChars="225"/>
        <w:rPr>
          <w:rFonts w:ascii="宋体" w:hAnsi="宋体"/>
          <w:color w:val="000000" w:themeColor="text1"/>
          <w:sz w:val="24"/>
          <w:szCs w:val="24"/>
          <w14:textFill>
            <w14:solidFill>
              <w14:schemeClr w14:val="tx1"/>
            </w14:solidFill>
          </w14:textFill>
        </w:rPr>
      </w:pPr>
    </w:p>
    <w:p>
      <w:pPr>
        <w:adjustRightInd w:val="0"/>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1.5采购需求：</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包2：网络运维系统 ，技术参数详见《谈判文件》“基本技术要求”</w:t>
      </w:r>
    </w:p>
    <w:p>
      <w:pPr>
        <w:adjustRightInd w:val="0"/>
        <w:snapToGrid w:val="0"/>
        <w:spacing w:line="360" w:lineRule="auto"/>
        <w:ind w:firstLine="540" w:firstLineChars="225"/>
        <w:rPr>
          <w:color w:val="FF0000"/>
          <w:sz w:val="24"/>
          <w:szCs w:val="24"/>
        </w:rPr>
      </w:pPr>
      <w:r>
        <w:rPr>
          <w:rFonts w:hint="eastAsia" w:ascii="宋体" w:hAnsi="宋体"/>
          <w:color w:val="000000" w:themeColor="text1"/>
          <w:sz w:val="24"/>
          <w:szCs w:val="24"/>
          <w14:textFill>
            <w14:solidFill>
              <w14:schemeClr w14:val="tx1"/>
            </w14:solidFill>
          </w14:textFill>
        </w:rPr>
        <w:t>1.6合同履行期限：</w:t>
      </w:r>
      <w:r>
        <w:rPr>
          <w:rFonts w:hint="eastAsia"/>
          <w:color w:val="000000" w:themeColor="text1"/>
          <w:sz w:val="24"/>
          <w:szCs w:val="24"/>
          <w14:textFill>
            <w14:solidFill>
              <w14:schemeClr w14:val="tx1"/>
            </w14:solidFill>
          </w14:textFill>
        </w:rPr>
        <w:t>合同签订日起</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60</w:t>
      </w:r>
      <w:r>
        <w:rPr>
          <w:rFonts w:hint="eastAsia" w:ascii="宋体" w:hAnsi="宋体"/>
          <w:color w:val="000000" w:themeColor="text1"/>
          <w:sz w:val="24"/>
          <w:szCs w:val="24"/>
          <w14:textFill>
            <w14:solidFill>
              <w14:schemeClr w14:val="tx1"/>
            </w14:solidFill>
          </w14:textFill>
        </w:rPr>
        <w:t xml:space="preserve"> 日内</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1.7本项目（是/否）接受联合体投标：</w:t>
      </w:r>
      <w:r>
        <w:rPr>
          <w:rFonts w:hint="eastAsia" w:ascii="宋体" w:hAnsi="宋体" w:cs="楷体_GB2312"/>
          <w:color w:val="auto"/>
          <w:sz w:val="24"/>
          <w:lang w:val="zh-CN"/>
        </w:rPr>
        <w:t>否</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1.8是否接受进口产品：</w:t>
      </w:r>
      <w:r>
        <w:rPr>
          <w:rFonts w:hint="eastAsia" w:ascii="宋体" w:hAnsi="宋体" w:cs="楷体_GB2312"/>
          <w:color w:val="auto"/>
          <w:sz w:val="24"/>
          <w:lang w:val="zh-CN"/>
        </w:rPr>
        <w:t>否</w:t>
      </w:r>
    </w:p>
    <w:p>
      <w:pPr>
        <w:widowControl w:val="0"/>
        <w:snapToGrid w:val="0"/>
        <w:spacing w:line="360" w:lineRule="auto"/>
        <w:ind w:firstLine="566"/>
        <w:rPr>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包2：</w:t>
      </w:r>
    </w:p>
    <w:p>
      <w:pPr>
        <w:widowControl w:val="0"/>
        <w:snapToGrid w:val="0"/>
        <w:spacing w:line="360" w:lineRule="auto"/>
        <w:ind w:firstLine="562" w:firstLineChars="200"/>
        <w:rPr>
          <w:rFonts w:ascii="黑体" w:hAnsi="黑体" w:eastAsia="黑体"/>
          <w:b/>
          <w:color w:val="auto"/>
          <w:sz w:val="28"/>
          <w:szCs w:val="28"/>
        </w:rPr>
      </w:pPr>
      <w:bookmarkStart w:id="1" w:name="_Toc35393622"/>
      <w:bookmarkStart w:id="2" w:name="_Toc35393791"/>
      <w:bookmarkStart w:id="3" w:name="_Toc28359080"/>
      <w:bookmarkStart w:id="4" w:name="_Toc28359003"/>
      <w:r>
        <w:rPr>
          <w:rFonts w:hint="eastAsia" w:ascii="黑体" w:hAnsi="黑体" w:eastAsia="黑体"/>
          <w:b/>
          <w:color w:val="auto"/>
          <w:sz w:val="28"/>
          <w:szCs w:val="28"/>
        </w:rPr>
        <w:t>2.申请人的资格要求：</w:t>
      </w:r>
      <w:bookmarkEnd w:id="1"/>
      <w:bookmarkEnd w:id="2"/>
      <w:bookmarkEnd w:id="3"/>
      <w:bookmarkEnd w:id="4"/>
    </w:p>
    <w:p>
      <w:pPr>
        <w:spacing w:line="360" w:lineRule="auto"/>
        <w:ind w:firstLine="480" w:firstLineChars="200"/>
        <w:rPr>
          <w:rFonts w:ascii="宋体" w:hAnsi="宋体"/>
          <w:color w:val="auto"/>
          <w:sz w:val="24"/>
          <w:szCs w:val="24"/>
        </w:rPr>
      </w:pPr>
      <w:r>
        <w:rPr>
          <w:rFonts w:hint="eastAsia" w:ascii="宋体" w:hAnsi="宋体"/>
          <w:color w:val="auto"/>
          <w:sz w:val="24"/>
          <w:szCs w:val="24"/>
        </w:rPr>
        <w:t>2.1满足《中华人民共和国政府采购法》第二十二条规定；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2</w:t>
      </w:r>
      <w:r>
        <w:rPr>
          <w:rFonts w:hint="eastAsia" w:ascii="宋体" w:hAnsi="宋体"/>
          <w:color w:val="auto"/>
          <w:sz w:val="24"/>
          <w:szCs w:val="24"/>
        </w:rPr>
        <w:t>落实政府采购政策需满足的资格要求：无专项资格要求。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2.3本项目的特定资格要求：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.1</w:t>
      </w:r>
      <w:r>
        <w:rPr>
          <w:rFonts w:hint="eastAsia" w:ascii="宋体" w:hAnsi="宋体"/>
          <w:color w:val="auto"/>
          <w:sz w:val="24"/>
          <w:szCs w:val="24"/>
        </w:rPr>
        <w:t>满足《中华人民共和国政府采购法》第二十二条第</w:t>
      </w:r>
      <w:r>
        <w:rPr>
          <w:rFonts w:ascii="宋体" w:hAnsi="宋体"/>
          <w:color w:val="auto"/>
          <w:sz w:val="24"/>
          <w:szCs w:val="24"/>
        </w:rPr>
        <w:t>一款</w:t>
      </w:r>
      <w:r>
        <w:rPr>
          <w:rFonts w:hint="eastAsia" w:ascii="宋体" w:hAnsi="宋体"/>
          <w:color w:val="auto"/>
          <w:sz w:val="24"/>
          <w:szCs w:val="24"/>
        </w:rPr>
        <w:t>规定的</w:t>
      </w:r>
      <w:r>
        <w:rPr>
          <w:rFonts w:ascii="宋体" w:hAnsi="宋体"/>
          <w:color w:val="auto"/>
          <w:sz w:val="24"/>
          <w:szCs w:val="24"/>
        </w:rPr>
        <w:t>供应商基础性</w:t>
      </w:r>
      <w:r>
        <w:rPr>
          <w:rFonts w:hint="eastAsia" w:ascii="宋体" w:hAnsi="宋体"/>
          <w:color w:val="auto"/>
          <w:sz w:val="24"/>
          <w:szCs w:val="24"/>
        </w:rPr>
        <w:t>资格要求；供应商自行承诺并承担后果，承诺书不实的，按《政府采购法》有关提供虚假材料的有关规定给予处罚。</w:t>
      </w:r>
    </w:p>
    <w:p>
      <w:pPr>
        <w:widowControl w:val="0"/>
        <w:snapToGrid w:val="0"/>
        <w:spacing w:line="360" w:lineRule="auto"/>
        <w:rPr>
          <w:rFonts w:ascii="宋体"/>
          <w:color w:val="auto"/>
          <w:sz w:val="24"/>
          <w:szCs w:val="24"/>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2对供</w:t>
      </w:r>
      <w:r>
        <w:rPr>
          <w:rFonts w:ascii="宋体" w:hAnsi="宋体"/>
          <w:color w:val="auto"/>
          <w:sz w:val="24"/>
          <w:szCs w:val="24"/>
        </w:rPr>
        <w:t>应商的限制性规定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（1）供应商应当无不良信用记录。</w:t>
      </w:r>
      <w:r>
        <w:rPr>
          <w:rFonts w:ascii="宋体" w:hAnsi="宋体"/>
          <w:color w:val="auto"/>
          <w:sz w:val="24"/>
          <w:szCs w:val="24"/>
        </w:rPr>
        <w:t>(</w:t>
      </w:r>
      <w:r>
        <w:rPr>
          <w:rFonts w:hint="eastAsia" w:ascii="宋体" w:hAnsi="宋体"/>
          <w:color w:val="auto"/>
          <w:sz w:val="24"/>
          <w:szCs w:val="24"/>
        </w:rPr>
        <w:t>在“信用中国”</w:t>
      </w:r>
      <w:r>
        <w:rPr>
          <w:rFonts w:ascii="宋体" w:hAnsi="宋体"/>
          <w:color w:val="auto"/>
          <w:sz w:val="24"/>
          <w:szCs w:val="24"/>
        </w:rPr>
        <w:t>&lt;www.creditchina.gov.cn&gt;</w:t>
      </w:r>
      <w:r>
        <w:rPr>
          <w:rFonts w:hint="eastAsia" w:ascii="宋体" w:hAnsi="宋体"/>
          <w:color w:val="auto"/>
          <w:sz w:val="24"/>
          <w:szCs w:val="24"/>
        </w:rPr>
        <w:t>网站的“失信被执行人”和“重大税收违法失信主体”及“中国政府采购网”</w:t>
      </w:r>
      <w:r>
        <w:rPr>
          <w:rFonts w:ascii="宋体" w:hAnsi="宋体"/>
          <w:color w:val="auto"/>
          <w:sz w:val="24"/>
          <w:szCs w:val="24"/>
        </w:rPr>
        <w:t>&lt;www.ccgp.gov.cn&gt;</w:t>
      </w:r>
      <w:r>
        <w:rPr>
          <w:rFonts w:hint="eastAsia" w:ascii="宋体" w:hAnsi="宋体"/>
          <w:color w:val="auto"/>
          <w:sz w:val="24"/>
          <w:szCs w:val="24"/>
        </w:rPr>
        <w:t>网站的“政府采购严重违法失信行为记录名单”</w:t>
      </w:r>
      <w:r>
        <w:rPr>
          <w:rFonts w:hint="eastAsia" w:ascii="宋体" w:hAnsi="宋体"/>
          <w:b/>
          <w:color w:val="auto"/>
          <w:sz w:val="24"/>
          <w:szCs w:val="24"/>
        </w:rPr>
        <w:t>均未列入</w:t>
      </w:r>
      <w:r>
        <w:rPr>
          <w:rFonts w:ascii="宋体" w:hAnsi="宋体"/>
          <w:color w:val="auto"/>
          <w:sz w:val="24"/>
          <w:szCs w:val="24"/>
        </w:rPr>
        <w:t>)</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供应商递交《投标文件》后，采购人或者采购代理机构将按以上信用信息查询渠道在解密《投标文件》之前对参加本项目的供应商信用记录进行查询，供应商有上述任一不良信用记录的，其</w:t>
      </w:r>
      <w:r>
        <w:rPr>
          <w:rFonts w:ascii="宋体" w:hAnsi="宋体"/>
          <w:color w:val="auto"/>
          <w:sz w:val="24"/>
          <w:szCs w:val="24"/>
        </w:rPr>
        <w:t>投标将被</w:t>
      </w:r>
      <w:r>
        <w:rPr>
          <w:rFonts w:hint="eastAsia" w:ascii="宋体" w:hAnsi="宋体"/>
          <w:color w:val="auto"/>
          <w:sz w:val="24"/>
          <w:szCs w:val="24"/>
        </w:rPr>
        <w:t>拒</w:t>
      </w:r>
      <w:r>
        <w:rPr>
          <w:rFonts w:ascii="宋体" w:hAnsi="宋体"/>
          <w:color w:val="auto"/>
          <w:sz w:val="24"/>
          <w:szCs w:val="24"/>
        </w:rPr>
        <w:t>绝</w:t>
      </w:r>
      <w:r>
        <w:rPr>
          <w:rFonts w:hint="eastAsia" w:ascii="宋体" w:hAnsi="宋体"/>
          <w:color w:val="auto"/>
          <w:sz w:val="24"/>
          <w:szCs w:val="24"/>
        </w:rPr>
        <w:t>、</w:t>
      </w:r>
      <w:r>
        <w:rPr>
          <w:rFonts w:ascii="宋体" w:hAnsi="宋体"/>
          <w:color w:val="auto"/>
          <w:sz w:val="24"/>
          <w:szCs w:val="24"/>
        </w:rPr>
        <w:t>为无效投</w:t>
      </w:r>
      <w:r>
        <w:rPr>
          <w:rFonts w:hint="eastAsia" w:ascii="宋体" w:hAnsi="宋体"/>
          <w:color w:val="auto"/>
          <w:sz w:val="24"/>
          <w:szCs w:val="24"/>
        </w:rPr>
        <w:t>标。查询的网页内容将以截图或者拍照作为证据留存。</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pPr>
        <w:widowControl w:val="0"/>
        <w:snapToGrid w:val="0"/>
        <w:spacing w:before="156" w:beforeLines="50" w:line="360" w:lineRule="auto"/>
        <w:ind w:firstLine="472" w:firstLineChars="225"/>
        <w:rPr>
          <w:color w:val="auto"/>
          <w:szCs w:val="21"/>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2.3.3项目的特定资格要求：</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（1）具备法律、行政法规规定的其他条件。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（2）本项目（是/否）接受联合体投标：同“项目基本情况”1.7款要求</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注：（1）</w:t>
      </w:r>
      <w:r>
        <w:rPr>
          <w:rFonts w:hint="eastAsia" w:ascii="宋体" w:hAnsi="宋体"/>
          <w:color w:val="auto"/>
          <w:sz w:val="24"/>
          <w:szCs w:val="24"/>
        </w:rPr>
        <w:t>所</w:t>
      </w:r>
      <w:r>
        <w:rPr>
          <w:rFonts w:hint="eastAsia"/>
          <w:color w:val="auto"/>
          <w:sz w:val="24"/>
          <w:szCs w:val="24"/>
        </w:rPr>
        <w:t>有证照均应为有效的证照；文中“近”、“前”指距投标截止时间。</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（2）资格证明材料（文件）应附于投标文件中并经投</w:t>
      </w:r>
      <w:r>
        <w:rPr>
          <w:color w:val="auto"/>
          <w:sz w:val="24"/>
          <w:szCs w:val="24"/>
        </w:rPr>
        <w:t>标人</w:t>
      </w:r>
      <w:r>
        <w:rPr>
          <w:rFonts w:hint="eastAsia" w:ascii="宋体" w:hAnsi="宋体" w:cs="楷体_GB2312"/>
          <w:color w:val="auto"/>
          <w:sz w:val="24"/>
        </w:rPr>
        <w:t>电子签章</w:t>
      </w:r>
      <w:r>
        <w:rPr>
          <w:rFonts w:hint="eastAsia"/>
          <w:color w:val="auto"/>
          <w:sz w:val="24"/>
          <w:szCs w:val="24"/>
        </w:rPr>
        <w:t>。投标人对资格证明文件真实性有效合规承担责任，提供虚假材料的为无效投标并将进一步追究其责任。</w:t>
      </w:r>
    </w:p>
    <w:p>
      <w:pPr>
        <w:pStyle w:val="14"/>
        <w:shd w:val="clear" w:color="auto" w:fill="FFFFFF"/>
        <w:adjustRightInd w:val="0"/>
        <w:spacing w:before="50" w:beforeAutospacing="0" w:after="0" w:afterAutospacing="0" w:line="300" w:lineRule="auto"/>
        <w:ind w:firstLine="540" w:firstLineChars="225"/>
        <w:rPr>
          <w:color w:val="auto"/>
        </w:rPr>
      </w:pPr>
      <w:r>
        <w:rPr>
          <w:rFonts w:hint="eastAsia"/>
          <w:color w:val="auto"/>
        </w:rPr>
        <w:t>（3）本项目采取资格后审，开标后，将由谈判小组对投标人的资格证明材料（文件）进行资格审核，未按要求逐一提供、或资格审查不合格的为无效投标，投标人应自负其风险费用。</w:t>
      </w:r>
    </w:p>
    <w:p>
      <w:pPr>
        <w:pStyle w:val="14"/>
        <w:shd w:val="clear" w:color="auto" w:fill="FFFFFF"/>
        <w:adjustRightInd w:val="0"/>
        <w:spacing w:before="50" w:beforeAutospacing="0" w:after="0" w:afterAutospacing="0" w:line="300" w:lineRule="auto"/>
        <w:rPr>
          <w:b/>
          <w:color w:val="auto"/>
        </w:rPr>
      </w:pP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3</w:t>
      </w:r>
      <w:r>
        <w:rPr>
          <w:rFonts w:hint="eastAsia" w:ascii="黑体" w:hAnsi="黑体" w:eastAsia="黑体"/>
          <w:b/>
          <w:color w:val="auto"/>
          <w:sz w:val="28"/>
          <w:szCs w:val="28"/>
        </w:rPr>
        <w:t>．获取谈判文件</w:t>
      </w:r>
    </w:p>
    <w:p>
      <w:pPr>
        <w:snapToGrid w:val="0"/>
        <w:spacing w:line="360" w:lineRule="auto"/>
        <w:ind w:firstLine="540" w:firstLineChars="225"/>
        <w:jc w:val="left"/>
        <w:rPr>
          <w:b/>
          <w:bCs/>
          <w:color w:val="auto"/>
          <w:sz w:val="24"/>
          <w:szCs w:val="24"/>
        </w:rPr>
      </w:pPr>
      <w:r>
        <w:rPr>
          <w:rFonts w:hint="eastAsia" w:ascii="宋体" w:hAnsi="宋体"/>
          <w:color w:val="auto"/>
          <w:sz w:val="24"/>
          <w:szCs w:val="24"/>
        </w:rPr>
        <w:t>3.1</w:t>
      </w:r>
      <w:r>
        <w:rPr>
          <w:rFonts w:hint="eastAsia"/>
          <w:color w:val="auto"/>
          <w:sz w:val="24"/>
          <w:szCs w:val="24"/>
        </w:rPr>
        <w:t>时间：</w:t>
      </w:r>
      <w:r>
        <w:rPr>
          <w:rFonts w:hint="eastAsia"/>
          <w:color w:val="auto"/>
          <w:sz w:val="24"/>
          <w:szCs w:val="24"/>
          <w:u w:val="single"/>
        </w:rPr>
        <w:t>2023</w:t>
      </w:r>
      <w:r>
        <w:rPr>
          <w:rFonts w:hint="eastAsia"/>
          <w:color w:val="auto"/>
          <w:sz w:val="24"/>
          <w:szCs w:val="24"/>
        </w:rPr>
        <w:t>年</w:t>
      </w:r>
      <w:r>
        <w:rPr>
          <w:rFonts w:hint="eastAsia"/>
          <w:color w:val="auto"/>
          <w:sz w:val="24"/>
          <w:szCs w:val="24"/>
          <w:u w:val="single"/>
          <w:lang w:val="en-US" w:eastAsia="zh-CN"/>
        </w:rPr>
        <w:t>11</w:t>
      </w:r>
      <w:r>
        <w:rPr>
          <w:rFonts w:hint="eastAsia"/>
          <w:color w:val="auto"/>
          <w:sz w:val="24"/>
          <w:szCs w:val="24"/>
        </w:rPr>
        <w:t>月</w:t>
      </w:r>
      <w:r>
        <w:rPr>
          <w:rFonts w:hint="eastAsia"/>
          <w:color w:val="auto"/>
          <w:sz w:val="24"/>
          <w:szCs w:val="24"/>
          <w:u w:val="single"/>
          <w:lang w:val="en-US" w:eastAsia="zh-CN"/>
        </w:rPr>
        <w:t>15</w:t>
      </w:r>
      <w:r>
        <w:rPr>
          <w:rFonts w:hint="eastAsia"/>
          <w:color w:val="auto"/>
          <w:sz w:val="24"/>
          <w:szCs w:val="24"/>
        </w:rPr>
        <w:t>日至</w:t>
      </w:r>
      <w:r>
        <w:rPr>
          <w:rFonts w:hint="eastAsia"/>
          <w:color w:val="auto"/>
          <w:sz w:val="24"/>
          <w:szCs w:val="24"/>
          <w:u w:val="single"/>
        </w:rPr>
        <w:t>2023</w:t>
      </w:r>
      <w:r>
        <w:rPr>
          <w:rFonts w:hint="eastAsia"/>
          <w:color w:val="auto"/>
          <w:sz w:val="24"/>
          <w:szCs w:val="24"/>
        </w:rPr>
        <w:t>年</w:t>
      </w:r>
      <w:r>
        <w:rPr>
          <w:rFonts w:hint="eastAsia"/>
          <w:color w:val="auto"/>
          <w:sz w:val="24"/>
          <w:szCs w:val="24"/>
          <w:u w:val="single"/>
          <w:lang w:val="en-US" w:eastAsia="zh-CN"/>
        </w:rPr>
        <w:t>11</w:t>
      </w:r>
      <w:r>
        <w:rPr>
          <w:rFonts w:hint="eastAsia"/>
          <w:color w:val="auto"/>
          <w:sz w:val="24"/>
          <w:szCs w:val="24"/>
        </w:rPr>
        <w:t>月</w:t>
      </w:r>
      <w:r>
        <w:rPr>
          <w:rFonts w:hint="eastAsia"/>
          <w:color w:val="auto"/>
          <w:sz w:val="24"/>
          <w:szCs w:val="24"/>
          <w:u w:val="single"/>
          <w:lang w:val="en-US" w:eastAsia="zh-CN"/>
        </w:rPr>
        <w:t>17</w:t>
      </w:r>
      <w:r>
        <w:rPr>
          <w:rFonts w:hint="eastAsia"/>
          <w:color w:val="auto"/>
          <w:sz w:val="24"/>
          <w:szCs w:val="24"/>
        </w:rPr>
        <w:t>日，每天上午</w:t>
      </w:r>
      <w:r>
        <w:rPr>
          <w:rFonts w:hint="eastAsia"/>
          <w:color w:val="auto"/>
          <w:sz w:val="24"/>
          <w:szCs w:val="24"/>
          <w:u w:val="single"/>
        </w:rPr>
        <w:t>00:00</w:t>
      </w:r>
      <w:r>
        <w:rPr>
          <w:rFonts w:hint="eastAsia"/>
          <w:color w:val="auto"/>
          <w:sz w:val="24"/>
          <w:szCs w:val="24"/>
        </w:rPr>
        <w:t>至</w:t>
      </w:r>
      <w:r>
        <w:rPr>
          <w:rFonts w:hint="eastAsia"/>
          <w:color w:val="auto"/>
          <w:sz w:val="24"/>
          <w:szCs w:val="24"/>
          <w:u w:val="single"/>
        </w:rPr>
        <w:t>12:00</w:t>
      </w:r>
      <w:r>
        <w:rPr>
          <w:rFonts w:hint="eastAsia"/>
          <w:color w:val="auto"/>
          <w:sz w:val="24"/>
          <w:szCs w:val="24"/>
        </w:rPr>
        <w:t>，下午</w:t>
      </w:r>
      <w:r>
        <w:rPr>
          <w:rFonts w:hint="eastAsia"/>
          <w:color w:val="auto"/>
          <w:sz w:val="24"/>
          <w:szCs w:val="24"/>
          <w:u w:val="single"/>
        </w:rPr>
        <w:t>12:00</w:t>
      </w:r>
      <w:r>
        <w:rPr>
          <w:rFonts w:hint="eastAsia"/>
          <w:color w:val="auto"/>
          <w:sz w:val="24"/>
          <w:szCs w:val="24"/>
        </w:rPr>
        <w:t>至</w:t>
      </w:r>
      <w:r>
        <w:rPr>
          <w:rFonts w:hint="eastAsia"/>
          <w:color w:val="auto"/>
          <w:sz w:val="24"/>
          <w:szCs w:val="24"/>
          <w:u w:val="single"/>
        </w:rPr>
        <w:t>23:59</w:t>
      </w:r>
      <w:r>
        <w:rPr>
          <w:rFonts w:hint="eastAsia"/>
          <w:color w:val="auto"/>
          <w:sz w:val="24"/>
          <w:szCs w:val="24"/>
        </w:rPr>
        <w:t>（北京时间，</w:t>
      </w:r>
      <w:r>
        <w:rPr>
          <w:color w:val="auto"/>
          <w:sz w:val="24"/>
          <w:szCs w:val="24"/>
        </w:rPr>
        <w:t>法定节假日</w:t>
      </w:r>
      <w:r>
        <w:rPr>
          <w:rFonts w:hint="eastAsia"/>
          <w:color w:val="auto"/>
          <w:sz w:val="24"/>
          <w:szCs w:val="24"/>
        </w:rPr>
        <w:t>除外）</w:t>
      </w:r>
    </w:p>
    <w:p>
      <w:pPr>
        <w:widowControl w:val="0"/>
        <w:snapToGrid w:val="0"/>
        <w:spacing w:line="360" w:lineRule="auto"/>
        <w:ind w:left="55" w:leftChars="26" w:firstLine="540" w:firstLineChars="225"/>
        <w:rPr>
          <w:rFonts w:ascii="宋体" w:hAnsi="宋体"/>
          <w:b/>
          <w:color w:val="auto"/>
          <w:sz w:val="24"/>
          <w:szCs w:val="24"/>
        </w:rPr>
      </w:pPr>
      <w:r>
        <w:rPr>
          <w:rFonts w:hint="eastAsia" w:ascii="宋体" w:hAnsi="宋体"/>
          <w:color w:val="auto"/>
          <w:sz w:val="24"/>
          <w:szCs w:val="24"/>
        </w:rPr>
        <w:t>3.2地点</w:t>
      </w:r>
      <w:r>
        <w:rPr>
          <w:rFonts w:hint="eastAsia"/>
          <w:color w:val="auto"/>
          <w:sz w:val="24"/>
          <w:szCs w:val="24"/>
        </w:rPr>
        <w:t>：</w:t>
      </w:r>
      <w:r>
        <w:rPr>
          <w:rFonts w:hint="eastAsia"/>
          <w:b/>
          <w:bCs/>
          <w:color w:val="auto"/>
          <w:sz w:val="24"/>
          <w:szCs w:val="24"/>
        </w:rPr>
        <w:t>登陆安阳市公共资源交易中心网站（</w:t>
      </w:r>
      <w:r>
        <w:rPr>
          <w:b/>
          <w:bCs/>
          <w:color w:val="auto"/>
          <w:sz w:val="24"/>
          <w:szCs w:val="24"/>
        </w:rPr>
        <w:t>http://ggzy.anyang.gov.cn/</w:t>
      </w:r>
      <w:r>
        <w:rPr>
          <w:rFonts w:hint="eastAsia"/>
          <w:b/>
          <w:bCs/>
          <w:color w:val="auto"/>
          <w:sz w:val="24"/>
          <w:szCs w:val="24"/>
        </w:rPr>
        <w:t>），完成用户注册后、</w:t>
      </w:r>
      <w:r>
        <w:rPr>
          <w:rFonts w:hint="eastAsia" w:ascii="宋体" w:hAnsi="宋体"/>
          <w:b/>
          <w:color w:val="auto"/>
          <w:sz w:val="24"/>
          <w:szCs w:val="24"/>
        </w:rPr>
        <w:t>凭企业数字证书点击“投标用户入口”登录“政府采购”系统，获取电子版《谈判文件》及其它资料。</w:t>
      </w:r>
    </w:p>
    <w:p>
      <w:pPr>
        <w:spacing w:line="360" w:lineRule="auto"/>
        <w:ind w:firstLine="540"/>
        <w:rPr>
          <w:rFonts w:ascii="仿宋" w:hAnsi="仿宋" w:eastAsia="仿宋" w:cs="宋体"/>
          <w:color w:val="auto"/>
          <w:sz w:val="28"/>
          <w:szCs w:val="28"/>
          <w:u w:val="single"/>
        </w:rPr>
      </w:pPr>
      <w:r>
        <w:rPr>
          <w:rFonts w:hint="eastAsia" w:ascii="宋体" w:hAnsi="宋体"/>
          <w:color w:val="auto"/>
          <w:sz w:val="24"/>
          <w:szCs w:val="24"/>
        </w:rPr>
        <w:t>3.3方式：</w:t>
      </w:r>
      <w:r>
        <w:rPr>
          <w:rFonts w:hint="eastAsia"/>
          <w:b/>
          <w:bCs/>
          <w:color w:val="auto"/>
          <w:sz w:val="24"/>
          <w:szCs w:val="24"/>
        </w:rPr>
        <w:t>网上</w:t>
      </w:r>
      <w:r>
        <w:rPr>
          <w:b/>
          <w:bCs/>
          <w:color w:val="auto"/>
          <w:sz w:val="24"/>
          <w:szCs w:val="24"/>
        </w:rPr>
        <w:t>下载</w:t>
      </w:r>
      <w:r>
        <w:rPr>
          <w:rFonts w:hint="eastAsia"/>
          <w:b/>
          <w:bCs/>
          <w:color w:val="auto"/>
          <w:sz w:val="24"/>
          <w:szCs w:val="24"/>
        </w:rPr>
        <w:t>；</w:t>
      </w:r>
    </w:p>
    <w:p>
      <w:pPr>
        <w:spacing w:line="360" w:lineRule="auto"/>
        <w:ind w:firstLine="540"/>
        <w:rPr>
          <w:rFonts w:ascii="宋体" w:hAnsi="宋体" w:cs="宋体"/>
          <w:color w:val="auto"/>
          <w:sz w:val="24"/>
          <w:szCs w:val="24"/>
        </w:rPr>
      </w:pPr>
      <w:r>
        <w:rPr>
          <w:rFonts w:hint="eastAsia" w:ascii="宋体" w:hAnsi="宋体"/>
          <w:color w:val="auto"/>
          <w:sz w:val="24"/>
          <w:szCs w:val="24"/>
        </w:rPr>
        <w:t>3.4售价：</w:t>
      </w:r>
      <w:r>
        <w:rPr>
          <w:rFonts w:hint="eastAsia" w:ascii="宋体" w:hAnsi="宋体" w:cs="宋体"/>
          <w:color w:val="auto"/>
          <w:sz w:val="24"/>
          <w:szCs w:val="24"/>
        </w:rPr>
        <w:t>0元</w:t>
      </w:r>
    </w:p>
    <w:p>
      <w:pPr>
        <w:widowControl w:val="0"/>
        <w:snapToGrid w:val="0"/>
        <w:spacing w:line="360" w:lineRule="auto"/>
        <w:ind w:firstLine="562" w:firstLineChars="200"/>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．响应文件提交</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4.1截止时间：2023年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20</w:t>
      </w:r>
      <w:r>
        <w:rPr>
          <w:rFonts w:hint="eastAsia" w:ascii="宋体" w:hAnsi="宋体"/>
          <w:color w:val="auto"/>
          <w:sz w:val="24"/>
          <w:szCs w:val="24"/>
        </w:rPr>
        <w:t>日09时00分（北京时间）</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4.2地点：于安阳市公共资源交易平台网上上传递交、并由供应商在规定时间远程解密。</w:t>
      </w:r>
    </w:p>
    <w:p>
      <w:pPr>
        <w:widowControl w:val="0"/>
        <w:snapToGrid w:val="0"/>
        <w:spacing w:line="360" w:lineRule="auto"/>
        <w:ind w:firstLine="420" w:firstLineChars="200"/>
        <w:rPr>
          <w:rFonts w:ascii="微软雅黑" w:hAnsi="微软雅黑" w:eastAsia="微软雅黑"/>
          <w:color w:val="auto"/>
          <w:szCs w:val="21"/>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5.响应文件开启</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5.1时间：</w:t>
      </w:r>
      <w:r>
        <w:rPr>
          <w:rFonts w:hint="eastAsia" w:ascii="宋体" w:hAnsi="宋体"/>
          <w:color w:val="auto"/>
          <w:sz w:val="24"/>
          <w:szCs w:val="24"/>
        </w:rPr>
        <w:t>2023年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20</w:t>
      </w:r>
      <w:r>
        <w:rPr>
          <w:rFonts w:hint="eastAsia" w:ascii="宋体" w:hAnsi="宋体"/>
          <w:color w:val="auto"/>
          <w:sz w:val="24"/>
          <w:szCs w:val="24"/>
        </w:rPr>
        <w:t>日09时00分</w:t>
      </w:r>
      <w:r>
        <w:rPr>
          <w:rFonts w:hint="eastAsia"/>
          <w:color w:val="auto"/>
          <w:sz w:val="24"/>
          <w:szCs w:val="24"/>
        </w:rPr>
        <w:t>（北京时间）</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5.2地点（管理员网上操作地点）：安阳市公共资源交易中心五楼集中开标大厅</w:t>
      </w:r>
      <w:r>
        <w:rPr>
          <w:rFonts w:hint="eastAsia"/>
          <w:color w:val="auto"/>
          <w:sz w:val="24"/>
          <w:szCs w:val="24"/>
          <w:lang w:val="en-US" w:eastAsia="zh-CN"/>
        </w:rPr>
        <w:t>3</w:t>
      </w:r>
      <w:r>
        <w:rPr>
          <w:rFonts w:hint="eastAsia"/>
          <w:color w:val="auto"/>
          <w:sz w:val="24"/>
          <w:szCs w:val="24"/>
        </w:rPr>
        <w:t>室（安阳市文峰大道东段559号安阳市民之家）。</w:t>
      </w:r>
    </w:p>
    <w:p>
      <w:pPr>
        <w:widowControl w:val="0"/>
        <w:snapToGrid w:val="0"/>
        <w:spacing w:line="360" w:lineRule="auto"/>
        <w:ind w:firstLine="562" w:firstLineChars="200"/>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w:t>
      </w:r>
      <w:r>
        <w:rPr>
          <w:rFonts w:hint="eastAsia"/>
          <w:color w:val="auto"/>
        </w:rPr>
        <w:t xml:space="preserve"> </w:t>
      </w:r>
      <w:r>
        <w:rPr>
          <w:rFonts w:hint="eastAsia" w:ascii="黑体" w:hAnsi="黑体" w:eastAsia="黑体"/>
          <w:b/>
          <w:color w:val="auto"/>
          <w:sz w:val="28"/>
          <w:szCs w:val="28"/>
        </w:rPr>
        <w:t>发布公告的媒介及公告期限</w:t>
      </w:r>
    </w:p>
    <w:p>
      <w:pPr>
        <w:widowControl w:val="0"/>
        <w:tabs>
          <w:tab w:val="left" w:pos="39"/>
          <w:tab w:val="left" w:pos="96"/>
        </w:tabs>
        <w:snapToGrid w:val="0"/>
        <w:spacing w:line="360" w:lineRule="auto"/>
        <w:ind w:firstLine="566" w:firstLineChars="236"/>
        <w:rPr>
          <w:rFonts w:ascii="宋体" w:hAnsi="宋体"/>
          <w:color w:val="auto"/>
          <w:sz w:val="24"/>
          <w:szCs w:val="24"/>
        </w:rPr>
      </w:pPr>
      <w:r>
        <w:rPr>
          <w:rFonts w:hint="eastAsia" w:ascii="宋体" w:hAnsi="宋体"/>
          <w:color w:val="auto"/>
          <w:sz w:val="24"/>
          <w:szCs w:val="24"/>
        </w:rPr>
        <w:t>本项目在“河南省政府采购网（安阳市政府采购网）</w:t>
      </w:r>
      <w:r>
        <w:rPr>
          <w:color w:val="auto"/>
          <w:sz w:val="24"/>
          <w:szCs w:val="24"/>
        </w:rPr>
        <w:t>zfcg.henan.gov.cn</w:t>
      </w:r>
      <w:r>
        <w:rPr>
          <w:rFonts w:hint="eastAsia" w:ascii="宋体" w:hAnsi="宋体"/>
          <w:color w:val="auto"/>
          <w:sz w:val="24"/>
          <w:szCs w:val="24"/>
        </w:rPr>
        <w:t>”、“安阳市公共资源交易中心网</w:t>
      </w:r>
      <w:r>
        <w:rPr>
          <w:rFonts w:ascii="宋体" w:hAnsi="宋体"/>
          <w:b/>
          <w:color w:val="auto"/>
          <w:sz w:val="24"/>
          <w:szCs w:val="24"/>
        </w:rPr>
        <w:t>http://ggzy.anyang.gov.cn/</w:t>
      </w:r>
      <w:r>
        <w:rPr>
          <w:rFonts w:hint="eastAsia" w:ascii="宋体" w:hAnsi="宋体"/>
          <w:color w:val="auto"/>
          <w:sz w:val="24"/>
          <w:szCs w:val="24"/>
        </w:rPr>
        <w:t>”</w:t>
      </w:r>
      <w:r>
        <w:rPr>
          <w:rFonts w:hint="eastAsia" w:ascii="宋体" w:hAnsi="宋体" w:cs="宋体"/>
          <w:color w:val="auto"/>
          <w:sz w:val="24"/>
          <w:szCs w:val="24"/>
        </w:rPr>
        <w:t>、</w:t>
      </w:r>
      <w:r>
        <w:rPr>
          <w:rFonts w:hint="eastAsia" w:ascii="宋体" w:hAnsi="宋体"/>
          <w:color w:val="auto"/>
          <w:sz w:val="24"/>
          <w:szCs w:val="24"/>
        </w:rPr>
        <w:t>“安阳招标采购网</w:t>
      </w:r>
      <w:r>
        <w:rPr>
          <w:color w:val="auto"/>
          <w:sz w:val="24"/>
          <w:szCs w:val="24"/>
        </w:rPr>
        <w:t>http://www.ayzbcg.com</w:t>
      </w:r>
      <w:r>
        <w:rPr>
          <w:rFonts w:hint="eastAsia" w:ascii="宋体" w:hAnsi="宋体"/>
          <w:color w:val="auto"/>
          <w:sz w:val="24"/>
          <w:szCs w:val="24"/>
        </w:rPr>
        <w:t>”网站上同期发布。公告期限为三个工作日</w:t>
      </w:r>
      <w:r>
        <w:rPr>
          <w:rFonts w:hint="eastAsia" w:ascii="宋体" w:hAnsi="宋体" w:cs="宋体"/>
          <w:color w:val="auto"/>
          <w:sz w:val="24"/>
          <w:szCs w:val="24"/>
        </w:rPr>
        <w:t>。</w:t>
      </w:r>
    </w:p>
    <w:p>
      <w:pPr>
        <w:widowControl w:val="0"/>
        <w:tabs>
          <w:tab w:val="left" w:pos="39"/>
          <w:tab w:val="left" w:pos="96"/>
        </w:tabs>
        <w:snapToGrid w:val="0"/>
        <w:spacing w:line="360" w:lineRule="auto"/>
        <w:ind w:firstLine="566" w:firstLineChars="236"/>
        <w:rPr>
          <w:rFonts w:ascii="宋体" w:hAnsi="宋体" w:cs="宋体"/>
          <w:color w:val="auto"/>
          <w:sz w:val="24"/>
          <w:szCs w:val="24"/>
        </w:rPr>
      </w:pPr>
    </w:p>
    <w:p>
      <w:pPr>
        <w:widowControl w:val="0"/>
        <w:tabs>
          <w:tab w:val="left" w:pos="39"/>
          <w:tab w:val="left" w:pos="96"/>
        </w:tabs>
        <w:snapToGrid w:val="0"/>
        <w:spacing w:line="360" w:lineRule="auto"/>
        <w:ind w:firstLine="663" w:firstLineChars="236"/>
        <w:rPr>
          <w:rFonts w:ascii="黑体" w:hAnsi="黑体" w:eastAsia="黑体"/>
          <w:b/>
          <w:color w:val="auto"/>
          <w:sz w:val="28"/>
          <w:szCs w:val="28"/>
        </w:rPr>
      </w:pPr>
      <w:r>
        <w:rPr>
          <w:rFonts w:hint="eastAsia" w:ascii="黑体" w:hAnsi="黑体" w:eastAsia="黑体"/>
          <w:b/>
          <w:color w:val="auto"/>
          <w:sz w:val="28"/>
          <w:szCs w:val="28"/>
        </w:rPr>
        <w:t>7. 其他补充事宜</w:t>
      </w:r>
    </w:p>
    <w:p>
      <w:pPr>
        <w:widowControl w:val="0"/>
        <w:snapToGrid w:val="0"/>
        <w:spacing w:line="360" w:lineRule="auto"/>
        <w:ind w:firstLine="540" w:firstLineChars="225"/>
        <w:jc w:val="left"/>
        <w:rPr>
          <w:color w:val="auto"/>
          <w:sz w:val="24"/>
          <w:szCs w:val="24"/>
        </w:rPr>
      </w:pPr>
      <w:r>
        <w:rPr>
          <w:rFonts w:hint="eastAsia" w:ascii="宋体" w:hAnsi="宋体"/>
          <w:color w:val="auto"/>
          <w:sz w:val="24"/>
          <w:szCs w:val="24"/>
        </w:rPr>
        <w:t>7.1项目落实的政府采购政策：</w:t>
      </w:r>
      <w:r>
        <w:rPr>
          <w:rFonts w:hint="eastAsia"/>
          <w:color w:val="auto"/>
          <w:sz w:val="24"/>
          <w:szCs w:val="24"/>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rPr>
        <w:t>支持绿色建筑、绿色建材，支持不发达、少数民族地区的企业，促进自主创新产业发展，支持脱贫攻坚等</w:t>
      </w:r>
      <w:r>
        <w:rPr>
          <w:rFonts w:hint="eastAsia"/>
          <w:color w:val="auto"/>
          <w:sz w:val="24"/>
          <w:szCs w:val="24"/>
        </w:rPr>
        <w:t>。</w:t>
      </w:r>
    </w:p>
    <w:p>
      <w:pPr>
        <w:widowControl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7.2政府采购合同融资</w:t>
      </w: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pStyle w:val="14"/>
        <w:shd w:val="clear" w:color="auto" w:fill="FFFFFF"/>
        <w:adjustRightInd w:val="0"/>
        <w:spacing w:before="50" w:beforeAutospacing="0" w:after="0" w:afterAutospacing="0" w:line="300" w:lineRule="auto"/>
        <w:ind w:firstLine="540" w:firstLineChars="225"/>
        <w:rPr>
          <w:rFonts w:cs="Times New Roman"/>
          <w:color w:val="auto"/>
        </w:rPr>
      </w:pPr>
      <w:r>
        <w:rPr>
          <w:rFonts w:hint="eastAsia"/>
          <w:color w:val="auto"/>
        </w:rPr>
        <w:t>7.3</w:t>
      </w:r>
      <w:r>
        <w:rPr>
          <w:rFonts w:hint="eastAsia" w:cs="Times New Roman"/>
          <w:color w:val="auto"/>
        </w:rPr>
        <w:t>网</w:t>
      </w:r>
      <w:r>
        <w:rPr>
          <w:rFonts w:cs="Times New Roman"/>
          <w:color w:val="auto"/>
        </w:rPr>
        <w:t>上</w:t>
      </w:r>
      <w:r>
        <w:rPr>
          <w:rFonts w:hint="eastAsia" w:cs="Times New Roman"/>
          <w:color w:val="auto"/>
        </w:rPr>
        <w:t>电子交易系</w:t>
      </w:r>
      <w:r>
        <w:rPr>
          <w:rFonts w:cs="Times New Roman"/>
          <w:color w:val="auto"/>
        </w:rPr>
        <w:t>统</w:t>
      </w:r>
      <w:r>
        <w:rPr>
          <w:rFonts w:hint="eastAsia" w:cs="Times New Roman"/>
          <w:color w:val="auto"/>
        </w:rPr>
        <w:t>网</w:t>
      </w:r>
      <w:r>
        <w:rPr>
          <w:rFonts w:cs="Times New Roman"/>
          <w:color w:val="auto"/>
        </w:rPr>
        <w:t>址</w:t>
      </w:r>
    </w:p>
    <w:p>
      <w:pPr>
        <w:widowControl w:val="0"/>
        <w:tabs>
          <w:tab w:val="left" w:pos="39"/>
          <w:tab w:val="left" w:pos="96"/>
        </w:tabs>
        <w:snapToGrid w:val="0"/>
        <w:spacing w:line="360" w:lineRule="auto"/>
        <w:ind w:firstLine="602" w:firstLineChars="250"/>
        <w:rPr>
          <w:rFonts w:ascii="宋体" w:hAnsi="宋体"/>
          <w:b/>
          <w:color w:val="auto"/>
          <w:sz w:val="24"/>
          <w:szCs w:val="24"/>
        </w:rPr>
      </w:pPr>
      <w:r>
        <w:rPr>
          <w:rFonts w:hint="eastAsia" w:ascii="宋体" w:hAnsi="宋体"/>
          <w:b/>
          <w:color w:val="auto"/>
          <w:sz w:val="24"/>
          <w:szCs w:val="24"/>
        </w:rPr>
        <w:t>7.3.1全国公共资源交易平</w:t>
      </w:r>
      <w:r>
        <w:rPr>
          <w:rFonts w:ascii="宋体" w:hAnsi="宋体"/>
          <w:b/>
          <w:color w:val="auto"/>
          <w:sz w:val="24"/>
          <w:szCs w:val="24"/>
        </w:rPr>
        <w:t>台</w:t>
      </w:r>
      <w:r>
        <w:rPr>
          <w:rFonts w:hint="eastAsia" w:ascii="宋体" w:hAnsi="宋体"/>
          <w:b/>
          <w:color w:val="auto"/>
          <w:sz w:val="24"/>
          <w:szCs w:val="24"/>
        </w:rPr>
        <w:t>（河南</w:t>
      </w:r>
      <w:r>
        <w:rPr>
          <w:rFonts w:ascii="宋体" w:hAnsi="宋体"/>
          <w:b/>
          <w:color w:val="auto"/>
          <w:sz w:val="24"/>
          <w:szCs w:val="24"/>
        </w:rPr>
        <w:t>省</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w:t>
      </w:r>
      <w:r>
        <w:rPr>
          <w:rFonts w:ascii="宋体" w:hAnsi="宋体"/>
          <w:b/>
          <w:color w:val="auto"/>
          <w:sz w:val="24"/>
          <w:szCs w:val="24"/>
        </w:rPr>
        <w:t>）</w:t>
      </w:r>
      <w:r>
        <w:rPr>
          <w:rFonts w:ascii="宋体" w:hAnsi="宋体"/>
          <w:b/>
          <w:bCs/>
          <w:color w:val="auto"/>
          <w:sz w:val="24"/>
          <w:szCs w:val="24"/>
        </w:rPr>
        <w:t>http://ggzy.anyang.gov.cn/</w:t>
      </w:r>
    </w:p>
    <w:p>
      <w:pPr>
        <w:widowControl w:val="0"/>
        <w:tabs>
          <w:tab w:val="left" w:pos="39"/>
          <w:tab w:val="left" w:pos="96"/>
          <w:tab w:val="left" w:pos="5700"/>
        </w:tabs>
        <w:snapToGrid w:val="0"/>
        <w:spacing w:line="360" w:lineRule="auto"/>
        <w:ind w:firstLine="602" w:firstLineChars="250"/>
        <w:rPr>
          <w:rFonts w:ascii="宋体"/>
          <w:b/>
          <w:color w:val="auto"/>
          <w:sz w:val="24"/>
          <w:szCs w:val="24"/>
        </w:rPr>
      </w:pPr>
      <w:r>
        <w:rPr>
          <w:rFonts w:hint="eastAsia" w:ascii="宋体" w:hAnsi="宋体"/>
          <w:b/>
          <w:color w:val="auto"/>
          <w:sz w:val="24"/>
          <w:szCs w:val="24"/>
        </w:rPr>
        <w:t>《谈判文件》</w:t>
      </w:r>
      <w:r>
        <w:rPr>
          <w:rFonts w:ascii="宋体" w:hAnsi="宋体"/>
          <w:b/>
          <w:color w:val="auto"/>
          <w:sz w:val="24"/>
          <w:szCs w:val="24"/>
        </w:rPr>
        <w:t>简称“</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市公共资源交易平</w:t>
      </w:r>
      <w:r>
        <w:rPr>
          <w:rFonts w:ascii="宋体" w:hAnsi="宋体"/>
          <w:b/>
          <w:color w:val="auto"/>
          <w:sz w:val="24"/>
          <w:szCs w:val="24"/>
        </w:rPr>
        <w:t>台”</w:t>
      </w:r>
    </w:p>
    <w:p>
      <w:pPr>
        <w:widowControl w:val="0"/>
        <w:tabs>
          <w:tab w:val="left" w:pos="39"/>
          <w:tab w:val="left" w:pos="96"/>
        </w:tabs>
        <w:snapToGrid w:val="0"/>
        <w:spacing w:line="360" w:lineRule="auto"/>
        <w:ind w:firstLine="602" w:firstLineChars="250"/>
        <w:rPr>
          <w:rFonts w:ascii="宋体"/>
          <w:b/>
          <w:color w:val="auto"/>
          <w:sz w:val="24"/>
          <w:szCs w:val="24"/>
        </w:rPr>
      </w:pPr>
      <w:r>
        <w:rPr>
          <w:rFonts w:hint="eastAsia" w:ascii="宋体"/>
          <w:b/>
          <w:color w:val="auto"/>
          <w:sz w:val="24"/>
          <w:szCs w:val="24"/>
        </w:rPr>
        <w:t>7.3.2安</w:t>
      </w:r>
      <w:r>
        <w:rPr>
          <w:rFonts w:ascii="宋体"/>
          <w:b/>
          <w:color w:val="auto"/>
          <w:sz w:val="24"/>
          <w:szCs w:val="24"/>
        </w:rPr>
        <w:t>阳市</w:t>
      </w:r>
      <w:r>
        <w:rPr>
          <w:rFonts w:hint="eastAsia" w:ascii="宋体"/>
          <w:b/>
          <w:color w:val="auto"/>
          <w:sz w:val="24"/>
          <w:szCs w:val="24"/>
        </w:rPr>
        <w:t>政府采购投标文件编制系统：在安阳市公共资源交易平台进行下载</w:t>
      </w:r>
    </w:p>
    <w:p>
      <w:pPr>
        <w:widowControl w:val="0"/>
        <w:snapToGrid w:val="0"/>
        <w:spacing w:line="360" w:lineRule="auto"/>
        <w:jc w:val="left"/>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bookmarkStart w:id="5" w:name="_Toc28359008"/>
      <w:bookmarkStart w:id="6" w:name="_Toc35393627"/>
      <w:bookmarkStart w:id="7" w:name="_Toc28359085"/>
      <w:bookmarkStart w:id="8" w:name="_Toc35393796"/>
      <w:r>
        <w:rPr>
          <w:rFonts w:hint="eastAsia" w:ascii="黑体" w:hAnsi="黑体" w:eastAsia="黑体"/>
          <w:b/>
          <w:color w:val="auto"/>
          <w:sz w:val="28"/>
          <w:szCs w:val="28"/>
        </w:rPr>
        <w:t>8.凡对本次采购提出询问，请按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5"/>
      <w:bookmarkEnd w:id="6"/>
      <w:bookmarkEnd w:id="7"/>
      <w:bookmarkEnd w:id="8"/>
    </w:p>
    <w:p>
      <w:pPr>
        <w:ind w:firstLine="600" w:firstLineChars="250"/>
        <w:jc w:val="left"/>
        <w:rPr>
          <w:rFonts w:ascii="宋体" w:hAnsi="宋体"/>
          <w:color w:val="auto"/>
          <w:sz w:val="24"/>
          <w:szCs w:val="24"/>
        </w:rPr>
      </w:pPr>
      <w:r>
        <w:rPr>
          <w:rFonts w:hint="eastAsia" w:ascii="宋体" w:hAnsi="宋体" w:cs="宋体"/>
          <w:color w:val="auto"/>
          <w:sz w:val="24"/>
          <w:szCs w:val="24"/>
        </w:rPr>
        <w:t>8.1采购人信息</w:t>
      </w:r>
    </w:p>
    <w:p>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名 称：安阳工学院</w:t>
      </w:r>
    </w:p>
    <w:p>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地址：安阳市黄河大道西段</w:t>
      </w:r>
    </w:p>
    <w:p>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 xml:space="preserve">联系人：黄昊    </w:t>
      </w:r>
    </w:p>
    <w:p>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 xml:space="preserve">联系方式：15518861022　 </w:t>
      </w:r>
      <w:bookmarkStart w:id="9" w:name="_Toc28359086"/>
      <w:bookmarkStart w:id="10" w:name="_Toc28359009"/>
    </w:p>
    <w:p>
      <w:pPr>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8.2采购代理机构信息</w:t>
      </w:r>
      <w:bookmarkEnd w:id="9"/>
      <w:bookmarkEnd w:id="10"/>
    </w:p>
    <w:p>
      <w:pPr>
        <w:spacing w:line="360" w:lineRule="auto"/>
        <w:ind w:firstLine="720" w:firstLineChars="300"/>
        <w:rPr>
          <w:rFonts w:ascii="宋体" w:hAnsi="宋体"/>
          <w:color w:val="auto"/>
          <w:sz w:val="24"/>
          <w:szCs w:val="24"/>
        </w:rPr>
      </w:pPr>
      <w:r>
        <w:rPr>
          <w:rFonts w:hint="eastAsia" w:ascii="宋体" w:hAnsi="宋体"/>
          <w:color w:val="auto"/>
          <w:sz w:val="24"/>
          <w:szCs w:val="24"/>
        </w:rPr>
        <w:t>名 称：安阳市方正招标采购服务有限责任公司  　</w:t>
      </w:r>
    </w:p>
    <w:p>
      <w:pPr>
        <w:spacing w:line="360" w:lineRule="auto"/>
        <w:ind w:left="1678" w:leftChars="342" w:hanging="960" w:hangingChars="400"/>
        <w:rPr>
          <w:rFonts w:ascii="宋体" w:hAnsi="宋体"/>
          <w:color w:val="auto"/>
          <w:sz w:val="24"/>
          <w:szCs w:val="24"/>
        </w:rPr>
      </w:pPr>
      <w:r>
        <w:rPr>
          <w:rFonts w:hint="eastAsia" w:ascii="宋体" w:hAnsi="宋体"/>
          <w:color w:val="auto"/>
          <w:sz w:val="24"/>
          <w:szCs w:val="24"/>
        </w:rPr>
        <w:t>地　址：安阳市安钢大道39号（人民大道北地下道口南侧、安阳粮食产业集团-后院办公楼五楼）　</w:t>
      </w:r>
    </w:p>
    <w:p>
      <w:pPr>
        <w:spacing w:line="360" w:lineRule="auto"/>
        <w:ind w:firstLine="720" w:firstLineChars="300"/>
        <w:rPr>
          <w:rFonts w:ascii="宋体" w:hAnsi="宋体"/>
          <w:color w:val="auto"/>
          <w:sz w:val="24"/>
          <w:szCs w:val="24"/>
        </w:rPr>
      </w:pPr>
      <w:r>
        <w:rPr>
          <w:rFonts w:hint="eastAsia" w:ascii="宋体" w:hAnsi="宋体"/>
          <w:color w:val="auto"/>
          <w:sz w:val="24"/>
          <w:szCs w:val="24"/>
        </w:rPr>
        <w:t xml:space="preserve">联系人：聂光辉  </w:t>
      </w:r>
    </w:p>
    <w:p>
      <w:pPr>
        <w:spacing w:line="360" w:lineRule="auto"/>
        <w:ind w:firstLine="720" w:firstLineChars="300"/>
        <w:rPr>
          <w:rFonts w:ascii="宋体" w:hAnsi="宋体"/>
          <w:color w:val="auto"/>
          <w:sz w:val="24"/>
          <w:szCs w:val="24"/>
        </w:rPr>
      </w:pPr>
      <w:r>
        <w:rPr>
          <w:rFonts w:hint="eastAsia" w:ascii="宋体" w:hAnsi="宋体"/>
          <w:color w:val="auto"/>
          <w:sz w:val="24"/>
          <w:szCs w:val="24"/>
        </w:rPr>
        <w:t>联系方式：</w:t>
      </w:r>
      <w:bookmarkStart w:id="11" w:name="_Toc28359010"/>
      <w:bookmarkStart w:id="12" w:name="_Toc28359087"/>
      <w:r>
        <w:rPr>
          <w:rFonts w:hint="eastAsia" w:ascii="宋体" w:hAnsi="宋体"/>
          <w:color w:val="auto"/>
          <w:sz w:val="24"/>
          <w:szCs w:val="24"/>
        </w:rPr>
        <w:t>0372-2283981、2283982   财务部咨询电话：0372-2283983　</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rPr>
        <w:t>8.3项目</w:t>
      </w:r>
      <w:r>
        <w:rPr>
          <w:rFonts w:ascii="宋体" w:hAnsi="宋体" w:cs="宋体"/>
          <w:color w:val="auto"/>
          <w:sz w:val="24"/>
          <w:szCs w:val="24"/>
        </w:rPr>
        <w:t>联系方式</w:t>
      </w:r>
      <w:bookmarkEnd w:id="11"/>
      <w:bookmarkEnd w:id="12"/>
    </w:p>
    <w:p>
      <w:pPr>
        <w:pStyle w:val="6"/>
        <w:spacing w:line="360" w:lineRule="auto"/>
        <w:ind w:firstLine="720" w:firstLineChars="300"/>
        <w:rPr>
          <w:rFonts w:hAnsi="宋体"/>
          <w:sz w:val="24"/>
          <w:szCs w:val="24"/>
        </w:rPr>
      </w:pPr>
      <w:r>
        <w:rPr>
          <w:rFonts w:hint="eastAsia" w:hAnsi="宋体"/>
          <w:sz w:val="24"/>
          <w:szCs w:val="24"/>
        </w:rPr>
        <w:t xml:space="preserve">项目联系人：聂光辉  </w:t>
      </w:r>
    </w:p>
    <w:p>
      <w:pPr>
        <w:spacing w:line="360" w:lineRule="auto"/>
        <w:ind w:firstLine="720" w:firstLineChars="300"/>
        <w:rPr>
          <w:rFonts w:ascii="宋体" w:hAnsi="宋体"/>
          <w:color w:val="auto"/>
          <w:sz w:val="24"/>
          <w:szCs w:val="24"/>
        </w:rPr>
      </w:pPr>
      <w:r>
        <w:rPr>
          <w:rFonts w:hint="eastAsia" w:ascii="宋体" w:hAnsi="宋体"/>
          <w:color w:val="auto"/>
          <w:sz w:val="24"/>
          <w:szCs w:val="24"/>
        </w:rPr>
        <w:t>联系方式：18303812597　</w:t>
      </w:r>
    </w:p>
    <w:p>
      <w:pPr>
        <w:pStyle w:val="14"/>
        <w:shd w:val="clear" w:color="auto" w:fill="FFFFFF"/>
        <w:adjustRightInd w:val="0"/>
        <w:spacing w:before="50" w:beforeAutospacing="0" w:after="0" w:afterAutospacing="0" w:line="300" w:lineRule="auto"/>
        <w:rPr>
          <w:color w:val="auto"/>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w:t>
      </w:r>
      <w:r>
        <w:rPr>
          <w:rFonts w:ascii="黑体" w:hAnsi="黑体" w:eastAsia="黑体"/>
          <w:b/>
          <w:color w:val="auto"/>
          <w:sz w:val="28"/>
          <w:szCs w:val="28"/>
        </w:rPr>
        <w:t>.</w:t>
      </w:r>
      <w:r>
        <w:rPr>
          <w:rFonts w:hint="eastAsia" w:ascii="黑体" w:hAnsi="黑体" w:eastAsia="黑体"/>
          <w:b/>
          <w:color w:val="auto"/>
          <w:sz w:val="28"/>
          <w:szCs w:val="28"/>
        </w:rPr>
        <w:t>网</w:t>
      </w:r>
      <w:r>
        <w:rPr>
          <w:rFonts w:ascii="黑体" w:hAnsi="黑体" w:eastAsia="黑体"/>
          <w:b/>
          <w:color w:val="auto"/>
          <w:sz w:val="28"/>
          <w:szCs w:val="28"/>
        </w:rPr>
        <w:t>上</w:t>
      </w:r>
      <w:r>
        <w:rPr>
          <w:rFonts w:hint="eastAsia" w:ascii="黑体" w:hAnsi="黑体" w:eastAsia="黑体"/>
          <w:b/>
          <w:color w:val="auto"/>
          <w:sz w:val="28"/>
          <w:szCs w:val="28"/>
        </w:rPr>
        <w:t>电子交易提示：</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.1</w:t>
      </w:r>
      <w:r>
        <w:rPr>
          <w:rFonts w:hint="eastAsia" w:ascii="宋体" w:hAnsi="宋体"/>
          <w:color w:val="auto"/>
          <w:sz w:val="24"/>
          <w:szCs w:val="24"/>
        </w:rPr>
        <w:t xml:space="preserve"> 注</w:t>
      </w:r>
      <w:r>
        <w:rPr>
          <w:rFonts w:ascii="宋体" w:hAnsi="宋体"/>
          <w:color w:val="auto"/>
          <w:sz w:val="24"/>
          <w:szCs w:val="24"/>
        </w:rPr>
        <w:t>册</w:t>
      </w:r>
      <w:r>
        <w:rPr>
          <w:rFonts w:hint="eastAsia" w:ascii="宋体" w:hAnsi="宋体"/>
          <w:color w:val="auto"/>
          <w:sz w:val="24"/>
          <w:szCs w:val="24"/>
        </w:rPr>
        <w:t>：投标人完成注</w:t>
      </w:r>
      <w:r>
        <w:rPr>
          <w:rFonts w:ascii="宋体" w:hAnsi="宋体"/>
          <w:color w:val="auto"/>
          <w:sz w:val="24"/>
          <w:szCs w:val="24"/>
        </w:rPr>
        <w:t>册</w:t>
      </w:r>
      <w:r>
        <w:rPr>
          <w:rFonts w:hint="eastAsia" w:ascii="宋体" w:hAnsi="宋体"/>
          <w:color w:val="auto"/>
          <w:sz w:val="24"/>
          <w:szCs w:val="24"/>
        </w:rPr>
        <w:t>、办理数字证书后</w:t>
      </w:r>
      <w:r>
        <w:rPr>
          <w:rFonts w:ascii="宋体" w:hAnsi="宋体"/>
          <w:color w:val="auto"/>
          <w:sz w:val="24"/>
          <w:szCs w:val="24"/>
        </w:rPr>
        <w:t>，方可</w:t>
      </w:r>
      <w:r>
        <w:rPr>
          <w:rFonts w:hint="eastAsia" w:ascii="宋体" w:hAnsi="宋体"/>
          <w:color w:val="auto"/>
          <w:sz w:val="24"/>
          <w:szCs w:val="24"/>
        </w:rPr>
        <w:t>获</w:t>
      </w:r>
      <w:r>
        <w:rPr>
          <w:rFonts w:ascii="宋体" w:hAnsi="宋体"/>
          <w:color w:val="auto"/>
          <w:sz w:val="24"/>
          <w:szCs w:val="24"/>
        </w:rPr>
        <w:t>取谈判文件、</w:t>
      </w:r>
      <w:r>
        <w:rPr>
          <w:rFonts w:hint="eastAsia" w:ascii="宋体" w:hAnsi="宋体"/>
          <w:color w:val="auto"/>
          <w:sz w:val="24"/>
          <w:szCs w:val="24"/>
        </w:rPr>
        <w:t>参</w:t>
      </w:r>
      <w:r>
        <w:rPr>
          <w:rFonts w:ascii="宋体" w:hAnsi="宋体"/>
          <w:color w:val="auto"/>
          <w:sz w:val="24"/>
          <w:szCs w:val="24"/>
        </w:rPr>
        <w:t>加</w:t>
      </w:r>
      <w:r>
        <w:rPr>
          <w:rFonts w:hint="eastAsia" w:ascii="宋体" w:hAnsi="宋体"/>
          <w:color w:val="auto"/>
          <w:sz w:val="24"/>
          <w:szCs w:val="24"/>
        </w:rPr>
        <w:t>投标等网上电子交易。</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9.2 获取谈判文件：</w:t>
      </w:r>
      <w:r>
        <w:rPr>
          <w:rFonts w:ascii="宋体" w:hAnsi="宋体"/>
          <w:color w:val="auto"/>
          <w:sz w:val="24"/>
          <w:szCs w:val="24"/>
        </w:rPr>
        <w:t>按</w:t>
      </w:r>
      <w:r>
        <w:rPr>
          <w:rFonts w:hint="eastAsia" w:ascii="宋体" w:hAnsi="宋体"/>
          <w:color w:val="auto"/>
          <w:sz w:val="24"/>
          <w:szCs w:val="24"/>
        </w:rPr>
        <w:t>本</w:t>
      </w:r>
      <w:r>
        <w:rPr>
          <w:rFonts w:ascii="宋体" w:hAnsi="宋体"/>
          <w:color w:val="auto"/>
          <w:sz w:val="24"/>
          <w:szCs w:val="24"/>
        </w:rPr>
        <w:t>章第</w:t>
      </w:r>
      <w:r>
        <w:rPr>
          <w:rFonts w:hint="eastAsia" w:ascii="宋体" w:hAnsi="宋体"/>
          <w:color w:val="auto"/>
          <w:sz w:val="24"/>
          <w:szCs w:val="24"/>
        </w:rPr>
        <w:t>3条</w:t>
      </w:r>
      <w:r>
        <w:rPr>
          <w:rFonts w:ascii="宋体" w:hAnsi="宋体"/>
          <w:color w:val="auto"/>
          <w:sz w:val="24"/>
          <w:szCs w:val="24"/>
        </w:rPr>
        <w:t>“</w:t>
      </w:r>
      <w:r>
        <w:rPr>
          <w:rFonts w:hint="eastAsia" w:ascii="宋体" w:hAnsi="宋体"/>
          <w:color w:val="auto"/>
          <w:sz w:val="24"/>
          <w:szCs w:val="24"/>
        </w:rPr>
        <w:t>获取谈判文件</w:t>
      </w:r>
      <w:r>
        <w:rPr>
          <w:rFonts w:ascii="宋体" w:hAnsi="宋体"/>
          <w:color w:val="auto"/>
          <w:sz w:val="24"/>
          <w:szCs w:val="24"/>
        </w:rPr>
        <w:t>”</w:t>
      </w:r>
      <w:r>
        <w:rPr>
          <w:rFonts w:hint="eastAsia" w:ascii="宋体" w:hAnsi="宋体"/>
          <w:color w:val="auto"/>
          <w:sz w:val="24"/>
          <w:szCs w:val="24"/>
        </w:rPr>
        <w:t>办</w:t>
      </w:r>
      <w:r>
        <w:rPr>
          <w:rFonts w:ascii="宋体" w:hAnsi="宋体"/>
          <w:color w:val="auto"/>
          <w:sz w:val="24"/>
          <w:szCs w:val="24"/>
        </w:rPr>
        <w:t>理。</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hAnsi="宋体"/>
          <w:color w:val="auto"/>
          <w:sz w:val="24"/>
          <w:szCs w:val="24"/>
        </w:rPr>
        <w:t>9.3 谈判文件的澄清与修改或延期的</w:t>
      </w:r>
      <w:r>
        <w:rPr>
          <w:rFonts w:ascii="宋体" w:hAnsi="宋体"/>
          <w:color w:val="auto"/>
          <w:sz w:val="24"/>
          <w:szCs w:val="24"/>
        </w:rPr>
        <w:t>通知</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2</w:t>
      </w:r>
      <w:r>
        <w:rPr>
          <w:rFonts w:hint="eastAsia" w:ascii="宋体" w:hAnsi="宋体"/>
          <w:color w:val="auto"/>
          <w:sz w:val="24"/>
          <w:szCs w:val="24"/>
        </w:rPr>
        <w:t>条“2.4 谈判文件的澄清、修改、补充的通知，及相应时间变更</w:t>
      </w:r>
      <w:r>
        <w:rPr>
          <w:rFonts w:ascii="宋体" w:hAnsi="宋体"/>
          <w:color w:val="auto"/>
          <w:sz w:val="24"/>
          <w:szCs w:val="24"/>
        </w:rPr>
        <w:t>”执行</w:t>
      </w:r>
      <w:r>
        <w:rPr>
          <w:rFonts w:hint="eastAsia" w:ascii="宋体" w:hAnsi="宋体"/>
          <w:color w:val="auto"/>
          <w:sz w:val="24"/>
          <w:szCs w:val="24"/>
        </w:rPr>
        <w:t>。</w:t>
      </w:r>
      <w:r>
        <w:rPr>
          <w:rFonts w:hint="eastAsia" w:ascii="黑体" w:hAnsi="黑体" w:eastAsia="黑体" w:cs="楷体_GB2312"/>
          <w:b/>
          <w:color w:val="auto"/>
          <w:sz w:val="24"/>
          <w:lang w:val="zh-CN"/>
        </w:rPr>
        <w:t>不</w:t>
      </w:r>
      <w:r>
        <w:rPr>
          <w:rFonts w:ascii="黑体" w:hAnsi="黑体" w:eastAsia="黑体" w:cs="楷体_GB2312"/>
          <w:b/>
          <w:color w:val="auto"/>
          <w:sz w:val="24"/>
          <w:lang w:val="zh-CN"/>
        </w:rPr>
        <w:t>另行通知。</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hAnsi="宋体"/>
          <w:color w:val="auto"/>
          <w:sz w:val="24"/>
          <w:szCs w:val="24"/>
        </w:rPr>
        <w:t>9</w:t>
      </w:r>
      <w:r>
        <w:rPr>
          <w:rFonts w:ascii="宋体" w:hAnsi="宋体"/>
          <w:color w:val="auto"/>
          <w:sz w:val="24"/>
          <w:szCs w:val="24"/>
        </w:rPr>
        <w:t>.4</w:t>
      </w:r>
      <w:r>
        <w:rPr>
          <w:rFonts w:hint="eastAsia" w:ascii="宋体" w:hAnsi="宋体"/>
          <w:color w:val="auto"/>
          <w:sz w:val="24"/>
          <w:szCs w:val="24"/>
        </w:rPr>
        <w:t xml:space="preserve"> 响应文件编制：在安阳市公共资源交易系统内按</w:t>
      </w:r>
      <w:r>
        <w:rPr>
          <w:rFonts w:ascii="宋体" w:hAnsi="宋体"/>
          <w:color w:val="auto"/>
          <w:sz w:val="24"/>
          <w:szCs w:val="24"/>
        </w:rPr>
        <w:t>“</w:t>
      </w:r>
      <w:r>
        <w:rPr>
          <w:rFonts w:hint="eastAsia" w:ascii="宋体" w:hAnsi="宋体"/>
          <w:color w:val="auto"/>
          <w:sz w:val="24"/>
          <w:szCs w:val="24"/>
        </w:rPr>
        <w:t>安</w:t>
      </w:r>
      <w:r>
        <w:rPr>
          <w:rFonts w:ascii="宋体" w:hAnsi="宋体"/>
          <w:color w:val="auto"/>
          <w:sz w:val="24"/>
          <w:szCs w:val="24"/>
        </w:rPr>
        <w:t>阳市</w:t>
      </w:r>
      <w:r>
        <w:rPr>
          <w:rFonts w:hint="eastAsia" w:ascii="宋体" w:hAnsi="宋体"/>
          <w:color w:val="auto"/>
          <w:sz w:val="24"/>
          <w:szCs w:val="24"/>
        </w:rPr>
        <w:t>政府采购投标文件编制系统</w:t>
      </w:r>
      <w:r>
        <w:rPr>
          <w:rFonts w:ascii="宋体" w:hAnsi="宋体"/>
          <w:color w:val="auto"/>
          <w:sz w:val="24"/>
          <w:szCs w:val="24"/>
        </w:rPr>
        <w:t>”</w:t>
      </w:r>
      <w:r>
        <w:rPr>
          <w:rFonts w:hint="eastAsia" w:ascii="宋体" w:hAnsi="宋体"/>
          <w:color w:val="auto"/>
          <w:sz w:val="24"/>
          <w:szCs w:val="24"/>
        </w:rPr>
        <w:t>编制，按《谈判文件》第三章“投标人须知”第3条第</w:t>
      </w:r>
      <w:r>
        <w:rPr>
          <w:rFonts w:ascii="宋体" w:hAnsi="宋体"/>
          <w:color w:val="auto"/>
          <w:sz w:val="24"/>
          <w:szCs w:val="24"/>
        </w:rPr>
        <w:t>7</w:t>
      </w:r>
      <w:r>
        <w:rPr>
          <w:rFonts w:hint="eastAsia" w:ascii="宋体" w:hAnsi="宋体"/>
          <w:color w:val="auto"/>
          <w:sz w:val="24"/>
          <w:szCs w:val="24"/>
        </w:rPr>
        <w:t>款“</w:t>
      </w:r>
      <w:r>
        <w:rPr>
          <w:rFonts w:ascii="宋体" w:hAnsi="宋体"/>
          <w:color w:val="auto"/>
          <w:sz w:val="24"/>
          <w:szCs w:val="24"/>
        </w:rPr>
        <w:t>3.7</w:t>
      </w:r>
      <w:r>
        <w:rPr>
          <w:rFonts w:hint="eastAsia" w:ascii="宋体" w:hAnsi="宋体"/>
          <w:color w:val="auto"/>
          <w:sz w:val="24"/>
          <w:szCs w:val="24"/>
        </w:rPr>
        <w:t>投标文件的编制”执行，</w:t>
      </w:r>
      <w:r>
        <w:rPr>
          <w:rFonts w:hint="eastAsia" w:ascii="黑体" w:hAnsi="黑体" w:eastAsia="黑体" w:cs="楷体_GB2312"/>
          <w:b/>
          <w:color w:val="auto"/>
          <w:sz w:val="24"/>
          <w:lang w:val="zh-CN"/>
        </w:rPr>
        <w:t>否则将会评定为无效投标。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9.5 响应文件递交：</w:t>
      </w:r>
      <w:r>
        <w:rPr>
          <w:rFonts w:hint="eastAsia" w:ascii="宋体" w:hAnsi="宋体"/>
          <w:color w:val="auto"/>
          <w:sz w:val="24"/>
          <w:szCs w:val="24"/>
        </w:rPr>
        <w:t>在安阳市公共资源交易系统上传</w:t>
      </w:r>
      <w:r>
        <w:rPr>
          <w:rFonts w:ascii="宋体" w:hAnsi="宋体"/>
          <w:color w:val="auto"/>
          <w:sz w:val="24"/>
          <w:szCs w:val="24"/>
        </w:rPr>
        <w:t>、</w:t>
      </w:r>
      <w:r>
        <w:rPr>
          <w:rFonts w:hint="eastAsia" w:ascii="宋体" w:hAnsi="宋体"/>
          <w:color w:val="auto"/>
          <w:sz w:val="24"/>
          <w:szCs w:val="24"/>
        </w:rPr>
        <w:t>并签名及</w:t>
      </w:r>
      <w:r>
        <w:rPr>
          <w:rFonts w:ascii="宋体" w:hAnsi="宋体"/>
          <w:color w:val="auto"/>
          <w:sz w:val="24"/>
          <w:szCs w:val="24"/>
        </w:rPr>
        <w:t>加密</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4</w:t>
      </w:r>
      <w:r>
        <w:rPr>
          <w:rFonts w:hint="eastAsia" w:ascii="宋体" w:hAnsi="宋体"/>
          <w:color w:val="auto"/>
          <w:sz w:val="24"/>
          <w:szCs w:val="24"/>
        </w:rPr>
        <w:t>条</w:t>
      </w:r>
      <w:r>
        <w:rPr>
          <w:rFonts w:ascii="宋体" w:hAnsi="宋体"/>
          <w:color w:val="auto"/>
          <w:sz w:val="24"/>
          <w:szCs w:val="24"/>
        </w:rPr>
        <w:t xml:space="preserve"> “</w:t>
      </w:r>
      <w:r>
        <w:rPr>
          <w:rFonts w:hint="eastAsia" w:ascii="宋体" w:hAnsi="宋体"/>
          <w:color w:val="auto"/>
          <w:sz w:val="24"/>
          <w:szCs w:val="24"/>
        </w:rPr>
        <w:t>4. 投标（响应文件的递交）”</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480" w:firstLineChars="200"/>
        <w:rPr>
          <w:rFonts w:ascii="宋体"/>
          <w:color w:val="auto"/>
          <w:sz w:val="24"/>
          <w:szCs w:val="24"/>
        </w:rPr>
      </w:pPr>
      <w:r>
        <w:rPr>
          <w:rFonts w:hint="eastAsia" w:ascii="宋体"/>
          <w:color w:val="auto"/>
          <w:sz w:val="24"/>
          <w:szCs w:val="24"/>
        </w:rPr>
        <w:t>9</w:t>
      </w:r>
      <w:r>
        <w:rPr>
          <w:rFonts w:ascii="宋体"/>
          <w:color w:val="auto"/>
          <w:sz w:val="24"/>
          <w:szCs w:val="24"/>
        </w:rPr>
        <w:t>.</w:t>
      </w:r>
      <w:r>
        <w:rPr>
          <w:rFonts w:hint="eastAsia" w:ascii="宋体"/>
          <w:color w:val="auto"/>
          <w:sz w:val="24"/>
          <w:szCs w:val="24"/>
        </w:rPr>
        <w:t>6 响应文件</w:t>
      </w:r>
      <w:r>
        <w:rPr>
          <w:rFonts w:hint="eastAsia" w:ascii="宋体" w:hAnsi="宋体"/>
          <w:color w:val="auto"/>
          <w:sz w:val="24"/>
          <w:szCs w:val="24"/>
        </w:rPr>
        <w:t>解密</w:t>
      </w:r>
      <w:r>
        <w:rPr>
          <w:rFonts w:hint="eastAsia" w:ascii="宋体"/>
          <w:color w:val="auto"/>
          <w:sz w:val="24"/>
          <w:szCs w:val="24"/>
        </w:rPr>
        <w:t>：</w:t>
      </w:r>
      <w:r>
        <w:rPr>
          <w:rFonts w:hint="eastAsia" w:ascii="宋体" w:hAnsi="宋体"/>
          <w:color w:val="auto"/>
          <w:sz w:val="24"/>
          <w:szCs w:val="24"/>
        </w:rPr>
        <w:t>供应商需在开标前登录“安阳市公共资源交易系统（投标方）”并进入本项目相匹配的网上开标室，在规定时限内解密响应文件，</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5</w:t>
      </w:r>
      <w:r>
        <w:rPr>
          <w:rFonts w:hint="eastAsia" w:ascii="宋体" w:hAnsi="宋体"/>
          <w:color w:val="auto"/>
          <w:sz w:val="24"/>
          <w:szCs w:val="24"/>
        </w:rPr>
        <w:t>条</w:t>
      </w:r>
      <w:r>
        <w:rPr>
          <w:rFonts w:ascii="宋体" w:hAnsi="宋体"/>
          <w:color w:val="auto"/>
          <w:sz w:val="24"/>
          <w:szCs w:val="24"/>
        </w:rPr>
        <w:t xml:space="preserve">“5 </w:t>
      </w:r>
      <w:r>
        <w:rPr>
          <w:rFonts w:hint="eastAsia" w:ascii="宋体"/>
          <w:color w:val="auto"/>
          <w:sz w:val="24"/>
          <w:szCs w:val="24"/>
        </w:rPr>
        <w:t>开标（响应文件的开启）</w:t>
      </w:r>
      <w:r>
        <w:rPr>
          <w:rFonts w:hint="eastAsia" w:ascii="宋体" w:hAnsi="宋体"/>
          <w:color w:val="auto"/>
          <w:sz w:val="24"/>
          <w:szCs w:val="24"/>
        </w:rPr>
        <w:t>”</w:t>
      </w:r>
      <w:r>
        <w:rPr>
          <w:rFonts w:ascii="宋体" w:hAnsi="宋体"/>
          <w:color w:val="auto"/>
          <w:sz w:val="24"/>
          <w:szCs w:val="24"/>
        </w:rPr>
        <w:t>执行，</w:t>
      </w:r>
      <w:r>
        <w:rPr>
          <w:rFonts w:hint="eastAsia" w:ascii="宋体" w:hAnsi="宋体" w:cs="楷体_GB2312"/>
          <w:color w:val="auto"/>
          <w:sz w:val="24"/>
          <w:lang w:val="zh-CN"/>
        </w:rPr>
        <w:t>否</w:t>
      </w:r>
      <w:r>
        <w:rPr>
          <w:rFonts w:ascii="宋体" w:hAnsi="宋体" w:cs="楷体_GB2312"/>
          <w:color w:val="auto"/>
          <w:sz w:val="24"/>
          <w:lang w:val="zh-CN"/>
        </w:rPr>
        <w:t>则</w:t>
      </w:r>
      <w:r>
        <w:rPr>
          <w:rFonts w:hint="eastAsia" w:ascii="宋体" w:hAnsi="宋体" w:cs="楷体_GB2312"/>
          <w:color w:val="auto"/>
          <w:sz w:val="24"/>
          <w:lang w:val="zh-CN"/>
        </w:rPr>
        <w:t>其投标将不能被接受</w:t>
      </w:r>
      <w:r>
        <w:rPr>
          <w:rFonts w:ascii="宋体" w:hAnsi="宋体" w:cs="楷体_GB2312"/>
          <w:color w:val="auto"/>
          <w:sz w:val="24"/>
          <w:lang w:val="zh-CN"/>
        </w:rPr>
        <w:t>。</w:t>
      </w:r>
    </w:p>
    <w:p>
      <w:pPr>
        <w:widowControl w:val="0"/>
        <w:tabs>
          <w:tab w:val="left" w:pos="39"/>
          <w:tab w:val="left" w:pos="96"/>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谈</w:t>
      </w:r>
      <w:r>
        <w:rPr>
          <w:rFonts w:ascii="宋体" w:hAnsi="宋体"/>
          <w:color w:val="auto"/>
          <w:sz w:val="24"/>
          <w:szCs w:val="24"/>
        </w:rPr>
        <w:t>判：</w:t>
      </w:r>
      <w:r>
        <w:rPr>
          <w:rFonts w:hint="eastAsia" w:ascii="宋体" w:hAnsi="宋体"/>
          <w:color w:val="auto"/>
          <w:sz w:val="24"/>
        </w:rPr>
        <w:t>时刻关注电子开标室并及时澄清，有</w:t>
      </w:r>
      <w:r>
        <w:rPr>
          <w:rFonts w:ascii="宋体" w:hAnsi="宋体"/>
          <w:color w:val="auto"/>
          <w:sz w:val="24"/>
        </w:rPr>
        <w:t>效投标人在规定时间进行</w:t>
      </w:r>
      <w:r>
        <w:rPr>
          <w:rFonts w:hint="eastAsia" w:ascii="宋体" w:hAnsi="宋体"/>
          <w:color w:val="auto"/>
          <w:sz w:val="24"/>
        </w:rPr>
        <w:t>最后报价</w:t>
      </w:r>
      <w:r>
        <w:rPr>
          <w:rFonts w:ascii="宋体" w:hAnsi="宋体"/>
          <w:color w:val="auto"/>
          <w:sz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》第四章“评审办法”</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9.8  政府采购电子交易中，投标人网上电子交易的系统操作规则应以安阳市公共资源交易平台即时发布的相关规则为准。</w:t>
      </w:r>
    </w:p>
    <w:p>
      <w:pPr>
        <w:widowControl w:val="0"/>
        <w:tabs>
          <w:tab w:val="left" w:pos="39"/>
          <w:tab w:val="left" w:pos="96"/>
        </w:tabs>
        <w:snapToGrid w:val="0"/>
        <w:spacing w:line="360" w:lineRule="auto"/>
        <w:ind w:firstLine="540" w:firstLineChars="225"/>
        <w:rPr>
          <w:rFonts w:ascii="宋体"/>
          <w:color w:val="auto"/>
          <w:sz w:val="24"/>
          <w:szCs w:val="24"/>
        </w:rPr>
      </w:pPr>
      <w:r>
        <w:rPr>
          <w:rFonts w:hint="eastAsia" w:ascii="宋体" w:hAnsi="宋体"/>
          <w:color w:val="auto"/>
          <w:sz w:val="24"/>
          <w:szCs w:val="24"/>
        </w:rPr>
        <w:t>9.9 望投标人充分熟悉网上电子交易操作流程、以便有效投标。</w:t>
      </w:r>
    </w:p>
    <w:p>
      <w:pPr>
        <w:widowControl w:val="0"/>
        <w:tabs>
          <w:tab w:val="left" w:pos="39"/>
          <w:tab w:val="left" w:pos="96"/>
        </w:tabs>
        <w:snapToGrid w:val="0"/>
        <w:spacing w:line="360" w:lineRule="auto"/>
        <w:ind w:firstLine="540" w:firstLineChars="225"/>
        <w:rPr>
          <w:rFonts w:ascii="宋体"/>
          <w:color w:val="auto"/>
          <w:sz w:val="24"/>
          <w:szCs w:val="24"/>
        </w:rPr>
      </w:pPr>
    </w:p>
    <w:p>
      <w:pPr>
        <w:widowControl w:val="0"/>
        <w:tabs>
          <w:tab w:val="left" w:pos="39"/>
          <w:tab w:val="left" w:pos="96"/>
        </w:tabs>
        <w:snapToGrid w:val="0"/>
        <w:spacing w:line="360" w:lineRule="auto"/>
        <w:ind w:firstLine="5220" w:firstLineChars="2175"/>
        <w:jc w:val="right"/>
        <w:rPr>
          <w:rFonts w:ascii="宋体"/>
          <w:color w:val="auto"/>
          <w:sz w:val="24"/>
          <w:szCs w:val="24"/>
        </w:rPr>
      </w:pPr>
      <w:r>
        <w:rPr>
          <w:rFonts w:hint="eastAsia" w:ascii="宋体"/>
          <w:color w:val="auto"/>
          <w:sz w:val="24"/>
          <w:szCs w:val="24"/>
        </w:rPr>
        <w:t>安阳市方正招标采购服务有限责任公司</w:t>
      </w:r>
    </w:p>
    <w:p>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二〇二三年</w:t>
      </w:r>
      <w:r>
        <w:rPr>
          <w:rFonts w:hint="eastAsia" w:ascii="宋体"/>
          <w:color w:val="auto"/>
          <w:sz w:val="24"/>
          <w:szCs w:val="24"/>
          <w:lang w:val="en-US" w:eastAsia="zh-CN"/>
        </w:rPr>
        <w:t>十一</w:t>
      </w:r>
      <w:r>
        <w:rPr>
          <w:rFonts w:hint="eastAsia" w:ascii="宋体"/>
          <w:color w:val="auto"/>
          <w:sz w:val="24"/>
          <w:szCs w:val="24"/>
        </w:rPr>
        <w:t>月</w:t>
      </w:r>
      <w:r>
        <w:rPr>
          <w:rFonts w:hint="eastAsia" w:ascii="宋体"/>
          <w:color w:val="auto"/>
          <w:sz w:val="24"/>
          <w:szCs w:val="24"/>
          <w:lang w:val="en-US" w:eastAsia="zh-CN"/>
        </w:rPr>
        <w:t>十四</w:t>
      </w:r>
      <w:r>
        <w:rPr>
          <w:rFonts w:hint="eastAsia" w:ascii="宋体"/>
          <w:color w:val="auto"/>
          <w:sz w:val="24"/>
          <w:szCs w:val="24"/>
        </w:rPr>
        <w:t>日</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ascii="宋体" w:hAnsi="宋体"/>
          <w:color w:val="auto"/>
          <w:sz w:val="24"/>
          <w:szCs w:val="24"/>
        </w:rPr>
        <w:br w:type="page"/>
      </w:r>
    </w:p>
    <w:p>
      <w:pPr>
        <w:widowControl w:val="0"/>
        <w:snapToGrid w:val="0"/>
        <w:spacing w:line="360" w:lineRule="auto"/>
        <w:jc w:val="center"/>
        <w:outlineLvl w:val="0"/>
        <w:rPr>
          <w:rFonts w:eastAsia="方正黑体简体"/>
          <w:color w:val="auto"/>
          <w:sz w:val="36"/>
          <w:szCs w:val="36"/>
        </w:rPr>
      </w:pPr>
      <w:bookmarkStart w:id="13" w:name="_Toc150758825"/>
      <w:r>
        <w:rPr>
          <w:rFonts w:hint="eastAsia" w:eastAsia="黑体"/>
          <w:b/>
          <w:color w:val="auto"/>
          <w:sz w:val="36"/>
          <w:szCs w:val="36"/>
        </w:rPr>
        <w:t>第二章 采购项目及技术服务要求</w:t>
      </w:r>
      <w:bookmarkEnd w:id="13"/>
    </w:p>
    <w:p>
      <w:pPr>
        <w:widowControl w:val="0"/>
        <w:snapToGrid w:val="0"/>
        <w:spacing w:line="360" w:lineRule="auto"/>
        <w:jc w:val="center"/>
        <w:rPr>
          <w:b/>
          <w:color w:val="auto"/>
          <w:sz w:val="28"/>
        </w:rPr>
      </w:pPr>
    </w:p>
    <w:p>
      <w:pPr>
        <w:widowControl w:val="0"/>
        <w:snapToGrid w:val="0"/>
        <w:spacing w:line="360" w:lineRule="auto"/>
        <w:ind w:firstLine="422" w:firstLineChars="150"/>
        <w:jc w:val="left"/>
        <w:outlineLvl w:val="1"/>
        <w:rPr>
          <w:rFonts w:ascii="黑体" w:hAnsi="黑体" w:eastAsia="黑体"/>
          <w:b/>
          <w:color w:val="auto"/>
          <w:sz w:val="28"/>
        </w:rPr>
      </w:pPr>
      <w:bookmarkStart w:id="14" w:name="_Toc150758826"/>
      <w:r>
        <w:rPr>
          <w:rFonts w:ascii="黑体" w:hAnsi="黑体" w:eastAsia="黑体"/>
          <w:b/>
          <w:color w:val="auto"/>
          <w:sz w:val="28"/>
        </w:rPr>
        <w:t xml:space="preserve">1. </w:t>
      </w:r>
      <w:r>
        <w:rPr>
          <w:rFonts w:hint="eastAsia" w:ascii="黑体" w:hAnsi="黑体" w:eastAsia="黑体"/>
          <w:b/>
          <w:color w:val="auto"/>
          <w:sz w:val="28"/>
        </w:rPr>
        <w:t>采购项目、标段（包）划分、投标报价</w:t>
      </w:r>
      <w:bookmarkEnd w:id="14"/>
    </w:p>
    <w:p>
      <w:pPr>
        <w:widowControl w:val="0"/>
        <w:adjustRightInd w:val="0"/>
        <w:snapToGrid w:val="0"/>
        <w:spacing w:line="360" w:lineRule="auto"/>
        <w:ind w:firstLine="542" w:firstLineChars="225"/>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：安阳工学院科技园一期工程网络设备安装和运维系统采购项目包2(二次)</w:t>
      </w:r>
    </w:p>
    <w:p>
      <w:pPr>
        <w:widowControl w:val="0"/>
        <w:snapToGrid w:val="0"/>
        <w:spacing w:line="360" w:lineRule="auto"/>
        <w:ind w:firstLine="482" w:firstLineChars="200"/>
        <w:jc w:val="left"/>
        <w:rPr>
          <w:rFonts w:ascii="宋体" w:hAnsi="宋体"/>
          <w:color w:val="FF0000"/>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标段（包）划分及其交验期交验地点</w:t>
      </w:r>
      <w:r>
        <w:rPr>
          <w:rFonts w:hint="eastAsia"/>
          <w:color w:val="auto"/>
          <w:sz w:val="24"/>
          <w:szCs w:val="24"/>
        </w:rPr>
        <w:t>：</w:t>
      </w:r>
      <w:r>
        <w:rPr>
          <w:rFonts w:hint="eastAsia"/>
          <w:color w:val="000000" w:themeColor="text1"/>
          <w:sz w:val="24"/>
          <w:szCs w:val="24"/>
          <w14:textFill>
            <w14:solidFill>
              <w14:schemeClr w14:val="tx1"/>
            </w14:solidFill>
          </w14:textFill>
        </w:rPr>
        <w:t>本项目</w:t>
      </w:r>
      <w:r>
        <w:rPr>
          <w:rFonts w:hint="eastAsia" w:ascii="宋体" w:hAnsi="宋体"/>
          <w:color w:val="000000" w:themeColor="text1"/>
          <w:sz w:val="24"/>
          <w:szCs w:val="24"/>
          <w14:textFill>
            <w14:solidFill>
              <w14:schemeClr w14:val="tx1"/>
            </w14:solidFill>
          </w14:textFill>
        </w:rPr>
        <w:t>划分为2个标段（包），本次采购为包2二次。</w:t>
      </w:r>
    </w:p>
    <w:tbl>
      <w:tblPr>
        <w:tblStyle w:val="16"/>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2157"/>
        <w:gridCol w:w="2693"/>
        <w:gridCol w:w="175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970" w:type="dxa"/>
            <w:gridSpan w:val="5"/>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280"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项目名称</w:t>
            </w:r>
          </w:p>
        </w:tc>
        <w:tc>
          <w:tcPr>
            <w:tcW w:w="2157"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标段（包）名称</w:t>
            </w:r>
          </w:p>
        </w:tc>
        <w:tc>
          <w:tcPr>
            <w:tcW w:w="2693"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标段（包）内容（范围）</w:t>
            </w:r>
          </w:p>
        </w:tc>
        <w:tc>
          <w:tcPr>
            <w:tcW w:w="1757"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（交验期）</w:t>
            </w:r>
          </w:p>
        </w:tc>
        <w:tc>
          <w:tcPr>
            <w:tcW w:w="1083"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交验地点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280" w:type="dxa"/>
            <w:vAlign w:val="center"/>
          </w:tcPr>
          <w:p>
            <w:pPr>
              <w:widowControl w:val="0"/>
              <w:snapToGrid w:val="0"/>
              <w:spacing w:line="240" w:lineRule="auto"/>
              <w:rPr>
                <w:rFonts w:ascii="宋体" w:hAnsi="宋体"/>
                <w:color w:val="auto"/>
                <w:sz w:val="24"/>
                <w:szCs w:val="24"/>
              </w:rPr>
            </w:pPr>
            <w:r>
              <w:rPr>
                <w:rFonts w:hint="eastAsia"/>
                <w:color w:val="auto"/>
                <w:sz w:val="24"/>
                <w:szCs w:val="24"/>
              </w:rPr>
              <w:t>安阳工学院科技园一期工程网络设备安装和运维系统采购项目包2(二次)</w:t>
            </w:r>
          </w:p>
        </w:tc>
        <w:tc>
          <w:tcPr>
            <w:tcW w:w="2157" w:type="dxa"/>
            <w:vAlign w:val="center"/>
          </w:tcPr>
          <w:p>
            <w:pPr>
              <w:spacing w:line="240" w:lineRule="auto"/>
              <w:jc w:val="left"/>
              <w:rPr>
                <w:rFonts w:ascii="宋体" w:hAnsi="宋体"/>
                <w:color w:val="auto"/>
                <w:sz w:val="24"/>
                <w:szCs w:val="24"/>
              </w:rPr>
            </w:pPr>
            <w:r>
              <w:rPr>
                <w:rFonts w:hint="eastAsia"/>
                <w:color w:val="auto"/>
                <w:sz w:val="24"/>
                <w:szCs w:val="24"/>
              </w:rPr>
              <w:t>安阳工学院科技园一期工程网络设备安装和运维系统采购项目包2</w:t>
            </w:r>
          </w:p>
        </w:tc>
        <w:tc>
          <w:tcPr>
            <w:tcW w:w="2693" w:type="dxa"/>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见“第二章第</w:t>
            </w:r>
            <w:r>
              <w:rPr>
                <w:rFonts w:ascii="宋体" w:hAnsi="宋体"/>
                <w:color w:val="auto"/>
                <w:sz w:val="24"/>
                <w:szCs w:val="24"/>
              </w:rPr>
              <w:t>2</w:t>
            </w:r>
            <w:r>
              <w:rPr>
                <w:rFonts w:hint="eastAsia" w:ascii="宋体" w:hAnsi="宋体"/>
                <w:color w:val="auto"/>
                <w:sz w:val="24"/>
                <w:szCs w:val="24"/>
              </w:rPr>
              <w:t>条：标段（包）内容（范围）及基本技术要求”</w:t>
            </w:r>
          </w:p>
        </w:tc>
        <w:tc>
          <w:tcPr>
            <w:tcW w:w="1757" w:type="dxa"/>
            <w:vAlign w:val="center"/>
          </w:tcPr>
          <w:p>
            <w:pPr>
              <w:rPr>
                <w:color w:val="auto"/>
              </w:rPr>
            </w:pPr>
            <w:r>
              <w:rPr>
                <w:rFonts w:hint="eastAsia"/>
                <w:color w:val="auto"/>
                <w:sz w:val="24"/>
                <w:szCs w:val="24"/>
              </w:rPr>
              <w:t>见谈判公告</w:t>
            </w:r>
            <w:r>
              <w:rPr>
                <w:color w:val="auto"/>
                <w:sz w:val="24"/>
                <w:szCs w:val="24"/>
              </w:rPr>
              <w:t>1.6</w:t>
            </w:r>
          </w:p>
        </w:tc>
        <w:tc>
          <w:tcPr>
            <w:tcW w:w="1083" w:type="dxa"/>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采购人指定地点</w:t>
            </w:r>
          </w:p>
        </w:tc>
      </w:tr>
    </w:tbl>
    <w:p>
      <w:pPr>
        <w:spacing w:line="560" w:lineRule="exact"/>
        <w:ind w:firstLine="482" w:firstLineChars="200"/>
        <w:rPr>
          <w:rFonts w:ascii="宋体" w:hAnsi="宋体"/>
          <w:b/>
          <w:color w:val="auto"/>
          <w:sz w:val="24"/>
          <w:szCs w:val="24"/>
        </w:rPr>
      </w:pPr>
      <w:r>
        <w:rPr>
          <w:rFonts w:ascii="宋体" w:hAnsi="宋体"/>
          <w:b/>
          <w:color w:val="auto"/>
          <w:sz w:val="24"/>
          <w:szCs w:val="24"/>
        </w:rPr>
        <w:t xml:space="preserve">1.3 </w:t>
      </w:r>
      <w:r>
        <w:rPr>
          <w:rFonts w:hint="eastAsia" w:ascii="宋体" w:hAnsi="宋体"/>
          <w:b/>
          <w:color w:val="auto"/>
          <w:sz w:val="24"/>
          <w:szCs w:val="24"/>
        </w:rPr>
        <w:t>投标报价（价格构成）</w:t>
      </w: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 xml:space="preserve">1.3.1 </w:t>
      </w:r>
      <w:r>
        <w:rPr>
          <w:rFonts w:hint="eastAsia" w:ascii="宋体" w:hAnsi="宋体"/>
          <w:color w:val="auto"/>
          <w:sz w:val="24"/>
          <w:szCs w:val="24"/>
        </w:rPr>
        <w:t>投标人应按标段（包）进行投标，各标段（包）的投标报价均应为达到正常使用条件下的目的地交验价，包括产品价款、相关税款、备品备件价、易损件价、专用工具价、售后及技术服务费、知识产权（如有）、保险（如需）、货物包装、安装调试费及运送到安阳地区指定地点的运杂费、装卸费、培训费、系统升级费等与采购项目相关的、必须的款项及费用（包括未列明而完成交验所必须的所有产品、材料、工具、费用）。成交价格在成交合同范围内固定不变。</w:t>
      </w: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本次竞争性谈判共二次报价（含系统中开标一览表报价共二次价格谈判）。谈判小组未对谈判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pPr>
        <w:autoSpaceDE w:val="0"/>
        <w:autoSpaceDN w:val="0"/>
        <w:adjustRightInd w:val="0"/>
        <w:snapToGrid w:val="0"/>
        <w:spacing w:before="156" w:beforeLines="50" w:line="300" w:lineRule="auto"/>
        <w:ind w:firstLine="569" w:firstLineChars="236"/>
        <w:jc w:val="left"/>
        <w:rPr>
          <w:rFonts w:ascii="宋体" w:hAnsi="宋体"/>
          <w:b/>
          <w:color w:val="auto"/>
          <w:sz w:val="24"/>
          <w:szCs w:val="24"/>
        </w:rPr>
      </w:pPr>
      <w:r>
        <w:rPr>
          <w:rFonts w:hint="eastAsia" w:ascii="宋体" w:hAnsi="宋体"/>
          <w:b/>
          <w:color w:val="auto"/>
          <w:sz w:val="24"/>
          <w:szCs w:val="24"/>
        </w:rPr>
        <w:t>价</w:t>
      </w:r>
      <w:r>
        <w:rPr>
          <w:rFonts w:ascii="宋体" w:hAnsi="宋体"/>
          <w:b/>
          <w:color w:val="auto"/>
          <w:sz w:val="24"/>
          <w:szCs w:val="24"/>
        </w:rPr>
        <w:t>格谈</w:t>
      </w:r>
      <w:r>
        <w:rPr>
          <w:rFonts w:hint="eastAsia" w:ascii="宋体" w:hAnsi="宋体"/>
          <w:b/>
          <w:color w:val="auto"/>
          <w:sz w:val="24"/>
          <w:szCs w:val="24"/>
        </w:rPr>
        <w:t>判</w:t>
      </w:r>
      <w:r>
        <w:rPr>
          <w:rFonts w:ascii="宋体" w:hAnsi="宋体"/>
          <w:b/>
          <w:color w:val="auto"/>
          <w:sz w:val="24"/>
          <w:szCs w:val="24"/>
        </w:rPr>
        <w:t>规</w:t>
      </w:r>
      <w:r>
        <w:rPr>
          <w:rFonts w:hint="eastAsia" w:ascii="宋体" w:hAnsi="宋体"/>
          <w:b/>
          <w:color w:val="auto"/>
          <w:sz w:val="24"/>
          <w:szCs w:val="24"/>
        </w:rPr>
        <w:t>则</w:t>
      </w:r>
      <w:r>
        <w:rPr>
          <w:rFonts w:ascii="宋体" w:hAnsi="宋体"/>
          <w:b/>
          <w:color w:val="auto"/>
          <w:sz w:val="24"/>
          <w:szCs w:val="24"/>
        </w:rPr>
        <w:t>详见第四章</w:t>
      </w:r>
      <w:r>
        <w:rPr>
          <w:rFonts w:hint="eastAsia" w:ascii="宋体" w:hAnsi="宋体"/>
          <w:b/>
          <w:color w:val="auto"/>
          <w:sz w:val="24"/>
          <w:szCs w:val="24"/>
        </w:rPr>
        <w:t>“评审办法”</w:t>
      </w:r>
      <w:r>
        <w:rPr>
          <w:rFonts w:ascii="宋体" w:hAnsi="宋体"/>
          <w:b/>
          <w:color w:val="auto"/>
          <w:sz w:val="24"/>
          <w:szCs w:val="24"/>
        </w:rPr>
        <w:t>第</w:t>
      </w:r>
      <w:r>
        <w:rPr>
          <w:rFonts w:hint="eastAsia" w:ascii="宋体" w:hAnsi="宋体"/>
          <w:b/>
          <w:color w:val="auto"/>
          <w:sz w:val="24"/>
          <w:szCs w:val="24"/>
        </w:rPr>
        <w:t>“</w:t>
      </w:r>
      <w:r>
        <w:rPr>
          <w:rFonts w:ascii="宋体" w:hAnsi="宋体"/>
          <w:b/>
          <w:color w:val="auto"/>
          <w:sz w:val="24"/>
          <w:szCs w:val="24"/>
        </w:rPr>
        <w:t xml:space="preserve">3.5.7 </w:t>
      </w:r>
      <w:r>
        <w:rPr>
          <w:rFonts w:hint="eastAsia" w:ascii="宋体" w:hAnsi="宋体"/>
          <w:b/>
          <w:color w:val="auto"/>
          <w:sz w:val="24"/>
          <w:szCs w:val="24"/>
        </w:rPr>
        <w:t>价格谈判”</w:t>
      </w:r>
      <w:r>
        <w:rPr>
          <w:rFonts w:ascii="宋体" w:hAnsi="宋体"/>
          <w:b/>
          <w:color w:val="auto"/>
          <w:sz w:val="24"/>
          <w:szCs w:val="24"/>
        </w:rPr>
        <w:t>条款</w:t>
      </w:r>
      <w:r>
        <w:rPr>
          <w:rFonts w:hint="eastAsia" w:ascii="宋体" w:hAnsi="宋体"/>
          <w:b/>
          <w:color w:val="auto"/>
          <w:sz w:val="24"/>
          <w:szCs w:val="24"/>
        </w:rPr>
        <w:t>。</w:t>
      </w:r>
    </w:p>
    <w:p>
      <w:pPr>
        <w:widowControl w:val="0"/>
        <w:snapToGrid w:val="0"/>
        <w:spacing w:line="360" w:lineRule="auto"/>
        <w:ind w:firstLine="480" w:firstLineChars="200"/>
        <w:jc w:val="left"/>
        <w:rPr>
          <w:color w:val="auto"/>
          <w:sz w:val="24"/>
          <w:szCs w:val="24"/>
        </w:rPr>
      </w:pP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 xml:space="preserve">1.3.3 </w:t>
      </w:r>
      <w:r>
        <w:rPr>
          <w:rFonts w:hint="eastAsia" w:ascii="宋体" w:hAnsi="宋体"/>
          <w:color w:val="auto"/>
          <w:sz w:val="24"/>
          <w:szCs w:val="24"/>
        </w:rPr>
        <w:t>如投标人的投标报价未超过预算金额（见谈判公告</w:t>
      </w:r>
      <w:r>
        <w:rPr>
          <w:rFonts w:ascii="宋体" w:hAnsi="宋体"/>
          <w:color w:val="auto"/>
          <w:sz w:val="24"/>
          <w:szCs w:val="24"/>
        </w:rPr>
        <w:t>1.</w:t>
      </w:r>
      <w:r>
        <w:rPr>
          <w:rFonts w:hint="eastAsia" w:ascii="宋体" w:hAnsi="宋体"/>
          <w:color w:val="auto"/>
          <w:sz w:val="24"/>
          <w:szCs w:val="24"/>
        </w:rPr>
        <w:t>4）的供应商不足三家的，该标段（包）做废标处理。</w:t>
      </w: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1.3.4</w:t>
      </w:r>
      <w:r>
        <w:rPr>
          <w:rFonts w:hint="eastAsia" w:ascii="宋体" w:hAnsi="宋体"/>
          <w:color w:val="auto"/>
          <w:sz w:val="24"/>
          <w:szCs w:val="24"/>
        </w:rPr>
        <w:t>遵循第三章投标人须知</w:t>
      </w:r>
      <w:r>
        <w:rPr>
          <w:rFonts w:ascii="宋体" w:hAnsi="宋体"/>
          <w:color w:val="auto"/>
          <w:sz w:val="24"/>
          <w:szCs w:val="24"/>
        </w:rPr>
        <w:t>3.7.</w:t>
      </w:r>
      <w:r>
        <w:rPr>
          <w:rFonts w:hint="eastAsia" w:ascii="宋体" w:hAnsi="宋体"/>
          <w:color w:val="auto"/>
          <w:sz w:val="24"/>
          <w:szCs w:val="24"/>
        </w:rPr>
        <w:t>5项规定。</w:t>
      </w:r>
    </w:p>
    <w:p>
      <w:pPr>
        <w:spacing w:line="560" w:lineRule="exact"/>
        <w:ind w:firstLine="562" w:firstLineChars="200"/>
        <w:rPr>
          <w:rFonts w:ascii="黑体" w:hAnsi="黑体" w:eastAsia="黑体"/>
          <w:b/>
          <w:color w:val="auto"/>
          <w:sz w:val="28"/>
        </w:rPr>
      </w:pPr>
    </w:p>
    <w:p>
      <w:pPr>
        <w:spacing w:line="560" w:lineRule="exact"/>
        <w:ind w:firstLine="562" w:firstLineChars="200"/>
        <w:outlineLvl w:val="1"/>
        <w:rPr>
          <w:rFonts w:ascii="黑体" w:hAnsi="黑体" w:eastAsia="黑体"/>
          <w:b/>
          <w:color w:val="auto"/>
          <w:sz w:val="28"/>
        </w:rPr>
      </w:pPr>
      <w:bookmarkStart w:id="15" w:name="_Toc150758827"/>
      <w:r>
        <w:rPr>
          <w:rFonts w:ascii="黑体" w:hAnsi="黑体" w:eastAsia="黑体"/>
          <w:b/>
          <w:color w:val="auto"/>
          <w:sz w:val="28"/>
        </w:rPr>
        <w:t xml:space="preserve">2. </w:t>
      </w:r>
      <w:r>
        <w:rPr>
          <w:rFonts w:hint="eastAsia" w:ascii="黑体" w:hAnsi="黑体" w:eastAsia="黑体"/>
          <w:b/>
          <w:color w:val="auto"/>
          <w:sz w:val="28"/>
        </w:rPr>
        <w:t>标段（包）内容（范围）及基本技术要求</w:t>
      </w:r>
      <w:bookmarkEnd w:id="15"/>
    </w:p>
    <w:p>
      <w:pPr>
        <w:spacing w:line="560" w:lineRule="exact"/>
        <w:ind w:firstLine="482" w:firstLineChars="200"/>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总体技术（方案）要求及标段（包）内容（范围）：</w:t>
      </w:r>
      <w:r>
        <w:rPr>
          <w:rFonts w:hint="eastAsia"/>
          <w:color w:val="auto"/>
          <w:sz w:val="24"/>
          <w:szCs w:val="24"/>
        </w:rPr>
        <w:t>详见下述</w:t>
      </w:r>
      <w:r>
        <w:rPr>
          <w:color w:val="auto"/>
          <w:sz w:val="24"/>
          <w:szCs w:val="24"/>
        </w:rPr>
        <w:t>2.</w:t>
      </w:r>
      <w:r>
        <w:rPr>
          <w:rFonts w:hint="eastAsia"/>
          <w:color w:val="auto"/>
          <w:sz w:val="24"/>
          <w:szCs w:val="24"/>
        </w:rPr>
        <w:t>4款</w:t>
      </w:r>
    </w:p>
    <w:p>
      <w:pPr>
        <w:spacing w:line="560" w:lineRule="exact"/>
        <w:ind w:firstLine="480" w:firstLineChars="200"/>
        <w:rPr>
          <w:color w:val="auto"/>
          <w:sz w:val="24"/>
          <w:szCs w:val="24"/>
        </w:rPr>
      </w:pP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2项目落实的政府采购政策（法规标准条款）</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标产</w:t>
      </w:r>
      <w:r>
        <w:rPr>
          <w:rFonts w:hint="eastAsia" w:ascii="宋体" w:hAnsi="宋体" w:cs="宋体"/>
          <w:color w:val="auto"/>
          <w:sz w:val="24"/>
          <w:szCs w:val="24"/>
        </w:rPr>
        <w:t>品</w:t>
      </w:r>
      <w:r>
        <w:rPr>
          <w:rFonts w:ascii="宋体" w:hAnsi="宋体" w:cs="宋体"/>
          <w:color w:val="auto"/>
          <w:sz w:val="24"/>
          <w:szCs w:val="24"/>
        </w:rPr>
        <w:t>应当具有</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标文件中应当提供</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p>
    <w:p>
      <w:pPr>
        <w:adjustRightInd w:val="0"/>
        <w:snapToGrid w:val="0"/>
        <w:spacing w:before="156" w:beforeLines="50" w:line="300" w:lineRule="auto"/>
        <w:ind w:firstLine="480" w:firstLineChars="200"/>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pPr>
        <w:adjustRightInd w:val="0"/>
        <w:snapToGrid w:val="0"/>
        <w:spacing w:before="156" w:beforeLines="50" w:line="300" w:lineRule="auto"/>
        <w:ind w:firstLine="480" w:firstLineChars="200"/>
        <w:rPr>
          <w:rFonts w:ascii="宋体" w:hAnsi="宋体" w:cs="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.2 </w:t>
      </w:r>
      <w:r>
        <w:rPr>
          <w:rFonts w:hint="eastAsia" w:ascii="宋体" w:hAnsi="宋体"/>
          <w:color w:val="auto"/>
          <w:sz w:val="24"/>
          <w:szCs w:val="24"/>
        </w:rPr>
        <w:t>同等条件下，</w:t>
      </w:r>
      <w:r>
        <w:rPr>
          <w:rFonts w:hint="eastAsia" w:ascii="宋体" w:hAnsi="宋体" w:cs="宋体"/>
          <w:color w:val="auto"/>
          <w:sz w:val="24"/>
          <w:szCs w:val="24"/>
        </w:rPr>
        <w:t>获得节能产品认证证书或环境标志产品认证证书的产品优先采购。(认证证书应</w:t>
      </w:r>
      <w:r>
        <w:rPr>
          <w:rFonts w:ascii="宋体" w:hAnsi="宋体" w:cs="宋体"/>
          <w:color w:val="auto"/>
          <w:sz w:val="24"/>
          <w:szCs w:val="24"/>
        </w:rPr>
        <w:t>当为</w:t>
      </w:r>
      <w:r>
        <w:rPr>
          <w:rFonts w:hint="eastAsia" w:ascii="宋体" w:hAnsi="宋体" w:cs="宋体"/>
          <w:color w:val="auto"/>
          <w:sz w:val="24"/>
          <w:szCs w:val="24"/>
        </w:rPr>
        <w:t>国家确定的认证机构出具、且</w:t>
      </w:r>
      <w:r>
        <w:rPr>
          <w:rFonts w:ascii="宋体" w:hAnsi="宋体" w:cs="宋体"/>
          <w:color w:val="auto"/>
          <w:sz w:val="24"/>
          <w:szCs w:val="24"/>
        </w:rPr>
        <w:t>应</w:t>
      </w:r>
      <w:r>
        <w:rPr>
          <w:rFonts w:hint="eastAsia" w:ascii="宋体" w:hAnsi="宋体" w:cs="宋体"/>
          <w:color w:val="auto"/>
          <w:sz w:val="24"/>
          <w:szCs w:val="24"/>
        </w:rPr>
        <w:t>处于有效期之内。)</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.3 </w:t>
      </w:r>
      <w:r>
        <w:rPr>
          <w:rFonts w:hint="eastAsia" w:ascii="宋体" w:hAnsi="宋体"/>
          <w:color w:val="auto"/>
          <w:sz w:val="24"/>
          <w:szCs w:val="24"/>
        </w:rPr>
        <w:t>本次采购不允许进口产品参加。</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.4</w:t>
      </w:r>
      <w:r>
        <w:rPr>
          <w:rFonts w:hint="eastAsia" w:ascii="宋体" w:hAnsi="宋体"/>
          <w:color w:val="auto"/>
          <w:sz w:val="24"/>
          <w:szCs w:val="24"/>
        </w:rPr>
        <w:t>信息安全产品须通过国家信息安全认证中心认证，计算机产品须预装正版操作系统软件。</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.5 </w:t>
      </w:r>
      <w:r>
        <w:rPr>
          <w:rFonts w:hint="eastAsia" w:ascii="宋体" w:hAnsi="宋体"/>
          <w:color w:val="auto"/>
          <w:sz w:val="24"/>
          <w:szCs w:val="24"/>
        </w:rPr>
        <w:t>促进中小企业发展扶持政策：见第四章“评审办法”第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.6</w:t>
      </w:r>
      <w:r>
        <w:rPr>
          <w:rFonts w:hint="eastAsia" w:ascii="宋体" w:hAnsi="宋体"/>
          <w:color w:val="auto"/>
          <w:sz w:val="24"/>
          <w:szCs w:val="24"/>
        </w:rPr>
        <w:t>促进残疾人就业、支持监狱企业发展：见第四章“评标办法”第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所供产品有商品包装的应当使用绿色包装。所供产品有其他环保政策要求的，应符合相关环保法律政策要求。</w:t>
      </w:r>
    </w:p>
    <w:p>
      <w:pPr>
        <w:adjustRightInd w:val="0"/>
        <w:snapToGrid w:val="0"/>
        <w:spacing w:before="156" w:beforeLines="50" w:line="300" w:lineRule="auto"/>
        <w:ind w:firstLine="480" w:firstLineChars="200"/>
        <w:rPr>
          <w:rFonts w:ascii="宋体" w:hAnsi="宋体"/>
          <w:color w:val="auto"/>
          <w:sz w:val="24"/>
          <w:szCs w:val="24"/>
        </w:rPr>
      </w:pPr>
      <w:r>
        <w:rPr>
          <w:rFonts w:hint="eastAsia" w:ascii="宋体" w:hAnsi="宋体"/>
          <w:color w:val="auto"/>
          <w:sz w:val="24"/>
          <w:szCs w:val="24"/>
        </w:rPr>
        <w:t>2.2.8</w:t>
      </w:r>
      <w:r>
        <w:rPr>
          <w:rFonts w:ascii="宋体" w:hAnsi="宋体"/>
          <w:color w:val="auto"/>
          <w:sz w:val="24"/>
          <w:szCs w:val="24"/>
        </w:rPr>
        <w:t xml:space="preserve"> </w:t>
      </w:r>
      <w:r>
        <w:rPr>
          <w:rFonts w:hint="eastAsia" w:ascii="宋体" w:hAnsi="宋体"/>
          <w:color w:val="auto"/>
          <w:sz w:val="24"/>
          <w:szCs w:val="24"/>
        </w:rPr>
        <w:t>支持绿色建筑、绿色建材，支持不发达、少数民族地区的企业，促进自主创新产业发展，支持脱贫攻坚等；同等条件下，优先采购。</w:t>
      </w:r>
    </w:p>
    <w:p>
      <w:pPr>
        <w:adjustRightInd w:val="0"/>
        <w:snapToGrid w:val="0"/>
        <w:spacing w:before="156" w:beforeLines="50" w:line="300" w:lineRule="auto"/>
        <w:ind w:firstLine="480" w:firstLineChars="200"/>
        <w:rPr>
          <w:rFonts w:ascii="宋体" w:hAnsi="宋体"/>
          <w:color w:val="auto"/>
          <w:sz w:val="24"/>
          <w:szCs w:val="24"/>
        </w:rPr>
      </w:pPr>
    </w:p>
    <w:p>
      <w:pPr>
        <w:adjustRightInd w:val="0"/>
        <w:snapToGrid w:val="0"/>
        <w:spacing w:line="30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pPr>
        <w:widowControl w:val="0"/>
        <w:adjustRightInd w:val="0"/>
        <w:snapToGrid w:val="0"/>
        <w:spacing w:before="156" w:beforeLines="50" w:line="300" w:lineRule="auto"/>
        <w:ind w:left="22" w:firstLine="555"/>
        <w:jc w:val="left"/>
        <w:rPr>
          <w:color w:val="auto"/>
          <w:sz w:val="24"/>
          <w:szCs w:val="24"/>
        </w:rPr>
      </w:pPr>
      <w:r>
        <w:rPr>
          <w:rFonts w:hint="eastAsia"/>
          <w:color w:val="auto"/>
          <w:sz w:val="24"/>
          <w:szCs w:val="24"/>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谈判文件未列明事项为由，来降低投标产品的质量。</w:t>
      </w:r>
    </w:p>
    <w:p>
      <w:pPr>
        <w:spacing w:line="560" w:lineRule="exact"/>
        <w:ind w:firstLine="482" w:firstLineChars="200"/>
        <w:rPr>
          <w:rFonts w:ascii="黑体" w:hAnsi="黑体" w:eastAsia="黑体"/>
          <w:b/>
          <w:color w:val="auto"/>
          <w:sz w:val="24"/>
          <w:szCs w:val="24"/>
        </w:rPr>
      </w:pPr>
    </w:p>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4</w:t>
      </w:r>
      <w:r>
        <w:rPr>
          <w:rFonts w:ascii="黑体" w:hAnsi="黑体" w:eastAsia="黑体"/>
          <w:b/>
          <w:color w:val="auto"/>
          <w:sz w:val="24"/>
          <w:szCs w:val="24"/>
        </w:rPr>
        <w:t xml:space="preserve"> </w:t>
      </w:r>
      <w:r>
        <w:rPr>
          <w:rFonts w:hint="eastAsia" w:ascii="黑体" w:hAnsi="黑体" w:eastAsia="黑体"/>
          <w:b/>
          <w:color w:val="auto"/>
          <w:sz w:val="24"/>
          <w:szCs w:val="24"/>
        </w:rPr>
        <w:t>具体技术要求及标段（包）内容（范围）</w:t>
      </w:r>
    </w:p>
    <w:p>
      <w:pPr>
        <w:spacing w:line="560" w:lineRule="exact"/>
        <w:ind w:firstLine="482" w:firstLineChars="200"/>
        <w:rPr>
          <w:rFonts w:ascii="黑体" w:hAnsi="黑体" w:eastAsia="黑体"/>
          <w:b/>
          <w:bCs/>
          <w:color w:val="auto"/>
          <w:sz w:val="24"/>
          <w:szCs w:val="24"/>
        </w:rPr>
      </w:pPr>
      <w:r>
        <w:rPr>
          <w:rFonts w:hint="eastAsia" w:ascii="宋体" w:hAnsi="宋体" w:cs="宋体"/>
          <w:b/>
          <w:bCs/>
          <w:color w:val="auto"/>
          <w:sz w:val="24"/>
          <w:szCs w:val="24"/>
        </w:rPr>
        <w:t>安阳工学院科技园一期工程网络设备安装和运维系统采购项目包2</w:t>
      </w:r>
    </w:p>
    <w:tbl>
      <w:tblPr>
        <w:tblStyle w:val="16"/>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
        <w:gridCol w:w="1080"/>
        <w:gridCol w:w="6343"/>
        <w:gridCol w:w="578"/>
        <w:gridCol w:w="522"/>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0" w:hRule="atLeast"/>
          <w:jc w:val="center"/>
        </w:trPr>
        <w:tc>
          <w:tcPr>
            <w:tcW w:w="311" w:type="dxa"/>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序号</w:t>
            </w:r>
          </w:p>
        </w:tc>
        <w:tc>
          <w:tcPr>
            <w:tcW w:w="1080" w:type="dxa"/>
            <w:tcMar>
              <w:top w:w="15" w:type="dxa"/>
              <w:left w:w="15" w:type="dxa"/>
              <w:bottom w:w="0" w:type="dxa"/>
              <w:right w:w="15" w:type="dxa"/>
            </w:tcMar>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标段（包）内容</w:t>
            </w:r>
          </w:p>
        </w:tc>
        <w:tc>
          <w:tcPr>
            <w:tcW w:w="6343" w:type="dxa"/>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基本技术要求</w:t>
            </w:r>
          </w:p>
        </w:tc>
        <w:tc>
          <w:tcPr>
            <w:tcW w:w="578" w:type="dxa"/>
            <w:vAlign w:val="center"/>
          </w:tcPr>
          <w:p>
            <w:pPr>
              <w:snapToGrid w:val="0"/>
              <w:spacing w:line="240" w:lineRule="auto"/>
              <w:jc w:val="center"/>
              <w:rPr>
                <w:rFonts w:ascii="宋体" w:hAnsi="宋体"/>
                <w:b/>
                <w:color w:val="auto"/>
                <w:sz w:val="24"/>
                <w:szCs w:val="24"/>
              </w:rPr>
            </w:pPr>
            <w:r>
              <w:rPr>
                <w:rFonts w:hint="eastAsia" w:ascii="宋体" w:hAnsi="宋体"/>
                <w:b/>
                <w:color w:val="auto"/>
                <w:sz w:val="24"/>
                <w:szCs w:val="24"/>
              </w:rPr>
              <w:t>单位</w:t>
            </w:r>
          </w:p>
        </w:tc>
        <w:tc>
          <w:tcPr>
            <w:tcW w:w="522" w:type="dxa"/>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数量</w:t>
            </w:r>
          </w:p>
        </w:tc>
        <w:tc>
          <w:tcPr>
            <w:tcW w:w="789" w:type="dxa"/>
            <w:vAlign w:val="center"/>
          </w:tcPr>
          <w:p>
            <w:pPr>
              <w:snapToGrid w:val="0"/>
              <w:spacing w:line="240" w:lineRule="auto"/>
              <w:jc w:val="center"/>
              <w:rPr>
                <w:rFonts w:ascii="宋体" w:hAnsi="宋体"/>
                <w:b/>
                <w:color w:val="auto"/>
                <w:sz w:val="24"/>
                <w:szCs w:val="24"/>
              </w:rPr>
            </w:pPr>
            <w:r>
              <w:rPr>
                <w:rFonts w:hint="eastAsia" w:ascii="宋体" w:hAnsi="宋体"/>
                <w:b/>
                <w:color w:val="auto"/>
                <w:sz w:val="24"/>
                <w:szCs w:val="24"/>
              </w:rPr>
              <w:t>货物所属行业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1" w:type="dxa"/>
            <w:vAlign w:val="center"/>
          </w:tcPr>
          <w:p>
            <w:pPr>
              <w:spacing w:line="240" w:lineRule="auto"/>
              <w:jc w:val="center"/>
              <w:rPr>
                <w:rFonts w:ascii="宋体"/>
                <w:color w:val="auto"/>
                <w:sz w:val="24"/>
                <w:szCs w:val="24"/>
              </w:rPr>
            </w:pPr>
            <w:r>
              <w:rPr>
                <w:rFonts w:ascii="宋体" w:hAnsi="宋体"/>
                <w:color w:val="auto"/>
                <w:sz w:val="24"/>
                <w:szCs w:val="24"/>
              </w:rPr>
              <w:t>1</w:t>
            </w:r>
          </w:p>
        </w:tc>
        <w:tc>
          <w:tcPr>
            <w:tcW w:w="1080" w:type="dxa"/>
            <w:tcMar>
              <w:top w:w="15" w:type="dxa"/>
              <w:left w:w="15" w:type="dxa"/>
              <w:bottom w:w="0" w:type="dxa"/>
              <w:right w:w="15" w:type="dxa"/>
            </w:tcMar>
            <w:vAlign w:val="center"/>
          </w:tcPr>
          <w:p>
            <w:pPr>
              <w:jc w:val="center"/>
              <w:rPr>
                <w:rFonts w:ascii="宋体" w:hAnsi="宋体" w:cs="宋体"/>
                <w:color w:val="auto"/>
                <w:sz w:val="24"/>
                <w:szCs w:val="24"/>
              </w:rPr>
            </w:pPr>
            <w:r>
              <w:rPr>
                <w:rFonts w:hint="eastAsia" w:ascii="宋体" w:hAnsi="宋体" w:cs="宋体"/>
                <w:color w:val="auto"/>
                <w:sz w:val="24"/>
                <w:szCs w:val="24"/>
              </w:rPr>
              <w:t>网络运维系统</w:t>
            </w:r>
          </w:p>
        </w:tc>
        <w:tc>
          <w:tcPr>
            <w:tcW w:w="6343" w:type="dxa"/>
          </w:tcPr>
          <w:p>
            <w:pPr>
              <w:rPr>
                <w:rFonts w:ascii="宋体" w:hAnsi="宋体" w:cs="宋体"/>
                <w:color w:val="auto"/>
                <w:sz w:val="24"/>
                <w:szCs w:val="24"/>
              </w:rPr>
            </w:pPr>
            <w:r>
              <w:rPr>
                <w:rFonts w:hint="eastAsia" w:ascii="宋体" w:hAnsi="宋体" w:cs="宋体"/>
                <w:color w:val="auto"/>
                <w:sz w:val="24"/>
                <w:szCs w:val="24"/>
              </w:rPr>
              <w:t>一、配置要求</w:t>
            </w:r>
          </w:p>
          <w:p>
            <w:pPr>
              <w:rPr>
                <w:rFonts w:ascii="宋体" w:hAnsi="宋体" w:cs="宋体"/>
                <w:color w:val="auto"/>
                <w:sz w:val="24"/>
                <w:szCs w:val="24"/>
              </w:rPr>
            </w:pPr>
            <w:r>
              <w:rPr>
                <w:rFonts w:hint="eastAsia" w:ascii="宋体" w:hAnsi="宋体" w:cs="宋体"/>
                <w:color w:val="auto"/>
                <w:sz w:val="24"/>
                <w:szCs w:val="24"/>
              </w:rPr>
              <w:t xml:space="preserve">1.系统采用B/S架构，支持不少于20个并发用户同时登录系统并进行操作； </w:t>
            </w:r>
          </w:p>
          <w:p>
            <w:pPr>
              <w:rPr>
                <w:rFonts w:ascii="宋体" w:hAnsi="宋体" w:cs="宋体"/>
                <w:color w:val="auto"/>
                <w:sz w:val="24"/>
                <w:szCs w:val="24"/>
              </w:rPr>
            </w:pPr>
            <w:r>
              <w:rPr>
                <w:rFonts w:hint="eastAsia" w:ascii="宋体" w:hAnsi="宋体" w:cs="宋体"/>
                <w:color w:val="auto"/>
                <w:sz w:val="24"/>
                <w:szCs w:val="24"/>
              </w:rPr>
              <w:t>2.提供800台交换机、1200个AP、800台设备的配置管理的授权；</w:t>
            </w:r>
          </w:p>
          <w:p>
            <w:pPr>
              <w:rPr>
                <w:rFonts w:ascii="宋体" w:hAnsi="宋体" w:cs="宋体"/>
                <w:color w:val="auto"/>
                <w:sz w:val="24"/>
                <w:szCs w:val="24"/>
              </w:rPr>
            </w:pPr>
            <w:r>
              <w:rPr>
                <w:rFonts w:hint="eastAsia" w:ascii="宋体" w:hAnsi="宋体" w:cs="宋体"/>
                <w:color w:val="auto"/>
                <w:sz w:val="24"/>
                <w:szCs w:val="24"/>
              </w:rPr>
              <w:t>3.可管理终端数和可管理IP地址数无限制。</w:t>
            </w:r>
          </w:p>
          <w:p>
            <w:pPr>
              <w:rPr>
                <w:rFonts w:ascii="宋体" w:hAnsi="宋体" w:cs="宋体"/>
                <w:color w:val="auto"/>
                <w:sz w:val="24"/>
                <w:szCs w:val="24"/>
              </w:rPr>
            </w:pPr>
            <w:r>
              <w:rPr>
                <w:rFonts w:hint="eastAsia" w:ascii="宋体" w:hAnsi="宋体" w:cs="宋体"/>
                <w:color w:val="auto"/>
                <w:sz w:val="24"/>
                <w:szCs w:val="24"/>
              </w:rPr>
              <w:t>二、监控要求</w:t>
            </w:r>
          </w:p>
          <w:p>
            <w:pPr>
              <w:rPr>
                <w:rFonts w:ascii="宋体" w:hAnsi="宋体" w:cs="宋体"/>
                <w:color w:val="auto"/>
                <w:sz w:val="24"/>
                <w:szCs w:val="24"/>
              </w:rPr>
            </w:pPr>
            <w:r>
              <w:rPr>
                <w:rFonts w:hint="eastAsia" w:ascii="宋体" w:hAnsi="宋体" w:cs="宋体"/>
                <w:color w:val="auto"/>
                <w:sz w:val="24"/>
                <w:szCs w:val="24"/>
              </w:rPr>
              <w:t>1.支持监控多种网络资源：有线设备、无线设备、安全设备等；</w:t>
            </w:r>
          </w:p>
          <w:p>
            <w:pPr>
              <w:rPr>
                <w:rFonts w:ascii="宋体" w:hAnsi="宋体" w:cs="宋体"/>
                <w:color w:val="auto"/>
                <w:sz w:val="24"/>
                <w:szCs w:val="24"/>
              </w:rPr>
            </w:pPr>
            <w:r>
              <w:rPr>
                <w:rFonts w:hint="eastAsia" w:ascii="宋体" w:hAnsi="宋体" w:cs="宋体"/>
                <w:color w:val="auto"/>
                <w:sz w:val="24"/>
                <w:szCs w:val="24"/>
              </w:rPr>
              <w:t>2.支持多厂商：思科、华三、华为、锐捷、中兴、迪普等；</w:t>
            </w:r>
          </w:p>
          <w:p>
            <w:pPr>
              <w:rPr>
                <w:rFonts w:ascii="宋体" w:hAnsi="宋体" w:cs="宋体"/>
                <w:color w:val="auto"/>
                <w:sz w:val="24"/>
                <w:szCs w:val="24"/>
              </w:rPr>
            </w:pPr>
            <w:r>
              <w:rPr>
                <w:rFonts w:hint="eastAsia" w:ascii="宋体" w:hAnsi="宋体" w:cs="宋体"/>
                <w:color w:val="auto"/>
                <w:sz w:val="24"/>
                <w:szCs w:val="24"/>
              </w:rPr>
              <w:t xml:space="preserve">3.支持多种资源添加方式：单个添加，IP段扫描批量添加； </w:t>
            </w:r>
          </w:p>
          <w:p>
            <w:pPr>
              <w:rPr>
                <w:rFonts w:ascii="宋体" w:hAnsi="宋体" w:cs="宋体"/>
                <w:color w:val="auto"/>
                <w:sz w:val="24"/>
                <w:szCs w:val="24"/>
              </w:rPr>
            </w:pPr>
            <w:r>
              <w:rPr>
                <w:rFonts w:hint="eastAsia" w:ascii="宋体" w:hAnsi="宋体" w:cs="宋体"/>
                <w:color w:val="auto"/>
                <w:sz w:val="24"/>
                <w:szCs w:val="24"/>
              </w:rPr>
              <w:t xml:space="preserve">4.支持通过ICMP、SNMP(v1,v2c,v3)等多种协议对资源进行自动扫描； </w:t>
            </w:r>
          </w:p>
          <w:p>
            <w:pPr>
              <w:rPr>
                <w:rFonts w:ascii="宋体" w:hAnsi="宋体" w:cs="宋体"/>
                <w:color w:val="auto"/>
                <w:sz w:val="24"/>
                <w:szCs w:val="24"/>
              </w:rPr>
            </w:pPr>
            <w:r>
              <w:rPr>
                <w:rFonts w:hint="eastAsia" w:ascii="宋体" w:hAnsi="宋体" w:cs="宋体"/>
                <w:color w:val="auto"/>
                <w:sz w:val="24"/>
                <w:szCs w:val="24"/>
              </w:rPr>
              <w:t>5.支持自动发现资源信息变更，包括设备型号、描述、接口信息等；</w:t>
            </w:r>
          </w:p>
          <w:p>
            <w:pPr>
              <w:rPr>
                <w:rFonts w:ascii="宋体" w:hAnsi="宋体" w:cs="宋体"/>
                <w:color w:val="auto"/>
                <w:sz w:val="24"/>
                <w:szCs w:val="24"/>
              </w:rPr>
            </w:pPr>
            <w:r>
              <w:rPr>
                <w:rFonts w:hint="eastAsia" w:ascii="宋体" w:hAnsi="宋体" w:cs="宋体"/>
                <w:color w:val="auto"/>
                <w:sz w:val="24"/>
                <w:szCs w:val="24"/>
              </w:rPr>
              <w:t>6.支持查看设备的名称、类型、制造商、型号、板卡、接口、SN号、软硬件版本、运行时间等信息；</w:t>
            </w:r>
          </w:p>
          <w:p>
            <w:pPr>
              <w:rPr>
                <w:rFonts w:ascii="宋体" w:hAnsi="宋体" w:cs="宋体"/>
                <w:color w:val="auto"/>
                <w:sz w:val="24"/>
                <w:szCs w:val="24"/>
              </w:rPr>
            </w:pPr>
            <w:r>
              <w:rPr>
                <w:rFonts w:hint="eastAsia" w:ascii="宋体" w:hAnsi="宋体" w:cs="宋体"/>
                <w:color w:val="auto"/>
                <w:sz w:val="24"/>
                <w:szCs w:val="24"/>
              </w:rPr>
              <w:t xml:space="preserve">7.支持查看设备接口的名称、描述、状态、接口IP、带宽、实时流量、历史流量等信息； </w:t>
            </w:r>
          </w:p>
          <w:p>
            <w:pPr>
              <w:rPr>
                <w:rFonts w:ascii="宋体" w:hAnsi="宋体" w:cs="宋体"/>
                <w:color w:val="auto"/>
                <w:sz w:val="24"/>
                <w:szCs w:val="24"/>
              </w:rPr>
            </w:pPr>
            <w:r>
              <w:rPr>
                <w:rFonts w:hint="eastAsia" w:ascii="宋体" w:hAnsi="宋体" w:cs="宋体"/>
                <w:color w:val="auto"/>
                <w:sz w:val="24"/>
                <w:szCs w:val="24"/>
              </w:rPr>
              <w:t>8.支持查看无线控制器(AC)的名称、制造商、型号、接口、在线AP、离线AP、在线用户、SSID等信息；（</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9.支持查看无线接入点(AP)的名称、IP、MAC、序列号、型号、所属控制器IP、上联POE交换机IP、上联POE交换机接口等信息；（</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10.支持查看AP下连接终端的IP地址、MAC地址、账号、连接AP名称、无线工作模式、信号质量、频率等信息；（</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三、设备面板</w:t>
            </w:r>
          </w:p>
          <w:p>
            <w:pPr>
              <w:rPr>
                <w:rFonts w:ascii="宋体" w:hAnsi="宋体" w:cs="宋体"/>
                <w:color w:val="auto"/>
                <w:sz w:val="24"/>
                <w:szCs w:val="24"/>
              </w:rPr>
            </w:pPr>
            <w:r>
              <w:rPr>
                <w:rFonts w:hint="eastAsia" w:ascii="宋体" w:hAnsi="宋体" w:cs="宋体"/>
                <w:color w:val="auto"/>
                <w:sz w:val="24"/>
                <w:szCs w:val="24"/>
              </w:rPr>
              <w:t>1.支持展现各厂商不同型号的网络设备面板信息，能够实时查看面板中接口的在线状态；</w:t>
            </w:r>
          </w:p>
          <w:p>
            <w:pPr>
              <w:rPr>
                <w:rFonts w:ascii="宋体" w:hAnsi="宋体" w:cs="宋体"/>
                <w:color w:val="auto"/>
                <w:sz w:val="24"/>
                <w:szCs w:val="24"/>
              </w:rPr>
            </w:pPr>
            <w:r>
              <w:rPr>
                <w:rFonts w:hint="eastAsia" w:ascii="宋体" w:hAnsi="宋体" w:cs="宋体"/>
                <w:color w:val="auto"/>
                <w:sz w:val="24"/>
                <w:szCs w:val="24"/>
              </w:rPr>
              <w:t>2.支持展现板卡面板。</w:t>
            </w:r>
          </w:p>
          <w:p>
            <w:pPr>
              <w:rPr>
                <w:rFonts w:ascii="宋体" w:hAnsi="宋体" w:cs="宋体"/>
                <w:color w:val="auto"/>
                <w:sz w:val="24"/>
                <w:szCs w:val="24"/>
              </w:rPr>
            </w:pPr>
            <w:r>
              <w:rPr>
                <w:rFonts w:hint="eastAsia" w:ascii="宋体" w:hAnsi="宋体" w:cs="宋体"/>
                <w:color w:val="auto"/>
                <w:sz w:val="24"/>
                <w:szCs w:val="24"/>
              </w:rPr>
              <w:t>四、拓扑管理</w:t>
            </w:r>
          </w:p>
          <w:p>
            <w:pPr>
              <w:rPr>
                <w:rFonts w:ascii="宋体" w:hAnsi="宋体" w:cs="宋体"/>
                <w:color w:val="auto"/>
                <w:sz w:val="24"/>
                <w:szCs w:val="24"/>
              </w:rPr>
            </w:pPr>
            <w:r>
              <w:rPr>
                <w:rFonts w:hint="eastAsia" w:ascii="宋体" w:hAnsi="宋体" w:cs="宋体"/>
                <w:color w:val="auto"/>
                <w:sz w:val="24"/>
                <w:szCs w:val="24"/>
              </w:rPr>
              <w:t>1.支持计算设备间的连接关系，也可手动添加或编辑连接关系，支持自动发现聚合链路接口；</w:t>
            </w:r>
          </w:p>
          <w:p>
            <w:pPr>
              <w:rPr>
                <w:rFonts w:ascii="宋体" w:hAnsi="宋体" w:cs="宋体"/>
                <w:color w:val="auto"/>
                <w:sz w:val="24"/>
                <w:szCs w:val="24"/>
              </w:rPr>
            </w:pPr>
            <w:r>
              <w:rPr>
                <w:rFonts w:hint="eastAsia" w:ascii="宋体" w:hAnsi="宋体" w:cs="宋体"/>
                <w:color w:val="auto"/>
                <w:sz w:val="24"/>
                <w:szCs w:val="24"/>
              </w:rPr>
              <w:t>2.支持以不同颜色实时显示设备和链路的运行状态；</w:t>
            </w:r>
          </w:p>
          <w:p>
            <w:pPr>
              <w:rPr>
                <w:rFonts w:ascii="宋体" w:hAnsi="宋体" w:cs="宋体"/>
                <w:color w:val="auto"/>
                <w:sz w:val="24"/>
                <w:szCs w:val="24"/>
              </w:rPr>
            </w:pPr>
            <w:r>
              <w:rPr>
                <w:rFonts w:hint="eastAsia" w:ascii="宋体" w:hAnsi="宋体" w:cs="宋体"/>
                <w:color w:val="auto"/>
                <w:sz w:val="24"/>
                <w:szCs w:val="24"/>
              </w:rPr>
              <w:t>3.支持查看链路两端的设备和接口信息，支持查看链路的实时流量和历史流量；</w:t>
            </w:r>
          </w:p>
          <w:p>
            <w:pPr>
              <w:rPr>
                <w:rFonts w:ascii="宋体" w:hAnsi="宋体" w:cs="宋体"/>
                <w:color w:val="auto"/>
                <w:sz w:val="24"/>
                <w:szCs w:val="24"/>
              </w:rPr>
            </w:pPr>
            <w:r>
              <w:rPr>
                <w:rFonts w:hint="eastAsia" w:ascii="宋体" w:hAnsi="宋体" w:cs="宋体"/>
                <w:color w:val="auto"/>
                <w:sz w:val="24"/>
                <w:szCs w:val="24"/>
              </w:rPr>
              <w:t>4.支持自定义拓扑节点和链路的展现方式，包括名称、IP、节点图标、文字样式、链路样式，可全局配置也可以单独配置；</w:t>
            </w:r>
          </w:p>
          <w:p>
            <w:pPr>
              <w:rPr>
                <w:rFonts w:ascii="宋体" w:hAnsi="宋体" w:cs="宋体"/>
                <w:color w:val="auto"/>
                <w:sz w:val="24"/>
                <w:szCs w:val="24"/>
              </w:rPr>
            </w:pPr>
            <w:r>
              <w:rPr>
                <w:rFonts w:hint="eastAsia" w:ascii="宋体" w:hAnsi="宋体" w:cs="宋体"/>
                <w:color w:val="auto"/>
                <w:sz w:val="24"/>
                <w:szCs w:val="24"/>
              </w:rPr>
              <w:t>5.支持在拓扑图中，根据名称、IP定位到设备；</w:t>
            </w:r>
          </w:p>
          <w:p>
            <w:pPr>
              <w:rPr>
                <w:rFonts w:ascii="宋体" w:hAnsi="宋体" w:cs="宋体"/>
                <w:color w:val="auto"/>
                <w:sz w:val="24"/>
                <w:szCs w:val="24"/>
              </w:rPr>
            </w:pPr>
            <w:r>
              <w:rPr>
                <w:rFonts w:hint="eastAsia" w:ascii="宋体" w:hAnsi="宋体" w:cs="宋体"/>
                <w:color w:val="auto"/>
                <w:sz w:val="24"/>
                <w:szCs w:val="24"/>
              </w:rPr>
              <w:t>6.支持在拓扑图中，通过点击跳转到设备详情页面；</w:t>
            </w:r>
          </w:p>
          <w:p>
            <w:pPr>
              <w:rPr>
                <w:rFonts w:ascii="宋体" w:hAnsi="宋体" w:cs="宋体"/>
                <w:color w:val="auto"/>
                <w:sz w:val="24"/>
                <w:szCs w:val="24"/>
              </w:rPr>
            </w:pPr>
            <w:r>
              <w:rPr>
                <w:rFonts w:hint="eastAsia" w:ascii="宋体" w:hAnsi="宋体" w:cs="宋体"/>
                <w:color w:val="auto"/>
                <w:sz w:val="24"/>
                <w:szCs w:val="24"/>
              </w:rPr>
              <w:t>7.支持层级拓扑，在父拓扑中通过点击可进入子拓扑，子拓扑中设备状态可透传至父拓扑；（</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五、终端子网管理</w:t>
            </w:r>
          </w:p>
          <w:p>
            <w:pPr>
              <w:rPr>
                <w:rFonts w:ascii="宋体" w:hAnsi="宋体" w:cs="宋体"/>
                <w:color w:val="auto"/>
                <w:sz w:val="24"/>
                <w:szCs w:val="24"/>
              </w:rPr>
            </w:pPr>
            <w:r>
              <w:rPr>
                <w:rFonts w:hint="eastAsia" w:ascii="宋体" w:hAnsi="宋体" w:cs="宋体"/>
                <w:color w:val="auto"/>
                <w:sz w:val="24"/>
                <w:szCs w:val="24"/>
              </w:rPr>
              <w:t>1.支持有线、无线、PON三种结构下的终端管理，支持IPv4、IPv6终端管理；</w:t>
            </w:r>
          </w:p>
          <w:p>
            <w:pPr>
              <w:rPr>
                <w:rFonts w:ascii="宋体" w:hAnsi="宋体" w:cs="宋体"/>
                <w:color w:val="auto"/>
                <w:sz w:val="24"/>
                <w:szCs w:val="24"/>
              </w:rPr>
            </w:pPr>
            <w:r>
              <w:rPr>
                <w:rFonts w:hint="eastAsia" w:ascii="宋体" w:hAnsi="宋体" w:cs="宋体"/>
                <w:color w:val="auto"/>
                <w:sz w:val="24"/>
                <w:szCs w:val="24"/>
              </w:rPr>
              <w:t>2.支持基于有线终端用户IP（IPV4、IPV6）、MAC查询用户当前及历史入网信息（连接的二层设备及接口、更新时间等）；（</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3. 支持基于无线终端用户IP（IPV4、IPV6）、MAC查询用户当前及历史入网信息（连接的AP、更新时间等）；（</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4. 支持基于AP的IP、MAC查询AP的上联POE交换机的IP和接口；（</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5.支持通过IP、MAC查询终端的类型、型号等信息。（输入的IP和MAC对应设备可以是网络设备、AP、有线用户、无线用户等）；</w:t>
            </w:r>
          </w:p>
          <w:p>
            <w:pPr>
              <w:rPr>
                <w:rFonts w:ascii="宋体" w:hAnsi="宋体" w:cs="宋体"/>
                <w:color w:val="auto"/>
                <w:sz w:val="24"/>
                <w:szCs w:val="24"/>
              </w:rPr>
            </w:pPr>
            <w:r>
              <w:rPr>
                <w:rFonts w:hint="eastAsia" w:ascii="宋体" w:hAnsi="宋体" w:cs="宋体"/>
                <w:color w:val="auto"/>
                <w:sz w:val="24"/>
                <w:szCs w:val="24"/>
              </w:rPr>
              <w:t>6.支持子网（IPV4、IPV6）的分组管理，包括自动发现子网信息、对子网IP地址使用率进行监控，支持手动添加系统无法扫描到的子网；</w:t>
            </w:r>
          </w:p>
          <w:p>
            <w:pPr>
              <w:rPr>
                <w:rFonts w:ascii="宋体" w:hAnsi="宋体" w:cs="宋体"/>
                <w:color w:val="auto"/>
                <w:sz w:val="24"/>
                <w:szCs w:val="24"/>
              </w:rPr>
            </w:pPr>
            <w:r>
              <w:rPr>
                <w:rFonts w:hint="eastAsia" w:ascii="宋体" w:hAnsi="宋体" w:cs="宋体"/>
                <w:color w:val="auto"/>
                <w:sz w:val="24"/>
                <w:szCs w:val="24"/>
              </w:rPr>
              <w:t xml:space="preserve">7.支持对IP地址（IPV4）进行标记管理，标记IP地址的使用人、使用位置、用途等信息； </w:t>
            </w:r>
          </w:p>
          <w:p>
            <w:pPr>
              <w:rPr>
                <w:rFonts w:ascii="宋体" w:hAnsi="宋体" w:cs="宋体"/>
                <w:color w:val="auto"/>
                <w:sz w:val="24"/>
                <w:szCs w:val="24"/>
              </w:rPr>
            </w:pPr>
            <w:r>
              <w:rPr>
                <w:rFonts w:hint="eastAsia" w:ascii="宋体" w:hAnsi="宋体" w:cs="宋体"/>
                <w:color w:val="auto"/>
                <w:sz w:val="24"/>
                <w:szCs w:val="24"/>
              </w:rPr>
              <w:t>8.支持监控IP（IPV4）和终端MAC的对应关系，当发现对应关系不符时触发告警，告警可发送至接收人。</w:t>
            </w:r>
          </w:p>
          <w:p>
            <w:pPr>
              <w:rPr>
                <w:rFonts w:ascii="宋体" w:hAnsi="宋体" w:cs="宋体"/>
                <w:color w:val="auto"/>
                <w:sz w:val="24"/>
                <w:szCs w:val="24"/>
              </w:rPr>
            </w:pPr>
            <w:r>
              <w:rPr>
                <w:rFonts w:hint="eastAsia" w:ascii="宋体" w:hAnsi="宋体" w:cs="宋体"/>
                <w:color w:val="auto"/>
                <w:sz w:val="24"/>
                <w:szCs w:val="24"/>
              </w:rPr>
              <w:t>六、告警管理</w:t>
            </w:r>
          </w:p>
          <w:p>
            <w:pPr>
              <w:rPr>
                <w:rFonts w:ascii="宋体" w:hAnsi="宋体" w:cs="宋体"/>
                <w:color w:val="auto"/>
                <w:sz w:val="24"/>
                <w:szCs w:val="24"/>
              </w:rPr>
            </w:pPr>
            <w:r>
              <w:rPr>
                <w:rFonts w:hint="eastAsia" w:ascii="宋体" w:hAnsi="宋体" w:cs="宋体"/>
                <w:color w:val="auto"/>
                <w:sz w:val="24"/>
                <w:szCs w:val="24"/>
              </w:rPr>
              <w:t>1.支持通过系统内阈值触发告警，阈值用户可自定义；</w:t>
            </w:r>
          </w:p>
          <w:p>
            <w:pPr>
              <w:rPr>
                <w:rFonts w:ascii="宋体" w:hAnsi="宋体" w:cs="宋体"/>
                <w:color w:val="auto"/>
                <w:sz w:val="24"/>
                <w:szCs w:val="24"/>
              </w:rPr>
            </w:pPr>
            <w:r>
              <w:rPr>
                <w:rFonts w:hint="eastAsia" w:ascii="宋体" w:hAnsi="宋体" w:cs="宋体"/>
                <w:color w:val="auto"/>
                <w:sz w:val="24"/>
                <w:szCs w:val="24"/>
              </w:rPr>
              <w:t>2.支持微信、短信等方式进行告警通知，自带微信告警服务平台，只需关注即可使用；（</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七、配置管理</w:t>
            </w:r>
          </w:p>
          <w:p>
            <w:pPr>
              <w:rPr>
                <w:rFonts w:ascii="宋体" w:hAnsi="宋体" w:cs="宋体"/>
                <w:color w:val="auto"/>
                <w:sz w:val="24"/>
                <w:szCs w:val="24"/>
              </w:rPr>
            </w:pPr>
            <w:r>
              <w:rPr>
                <w:rFonts w:hint="eastAsia" w:ascii="宋体" w:hAnsi="宋体" w:cs="宋体"/>
                <w:color w:val="auto"/>
                <w:sz w:val="24"/>
                <w:szCs w:val="24"/>
              </w:rPr>
              <w:t>1.支持对网络设备进行批量备份，并支持周期性备份，支持统计所有设备的备份状态，对于备份不成功的可以进行提示。</w:t>
            </w:r>
          </w:p>
          <w:p>
            <w:pPr>
              <w:rPr>
                <w:rFonts w:ascii="宋体" w:hAnsi="宋体" w:cs="宋体"/>
                <w:color w:val="auto"/>
                <w:sz w:val="24"/>
                <w:szCs w:val="24"/>
              </w:rPr>
            </w:pPr>
            <w:r>
              <w:rPr>
                <w:rFonts w:hint="eastAsia" w:ascii="宋体" w:hAnsi="宋体" w:cs="宋体"/>
                <w:color w:val="auto"/>
                <w:sz w:val="24"/>
                <w:szCs w:val="24"/>
              </w:rPr>
              <w:t>八、管理要求</w:t>
            </w:r>
          </w:p>
          <w:p>
            <w:pPr>
              <w:rPr>
                <w:rFonts w:ascii="宋体" w:hAnsi="宋体" w:cs="宋体"/>
                <w:color w:val="auto"/>
                <w:sz w:val="24"/>
                <w:szCs w:val="24"/>
              </w:rPr>
            </w:pPr>
            <w:r>
              <w:rPr>
                <w:rFonts w:hint="eastAsia" w:ascii="宋体" w:hAnsi="宋体" w:cs="宋体"/>
                <w:color w:val="auto"/>
                <w:sz w:val="24"/>
                <w:szCs w:val="24"/>
              </w:rPr>
              <w:t>1.系统提供有免费开放接口以供外部系统做二次开发；</w:t>
            </w:r>
          </w:p>
          <w:p>
            <w:pPr>
              <w:rPr>
                <w:rFonts w:ascii="宋体" w:hAnsi="宋体" w:cs="宋体"/>
                <w:color w:val="auto"/>
                <w:sz w:val="24"/>
                <w:szCs w:val="24"/>
              </w:rPr>
            </w:pPr>
            <w:r>
              <w:rPr>
                <w:rFonts w:hint="eastAsia" w:ascii="宋体" w:hAnsi="宋体" w:cs="宋体"/>
                <w:color w:val="auto"/>
                <w:sz w:val="24"/>
                <w:szCs w:val="24"/>
              </w:rPr>
              <w:t>2.支持用手机浏览器或者微信小程序登录系统进行操作；</w:t>
            </w:r>
          </w:p>
          <w:p>
            <w:pPr>
              <w:rPr>
                <w:rFonts w:ascii="宋体" w:hAnsi="宋体" w:cs="宋体"/>
                <w:color w:val="auto"/>
                <w:sz w:val="24"/>
                <w:szCs w:val="24"/>
              </w:rPr>
            </w:pPr>
            <w:r>
              <w:rPr>
                <w:rFonts w:hint="eastAsia" w:ascii="宋体" w:hAnsi="宋体" w:cs="宋体"/>
                <w:color w:val="auto"/>
                <w:sz w:val="24"/>
                <w:szCs w:val="24"/>
              </w:rPr>
              <w:t>3.支持设置不同角色来对用户的权限进行管理；</w:t>
            </w:r>
          </w:p>
          <w:p>
            <w:pPr>
              <w:rPr>
                <w:rFonts w:ascii="宋体" w:hAnsi="宋体" w:cs="宋体"/>
                <w:color w:val="auto"/>
                <w:sz w:val="24"/>
                <w:szCs w:val="24"/>
              </w:rPr>
            </w:pPr>
            <w:r>
              <w:rPr>
                <w:rFonts w:hint="eastAsia" w:ascii="宋体" w:hAnsi="宋体" w:cs="宋体"/>
                <w:color w:val="auto"/>
                <w:sz w:val="24"/>
                <w:szCs w:val="24"/>
              </w:rPr>
              <w:t>4.支持启用横向权限来对用户可操作资源进行管理。</w:t>
            </w:r>
          </w:p>
          <w:p>
            <w:pPr>
              <w:rPr>
                <w:rFonts w:ascii="宋体" w:hAnsi="宋体" w:cs="宋体"/>
                <w:color w:val="auto"/>
                <w:sz w:val="24"/>
                <w:szCs w:val="24"/>
              </w:rPr>
            </w:pPr>
            <w:r>
              <w:rPr>
                <w:rFonts w:hint="eastAsia" w:ascii="宋体" w:hAnsi="宋体" w:cs="宋体"/>
                <w:color w:val="auto"/>
                <w:sz w:val="24"/>
                <w:szCs w:val="24"/>
              </w:rPr>
              <w:t>九、服务要求</w:t>
            </w:r>
          </w:p>
          <w:p>
            <w:pPr>
              <w:rPr>
                <w:rFonts w:ascii="宋体" w:hAnsi="宋体" w:cs="宋体"/>
                <w:color w:val="auto"/>
                <w:sz w:val="24"/>
                <w:szCs w:val="24"/>
              </w:rPr>
            </w:pPr>
            <w:r>
              <w:rPr>
                <w:rFonts w:hint="eastAsia" w:ascii="宋体" w:hAnsi="宋体" w:cs="宋体"/>
                <w:color w:val="auto"/>
                <w:sz w:val="24"/>
                <w:szCs w:val="24"/>
              </w:rPr>
              <w:t>1.提供产品8x3学时现场安装部署培训，提供 8x3学时产品技术培训；</w:t>
            </w:r>
          </w:p>
          <w:p>
            <w:pPr>
              <w:rPr>
                <w:rFonts w:ascii="宋体" w:hAnsi="宋体" w:cs="宋体"/>
                <w:color w:val="auto"/>
                <w:sz w:val="24"/>
                <w:szCs w:val="24"/>
              </w:rPr>
            </w:pPr>
            <w:r>
              <w:rPr>
                <w:rFonts w:hint="eastAsia" w:ascii="宋体" w:hAnsi="宋体" w:cs="宋体"/>
                <w:color w:val="auto"/>
                <w:sz w:val="24"/>
                <w:szCs w:val="24"/>
              </w:rPr>
              <w:t>2.提供原厂3年免费质保，包含维护、升级等，提供7x24小时在线服务承诺。</w:t>
            </w:r>
          </w:p>
        </w:tc>
        <w:tc>
          <w:tcPr>
            <w:tcW w:w="57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套</w:t>
            </w:r>
          </w:p>
        </w:tc>
        <w:tc>
          <w:tcPr>
            <w:tcW w:w="522"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pacing w:line="240" w:lineRule="auto"/>
              <w:jc w:val="center"/>
              <w:rPr>
                <w:color w:val="auto"/>
                <w:sz w:val="24"/>
                <w:szCs w:val="24"/>
              </w:rPr>
            </w:pPr>
            <w:r>
              <w:rPr>
                <w:rFonts w:ascii="Helvetica" w:hAnsi="Helvetica"/>
                <w:color w:val="auto"/>
                <w:sz w:val="24"/>
                <w:szCs w:val="24"/>
                <w:shd w:val="clear" w:color="auto" w:fill="FFFFFF"/>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1" w:type="dxa"/>
            <w:vAlign w:val="center"/>
          </w:tcPr>
          <w:p>
            <w:pPr>
              <w:spacing w:line="240" w:lineRule="auto"/>
              <w:jc w:val="center"/>
              <w:rPr>
                <w:rFonts w:ascii="宋体"/>
                <w:color w:val="auto"/>
                <w:sz w:val="24"/>
                <w:szCs w:val="24"/>
              </w:rPr>
            </w:pPr>
            <w:r>
              <w:rPr>
                <w:rFonts w:ascii="宋体" w:hAnsi="宋体"/>
                <w:color w:val="auto"/>
                <w:sz w:val="24"/>
                <w:szCs w:val="24"/>
              </w:rPr>
              <w:t>2</w:t>
            </w:r>
          </w:p>
        </w:tc>
        <w:tc>
          <w:tcPr>
            <w:tcW w:w="1080" w:type="dxa"/>
            <w:tcMar>
              <w:top w:w="15" w:type="dxa"/>
              <w:left w:w="15" w:type="dxa"/>
              <w:bottom w:w="0" w:type="dxa"/>
              <w:right w:w="15" w:type="dxa"/>
            </w:tcMar>
            <w:vAlign w:val="center"/>
          </w:tcPr>
          <w:p>
            <w:pPr>
              <w:jc w:val="center"/>
              <w:rPr>
                <w:rFonts w:ascii="宋体" w:hAnsi="宋体" w:cs="宋体"/>
                <w:color w:val="auto"/>
                <w:sz w:val="24"/>
                <w:szCs w:val="24"/>
              </w:rPr>
            </w:pPr>
            <w:r>
              <w:rPr>
                <w:rFonts w:hint="eastAsia" w:ascii="宋体" w:hAnsi="宋体" w:cs="宋体"/>
                <w:color w:val="auto"/>
                <w:sz w:val="24"/>
                <w:szCs w:val="24"/>
              </w:rPr>
              <w:t>移动网络工作站</w:t>
            </w:r>
          </w:p>
        </w:tc>
        <w:tc>
          <w:tcPr>
            <w:tcW w:w="6343" w:type="dxa"/>
          </w:tcPr>
          <w:p>
            <w:pPr>
              <w:rPr>
                <w:rFonts w:ascii="宋体" w:hAnsi="宋体" w:cs="宋体"/>
                <w:color w:val="auto"/>
                <w:sz w:val="24"/>
                <w:szCs w:val="24"/>
              </w:rPr>
            </w:pPr>
            <w:r>
              <w:rPr>
                <w:rFonts w:hint="eastAsia" w:ascii="宋体" w:hAnsi="宋体" w:cs="宋体"/>
                <w:color w:val="auto"/>
                <w:sz w:val="24"/>
                <w:szCs w:val="24"/>
              </w:rPr>
              <w:t>一、屏幕：≥14英寸，分辨率≥2160</w:t>
            </w:r>
            <w:r>
              <w:rPr>
                <w:rFonts w:hint="eastAsia" w:ascii="宋体" w:hAnsi="宋体" w:cs="宋体"/>
                <w:color w:val="auto"/>
                <w:sz w:val="24"/>
                <w:szCs w:val="24"/>
              </w:rPr>
              <w:sym w:font="Wingdings 2" w:char="F0CD"/>
            </w:r>
            <w:r>
              <w:rPr>
                <w:rFonts w:hint="eastAsia" w:ascii="宋体" w:hAnsi="宋体" w:cs="宋体"/>
                <w:color w:val="auto"/>
                <w:sz w:val="24"/>
                <w:szCs w:val="24"/>
              </w:rPr>
              <w:t>1440</w:t>
            </w:r>
          </w:p>
          <w:p>
            <w:pPr>
              <w:rPr>
                <w:rFonts w:ascii="宋体" w:hAnsi="宋体" w:cs="宋体"/>
                <w:color w:val="auto"/>
                <w:sz w:val="24"/>
                <w:szCs w:val="24"/>
              </w:rPr>
            </w:pPr>
            <w:r>
              <w:rPr>
                <w:rFonts w:hint="eastAsia" w:ascii="宋体" w:hAnsi="宋体" w:cs="宋体"/>
                <w:color w:val="auto"/>
                <w:sz w:val="24"/>
                <w:szCs w:val="24"/>
              </w:rPr>
              <w:t>二、内存：≥32G</w:t>
            </w:r>
          </w:p>
          <w:p>
            <w:pPr>
              <w:rPr>
                <w:rFonts w:ascii="宋体" w:hAnsi="宋体" w:cs="宋体"/>
                <w:color w:val="auto"/>
                <w:sz w:val="24"/>
                <w:szCs w:val="24"/>
              </w:rPr>
            </w:pPr>
            <w:r>
              <w:rPr>
                <w:rFonts w:hint="eastAsia" w:ascii="宋体" w:hAnsi="宋体" w:cs="宋体"/>
                <w:color w:val="auto"/>
                <w:sz w:val="24"/>
                <w:szCs w:val="24"/>
              </w:rPr>
              <w:t>三、SSD硬盘：≥1TB</w:t>
            </w:r>
          </w:p>
          <w:p>
            <w:pPr>
              <w:rPr>
                <w:rFonts w:ascii="宋体" w:hAnsi="宋体" w:cs="宋体"/>
                <w:color w:val="auto"/>
                <w:sz w:val="24"/>
                <w:szCs w:val="24"/>
              </w:rPr>
            </w:pPr>
            <w:r>
              <w:rPr>
                <w:rFonts w:hint="eastAsia" w:ascii="宋体" w:hAnsi="宋体" w:cs="宋体"/>
                <w:color w:val="auto"/>
                <w:sz w:val="24"/>
                <w:szCs w:val="24"/>
              </w:rPr>
              <w:t>四、CPU</w:t>
            </w:r>
          </w:p>
          <w:p>
            <w:pPr>
              <w:rPr>
                <w:rFonts w:ascii="宋体" w:hAnsi="宋体" w:cs="宋体"/>
                <w:color w:val="auto"/>
                <w:sz w:val="24"/>
                <w:szCs w:val="24"/>
              </w:rPr>
            </w:pPr>
            <w:r>
              <w:rPr>
                <w:rFonts w:hint="eastAsia" w:ascii="宋体" w:hAnsi="宋体" w:cs="宋体"/>
                <w:color w:val="auto"/>
                <w:sz w:val="24"/>
                <w:szCs w:val="24"/>
              </w:rPr>
              <w:t>1.内核数≥12</w:t>
            </w:r>
          </w:p>
          <w:p>
            <w:pPr>
              <w:rPr>
                <w:rFonts w:ascii="宋体" w:hAnsi="宋体" w:cs="宋体"/>
                <w:color w:val="auto"/>
                <w:sz w:val="24"/>
                <w:szCs w:val="24"/>
              </w:rPr>
            </w:pPr>
            <w:r>
              <w:rPr>
                <w:rFonts w:hint="eastAsia" w:ascii="宋体" w:hAnsi="宋体" w:cs="宋体"/>
                <w:color w:val="auto"/>
                <w:sz w:val="24"/>
                <w:szCs w:val="24"/>
              </w:rPr>
              <w:t>2.线程数≥16</w:t>
            </w:r>
          </w:p>
          <w:p>
            <w:pPr>
              <w:rPr>
                <w:rFonts w:ascii="宋体" w:hAnsi="宋体" w:cs="宋体"/>
                <w:color w:val="auto"/>
                <w:sz w:val="24"/>
                <w:szCs w:val="24"/>
              </w:rPr>
            </w:pPr>
            <w:r>
              <w:rPr>
                <w:rFonts w:hint="eastAsia" w:ascii="宋体" w:hAnsi="宋体" w:cs="宋体"/>
                <w:color w:val="auto"/>
                <w:sz w:val="24"/>
                <w:szCs w:val="24"/>
              </w:rPr>
              <w:t>3.最大睿频频率≥5.00 GHz</w:t>
            </w:r>
          </w:p>
          <w:p>
            <w:pPr>
              <w:rPr>
                <w:rFonts w:ascii="宋体" w:hAnsi="宋体" w:cs="宋体"/>
                <w:color w:val="auto"/>
                <w:sz w:val="24"/>
                <w:szCs w:val="24"/>
              </w:rPr>
            </w:pPr>
            <w:r>
              <w:rPr>
                <w:rFonts w:hint="eastAsia" w:ascii="宋体" w:hAnsi="宋体" w:cs="宋体"/>
                <w:color w:val="auto"/>
                <w:sz w:val="24"/>
                <w:szCs w:val="24"/>
              </w:rPr>
              <w:t>4.缓存≥18MB</w:t>
            </w:r>
          </w:p>
          <w:p>
            <w:pPr>
              <w:rPr>
                <w:rFonts w:ascii="宋体" w:hAnsi="宋体" w:cs="宋体"/>
                <w:color w:val="auto"/>
                <w:sz w:val="24"/>
                <w:szCs w:val="24"/>
              </w:rPr>
            </w:pPr>
            <w:r>
              <w:rPr>
                <w:rFonts w:hint="eastAsia" w:ascii="宋体" w:hAnsi="宋体" w:cs="宋体"/>
                <w:color w:val="auto"/>
                <w:sz w:val="24"/>
                <w:szCs w:val="24"/>
              </w:rPr>
              <w:t>五、网卡：支持802.11ax协议，支持2.4GHz/5GHz双频</w:t>
            </w:r>
          </w:p>
          <w:p>
            <w:pPr>
              <w:rPr>
                <w:rFonts w:ascii="宋体" w:hAnsi="宋体" w:cs="宋体"/>
                <w:color w:val="auto"/>
                <w:sz w:val="24"/>
                <w:szCs w:val="24"/>
              </w:rPr>
            </w:pPr>
            <w:r>
              <w:rPr>
                <w:rFonts w:hint="eastAsia" w:ascii="宋体" w:hAnsi="宋体" w:cs="宋体"/>
                <w:color w:val="auto"/>
                <w:sz w:val="24"/>
                <w:szCs w:val="24"/>
              </w:rPr>
              <w:t>六、适配器</w:t>
            </w:r>
          </w:p>
          <w:p>
            <w:pPr>
              <w:rPr>
                <w:rFonts w:ascii="宋体" w:hAnsi="宋体" w:cs="宋体"/>
                <w:color w:val="auto"/>
                <w:sz w:val="24"/>
                <w:szCs w:val="24"/>
              </w:rPr>
            </w:pPr>
            <w:r>
              <w:rPr>
                <w:rFonts w:hint="eastAsia" w:ascii="宋体" w:hAnsi="宋体" w:cs="宋体"/>
                <w:color w:val="auto"/>
                <w:sz w:val="24"/>
                <w:szCs w:val="24"/>
              </w:rPr>
              <w:t>Type-C接口</w:t>
            </w:r>
          </w:p>
          <w:p>
            <w:pPr>
              <w:rPr>
                <w:rFonts w:ascii="宋体" w:hAnsi="宋体" w:cs="宋体"/>
                <w:color w:val="auto"/>
                <w:sz w:val="24"/>
                <w:szCs w:val="24"/>
              </w:rPr>
            </w:pPr>
            <w:r>
              <w:rPr>
                <w:rFonts w:hint="eastAsia" w:ascii="宋体" w:hAnsi="宋体" w:cs="宋体"/>
                <w:color w:val="auto"/>
                <w:sz w:val="24"/>
                <w:szCs w:val="24"/>
              </w:rPr>
              <w:t>七、I/O接口</w:t>
            </w:r>
          </w:p>
          <w:p>
            <w:pPr>
              <w:rPr>
                <w:rFonts w:ascii="宋体" w:hAnsi="宋体" w:cs="宋体"/>
                <w:color w:val="auto"/>
                <w:sz w:val="24"/>
                <w:szCs w:val="24"/>
              </w:rPr>
            </w:pPr>
            <w:r>
              <w:rPr>
                <w:rFonts w:hint="eastAsia" w:ascii="宋体" w:hAnsi="宋体" w:cs="宋体"/>
                <w:color w:val="auto"/>
                <w:sz w:val="24"/>
                <w:szCs w:val="24"/>
              </w:rPr>
              <w:t>1.USB3.2≥2</w:t>
            </w:r>
          </w:p>
          <w:p>
            <w:pPr>
              <w:rPr>
                <w:rFonts w:ascii="宋体" w:hAnsi="宋体" w:cs="宋体"/>
                <w:color w:val="auto"/>
                <w:sz w:val="24"/>
                <w:szCs w:val="24"/>
              </w:rPr>
            </w:pPr>
            <w:r>
              <w:rPr>
                <w:rFonts w:hint="eastAsia" w:ascii="宋体" w:hAnsi="宋体" w:cs="宋体"/>
                <w:color w:val="auto"/>
                <w:sz w:val="24"/>
                <w:szCs w:val="24"/>
              </w:rPr>
              <w:t>2.HDMI≥1</w:t>
            </w:r>
          </w:p>
          <w:p>
            <w:pPr>
              <w:rPr>
                <w:rFonts w:ascii="宋体" w:hAnsi="宋体" w:cs="宋体"/>
                <w:color w:val="auto"/>
                <w:sz w:val="24"/>
                <w:szCs w:val="24"/>
              </w:rPr>
            </w:pPr>
            <w:r>
              <w:rPr>
                <w:rFonts w:hint="eastAsia" w:ascii="宋体" w:hAnsi="宋体" w:cs="宋体"/>
                <w:color w:val="auto"/>
                <w:sz w:val="24"/>
                <w:szCs w:val="24"/>
              </w:rPr>
              <w:t>3.耳机孔</w:t>
            </w:r>
          </w:p>
          <w:p>
            <w:pPr>
              <w:rPr>
                <w:rFonts w:ascii="宋体" w:hAnsi="宋体" w:cs="宋体"/>
                <w:color w:val="auto"/>
                <w:sz w:val="24"/>
                <w:szCs w:val="24"/>
              </w:rPr>
            </w:pPr>
            <w:r>
              <w:rPr>
                <w:rFonts w:hint="eastAsia" w:ascii="宋体" w:hAnsi="宋体" w:cs="宋体"/>
                <w:color w:val="auto"/>
                <w:sz w:val="24"/>
                <w:szCs w:val="24"/>
              </w:rPr>
              <w:t>八、整体质量</w:t>
            </w:r>
          </w:p>
          <w:p>
            <w:pPr>
              <w:rPr>
                <w:rFonts w:ascii="宋体" w:hAnsi="宋体" w:cs="宋体"/>
                <w:color w:val="auto"/>
                <w:sz w:val="24"/>
                <w:szCs w:val="24"/>
              </w:rPr>
            </w:pPr>
            <w:r>
              <w:rPr>
                <w:rFonts w:hint="eastAsia" w:ascii="宋体" w:hAnsi="宋体" w:cs="宋体"/>
                <w:color w:val="auto"/>
                <w:sz w:val="24"/>
                <w:szCs w:val="24"/>
              </w:rPr>
              <w:t>≤1.5kg</w:t>
            </w:r>
          </w:p>
          <w:p>
            <w:pPr>
              <w:rPr>
                <w:rFonts w:ascii="宋体" w:hAnsi="宋体" w:cs="宋体"/>
                <w:color w:val="auto"/>
                <w:sz w:val="24"/>
                <w:szCs w:val="24"/>
              </w:rPr>
            </w:pPr>
            <w:r>
              <w:rPr>
                <w:rFonts w:hint="eastAsia" w:ascii="宋体" w:hAnsi="宋体" w:cs="宋体"/>
                <w:color w:val="auto"/>
                <w:sz w:val="24"/>
                <w:szCs w:val="24"/>
              </w:rPr>
              <w:t>九、其他</w:t>
            </w:r>
          </w:p>
          <w:p>
            <w:pPr>
              <w:rPr>
                <w:rFonts w:ascii="宋体" w:hAnsi="宋体" w:cs="宋体"/>
                <w:color w:val="auto"/>
                <w:sz w:val="24"/>
                <w:szCs w:val="24"/>
              </w:rPr>
            </w:pPr>
            <w:r>
              <w:rPr>
                <w:rFonts w:hint="eastAsia" w:ascii="宋体" w:hAnsi="宋体" w:cs="宋体"/>
                <w:color w:val="auto"/>
                <w:sz w:val="24"/>
                <w:szCs w:val="24"/>
              </w:rPr>
              <w:t>1.配备触摸板</w:t>
            </w:r>
          </w:p>
          <w:p>
            <w:pPr>
              <w:rPr>
                <w:rFonts w:ascii="宋体" w:hAnsi="宋体" w:cs="宋体"/>
                <w:color w:val="auto"/>
                <w:sz w:val="24"/>
                <w:szCs w:val="24"/>
              </w:rPr>
            </w:pPr>
            <w:r>
              <w:rPr>
                <w:rFonts w:hint="eastAsia" w:ascii="宋体" w:hAnsi="宋体" w:cs="宋体"/>
                <w:color w:val="auto"/>
                <w:sz w:val="24"/>
                <w:szCs w:val="24"/>
              </w:rPr>
              <w:t>2.电源键支持指纹识别</w:t>
            </w:r>
          </w:p>
          <w:p>
            <w:pPr>
              <w:rPr>
                <w:rFonts w:ascii="宋体" w:hAnsi="宋体" w:cs="宋体"/>
                <w:color w:val="auto"/>
                <w:sz w:val="24"/>
                <w:szCs w:val="24"/>
              </w:rPr>
            </w:pPr>
            <w:r>
              <w:rPr>
                <w:rFonts w:hint="eastAsia" w:ascii="宋体" w:hAnsi="宋体" w:cs="宋体"/>
                <w:color w:val="auto"/>
                <w:sz w:val="24"/>
                <w:szCs w:val="24"/>
              </w:rPr>
              <w:t>十、服务要求</w:t>
            </w:r>
          </w:p>
          <w:p>
            <w:pPr>
              <w:rPr>
                <w:rFonts w:ascii="宋体" w:hAnsi="宋体" w:cs="宋体"/>
                <w:color w:val="auto"/>
                <w:sz w:val="24"/>
                <w:szCs w:val="24"/>
              </w:rPr>
            </w:pPr>
            <w:r>
              <w:rPr>
                <w:rFonts w:hint="eastAsia" w:ascii="宋体" w:hAnsi="宋体" w:cs="宋体"/>
                <w:color w:val="auto"/>
                <w:sz w:val="24"/>
                <w:szCs w:val="24"/>
              </w:rPr>
              <w:t>提供三年质保。</w:t>
            </w:r>
          </w:p>
        </w:tc>
        <w:tc>
          <w:tcPr>
            <w:tcW w:w="57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台</w:t>
            </w:r>
          </w:p>
        </w:tc>
        <w:tc>
          <w:tcPr>
            <w:tcW w:w="522"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pacing w:line="240" w:lineRule="auto"/>
              <w:jc w:val="center"/>
              <w:rPr>
                <w:color w:val="auto"/>
                <w:sz w:val="24"/>
                <w:szCs w:val="24"/>
              </w:rPr>
            </w:pPr>
            <w:r>
              <w:rPr>
                <w:rFonts w:ascii="Helvetica" w:hAnsi="Helvetica"/>
                <w:color w:val="auto"/>
                <w:sz w:val="24"/>
                <w:szCs w:val="24"/>
                <w:shd w:val="clear" w:color="auto" w:fill="FFFFFF"/>
              </w:rPr>
              <w:t>工业</w:t>
            </w:r>
          </w:p>
        </w:tc>
      </w:tr>
    </w:tbl>
    <w:p>
      <w:pPr>
        <w:widowControl w:val="0"/>
        <w:adjustRightInd w:val="0"/>
        <w:snapToGrid w:val="0"/>
        <w:spacing w:before="156" w:beforeLines="50" w:line="300" w:lineRule="auto"/>
        <w:ind w:firstLine="460" w:firstLineChars="192"/>
        <w:rPr>
          <w:color w:val="auto"/>
          <w:sz w:val="24"/>
          <w:szCs w:val="24"/>
        </w:rPr>
      </w:pPr>
      <w:r>
        <w:rPr>
          <w:rFonts w:hint="eastAsia"/>
          <w:color w:val="auto"/>
          <w:sz w:val="24"/>
          <w:szCs w:val="24"/>
        </w:rPr>
        <w:t>注：以上表格中“货物所属行业”指货物对应的中小企业划分标准所属行业。</w:t>
      </w:r>
    </w:p>
    <w:p>
      <w:pPr>
        <w:widowControl w:val="0"/>
        <w:adjustRightInd w:val="0"/>
        <w:snapToGrid w:val="0"/>
        <w:spacing w:before="156" w:beforeLines="50" w:line="300" w:lineRule="auto"/>
        <w:ind w:firstLine="460" w:firstLineChars="192"/>
        <w:rPr>
          <w:color w:val="auto"/>
          <w:sz w:val="24"/>
          <w:szCs w:val="24"/>
        </w:rPr>
      </w:pPr>
    </w:p>
    <w:p>
      <w:pPr>
        <w:widowControl w:val="0"/>
        <w:adjustRightInd w:val="0"/>
        <w:snapToGrid w:val="0"/>
        <w:spacing w:before="156" w:beforeLines="50" w:line="300" w:lineRule="auto"/>
        <w:ind w:firstLine="460" w:firstLineChars="192"/>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4</w:t>
      </w:r>
      <w:r>
        <w:rPr>
          <w:rFonts w:ascii="宋体" w:hAnsi="宋体"/>
          <w:color w:val="auto"/>
          <w:sz w:val="24"/>
          <w:szCs w:val="24"/>
        </w:rPr>
        <w:t xml:space="preserve">.1 </w:t>
      </w:r>
      <w:r>
        <w:rPr>
          <w:rFonts w:hint="eastAsia" w:ascii="宋体" w:hAnsi="宋体"/>
          <w:color w:val="auto"/>
          <w:sz w:val="24"/>
          <w:szCs w:val="24"/>
        </w:rPr>
        <w:t>应遵循第三章投标人须知</w:t>
      </w:r>
      <w:r>
        <w:rPr>
          <w:rFonts w:ascii="宋体" w:hAnsi="宋体"/>
          <w:color w:val="auto"/>
          <w:sz w:val="24"/>
          <w:szCs w:val="24"/>
        </w:rPr>
        <w:t>3.7.4</w:t>
      </w:r>
      <w:r>
        <w:rPr>
          <w:rFonts w:hint="eastAsia" w:ascii="宋体" w:hAnsi="宋体"/>
          <w:color w:val="auto"/>
          <w:sz w:val="24"/>
          <w:szCs w:val="24"/>
        </w:rPr>
        <w:t>项规定。</w:t>
      </w:r>
    </w:p>
    <w:p>
      <w:pPr>
        <w:widowControl w:val="0"/>
        <w:adjustRightInd w:val="0"/>
        <w:snapToGrid w:val="0"/>
        <w:spacing w:before="156" w:beforeLines="50" w:line="300" w:lineRule="auto"/>
        <w:ind w:firstLine="460" w:firstLineChars="192"/>
        <w:rPr>
          <w:color w:val="auto"/>
          <w:sz w:val="24"/>
          <w:szCs w:val="24"/>
        </w:rPr>
      </w:pPr>
      <w:r>
        <w:rPr>
          <w:rFonts w:ascii="宋体" w:hAnsi="宋体"/>
          <w:color w:val="auto"/>
          <w:sz w:val="24"/>
          <w:szCs w:val="24"/>
        </w:rPr>
        <w:t>2.</w:t>
      </w:r>
      <w:r>
        <w:rPr>
          <w:rFonts w:hint="eastAsia" w:ascii="宋体" w:hAnsi="宋体"/>
          <w:color w:val="auto"/>
          <w:sz w:val="24"/>
          <w:szCs w:val="24"/>
        </w:rPr>
        <w:t>4</w:t>
      </w:r>
      <w:r>
        <w:rPr>
          <w:rFonts w:ascii="宋体" w:hAnsi="宋体"/>
          <w:color w:val="auto"/>
          <w:sz w:val="24"/>
          <w:szCs w:val="24"/>
        </w:rPr>
        <w:t xml:space="preserve">.2 </w:t>
      </w:r>
      <w:r>
        <w:rPr>
          <w:rFonts w:hint="eastAsia" w:ascii="宋体" w:hAnsi="宋体"/>
          <w:color w:val="auto"/>
          <w:sz w:val="24"/>
          <w:szCs w:val="24"/>
        </w:rPr>
        <w:t>成交供应商负责产品的安装、调试，并</w:t>
      </w:r>
      <w:r>
        <w:rPr>
          <w:rFonts w:hint="eastAsia"/>
          <w:color w:val="auto"/>
          <w:sz w:val="24"/>
          <w:szCs w:val="24"/>
        </w:rPr>
        <w:t>具备正常使用条件。</w:t>
      </w:r>
    </w:p>
    <w:p>
      <w:pPr>
        <w:adjustRightInd w:val="0"/>
        <w:snapToGrid w:val="0"/>
        <w:spacing w:before="156" w:beforeLines="50" w:line="300" w:lineRule="auto"/>
        <w:ind w:firstLine="482" w:firstLineChars="200"/>
        <w:rPr>
          <w:rFonts w:ascii="黑体" w:hAnsi="黑体" w:eastAsia="黑体"/>
          <w:b/>
          <w:color w:val="auto"/>
          <w:sz w:val="24"/>
          <w:szCs w:val="24"/>
        </w:rPr>
      </w:pP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5</w:t>
      </w:r>
      <w:r>
        <w:rPr>
          <w:rFonts w:ascii="黑体" w:hAnsi="黑体" w:eastAsia="黑体"/>
          <w:b/>
          <w:color w:val="auto"/>
          <w:sz w:val="24"/>
          <w:szCs w:val="24"/>
        </w:rPr>
        <w:t xml:space="preserve"> </w:t>
      </w:r>
      <w:r>
        <w:rPr>
          <w:rFonts w:hint="eastAsia" w:ascii="黑体" w:hAnsi="黑体" w:eastAsia="黑体"/>
          <w:b/>
          <w:color w:val="auto"/>
          <w:sz w:val="24"/>
          <w:szCs w:val="24"/>
        </w:rPr>
        <w:t>安</w:t>
      </w:r>
      <w:r>
        <w:rPr>
          <w:rFonts w:ascii="黑体" w:hAnsi="黑体" w:eastAsia="黑体"/>
          <w:b/>
          <w:color w:val="auto"/>
          <w:sz w:val="24"/>
          <w:szCs w:val="24"/>
        </w:rPr>
        <w:t>全</w:t>
      </w:r>
    </w:p>
    <w:p>
      <w:pPr>
        <w:widowControl w:val="0"/>
        <w:adjustRightInd w:val="0"/>
        <w:snapToGrid w:val="0"/>
        <w:spacing w:before="156" w:beforeLines="50" w:line="300" w:lineRule="auto"/>
        <w:ind w:left="22" w:firstLine="555"/>
        <w:jc w:val="left"/>
        <w:rPr>
          <w:rFonts w:ascii="宋体" w:hAnsi="宋体"/>
          <w:color w:val="auto"/>
          <w:sz w:val="24"/>
          <w:szCs w:val="24"/>
        </w:rPr>
      </w:pPr>
      <w:r>
        <w:rPr>
          <w:rFonts w:hint="eastAsia" w:ascii="宋体" w:hAnsi="宋体"/>
          <w:color w:val="auto"/>
          <w:sz w:val="24"/>
          <w:szCs w:val="24"/>
        </w:rPr>
        <w:t>投标产品应符合国家、行业的各</w:t>
      </w:r>
      <w:r>
        <w:rPr>
          <w:rFonts w:ascii="宋体" w:hAnsi="宋体"/>
          <w:color w:val="auto"/>
          <w:sz w:val="24"/>
          <w:szCs w:val="24"/>
        </w:rPr>
        <w:t>项</w:t>
      </w:r>
      <w:r>
        <w:rPr>
          <w:rFonts w:hint="eastAsia" w:ascii="宋体" w:hAnsi="宋体"/>
          <w:color w:val="auto"/>
          <w:sz w:val="24"/>
          <w:szCs w:val="24"/>
        </w:rPr>
        <w:t>安全标准，投</w:t>
      </w:r>
      <w:r>
        <w:rPr>
          <w:rFonts w:ascii="宋体" w:hAnsi="宋体"/>
          <w:color w:val="auto"/>
          <w:sz w:val="24"/>
          <w:szCs w:val="24"/>
        </w:rPr>
        <w:t>标</w:t>
      </w:r>
      <w:r>
        <w:rPr>
          <w:rFonts w:hint="eastAsia" w:ascii="宋体" w:hAnsi="宋体"/>
          <w:color w:val="auto"/>
          <w:sz w:val="24"/>
          <w:szCs w:val="24"/>
        </w:rPr>
        <w:t>人</w:t>
      </w:r>
      <w:r>
        <w:rPr>
          <w:rFonts w:ascii="宋体" w:hAnsi="宋体"/>
          <w:color w:val="auto"/>
          <w:sz w:val="24"/>
          <w:szCs w:val="24"/>
        </w:rPr>
        <w:t>对</w:t>
      </w:r>
      <w:r>
        <w:rPr>
          <w:rFonts w:hint="eastAsia" w:ascii="宋体" w:hAnsi="宋体"/>
          <w:color w:val="auto"/>
          <w:sz w:val="24"/>
          <w:szCs w:val="24"/>
        </w:rPr>
        <w:t>投标产品的</w:t>
      </w:r>
      <w:r>
        <w:rPr>
          <w:rFonts w:ascii="宋体" w:hAnsi="宋体"/>
          <w:color w:val="auto"/>
          <w:sz w:val="24"/>
          <w:szCs w:val="24"/>
        </w:rPr>
        <w:t>安全性承担全部责任。</w:t>
      </w:r>
      <w:r>
        <w:rPr>
          <w:rFonts w:hint="eastAsia" w:ascii="宋体" w:hAnsi="宋体"/>
          <w:color w:val="auto"/>
          <w:sz w:val="24"/>
          <w:szCs w:val="24"/>
        </w:rPr>
        <w:t>生产或销售不符合保障人身、财产安全的国家标准、行业标准的产品，将</w:t>
      </w:r>
      <w:r>
        <w:rPr>
          <w:rFonts w:ascii="宋体" w:hAnsi="宋体"/>
          <w:color w:val="auto"/>
          <w:sz w:val="24"/>
          <w:szCs w:val="24"/>
        </w:rPr>
        <w:t>依法承担民事及相应刑事责任</w:t>
      </w:r>
      <w:r>
        <w:rPr>
          <w:rFonts w:hint="eastAsia" w:ascii="宋体" w:hAnsi="宋体"/>
          <w:color w:val="auto"/>
          <w:sz w:val="24"/>
          <w:szCs w:val="24"/>
        </w:rPr>
        <w:t>。合</w:t>
      </w:r>
      <w:r>
        <w:rPr>
          <w:rFonts w:ascii="宋体" w:hAnsi="宋体"/>
          <w:color w:val="auto"/>
          <w:sz w:val="24"/>
          <w:szCs w:val="24"/>
        </w:rPr>
        <w:t>同履行中的安全责任由</w:t>
      </w:r>
      <w:r>
        <w:rPr>
          <w:rFonts w:hint="eastAsia"/>
          <w:color w:val="auto"/>
          <w:sz w:val="24"/>
          <w:szCs w:val="24"/>
        </w:rPr>
        <w:t>成交供应商</w:t>
      </w:r>
      <w:r>
        <w:rPr>
          <w:rFonts w:ascii="宋体" w:hAnsi="宋体"/>
          <w:color w:val="auto"/>
          <w:sz w:val="24"/>
          <w:szCs w:val="24"/>
        </w:rPr>
        <w:t>承担全部责任。</w:t>
      </w:r>
    </w:p>
    <w:p>
      <w:pPr>
        <w:widowControl w:val="0"/>
        <w:adjustRightInd w:val="0"/>
        <w:snapToGrid w:val="0"/>
        <w:spacing w:before="156" w:beforeLines="50" w:line="300" w:lineRule="auto"/>
        <w:ind w:left="22" w:firstLine="555"/>
        <w:jc w:val="left"/>
        <w:rPr>
          <w:rFonts w:ascii="宋体" w:hAnsi="宋体"/>
          <w:color w:val="auto"/>
          <w:sz w:val="24"/>
          <w:szCs w:val="24"/>
        </w:rPr>
      </w:pP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投</w:t>
      </w:r>
      <w:r>
        <w:rPr>
          <w:rFonts w:ascii="黑体" w:hAnsi="黑体" w:eastAsia="黑体"/>
          <w:b/>
          <w:color w:val="auto"/>
          <w:sz w:val="24"/>
          <w:szCs w:val="24"/>
        </w:rPr>
        <w:t>标文件</w:t>
      </w:r>
      <w:r>
        <w:rPr>
          <w:rFonts w:hint="eastAsia" w:ascii="黑体" w:hAnsi="黑体" w:eastAsia="黑体"/>
          <w:b/>
          <w:color w:val="auto"/>
          <w:sz w:val="24"/>
          <w:szCs w:val="24"/>
        </w:rPr>
        <w:t>对“基本技术要求”的</w:t>
      </w:r>
      <w:r>
        <w:rPr>
          <w:rFonts w:ascii="黑体" w:hAnsi="黑体" w:eastAsia="黑体"/>
          <w:b/>
          <w:color w:val="auto"/>
          <w:sz w:val="24"/>
          <w:szCs w:val="24"/>
        </w:rPr>
        <w:t>响应</w:t>
      </w:r>
    </w:p>
    <w:p>
      <w:pPr>
        <w:widowControl w:val="0"/>
        <w:adjustRightInd w:val="0"/>
        <w:snapToGrid w:val="0"/>
        <w:spacing w:before="156" w:beforeLines="50" w:line="300" w:lineRule="auto"/>
        <w:ind w:left="22" w:firstLine="555"/>
        <w:jc w:val="left"/>
        <w:rPr>
          <w:rFonts w:ascii="宋体" w:hAnsi="宋体"/>
          <w:color w:val="auto"/>
          <w:sz w:val="24"/>
          <w:szCs w:val="24"/>
        </w:rPr>
      </w:pPr>
      <w:r>
        <w:rPr>
          <w:rFonts w:hint="eastAsia" w:ascii="宋体" w:hAnsi="宋体"/>
          <w:color w:val="auto"/>
          <w:sz w:val="24"/>
          <w:szCs w:val="24"/>
        </w:rPr>
        <w:t>“基本技术要求”为采购</w:t>
      </w:r>
      <w:r>
        <w:rPr>
          <w:rFonts w:ascii="宋体" w:hAnsi="宋体"/>
          <w:color w:val="auto"/>
          <w:sz w:val="24"/>
          <w:szCs w:val="24"/>
        </w:rPr>
        <w:t>需求的</w:t>
      </w:r>
      <w:r>
        <w:rPr>
          <w:rFonts w:hint="eastAsia" w:ascii="宋体" w:hAnsi="宋体"/>
          <w:color w:val="auto"/>
          <w:sz w:val="24"/>
          <w:szCs w:val="24"/>
        </w:rPr>
        <w:t>基础</w:t>
      </w:r>
      <w:r>
        <w:rPr>
          <w:rFonts w:ascii="宋体" w:hAnsi="宋体"/>
          <w:color w:val="auto"/>
          <w:sz w:val="24"/>
          <w:szCs w:val="24"/>
        </w:rPr>
        <w:t>性</w:t>
      </w:r>
      <w:r>
        <w:rPr>
          <w:rFonts w:hint="eastAsia" w:ascii="宋体" w:hAnsi="宋体"/>
          <w:color w:val="auto"/>
          <w:sz w:val="24"/>
          <w:szCs w:val="24"/>
        </w:rPr>
        <w:t>要求，投</w:t>
      </w:r>
      <w:r>
        <w:rPr>
          <w:rFonts w:ascii="宋体" w:hAnsi="宋体"/>
          <w:color w:val="auto"/>
          <w:sz w:val="24"/>
          <w:szCs w:val="24"/>
        </w:rPr>
        <w:t>标产品应当明确，</w:t>
      </w:r>
      <w:r>
        <w:rPr>
          <w:rFonts w:hint="eastAsia" w:ascii="宋体" w:hAnsi="宋体"/>
          <w:color w:val="auto"/>
          <w:sz w:val="24"/>
          <w:szCs w:val="24"/>
        </w:rPr>
        <w:t>投</w:t>
      </w:r>
      <w:r>
        <w:rPr>
          <w:rFonts w:ascii="宋体" w:hAnsi="宋体"/>
          <w:color w:val="auto"/>
          <w:sz w:val="24"/>
          <w:szCs w:val="24"/>
        </w:rPr>
        <w:t>标</w:t>
      </w:r>
      <w:r>
        <w:rPr>
          <w:rFonts w:hint="eastAsia" w:ascii="宋体" w:hAnsi="宋体"/>
          <w:color w:val="auto"/>
          <w:sz w:val="24"/>
          <w:szCs w:val="24"/>
        </w:rPr>
        <w:t>技术参数应最</w:t>
      </w:r>
      <w:r>
        <w:rPr>
          <w:rFonts w:ascii="宋体" w:hAnsi="宋体"/>
          <w:color w:val="auto"/>
          <w:sz w:val="24"/>
          <w:szCs w:val="24"/>
        </w:rPr>
        <w:t>终指向具体明确的产</w:t>
      </w:r>
      <w:r>
        <w:rPr>
          <w:rFonts w:hint="eastAsia" w:ascii="宋体" w:hAnsi="宋体"/>
          <w:color w:val="auto"/>
          <w:sz w:val="24"/>
          <w:szCs w:val="24"/>
        </w:rPr>
        <w:t>品。投</w:t>
      </w:r>
      <w:r>
        <w:rPr>
          <w:rFonts w:ascii="宋体" w:hAnsi="宋体"/>
          <w:color w:val="auto"/>
          <w:sz w:val="24"/>
          <w:szCs w:val="24"/>
        </w:rPr>
        <w:t>标</w:t>
      </w:r>
      <w:r>
        <w:rPr>
          <w:rFonts w:hint="eastAsia" w:ascii="宋体" w:hAnsi="宋体"/>
          <w:color w:val="auto"/>
          <w:sz w:val="24"/>
          <w:szCs w:val="24"/>
        </w:rPr>
        <w:t>文</w:t>
      </w:r>
      <w:r>
        <w:rPr>
          <w:rFonts w:ascii="宋体" w:hAnsi="宋体"/>
          <w:color w:val="auto"/>
          <w:sz w:val="24"/>
          <w:szCs w:val="24"/>
        </w:rPr>
        <w:t>件</w:t>
      </w:r>
      <w:r>
        <w:rPr>
          <w:rFonts w:hint="eastAsia" w:ascii="宋体" w:hAnsi="宋体"/>
          <w:color w:val="auto"/>
          <w:sz w:val="24"/>
          <w:szCs w:val="24"/>
        </w:rPr>
        <w:t>技术参数抄袭谈判文件“基本技术要求”，投</w:t>
      </w:r>
      <w:r>
        <w:rPr>
          <w:rFonts w:ascii="宋体" w:hAnsi="宋体"/>
          <w:color w:val="auto"/>
          <w:sz w:val="24"/>
          <w:szCs w:val="24"/>
        </w:rPr>
        <w:t>标产品</w:t>
      </w:r>
      <w:r>
        <w:rPr>
          <w:rFonts w:hint="eastAsia" w:ascii="宋体" w:hAnsi="宋体"/>
          <w:color w:val="auto"/>
          <w:sz w:val="24"/>
          <w:szCs w:val="24"/>
        </w:rPr>
        <w:t>不</w:t>
      </w:r>
      <w:r>
        <w:rPr>
          <w:rFonts w:ascii="宋体" w:hAnsi="宋体"/>
          <w:color w:val="auto"/>
          <w:sz w:val="24"/>
          <w:szCs w:val="24"/>
        </w:rPr>
        <w:t>明确</w:t>
      </w:r>
      <w:r>
        <w:rPr>
          <w:rFonts w:hint="eastAsia" w:ascii="宋体" w:hAnsi="宋体"/>
          <w:color w:val="auto"/>
          <w:sz w:val="24"/>
          <w:szCs w:val="24"/>
        </w:rPr>
        <w:t>的</w:t>
      </w:r>
      <w:r>
        <w:rPr>
          <w:rFonts w:ascii="宋体" w:hAnsi="宋体"/>
          <w:color w:val="auto"/>
          <w:sz w:val="24"/>
          <w:szCs w:val="24"/>
        </w:rPr>
        <w:t>、或</w:t>
      </w:r>
      <w:r>
        <w:rPr>
          <w:rFonts w:hint="eastAsia" w:ascii="宋体" w:hAnsi="宋体"/>
          <w:color w:val="auto"/>
          <w:sz w:val="24"/>
          <w:szCs w:val="24"/>
        </w:rPr>
        <w:t>与投</w:t>
      </w:r>
      <w:r>
        <w:rPr>
          <w:rFonts w:ascii="宋体" w:hAnsi="宋体"/>
          <w:color w:val="auto"/>
          <w:sz w:val="24"/>
          <w:szCs w:val="24"/>
        </w:rPr>
        <w:t>标产品</w:t>
      </w:r>
      <w:r>
        <w:rPr>
          <w:rFonts w:hint="eastAsia" w:ascii="宋体" w:hAnsi="宋体"/>
          <w:color w:val="auto"/>
          <w:sz w:val="24"/>
          <w:szCs w:val="24"/>
        </w:rPr>
        <w:t>不</w:t>
      </w:r>
      <w:r>
        <w:rPr>
          <w:rFonts w:ascii="宋体" w:hAnsi="宋体"/>
          <w:color w:val="auto"/>
          <w:sz w:val="24"/>
          <w:szCs w:val="24"/>
        </w:rPr>
        <w:t>一致</w:t>
      </w:r>
      <w:r>
        <w:rPr>
          <w:rFonts w:hint="eastAsia" w:ascii="宋体" w:hAnsi="宋体"/>
          <w:color w:val="auto"/>
          <w:sz w:val="24"/>
          <w:szCs w:val="24"/>
        </w:rPr>
        <w:t>的</w:t>
      </w:r>
      <w:r>
        <w:rPr>
          <w:rFonts w:ascii="宋体" w:hAnsi="宋体"/>
          <w:color w:val="auto"/>
          <w:sz w:val="24"/>
          <w:szCs w:val="24"/>
        </w:rPr>
        <w:t>，</w:t>
      </w:r>
      <w:r>
        <w:rPr>
          <w:rFonts w:hint="eastAsia" w:ascii="宋体" w:hAnsi="宋体"/>
          <w:color w:val="auto"/>
          <w:sz w:val="24"/>
          <w:szCs w:val="24"/>
        </w:rPr>
        <w:t>谈判小组有权按照实质性判断原则评定其为无效投标。</w:t>
      </w:r>
    </w:p>
    <w:p>
      <w:pPr>
        <w:widowControl w:val="0"/>
        <w:adjustRightInd w:val="0"/>
        <w:snapToGrid w:val="0"/>
        <w:spacing w:before="156" w:beforeLines="50" w:line="300" w:lineRule="auto"/>
        <w:ind w:left="22" w:firstLine="555"/>
        <w:jc w:val="left"/>
        <w:rPr>
          <w:rFonts w:ascii="宋体" w:hAnsi="宋体"/>
          <w:color w:val="auto"/>
          <w:sz w:val="24"/>
          <w:szCs w:val="24"/>
        </w:rPr>
      </w:pP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pPr>
        <w:widowControl w:val="0"/>
        <w:adjustRightInd w:val="0"/>
        <w:snapToGrid w:val="0"/>
        <w:spacing w:before="156"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 xml:space="preserve">.1 </w:t>
      </w:r>
      <w:r>
        <w:rPr>
          <w:rFonts w:hint="eastAsia"/>
          <w:color w:val="auto"/>
          <w:sz w:val="24"/>
          <w:szCs w:val="24"/>
        </w:rPr>
        <w:t>“基本技术要求”列示的参数、规格为基础</w:t>
      </w:r>
      <w:r>
        <w:rPr>
          <w:color w:val="auto"/>
          <w:sz w:val="24"/>
          <w:szCs w:val="24"/>
        </w:rPr>
        <w:t>性</w:t>
      </w:r>
      <w:r>
        <w:rPr>
          <w:rFonts w:hint="eastAsia"/>
          <w:color w:val="auto"/>
          <w:sz w:val="24"/>
          <w:szCs w:val="24"/>
        </w:rPr>
        <w:t>要求，投标人可提供质量性能参数相等或优于的其他产品；投</w:t>
      </w:r>
      <w:r>
        <w:rPr>
          <w:color w:val="auto"/>
          <w:sz w:val="24"/>
          <w:szCs w:val="24"/>
        </w:rPr>
        <w:t>标产品的</w:t>
      </w:r>
      <w:r>
        <w:rPr>
          <w:rFonts w:hint="eastAsia"/>
          <w:color w:val="auto"/>
          <w:sz w:val="24"/>
          <w:szCs w:val="24"/>
        </w:rPr>
        <w:t>规格参数与“基本技术要求”不</w:t>
      </w:r>
      <w:r>
        <w:rPr>
          <w:color w:val="auto"/>
          <w:sz w:val="24"/>
          <w:szCs w:val="24"/>
        </w:rPr>
        <w:t>同</w:t>
      </w:r>
      <w:r>
        <w:rPr>
          <w:rFonts w:hint="eastAsia"/>
          <w:color w:val="auto"/>
          <w:sz w:val="24"/>
          <w:szCs w:val="24"/>
        </w:rPr>
        <w:t>、</w:t>
      </w:r>
      <w:r>
        <w:rPr>
          <w:color w:val="auto"/>
          <w:sz w:val="24"/>
          <w:szCs w:val="24"/>
        </w:rPr>
        <w:t>且</w:t>
      </w:r>
      <w:r>
        <w:rPr>
          <w:rFonts w:hint="eastAsia"/>
          <w:color w:val="auto"/>
          <w:sz w:val="24"/>
          <w:szCs w:val="24"/>
        </w:rPr>
        <w:t>投标人认</w:t>
      </w:r>
      <w:r>
        <w:rPr>
          <w:color w:val="auto"/>
          <w:sz w:val="24"/>
          <w:szCs w:val="24"/>
        </w:rPr>
        <w:t>为</w:t>
      </w:r>
      <w:r>
        <w:rPr>
          <w:rFonts w:hint="eastAsia"/>
          <w:color w:val="auto"/>
          <w:sz w:val="24"/>
          <w:szCs w:val="24"/>
        </w:rPr>
        <w:t>投</w:t>
      </w:r>
      <w:r>
        <w:rPr>
          <w:color w:val="auto"/>
          <w:sz w:val="24"/>
          <w:szCs w:val="24"/>
        </w:rPr>
        <w:t>标产品的</w:t>
      </w:r>
      <w:r>
        <w:rPr>
          <w:rFonts w:hint="eastAsia"/>
          <w:color w:val="auto"/>
          <w:sz w:val="24"/>
          <w:szCs w:val="24"/>
        </w:rPr>
        <w:t>规格参数等</w:t>
      </w:r>
      <w:r>
        <w:rPr>
          <w:color w:val="auto"/>
          <w:sz w:val="24"/>
          <w:szCs w:val="24"/>
        </w:rPr>
        <w:t>于或优于</w:t>
      </w:r>
      <w:r>
        <w:rPr>
          <w:rFonts w:hint="eastAsia"/>
          <w:color w:val="auto"/>
          <w:sz w:val="24"/>
          <w:szCs w:val="24"/>
        </w:rPr>
        <w:t>“基本技术要求”的</w:t>
      </w:r>
      <w:r>
        <w:rPr>
          <w:color w:val="auto"/>
          <w:sz w:val="24"/>
          <w:szCs w:val="24"/>
        </w:rPr>
        <w:t>，</w:t>
      </w:r>
      <w:r>
        <w:rPr>
          <w:rFonts w:hint="eastAsia"/>
          <w:color w:val="auto"/>
          <w:sz w:val="24"/>
          <w:szCs w:val="24"/>
        </w:rPr>
        <w:t>投标人应提供相关证明材料（如权威评测资料、及印刷品产品说明书或印刷品图册等）以供谈判小组评审投标产品是</w:t>
      </w:r>
      <w:r>
        <w:rPr>
          <w:color w:val="auto"/>
          <w:sz w:val="24"/>
          <w:szCs w:val="24"/>
        </w:rPr>
        <w:t>否</w:t>
      </w:r>
      <w:r>
        <w:rPr>
          <w:rFonts w:hint="eastAsia"/>
          <w:color w:val="auto"/>
          <w:sz w:val="24"/>
          <w:szCs w:val="24"/>
        </w:rPr>
        <w:t>等于或优于“基本技术要求”、从而</w:t>
      </w:r>
      <w:r>
        <w:rPr>
          <w:color w:val="auto"/>
          <w:sz w:val="24"/>
          <w:szCs w:val="24"/>
        </w:rPr>
        <w:t>评定</w:t>
      </w:r>
      <w:r>
        <w:rPr>
          <w:rFonts w:hint="eastAsia"/>
          <w:color w:val="auto"/>
          <w:sz w:val="24"/>
          <w:szCs w:val="24"/>
        </w:rPr>
        <w:t>投标产品是</w:t>
      </w:r>
      <w:r>
        <w:rPr>
          <w:color w:val="auto"/>
          <w:sz w:val="24"/>
          <w:szCs w:val="24"/>
        </w:rPr>
        <w:t>否</w:t>
      </w:r>
      <w:r>
        <w:rPr>
          <w:rFonts w:hint="eastAsia"/>
          <w:color w:val="auto"/>
          <w:sz w:val="24"/>
          <w:szCs w:val="24"/>
        </w:rPr>
        <w:t>满</w:t>
      </w:r>
      <w:r>
        <w:rPr>
          <w:color w:val="auto"/>
          <w:sz w:val="24"/>
          <w:szCs w:val="24"/>
        </w:rPr>
        <w:t>足</w:t>
      </w:r>
      <w:r>
        <w:rPr>
          <w:rFonts w:hint="eastAsia"/>
          <w:color w:val="auto"/>
          <w:sz w:val="24"/>
          <w:szCs w:val="24"/>
        </w:rPr>
        <w:t>“基本技术要求”。</w:t>
      </w:r>
    </w:p>
    <w:p>
      <w:pPr>
        <w:widowControl w:val="0"/>
        <w:adjustRightInd w:val="0"/>
        <w:snapToGrid w:val="0"/>
        <w:spacing w:before="156" w:beforeLines="50" w:line="300" w:lineRule="auto"/>
        <w:ind w:left="22" w:firstLine="555"/>
        <w:jc w:val="left"/>
        <w:rPr>
          <w:color w:val="auto"/>
          <w:sz w:val="24"/>
          <w:szCs w:val="24"/>
        </w:rPr>
      </w:pPr>
      <w:r>
        <w:rPr>
          <w:rFonts w:hint="eastAsia"/>
          <w:color w:val="auto"/>
          <w:sz w:val="24"/>
          <w:szCs w:val="24"/>
        </w:rPr>
        <w:t>“基本技术要求”列示的参数、规格为区</w:t>
      </w:r>
      <w:r>
        <w:rPr>
          <w:color w:val="auto"/>
          <w:sz w:val="24"/>
          <w:szCs w:val="24"/>
        </w:rPr>
        <w:t>间性描述的，</w:t>
      </w:r>
      <w:r>
        <w:rPr>
          <w:rFonts w:hint="eastAsia"/>
          <w:color w:val="auto"/>
          <w:sz w:val="24"/>
          <w:szCs w:val="24"/>
        </w:rPr>
        <w:t>投</w:t>
      </w:r>
      <w:r>
        <w:rPr>
          <w:color w:val="auto"/>
          <w:sz w:val="24"/>
          <w:szCs w:val="24"/>
        </w:rPr>
        <w:t>标产品</w:t>
      </w:r>
      <w:r>
        <w:rPr>
          <w:rFonts w:hint="eastAsia"/>
          <w:color w:val="auto"/>
          <w:sz w:val="24"/>
          <w:szCs w:val="24"/>
        </w:rPr>
        <w:t>参数规格</w:t>
      </w:r>
      <w:r>
        <w:rPr>
          <w:color w:val="auto"/>
          <w:sz w:val="24"/>
          <w:szCs w:val="24"/>
        </w:rPr>
        <w:t>在此区间内的</w:t>
      </w:r>
      <w:r>
        <w:rPr>
          <w:rFonts w:hint="eastAsia"/>
          <w:color w:val="auto"/>
          <w:sz w:val="24"/>
          <w:szCs w:val="24"/>
        </w:rPr>
        <w:t>、则</w:t>
      </w:r>
      <w:r>
        <w:rPr>
          <w:color w:val="auto"/>
          <w:sz w:val="24"/>
          <w:szCs w:val="24"/>
        </w:rPr>
        <w:t>显见的为</w:t>
      </w:r>
      <w:r>
        <w:rPr>
          <w:rFonts w:hint="eastAsia"/>
          <w:color w:val="auto"/>
          <w:sz w:val="24"/>
          <w:szCs w:val="24"/>
        </w:rPr>
        <w:t>符</w:t>
      </w:r>
      <w:r>
        <w:rPr>
          <w:color w:val="auto"/>
          <w:sz w:val="24"/>
          <w:szCs w:val="24"/>
        </w:rPr>
        <w:t>合</w:t>
      </w:r>
      <w:r>
        <w:rPr>
          <w:rFonts w:hint="eastAsia"/>
          <w:color w:val="auto"/>
          <w:sz w:val="24"/>
          <w:szCs w:val="24"/>
        </w:rPr>
        <w:t>“基本技术要求”。</w:t>
      </w:r>
    </w:p>
    <w:p>
      <w:pPr>
        <w:widowControl w:val="0"/>
        <w:adjustRightInd w:val="0"/>
        <w:snapToGrid w:val="0"/>
        <w:spacing w:before="156" w:beforeLines="50" w:line="300" w:lineRule="auto"/>
        <w:ind w:left="22" w:firstLine="555"/>
        <w:jc w:val="left"/>
        <w:rPr>
          <w:color w:val="auto"/>
          <w:sz w:val="24"/>
          <w:szCs w:val="24"/>
        </w:rPr>
      </w:pPr>
      <w:r>
        <w:rPr>
          <w:color w:val="auto"/>
          <w:sz w:val="24"/>
          <w:szCs w:val="24"/>
        </w:rPr>
        <w:t>如</w:t>
      </w:r>
      <w:r>
        <w:rPr>
          <w:rFonts w:hint="eastAsia"/>
          <w:color w:val="auto"/>
          <w:sz w:val="24"/>
          <w:szCs w:val="24"/>
        </w:rPr>
        <w:t>“基本技术要求”中列示有品牌</w:t>
      </w:r>
      <w:r>
        <w:rPr>
          <w:color w:val="auto"/>
          <w:sz w:val="24"/>
          <w:szCs w:val="24"/>
        </w:rPr>
        <w:t>、</w:t>
      </w:r>
      <w:r>
        <w:rPr>
          <w:rFonts w:hint="eastAsia"/>
          <w:color w:val="auto"/>
          <w:sz w:val="24"/>
          <w:szCs w:val="24"/>
        </w:rPr>
        <w:t>型号、生</w:t>
      </w:r>
      <w:r>
        <w:rPr>
          <w:color w:val="auto"/>
          <w:sz w:val="24"/>
          <w:szCs w:val="24"/>
        </w:rPr>
        <w:t>产供应商名称</w:t>
      </w:r>
      <w:r>
        <w:rPr>
          <w:rFonts w:hint="eastAsia"/>
          <w:color w:val="auto"/>
          <w:sz w:val="24"/>
          <w:szCs w:val="24"/>
        </w:rPr>
        <w:t>、</w:t>
      </w:r>
      <w:r>
        <w:rPr>
          <w:color w:val="auto"/>
          <w:sz w:val="24"/>
          <w:szCs w:val="24"/>
        </w:rPr>
        <w:t>专利、商标</w:t>
      </w:r>
      <w:r>
        <w:rPr>
          <w:rFonts w:hint="eastAsia"/>
          <w:color w:val="auto"/>
          <w:sz w:val="24"/>
          <w:szCs w:val="24"/>
        </w:rPr>
        <w:t>的</w:t>
      </w:r>
      <w:r>
        <w:rPr>
          <w:color w:val="auto"/>
          <w:sz w:val="24"/>
          <w:szCs w:val="24"/>
        </w:rPr>
        <w:t>，</w:t>
      </w:r>
      <w:r>
        <w:rPr>
          <w:rFonts w:hint="eastAsia"/>
          <w:color w:val="auto"/>
          <w:sz w:val="24"/>
          <w:szCs w:val="24"/>
        </w:rPr>
        <w:t>圴为“参</w:t>
      </w:r>
      <w:r>
        <w:rPr>
          <w:color w:val="auto"/>
          <w:sz w:val="24"/>
          <w:szCs w:val="24"/>
        </w:rPr>
        <w:t>照或相当于</w:t>
      </w:r>
      <w:r>
        <w:rPr>
          <w:rFonts w:hint="eastAsia"/>
          <w:color w:val="auto"/>
          <w:sz w:val="24"/>
          <w:szCs w:val="24"/>
        </w:rPr>
        <w:t>”的</w:t>
      </w:r>
      <w:r>
        <w:rPr>
          <w:color w:val="auto"/>
          <w:sz w:val="24"/>
          <w:szCs w:val="24"/>
        </w:rPr>
        <w:t>技术标准</w:t>
      </w:r>
      <w:r>
        <w:rPr>
          <w:rFonts w:hint="eastAsia"/>
          <w:color w:val="auto"/>
          <w:sz w:val="24"/>
          <w:szCs w:val="24"/>
        </w:rPr>
        <w:t>，投标人可提供等于或优于的其他产品（其他</w:t>
      </w:r>
      <w:r>
        <w:rPr>
          <w:color w:val="auto"/>
          <w:sz w:val="24"/>
          <w:szCs w:val="24"/>
        </w:rPr>
        <w:t>的</w:t>
      </w:r>
      <w:r>
        <w:rPr>
          <w:rFonts w:hint="eastAsia"/>
          <w:color w:val="auto"/>
          <w:sz w:val="24"/>
          <w:szCs w:val="24"/>
        </w:rPr>
        <w:t>品牌、型号、生产供应商、专利、商标</w:t>
      </w:r>
      <w:r>
        <w:rPr>
          <w:color w:val="auto"/>
          <w:sz w:val="24"/>
          <w:szCs w:val="24"/>
        </w:rPr>
        <w:t>）</w:t>
      </w:r>
      <w:r>
        <w:rPr>
          <w:rFonts w:hint="eastAsia"/>
          <w:color w:val="auto"/>
          <w:sz w:val="24"/>
          <w:szCs w:val="24"/>
        </w:rPr>
        <w:t>；投标人应提供相关证明材料（如权威评测资料、及印刷品产品说明书或印刷品图册等）以供谈判小组评审投标产品是否等于或优于“基本技术要求”、从而评定投标产品是否满足“基本技术要求”。</w:t>
      </w:r>
    </w:p>
    <w:p>
      <w:pPr>
        <w:widowControl w:val="0"/>
        <w:adjustRightInd w:val="0"/>
        <w:snapToGrid w:val="0"/>
        <w:spacing w:before="156" w:beforeLines="50" w:line="300" w:lineRule="auto"/>
        <w:ind w:firstLine="540"/>
        <w:rPr>
          <w:rFonts w:ascii="宋体" w:hAnsi="宋体"/>
          <w:color w:val="auto"/>
          <w:sz w:val="24"/>
          <w:szCs w:val="24"/>
        </w:rPr>
      </w:pPr>
      <w:r>
        <w:rPr>
          <w:rFonts w:hint="eastAsia"/>
          <w:color w:val="auto"/>
          <w:sz w:val="24"/>
          <w:szCs w:val="24"/>
        </w:rPr>
        <w:t>2.7.2★</w:t>
      </w:r>
      <w:r>
        <w:rPr>
          <w:rFonts w:hint="eastAsia" w:ascii="黑体" w:hAnsi="黑体" w:eastAsia="黑体"/>
          <w:b/>
          <w:color w:val="auto"/>
          <w:sz w:val="24"/>
          <w:szCs w:val="24"/>
        </w:rPr>
        <w:t>不</w:t>
      </w:r>
      <w:r>
        <w:rPr>
          <w:rFonts w:ascii="黑体" w:hAnsi="黑体" w:eastAsia="黑体"/>
          <w:b/>
          <w:color w:val="auto"/>
          <w:sz w:val="24"/>
          <w:szCs w:val="24"/>
        </w:rPr>
        <w:t>接受负</w:t>
      </w:r>
      <w:r>
        <w:rPr>
          <w:rFonts w:hint="eastAsia" w:ascii="黑体" w:hAnsi="黑体" w:eastAsia="黑体"/>
          <w:b/>
          <w:color w:val="auto"/>
          <w:sz w:val="24"/>
          <w:szCs w:val="24"/>
        </w:rPr>
        <w:t>偏差，低</w:t>
      </w:r>
      <w:r>
        <w:rPr>
          <w:rFonts w:ascii="黑体" w:hAnsi="黑体" w:eastAsia="黑体"/>
          <w:b/>
          <w:color w:val="auto"/>
          <w:sz w:val="24"/>
          <w:szCs w:val="24"/>
        </w:rPr>
        <w:t>于</w:t>
      </w:r>
      <w:r>
        <w:rPr>
          <w:rFonts w:hint="eastAsia" w:ascii="黑体" w:hAnsi="黑体" w:eastAsia="黑体"/>
          <w:b/>
          <w:color w:val="auto"/>
          <w:sz w:val="24"/>
          <w:szCs w:val="24"/>
        </w:rPr>
        <w:t>“基本技术要求”</w:t>
      </w:r>
      <w:r>
        <w:rPr>
          <w:rFonts w:ascii="黑体" w:hAnsi="黑体" w:eastAsia="黑体"/>
          <w:b/>
          <w:color w:val="auto"/>
          <w:sz w:val="24"/>
          <w:szCs w:val="24"/>
        </w:rPr>
        <w:t>的、为无效投标。</w:t>
      </w:r>
    </w:p>
    <w:p>
      <w:pPr>
        <w:widowControl w:val="0"/>
        <w:adjustRightInd w:val="0"/>
        <w:snapToGrid w:val="0"/>
        <w:spacing w:before="156" w:beforeLines="50" w:line="300" w:lineRule="auto"/>
        <w:ind w:left="22" w:firstLine="555"/>
        <w:jc w:val="left"/>
        <w:rPr>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3</w:t>
      </w:r>
      <w:r>
        <w:rPr>
          <w:rFonts w:ascii="宋体" w:hAnsi="宋体"/>
          <w:color w:val="auto"/>
          <w:sz w:val="24"/>
          <w:szCs w:val="24"/>
        </w:rPr>
        <w:t xml:space="preserve"> </w:t>
      </w:r>
      <w:r>
        <w:rPr>
          <w:rFonts w:hint="eastAsia" w:ascii="宋体" w:hAnsi="宋体"/>
          <w:color w:val="auto"/>
          <w:sz w:val="24"/>
          <w:szCs w:val="24"/>
        </w:rPr>
        <w:t>除谈判文件“基本技术要求”有明确说明外，投标人所投标的各项产品均应为该产品的标准</w:t>
      </w:r>
      <w:r>
        <w:rPr>
          <w:rFonts w:hint="eastAsia"/>
          <w:color w:val="auto"/>
          <w:sz w:val="24"/>
          <w:szCs w:val="24"/>
        </w:rPr>
        <w:t>配置、不应改变或调换厂家的出厂标准配置；如确因市场因素无法按上述规格产品进行投标，应提供优于“基本技术要求”的同类产品进行投标，投标人应提供印刷品产品说明书或印刷品图册等予以佐证（电子档）。</w:t>
      </w:r>
    </w:p>
    <w:p>
      <w:pPr>
        <w:widowControl w:val="0"/>
        <w:adjustRightInd w:val="0"/>
        <w:snapToGrid w:val="0"/>
        <w:spacing w:before="156" w:beforeLines="50" w:line="300" w:lineRule="auto"/>
        <w:ind w:firstLine="54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4 投标文件对技术偏差的描述要求：见第三章投标人须知</w:t>
      </w:r>
      <w:r>
        <w:rPr>
          <w:rFonts w:ascii="宋体" w:hAnsi="宋体"/>
          <w:color w:val="auto"/>
          <w:sz w:val="24"/>
          <w:szCs w:val="24"/>
        </w:rPr>
        <w:t>3.7.3</w:t>
      </w:r>
      <w:r>
        <w:rPr>
          <w:rFonts w:hint="eastAsia" w:ascii="宋体" w:hAnsi="宋体"/>
          <w:color w:val="auto"/>
          <w:sz w:val="24"/>
          <w:szCs w:val="24"/>
        </w:rPr>
        <w:t>项。</w:t>
      </w:r>
    </w:p>
    <w:p>
      <w:pPr>
        <w:widowControl w:val="0"/>
        <w:adjustRightInd w:val="0"/>
        <w:snapToGrid w:val="0"/>
        <w:spacing w:before="156" w:beforeLines="50" w:line="300" w:lineRule="auto"/>
        <w:ind w:firstLine="540"/>
        <w:rPr>
          <w:rFonts w:ascii="宋体" w:hAnsi="宋体"/>
          <w:color w:val="auto"/>
          <w:sz w:val="24"/>
          <w:szCs w:val="24"/>
        </w:rPr>
      </w:pPr>
    </w:p>
    <w:p>
      <w:pPr>
        <w:adjustRightInd w:val="0"/>
        <w:snapToGrid w:val="0"/>
        <w:spacing w:before="156" w:beforeLines="50" w:line="300" w:lineRule="auto"/>
        <w:ind w:firstLine="566" w:firstLineChars="235"/>
        <w:rPr>
          <w:rFonts w:ascii="黑体" w:hAnsi="黑体" w:eastAsia="黑体"/>
          <w:b/>
          <w:color w:val="auto"/>
          <w:sz w:val="24"/>
          <w:szCs w:val="24"/>
        </w:rPr>
      </w:pPr>
      <w:r>
        <w:rPr>
          <w:rFonts w:hint="eastAsia" w:ascii="黑体" w:hAnsi="黑体" w:eastAsia="黑体"/>
          <w:b/>
          <w:color w:val="auto"/>
          <w:sz w:val="24"/>
          <w:szCs w:val="24"/>
        </w:rPr>
        <w:t xml:space="preserve">2.8 </w:t>
      </w:r>
      <w:r>
        <w:rPr>
          <w:rFonts w:ascii="黑体" w:hAnsi="黑体" w:eastAsia="黑体"/>
          <w:b/>
          <w:color w:val="auto"/>
          <w:sz w:val="24"/>
          <w:szCs w:val="24"/>
        </w:rPr>
        <w:t xml:space="preserve"> </w:t>
      </w:r>
      <w:r>
        <w:rPr>
          <w:rFonts w:hint="eastAsia" w:ascii="黑体" w:hAnsi="黑体" w:eastAsia="黑体"/>
          <w:b/>
          <w:color w:val="auto"/>
          <w:sz w:val="24"/>
          <w:szCs w:val="24"/>
        </w:rPr>
        <w:t>售后服务的基本条款</w:t>
      </w:r>
    </w:p>
    <w:p>
      <w:pPr>
        <w:widowControl w:val="0"/>
        <w:adjustRightInd w:val="0"/>
        <w:snapToGrid w:val="0"/>
        <w:spacing w:before="156" w:beforeLines="50" w:line="300" w:lineRule="auto"/>
        <w:ind w:firstLine="538"/>
        <w:rPr>
          <w:rFonts w:ascii="宋体" w:hAnsi="宋体"/>
          <w:color w:val="auto"/>
          <w:sz w:val="24"/>
          <w:szCs w:val="24"/>
        </w:rPr>
      </w:pPr>
      <w:r>
        <w:rPr>
          <w:color w:val="auto"/>
          <w:sz w:val="24"/>
          <w:szCs w:val="24"/>
        </w:rPr>
        <w:t>2.</w:t>
      </w:r>
      <w:r>
        <w:rPr>
          <w:rFonts w:hint="eastAsia"/>
          <w:color w:val="auto"/>
          <w:sz w:val="24"/>
          <w:szCs w:val="24"/>
        </w:rPr>
        <w:t>8</w:t>
      </w:r>
      <w:r>
        <w:rPr>
          <w:color w:val="auto"/>
          <w:sz w:val="24"/>
          <w:szCs w:val="24"/>
        </w:rPr>
        <w:t>.1</w:t>
      </w:r>
      <w:r>
        <w:rPr>
          <w:rFonts w:hint="eastAsia" w:ascii="宋体" w:hAnsi="宋体"/>
          <w:color w:val="auto"/>
          <w:sz w:val="24"/>
          <w:szCs w:val="24"/>
        </w:rPr>
        <w:t>货物的保修除按国家有关规定、各产品生产厂家规定及项目特殊要求处理外，还应满足下述条款：</w:t>
      </w:r>
    </w:p>
    <w:p>
      <w:pPr>
        <w:widowControl w:val="0"/>
        <w:adjustRightInd w:val="0"/>
        <w:snapToGrid w:val="0"/>
        <w:spacing w:before="156" w:beforeLines="50" w:line="300" w:lineRule="auto"/>
        <w:ind w:firstLine="538"/>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谈判文件中未明确列明保修条款的产品，均需提供至少一年的免费保修；国家规定或产品生产厂家规定大于一年的，按国家规定与厂家规定最有利于采购人原则执行；谈判文件已明确列明大于一年保修的，按该条款及其响应执行，并终身维护；</w:t>
      </w:r>
    </w:p>
    <w:p>
      <w:pPr>
        <w:widowControl w:val="0"/>
        <w:adjustRightInd w:val="0"/>
        <w:snapToGrid w:val="0"/>
        <w:spacing w:before="156" w:beforeLines="50" w:line="300" w:lineRule="auto"/>
        <w:ind w:left="22" w:firstLine="538"/>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）保修期内货物发生故障系货物出现质量问题，必须无偿更换；</w:t>
      </w:r>
    </w:p>
    <w:p>
      <w:pPr>
        <w:widowControl w:val="0"/>
        <w:adjustRightInd w:val="0"/>
        <w:snapToGrid w:val="0"/>
        <w:spacing w:before="156" w:beforeLines="50" w:line="300" w:lineRule="auto"/>
        <w:ind w:firstLine="538"/>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）货物超过保修期发生故障，采购人可自由选择维修单位，如委托给成交供应商，成交供应商不得借故推诿，且维修费优于市场价格；</w:t>
      </w:r>
    </w:p>
    <w:p>
      <w:pPr>
        <w:widowControl w:val="0"/>
        <w:adjustRightInd w:val="0"/>
        <w:snapToGrid w:val="0"/>
        <w:spacing w:before="156" w:beforeLines="50" w:line="300" w:lineRule="auto"/>
        <w:ind w:firstLine="538"/>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）如货物发生故障，接到通知后需尽快做出响应，并在</w:t>
      </w:r>
      <w:r>
        <w:rPr>
          <w:rFonts w:ascii="宋体" w:hAnsi="宋体"/>
          <w:color w:val="auto"/>
          <w:sz w:val="24"/>
          <w:szCs w:val="24"/>
        </w:rPr>
        <w:t>24</w:t>
      </w:r>
      <w:r>
        <w:rPr>
          <w:rFonts w:hint="eastAsia" w:ascii="宋体" w:hAnsi="宋体"/>
          <w:color w:val="auto"/>
          <w:sz w:val="24"/>
          <w:szCs w:val="24"/>
        </w:rPr>
        <w:t>小时内及时赶到现场，负责故障原因的诊断，尽快排除故障。</w:t>
      </w:r>
    </w:p>
    <w:p>
      <w:pPr>
        <w:widowControl w:val="0"/>
        <w:adjustRightInd w:val="0"/>
        <w:snapToGrid w:val="0"/>
        <w:spacing w:before="156" w:beforeLines="50" w:line="300" w:lineRule="auto"/>
        <w:ind w:firstLine="538"/>
        <w:rPr>
          <w:rFonts w:ascii="宋体" w:hAnsi="宋体"/>
          <w:color w:val="auto"/>
          <w:sz w:val="24"/>
          <w:szCs w:val="24"/>
        </w:rPr>
      </w:pPr>
      <w:r>
        <w:rPr>
          <w:color w:val="auto"/>
          <w:sz w:val="24"/>
          <w:szCs w:val="24"/>
        </w:rPr>
        <w:t>2.</w:t>
      </w:r>
      <w:r>
        <w:rPr>
          <w:rFonts w:hint="eastAsia"/>
          <w:color w:val="auto"/>
          <w:sz w:val="24"/>
          <w:szCs w:val="24"/>
        </w:rPr>
        <w:t>8</w:t>
      </w:r>
      <w:r>
        <w:rPr>
          <w:color w:val="auto"/>
          <w:sz w:val="24"/>
          <w:szCs w:val="24"/>
        </w:rPr>
        <w:t>.</w:t>
      </w:r>
      <w:r>
        <w:rPr>
          <w:rFonts w:ascii="宋体" w:hAnsi="宋体"/>
          <w:color w:val="auto"/>
          <w:sz w:val="24"/>
          <w:szCs w:val="24"/>
        </w:rPr>
        <w:t xml:space="preserve">2 </w:t>
      </w:r>
      <w:r>
        <w:rPr>
          <w:rFonts w:hint="eastAsia" w:ascii="宋体" w:hAnsi="宋体"/>
          <w:color w:val="auto"/>
          <w:sz w:val="24"/>
          <w:szCs w:val="24"/>
        </w:rPr>
        <w:t>在成交供应商</w:t>
      </w:r>
      <w:r>
        <w:rPr>
          <w:rFonts w:hint="eastAsia"/>
          <w:color w:val="auto"/>
          <w:sz w:val="24"/>
          <w:szCs w:val="24"/>
        </w:rPr>
        <w:t>未按照合同规定的地点交验前，货物毁坏或灭失，</w:t>
      </w:r>
      <w:r>
        <w:rPr>
          <w:rFonts w:hint="eastAsia" w:ascii="宋体" w:hAnsi="宋体"/>
          <w:color w:val="auto"/>
          <w:sz w:val="24"/>
          <w:szCs w:val="24"/>
        </w:rPr>
        <w:t>由成交供应商承担责任。</w:t>
      </w:r>
    </w:p>
    <w:p>
      <w:pPr>
        <w:widowControl w:val="0"/>
        <w:adjustRightInd w:val="0"/>
        <w:snapToGrid w:val="0"/>
        <w:spacing w:before="156" w:beforeLines="50" w:line="300" w:lineRule="auto"/>
        <w:ind w:firstLine="538"/>
        <w:rPr>
          <w:color w:val="auto"/>
        </w:rPr>
      </w:pPr>
      <w:r>
        <w:rPr>
          <w:color w:val="auto"/>
          <w:sz w:val="24"/>
          <w:szCs w:val="24"/>
        </w:rPr>
        <w:t>2.</w:t>
      </w:r>
      <w:r>
        <w:rPr>
          <w:rFonts w:hint="eastAsia"/>
          <w:color w:val="auto"/>
          <w:sz w:val="24"/>
          <w:szCs w:val="24"/>
        </w:rPr>
        <w:t>8</w:t>
      </w:r>
      <w:r>
        <w:rPr>
          <w:color w:val="auto"/>
          <w:sz w:val="24"/>
          <w:szCs w:val="24"/>
        </w:rPr>
        <w:t>.</w:t>
      </w:r>
      <w:r>
        <w:rPr>
          <w:rFonts w:ascii="宋体" w:hAnsi="宋体"/>
          <w:color w:val="auto"/>
          <w:sz w:val="24"/>
          <w:szCs w:val="24"/>
        </w:rPr>
        <w:t>3</w:t>
      </w:r>
      <w:r>
        <w:rPr>
          <w:rFonts w:hint="eastAsia" w:ascii="宋体" w:hAnsi="宋体"/>
          <w:color w:val="auto"/>
          <w:sz w:val="24"/>
          <w:szCs w:val="24"/>
        </w:rPr>
        <w:t>投标人需提供详尽的售后服务承诺；如由产品生产厂家提供相关售后服务的，投标人负有连带售后服</w:t>
      </w:r>
      <w:r>
        <w:rPr>
          <w:rFonts w:hint="eastAsia"/>
          <w:color w:val="auto"/>
          <w:sz w:val="24"/>
          <w:szCs w:val="24"/>
        </w:rPr>
        <w:t>务责任。</w:t>
      </w:r>
    </w:p>
    <w:p>
      <w:pPr>
        <w:adjustRightInd w:val="0"/>
        <w:snapToGrid w:val="0"/>
        <w:spacing w:before="156" w:beforeLines="50" w:line="300" w:lineRule="auto"/>
        <w:ind w:firstLine="562" w:firstLineChars="200"/>
        <w:rPr>
          <w:rFonts w:ascii="仿宋_GB2312" w:eastAsia="仿宋_GB2312"/>
          <w:b/>
          <w:color w:val="auto"/>
          <w:sz w:val="28"/>
          <w:szCs w:val="28"/>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2.9.1保险（如需）：</w:t>
      </w:r>
    </w:p>
    <w:p>
      <w:pPr>
        <w:adjustRightInd w:val="0"/>
        <w:snapToGrid w:val="0"/>
        <w:spacing w:line="300" w:lineRule="auto"/>
        <w:ind w:firstLine="564" w:firstLineChars="235"/>
        <w:jc w:val="left"/>
        <w:rPr>
          <w:color w:val="auto"/>
          <w:sz w:val="24"/>
          <w:szCs w:val="24"/>
        </w:rPr>
      </w:pPr>
      <w:r>
        <w:rPr>
          <w:rFonts w:hint="eastAsia"/>
          <w:color w:val="auto"/>
          <w:sz w:val="24"/>
          <w:szCs w:val="24"/>
        </w:rPr>
        <w:t>投标人应遵循国家相关保险的规定，依法办理采购需求范围内的相关法定保险，相关保险费用及相应责任由成交供应商承担。</w:t>
      </w:r>
    </w:p>
    <w:p>
      <w:pPr>
        <w:adjustRightInd w:val="0"/>
        <w:snapToGrid w:val="0"/>
        <w:spacing w:line="300" w:lineRule="auto"/>
        <w:ind w:firstLine="564" w:firstLineChars="235"/>
        <w:jc w:val="left"/>
        <w:rPr>
          <w:color w:val="auto"/>
          <w:sz w:val="24"/>
          <w:szCs w:val="24"/>
        </w:rPr>
      </w:pPr>
      <w:r>
        <w:rPr>
          <w:rFonts w:hint="eastAsia"/>
          <w:color w:val="auto"/>
          <w:sz w:val="24"/>
          <w:szCs w:val="24"/>
        </w:rPr>
        <w:t>在成交供应商未按照合同规定的地点交验前，货物毁坏或灭失，人身、安全责任，均由成交供应商承担责任。投标人可以按照最有利于项目风险控制的原则，为项目办理货物、人身及第三方公众责任险。</w:t>
      </w:r>
    </w:p>
    <w:p>
      <w:pPr>
        <w:adjustRightInd w:val="0"/>
        <w:snapToGrid w:val="0"/>
        <w:spacing w:line="300" w:lineRule="auto"/>
        <w:ind w:firstLine="564" w:firstLineChars="235"/>
        <w:jc w:val="left"/>
        <w:rPr>
          <w:color w:val="auto"/>
          <w:sz w:val="24"/>
          <w:szCs w:val="24"/>
        </w:rPr>
      </w:pPr>
      <w:r>
        <w:rPr>
          <w:rFonts w:hint="eastAsia"/>
          <w:color w:val="auto"/>
          <w:sz w:val="24"/>
          <w:szCs w:val="24"/>
        </w:rPr>
        <w:t>2.9.2货物包装：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成交供应商负责按国家相关标准进行货物包装，设备的包装均应有良好的防湿、防锈、防潮、防雨、防腐及防碰撞的措施，凡由于包装不良造成的损失和由此产生的费用均由成交供应商承担。</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10采购标的的验收标准</w:t>
      </w:r>
    </w:p>
    <w:p>
      <w:pPr>
        <w:adjustRightInd w:val="0"/>
        <w:snapToGrid w:val="0"/>
        <w:spacing w:line="300" w:lineRule="auto"/>
        <w:ind w:firstLine="564" w:firstLineChars="235"/>
        <w:jc w:val="left"/>
        <w:rPr>
          <w:rFonts w:ascii="宋体" w:hAns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before="156"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pPr>
        <w:adjustRightInd w:val="0"/>
        <w:snapToGrid w:val="0"/>
        <w:spacing w:before="156" w:beforeLines="50" w:line="300" w:lineRule="auto"/>
        <w:ind w:firstLine="480" w:firstLineChars="200"/>
        <w:rPr>
          <w:color w:val="auto"/>
          <w:sz w:val="24"/>
          <w:szCs w:val="24"/>
        </w:rPr>
      </w:pPr>
      <w:r>
        <w:rPr>
          <w:rFonts w:hint="eastAsia"/>
          <w:color w:val="auto"/>
          <w:sz w:val="24"/>
          <w:szCs w:val="24"/>
        </w:rPr>
        <w:t xml:space="preserve"> 无</w:t>
      </w:r>
    </w:p>
    <w:p>
      <w:pPr>
        <w:adjustRightInd w:val="0"/>
        <w:snapToGrid w:val="0"/>
        <w:spacing w:before="156" w:beforeLines="50" w:line="300" w:lineRule="auto"/>
        <w:ind w:firstLine="480" w:firstLineChars="200"/>
        <w:rPr>
          <w:color w:val="auto"/>
          <w:sz w:val="24"/>
          <w:szCs w:val="24"/>
        </w:rPr>
      </w:pPr>
    </w:p>
    <w:p>
      <w:pPr>
        <w:adjustRightInd w:val="0"/>
        <w:snapToGrid w:val="0"/>
        <w:spacing w:before="156" w:beforeLines="50" w:line="300" w:lineRule="auto"/>
        <w:ind w:firstLine="562" w:firstLineChars="200"/>
        <w:outlineLvl w:val="1"/>
        <w:rPr>
          <w:rFonts w:ascii="黑体" w:hAnsi="黑体" w:eastAsia="黑体"/>
          <w:b/>
          <w:color w:val="auto"/>
          <w:sz w:val="28"/>
        </w:rPr>
      </w:pPr>
      <w:bookmarkStart w:id="16" w:name="_Toc150758828"/>
      <w:bookmarkStart w:id="17" w:name="_Toc65574702"/>
      <w:r>
        <w:rPr>
          <w:rFonts w:ascii="黑体" w:hAnsi="黑体" w:eastAsia="黑体"/>
          <w:b/>
          <w:color w:val="auto"/>
          <w:sz w:val="28"/>
        </w:rPr>
        <w:t xml:space="preserve">3. </w:t>
      </w:r>
      <w:r>
        <w:rPr>
          <w:rFonts w:hint="eastAsia" w:ascii="黑体" w:hAnsi="黑体" w:eastAsia="黑体"/>
          <w:b/>
          <w:color w:val="auto"/>
          <w:sz w:val="28"/>
        </w:rPr>
        <w:t>项目其他要求</w:t>
      </w:r>
      <w:bookmarkEnd w:id="16"/>
      <w:bookmarkEnd w:id="17"/>
    </w:p>
    <w:p>
      <w:pPr>
        <w:adjustRightInd w:val="0"/>
        <w:snapToGrid w:val="0"/>
        <w:spacing w:before="156" w:beforeLines="50" w:line="300" w:lineRule="auto"/>
        <w:ind w:firstLine="482" w:firstLineChars="200"/>
        <w:rPr>
          <w:rFonts w:ascii="黑体" w:hAnsi="黑体" w:eastAsia="黑体"/>
          <w:b/>
          <w:color w:val="auto"/>
          <w:sz w:val="24"/>
          <w:szCs w:val="24"/>
        </w:rPr>
      </w:pPr>
      <w:r>
        <w:rPr>
          <w:rFonts w:hint="eastAsia" w:ascii="黑体" w:hAnsi="黑体" w:eastAsia="黑体"/>
          <w:b/>
          <w:color w:val="auto"/>
          <w:sz w:val="24"/>
          <w:szCs w:val="24"/>
        </w:rPr>
        <w:t>无</w:t>
      </w:r>
    </w:p>
    <w:p>
      <w:pPr>
        <w:spacing w:line="360" w:lineRule="auto"/>
        <w:ind w:right="238"/>
        <w:jc w:val="center"/>
        <w:outlineLvl w:val="0"/>
        <w:rPr>
          <w:rFonts w:eastAsia="黑体"/>
          <w:b/>
          <w:color w:val="auto"/>
          <w:sz w:val="36"/>
          <w:szCs w:val="36"/>
        </w:rPr>
      </w:pPr>
      <w:r>
        <w:rPr>
          <w:rFonts w:hint="eastAsia" w:eastAsia="黑体"/>
          <w:b/>
          <w:color w:val="auto"/>
          <w:sz w:val="36"/>
          <w:szCs w:val="36"/>
        </w:rPr>
        <w:br w:type="page"/>
      </w:r>
    </w:p>
    <w:p>
      <w:pPr>
        <w:spacing w:line="360" w:lineRule="auto"/>
        <w:ind w:right="238"/>
        <w:jc w:val="center"/>
        <w:outlineLvl w:val="0"/>
        <w:rPr>
          <w:rFonts w:eastAsia="黑体"/>
          <w:b/>
          <w:color w:val="auto"/>
          <w:sz w:val="36"/>
          <w:szCs w:val="36"/>
        </w:rPr>
      </w:pPr>
      <w:bookmarkStart w:id="18" w:name="_Toc150758829"/>
      <w:r>
        <w:rPr>
          <w:rFonts w:hint="eastAsia" w:eastAsia="黑体"/>
          <w:b/>
          <w:color w:val="auto"/>
          <w:sz w:val="36"/>
          <w:szCs w:val="36"/>
        </w:rPr>
        <w:t>第三章 投标人须知</w:t>
      </w:r>
      <w:bookmarkEnd w:id="18"/>
    </w:p>
    <w:p>
      <w:pPr>
        <w:spacing w:line="360" w:lineRule="auto"/>
        <w:ind w:right="238"/>
        <w:jc w:val="left"/>
        <w:outlineLvl w:val="1"/>
        <w:rPr>
          <w:rFonts w:eastAsia="黑体"/>
          <w:b/>
          <w:color w:val="auto"/>
          <w:sz w:val="28"/>
          <w:szCs w:val="28"/>
        </w:rPr>
      </w:pPr>
      <w:bookmarkStart w:id="19" w:name="_Toc150758830"/>
      <w:r>
        <w:rPr>
          <w:rFonts w:hint="eastAsia" w:eastAsia="黑体"/>
          <w:b/>
          <w:color w:val="auto"/>
          <w:sz w:val="28"/>
          <w:szCs w:val="28"/>
        </w:rPr>
        <w:t>投标人须知前附表</w:t>
      </w:r>
      <w:bookmarkEnd w:id="19"/>
    </w:p>
    <w:tbl>
      <w:tblPr>
        <w:tblStyle w:val="16"/>
        <w:tblW w:w="9755" w:type="dxa"/>
        <w:jc w:val="center"/>
        <w:tblLayout w:type="fixed"/>
        <w:tblCellMar>
          <w:top w:w="0" w:type="dxa"/>
          <w:left w:w="108" w:type="dxa"/>
          <w:bottom w:w="0" w:type="dxa"/>
          <w:right w:w="108" w:type="dxa"/>
        </w:tblCellMar>
      </w:tblPr>
      <w:tblGrid>
        <w:gridCol w:w="608"/>
        <w:gridCol w:w="694"/>
        <w:gridCol w:w="1874"/>
        <w:gridCol w:w="6579"/>
      </w:tblGrid>
      <w:tr>
        <w:tblPrEx>
          <w:tblCellMar>
            <w:top w:w="0" w:type="dxa"/>
            <w:left w:w="108" w:type="dxa"/>
            <w:bottom w:w="0" w:type="dxa"/>
            <w:right w:w="108" w:type="dxa"/>
          </w:tblCellMar>
        </w:tblPrEx>
        <w:trPr>
          <w:trHeight w:val="571" w:hRule="atLeast"/>
          <w:jc w:val="center"/>
        </w:trPr>
        <w:tc>
          <w:tcPr>
            <w:tcW w:w="608"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ind w:right="-126" w:rightChars="-60"/>
              <w:rPr>
                <w:rFonts w:ascii="宋体" w:cs="楷体_GB2312"/>
                <w:b/>
                <w:bCs/>
                <w:color w:val="auto"/>
                <w:sz w:val="24"/>
                <w:lang w:val="zh-CN"/>
              </w:rPr>
            </w:pPr>
            <w:r>
              <w:rPr>
                <w:rFonts w:hint="eastAsia" w:ascii="宋体" w:hAnsi="宋体" w:cs="楷体_GB2312"/>
                <w:b/>
                <w:bCs/>
                <w:color w:val="auto"/>
                <w:sz w:val="24"/>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CellMar>
            <w:top w:w="0" w:type="dxa"/>
            <w:left w:w="108" w:type="dxa"/>
            <w:bottom w:w="0" w:type="dxa"/>
            <w:right w:w="108" w:type="dxa"/>
          </w:tblCellMar>
        </w:tblPrEx>
        <w:trPr>
          <w:trHeight w:val="649" w:hRule="atLeast"/>
          <w:jc w:val="center"/>
        </w:trPr>
        <w:tc>
          <w:tcPr>
            <w:tcW w:w="6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531" w:hRule="atLeast"/>
          <w:jc w:val="center"/>
        </w:trPr>
        <w:tc>
          <w:tcPr>
            <w:tcW w:w="6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567" w:hRule="atLeast"/>
          <w:jc w:val="center"/>
        </w:trPr>
        <w:tc>
          <w:tcPr>
            <w:tcW w:w="6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37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r>
              <w:rPr>
                <w:rFonts w:hint="eastAsia" w:ascii="宋体" w:hAnsi="宋体" w:cs="楷体_GB2312"/>
                <w:b/>
                <w:color w:val="auto"/>
                <w:sz w:val="24"/>
                <w:lang w:val="zh-CN"/>
              </w:rPr>
              <w:t>注：投标人的投标报价未超过预算金额的不足三家时，该项目（标段&lt;包&gt;）终止。</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90" w:hRule="atLeast"/>
          <w:jc w:val="center"/>
        </w:trPr>
        <w:tc>
          <w:tcPr>
            <w:tcW w:w="6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交验</w:t>
            </w:r>
            <w:r>
              <w:rPr>
                <w:rFonts w:hint="eastAsia" w:ascii="宋体" w:hAnsi="宋体" w:cs="楷体_GB2312"/>
                <w:b/>
                <w:bCs/>
                <w:color w:val="auto"/>
                <w:sz w:val="24"/>
                <w:lang w:val="zh-CN"/>
              </w:rPr>
              <w:t>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交验地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标段（包）内容（范围）及基本技术要求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7</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03"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2.8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见“第二章</w:t>
            </w:r>
            <w:r>
              <w:rPr>
                <w:rFonts w:ascii="宋体" w:hAnsi="宋体" w:cs="楷体_GB2312"/>
                <w:color w:val="auto"/>
                <w:sz w:val="24"/>
                <w:lang w:val="zh-CN"/>
              </w:rPr>
              <w:t xml:space="preserve"> </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66" w:hRule="atLeast"/>
          <w:jc w:val="center"/>
        </w:trPr>
        <w:tc>
          <w:tcPr>
            <w:tcW w:w="6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 xml:space="preserve">不允许  </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构成谈判文件的其他材料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604"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日前</w:t>
            </w:r>
            <w:r>
              <w:rPr>
                <w:rFonts w:ascii="宋体" w:cs="楷体_GB2312"/>
                <w:color w:val="auto"/>
                <w:sz w:val="24"/>
                <w:lang w:val="zh-CN"/>
              </w:rPr>
              <w:t xml:space="preserve"> </w:t>
            </w:r>
          </w:p>
        </w:tc>
      </w:tr>
      <w:tr>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谈判文件澄清修改补充时间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3</w:t>
            </w:r>
            <w:r>
              <w:rPr>
                <w:rFonts w:hint="eastAsia" w:ascii="宋体" w:hAnsi="宋体" w:cs="楷体_GB2312"/>
                <w:color w:val="auto"/>
                <w:sz w:val="24"/>
              </w:rPr>
              <w:t>个工作</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谈判文件的澄清修改补充告知方式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35"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64" w:hRule="atLeast"/>
          <w:jc w:val="center"/>
        </w:trPr>
        <w:tc>
          <w:tcPr>
            <w:tcW w:w="6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CellMar>
            <w:top w:w="0" w:type="dxa"/>
            <w:left w:w="108" w:type="dxa"/>
            <w:bottom w:w="0" w:type="dxa"/>
            <w:right w:w="108" w:type="dxa"/>
          </w:tblCellMar>
        </w:tblPrEx>
        <w:trPr>
          <w:trHeight w:val="694"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1874" w:type="dxa"/>
            <w:tcBorders>
              <w:top w:val="single" w:color="auto" w:sz="6" w:space="0"/>
              <w:left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w:t>
            </w:r>
          </w:p>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（替代投标保证金）</w:t>
            </w:r>
          </w:p>
        </w:tc>
        <w:tc>
          <w:tcPr>
            <w:tcW w:w="6579" w:type="dxa"/>
            <w:tcBorders>
              <w:top w:val="single" w:color="auto" w:sz="6" w:space="0"/>
              <w:left w:val="single" w:color="auto" w:sz="6" w:space="0"/>
              <w:right w:val="single" w:color="auto" w:sz="12" w:space="0"/>
            </w:tcBorders>
            <w:vAlign w:val="center"/>
          </w:tcPr>
          <w:p>
            <w:pPr>
              <w:widowControl w:val="0"/>
              <w:snapToGrid w:val="0"/>
              <w:spacing w:before="156" w:beforeLines="50" w:line="240" w:lineRule="auto"/>
              <w:rPr>
                <w:color w:val="auto"/>
                <w:sz w:val="24"/>
                <w:szCs w:val="24"/>
              </w:rPr>
            </w:pPr>
            <w:r>
              <w:rPr>
                <w:rFonts w:hint="eastAsia"/>
                <w:color w:val="auto"/>
                <w:sz w:val="24"/>
                <w:szCs w:val="24"/>
              </w:rPr>
              <w:t>以投标承诺函形式替代投标保证金。</w:t>
            </w:r>
          </w:p>
          <w:p>
            <w:pPr>
              <w:widowControl w:val="0"/>
              <w:snapToGrid w:val="0"/>
              <w:spacing w:before="156" w:beforeLines="50" w:line="240" w:lineRule="auto"/>
              <w:rPr>
                <w:rFonts w:cs="楷体_GB2312"/>
                <w:b/>
                <w:color w:val="auto"/>
                <w:sz w:val="24"/>
                <w:lang w:val="zh-CN"/>
              </w:rPr>
            </w:pPr>
            <w:r>
              <w:rPr>
                <w:rFonts w:hint="eastAsia"/>
                <w:color w:val="auto"/>
                <w:sz w:val="24"/>
                <w:szCs w:val="24"/>
              </w:rPr>
              <w:t>供应商应按附件格式进行投标承诺、违背承诺的责任追究。</w:t>
            </w:r>
          </w:p>
        </w:tc>
      </w:tr>
      <w:tr>
        <w:tblPrEx>
          <w:tblCellMar>
            <w:top w:w="0" w:type="dxa"/>
            <w:left w:w="108" w:type="dxa"/>
            <w:bottom w:w="0" w:type="dxa"/>
            <w:right w:w="108" w:type="dxa"/>
          </w:tblCellMar>
        </w:tblPrEx>
        <w:trPr>
          <w:trHeight w:val="57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65"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34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tblPrEx>
          <w:tblCellMar>
            <w:top w:w="0" w:type="dxa"/>
            <w:left w:w="108" w:type="dxa"/>
            <w:bottom w:w="0" w:type="dxa"/>
            <w:right w:w="108" w:type="dxa"/>
          </w:tblCellMar>
        </w:tblPrEx>
        <w:trPr>
          <w:trHeight w:val="507"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谈判小组的组建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43" w:hRule="atLeast"/>
          <w:jc w:val="center"/>
        </w:trPr>
        <w:tc>
          <w:tcPr>
            <w:tcW w:w="6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是否授权谈判小组确定成交供应商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rPr>
            </w:pPr>
            <w:r>
              <w:rPr>
                <w:rFonts w:hint="eastAsia" w:ascii="宋体" w:hAnsi="宋体"/>
                <w:color w:val="auto"/>
                <w:sz w:val="24"/>
              </w:rPr>
              <w:t>是。谈判小组按照最后报价由低到高的顺序提出</w:t>
            </w:r>
            <w:r>
              <w:rPr>
                <w:rFonts w:ascii="宋体" w:hAnsi="宋体"/>
                <w:color w:val="auto"/>
                <w:sz w:val="24"/>
              </w:rPr>
              <w:t>3</w:t>
            </w:r>
            <w:r>
              <w:rPr>
                <w:rFonts w:hint="eastAsia" w:ascii="宋体" w:hAnsi="宋体"/>
                <w:color w:val="auto"/>
                <w:sz w:val="24"/>
              </w:rPr>
              <w:t>名成交候选人，并确定排名第一的成交候选人为成交供应商。</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rPr>
            </w:pPr>
            <w:r>
              <w:rPr>
                <w:rFonts w:hint="eastAsia" w:ascii="宋体" w:hAnsi="宋体"/>
                <w:color w:val="auto"/>
                <w:sz w:val="24"/>
              </w:rPr>
              <w:t>本次竞争性谈判的成交结果将在成交供应商确定当天在谈判公告所述媒介公告</w:t>
            </w:r>
            <w:r>
              <w:rPr>
                <w:rFonts w:ascii="宋体" w:hAnsi="宋体"/>
                <w:color w:val="auto"/>
                <w:sz w:val="24"/>
              </w:rPr>
              <w:t>1</w:t>
            </w:r>
            <w:r>
              <w:rPr>
                <w:rFonts w:hint="eastAsia" w:ascii="宋体" w:hAnsi="宋体"/>
                <w:color w:val="auto"/>
                <w:sz w:val="24"/>
              </w:rPr>
              <w:t>个工作日。</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采购代理机构在成交供应商确定</w:t>
            </w:r>
            <w:r>
              <w:rPr>
                <w:rFonts w:hint="eastAsia" w:ascii="宋体" w:hAnsi="宋体" w:cs="楷体_GB2312"/>
                <w:color w:val="auto"/>
                <w:sz w:val="24"/>
              </w:rPr>
              <w:t>当天</w:t>
            </w:r>
            <w:r>
              <w:rPr>
                <w:rFonts w:hint="eastAsia" w:ascii="宋体" w:hAnsi="宋体" w:cs="楷体_GB2312"/>
                <w:color w:val="auto"/>
                <w:sz w:val="24"/>
                <w:lang w:val="zh-CN"/>
              </w:rPr>
              <w:t>向成交供应商发出成交通知书。</w:t>
            </w:r>
          </w:p>
        </w:tc>
      </w:tr>
      <w:tr>
        <w:tblPrEx>
          <w:tblCellMar>
            <w:top w:w="0" w:type="dxa"/>
            <w:left w:w="108" w:type="dxa"/>
            <w:bottom w:w="0" w:type="dxa"/>
            <w:right w:w="108" w:type="dxa"/>
          </w:tblCellMar>
        </w:tblPrEx>
        <w:trPr>
          <w:trHeight w:val="453" w:hRule="atLeast"/>
          <w:jc w:val="center"/>
        </w:trPr>
        <w:tc>
          <w:tcPr>
            <w:tcW w:w="6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rPr>
            </w:pPr>
            <w:r>
              <w:rPr>
                <w:rFonts w:hint="eastAsia"/>
                <w:color w:val="auto"/>
                <w:sz w:val="24"/>
                <w:szCs w:val="24"/>
              </w:rPr>
              <w:t>不需缴纳</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rPr>
            </w:pPr>
            <w:r>
              <w:rPr>
                <w:rFonts w:hint="eastAsia"/>
                <w:color w:val="auto"/>
                <w:sz w:val="24"/>
                <w:szCs w:val="24"/>
              </w:rPr>
              <w:t>见“第三章投标人须知”相应条款</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156" w:beforeLines="50" w:line="240" w:lineRule="auto"/>
              <w:ind w:firstLine="480" w:firstLineChars="200"/>
              <w:rPr>
                <w:color w:val="auto"/>
                <w:sz w:val="24"/>
                <w:szCs w:val="24"/>
              </w:rPr>
            </w:pPr>
            <w:bookmarkStart w:id="20" w:name="OLE_LINK11"/>
            <w:r>
              <w:rPr>
                <w:rFonts w:hint="eastAsia"/>
                <w:color w:val="auto"/>
                <w:sz w:val="24"/>
                <w:szCs w:val="24"/>
              </w:rPr>
              <w:t>为优化政府采购营商环境，根据安财购﹝2019﹞8号文件落实政府采购预付款的规定，采购人可在政府采购合同履约前向成交供应商预付30%的合同资金，成交供应商应向采购人提交预付款保函，未提供保函的，视同其放弃项目预付款的支付。</w:t>
            </w:r>
          </w:p>
          <w:p>
            <w:pPr>
              <w:snapToGrid w:val="0"/>
              <w:spacing w:before="156" w:beforeLines="50" w:line="240" w:lineRule="auto"/>
              <w:ind w:firstLine="480" w:firstLineChars="200"/>
              <w:rPr>
                <w:color w:val="auto"/>
                <w:sz w:val="24"/>
                <w:szCs w:val="24"/>
              </w:rPr>
            </w:pPr>
            <w:r>
              <w:rPr>
                <w:rFonts w:hint="eastAsia"/>
                <w:color w:val="auto"/>
                <w:sz w:val="24"/>
                <w:szCs w:val="24"/>
              </w:rPr>
              <w:t>为进一步优化营商环境，根据安财购﹝</w:t>
            </w:r>
            <w:r>
              <w:rPr>
                <w:color w:val="auto"/>
                <w:sz w:val="24"/>
                <w:szCs w:val="24"/>
              </w:rPr>
              <w:t>2022</w:t>
            </w:r>
            <w:r>
              <w:rPr>
                <w:rFonts w:hint="eastAsia"/>
                <w:color w:val="auto"/>
                <w:sz w:val="24"/>
                <w:szCs w:val="24"/>
              </w:rPr>
              <w:t>﹞</w:t>
            </w:r>
            <w:r>
              <w:rPr>
                <w:color w:val="auto"/>
                <w:sz w:val="24"/>
                <w:szCs w:val="24"/>
              </w:rPr>
              <w:t>8</w:t>
            </w:r>
            <w:r>
              <w:rPr>
                <w:rFonts w:hint="eastAsia"/>
                <w:color w:val="auto"/>
                <w:sz w:val="24"/>
                <w:szCs w:val="24"/>
              </w:rPr>
              <w:t>号文件落实政府采购中小企业预付款的规定，采购人可在政府采购合同签订后，向成交供应商原则上预付不低于合同金额</w:t>
            </w:r>
            <w:r>
              <w:rPr>
                <w:color w:val="auto"/>
                <w:sz w:val="24"/>
                <w:szCs w:val="24"/>
              </w:rPr>
              <w:t>50%</w:t>
            </w:r>
            <w:r>
              <w:rPr>
                <w:rFonts w:hint="eastAsia"/>
                <w:color w:val="auto"/>
                <w:sz w:val="24"/>
                <w:szCs w:val="24"/>
              </w:rPr>
              <w:t>的预付款，成交供应商应向采购人提交预付款保函，未提供保函的，视同其放弃项目预付款的支付。</w:t>
            </w:r>
          </w:p>
          <w:p>
            <w:pPr>
              <w:snapToGrid w:val="0"/>
              <w:spacing w:before="156" w:beforeLines="50" w:line="240" w:lineRule="auto"/>
              <w:ind w:firstLine="480" w:firstLineChars="200"/>
              <w:rPr>
                <w:rFonts w:ascii="宋体" w:cs="楷体_GB2312"/>
                <w:color w:val="auto"/>
                <w:sz w:val="24"/>
                <w:lang w:val="zh-CN"/>
              </w:rPr>
            </w:pPr>
            <w:r>
              <w:rPr>
                <w:rFonts w:hint="eastAsia"/>
                <w:color w:val="auto"/>
                <w:sz w:val="24"/>
                <w:szCs w:val="24"/>
              </w:rPr>
              <w:t>项目完成后，采购人需持从“安阳市政府采购网”登录系统下载本项目带水印的《安阳市市直政府采购资金申请表》和《安阳市市直政府采购申报表》，以及《政府采购验收报告》和发票等，作为付款依据，报安阳市财政国库支付中心审核确认后一次无息付清剩余项目款。</w:t>
            </w:r>
            <w:bookmarkEnd w:id="20"/>
          </w:p>
        </w:tc>
      </w:tr>
      <w:tr>
        <w:tblPrEx>
          <w:tblCellMar>
            <w:top w:w="0" w:type="dxa"/>
            <w:left w:w="108" w:type="dxa"/>
            <w:bottom w:w="0" w:type="dxa"/>
            <w:right w:w="108" w:type="dxa"/>
          </w:tblCellMar>
        </w:tblPrEx>
        <w:trPr>
          <w:trHeight w:val="453" w:hRule="atLeast"/>
          <w:jc w:val="center"/>
        </w:trPr>
        <w:tc>
          <w:tcPr>
            <w:tcW w:w="608" w:type="dxa"/>
            <w:tcBorders>
              <w:left w:val="single" w:color="auto" w:sz="12" w:space="0"/>
              <w:bottom w:val="single" w:color="auto" w:sz="6"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olor w:val="auto"/>
                <w:sz w:val="24"/>
              </w:rPr>
            </w:pPr>
            <w:r>
              <w:rPr>
                <w:rFonts w:hint="eastAsia" w:ascii="宋体" w:hAnsi="宋体"/>
                <w:color w:val="auto"/>
                <w:sz w:val="24"/>
              </w:rPr>
              <w:t>参照国家计委《招标代理服务收费管理暂行办法》（计价格【</w:t>
            </w:r>
            <w:r>
              <w:rPr>
                <w:rFonts w:ascii="宋体" w:hAnsi="宋体"/>
                <w:color w:val="auto"/>
                <w:sz w:val="24"/>
              </w:rPr>
              <w:t>2002</w:t>
            </w:r>
            <w:r>
              <w:rPr>
                <w:rFonts w:hint="eastAsia" w:ascii="宋体" w:hAnsi="宋体"/>
                <w:color w:val="auto"/>
                <w:sz w:val="24"/>
              </w:rPr>
              <w:t>】</w:t>
            </w:r>
            <w:r>
              <w:rPr>
                <w:rFonts w:ascii="宋体" w:hAnsi="宋体"/>
                <w:color w:val="auto"/>
                <w:sz w:val="24"/>
              </w:rPr>
              <w:t>1980</w:t>
            </w:r>
            <w:r>
              <w:rPr>
                <w:rFonts w:hint="eastAsia" w:ascii="宋体" w:hAnsi="宋体"/>
                <w:color w:val="auto"/>
                <w:sz w:val="24"/>
              </w:rPr>
              <w:t>号）、《国家发展和改革委员会办公厅关于招标代理服务费有关问题的通知》（发改办价格【</w:t>
            </w:r>
            <w:r>
              <w:rPr>
                <w:rFonts w:ascii="宋体" w:hAnsi="宋体"/>
                <w:color w:val="auto"/>
                <w:sz w:val="24"/>
              </w:rPr>
              <w:t>2003</w:t>
            </w:r>
            <w:r>
              <w:rPr>
                <w:rFonts w:hint="eastAsia" w:ascii="宋体" w:hAnsi="宋体"/>
                <w:color w:val="auto"/>
                <w:sz w:val="24"/>
              </w:rPr>
              <w:t>】</w:t>
            </w:r>
            <w:r>
              <w:rPr>
                <w:rFonts w:ascii="宋体" w:hAnsi="宋体"/>
                <w:color w:val="auto"/>
                <w:sz w:val="24"/>
              </w:rPr>
              <w:t>857</w:t>
            </w:r>
            <w:r>
              <w:rPr>
                <w:rFonts w:hint="eastAsia" w:ascii="宋体" w:hAnsi="宋体"/>
                <w:color w:val="auto"/>
                <w:sz w:val="24"/>
              </w:rPr>
              <w:t>号）及发改价格【</w:t>
            </w:r>
            <w:r>
              <w:rPr>
                <w:rFonts w:ascii="宋体" w:hAnsi="宋体"/>
                <w:color w:val="auto"/>
                <w:sz w:val="24"/>
              </w:rPr>
              <w:t>2011</w:t>
            </w:r>
            <w:r>
              <w:rPr>
                <w:rFonts w:hint="eastAsia" w:ascii="宋体" w:hAnsi="宋体"/>
                <w:color w:val="auto"/>
                <w:sz w:val="24"/>
              </w:rPr>
              <w:t>】</w:t>
            </w:r>
            <w:r>
              <w:rPr>
                <w:rFonts w:ascii="宋体" w:hAnsi="宋体"/>
                <w:color w:val="auto"/>
                <w:sz w:val="24"/>
              </w:rPr>
              <w:t>534</w:t>
            </w:r>
            <w:r>
              <w:rPr>
                <w:rFonts w:hint="eastAsia" w:ascii="宋体" w:hAnsi="宋体"/>
                <w:color w:val="auto"/>
                <w:sz w:val="24"/>
              </w:rPr>
              <w:t>号文件的规定，招标代理服务费由中标（成交）供应商支付。</w:t>
            </w:r>
          </w:p>
        </w:tc>
      </w:tr>
    </w:tbl>
    <w:p>
      <w:pPr>
        <w:autoSpaceDE w:val="0"/>
        <w:autoSpaceDN w:val="0"/>
        <w:adjustRightInd w:val="0"/>
        <w:spacing w:line="360" w:lineRule="auto"/>
        <w:ind w:firstLine="539"/>
        <w:rPr>
          <w:color w:val="auto"/>
        </w:rPr>
      </w:pPr>
      <w:r>
        <w:rPr>
          <w:color w:val="auto"/>
        </w:rPr>
        <w:br w:type="page"/>
      </w:r>
    </w:p>
    <w:p>
      <w:pPr>
        <w:autoSpaceDE w:val="0"/>
        <w:autoSpaceDN w:val="0"/>
        <w:adjustRightInd w:val="0"/>
        <w:snapToGrid w:val="0"/>
        <w:spacing w:before="156" w:beforeLines="50" w:line="300" w:lineRule="auto"/>
        <w:ind w:firstLine="539"/>
        <w:outlineLvl w:val="1"/>
        <w:rPr>
          <w:rFonts w:ascii="黑体" w:hAnsi="黑体" w:eastAsia="黑体"/>
          <w:color w:val="auto"/>
          <w:sz w:val="28"/>
          <w:szCs w:val="28"/>
          <w:lang w:val="zh-CN"/>
        </w:rPr>
      </w:pPr>
      <w:bookmarkStart w:id="21" w:name="_Toc150758831"/>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1"/>
    </w:p>
    <w:p>
      <w:pPr>
        <w:autoSpaceDE w:val="0"/>
        <w:autoSpaceDN w:val="0"/>
        <w:adjustRightInd w:val="0"/>
        <w:snapToGrid w:val="0"/>
        <w:spacing w:before="156" w:beforeLines="50" w:line="300" w:lineRule="auto"/>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根据《中华人民共和国政府采购法》、《中华人民共和国政府采购法实施条例》、《政府采购非招标采购方式管理办法》及相关政府采购法律法规等制定本文件。</w:t>
      </w:r>
    </w:p>
    <w:p>
      <w:pPr>
        <w:adjustRightInd w:val="0"/>
        <w:snapToGrid w:val="0"/>
        <w:spacing w:before="156" w:beforeLines="50" w:line="300" w:lineRule="auto"/>
        <w:ind w:right="240" w:firstLine="482" w:firstLineChars="200"/>
        <w:rPr>
          <w:rFonts w:ascii="黑体" w:hAnsi="黑体" w:eastAsia="黑体" w:cs="楷体_GB2312"/>
          <w:b/>
          <w:color w:val="auto"/>
          <w:sz w:val="24"/>
          <w:lang w:val="zh-CN"/>
        </w:rPr>
      </w:pPr>
      <w:r>
        <w:rPr>
          <w:rFonts w:ascii="黑体" w:hAnsi="黑体" w:eastAsia="黑体" w:cs="楷体_GB2312"/>
          <w:b/>
          <w:color w:val="auto"/>
          <w:sz w:val="24"/>
          <w:lang w:val="zh-CN"/>
        </w:rPr>
        <w:t xml:space="preserve">1.2 </w:t>
      </w:r>
      <w:r>
        <w:rPr>
          <w:rFonts w:hint="eastAsia" w:ascii="黑体" w:hAnsi="黑体" w:eastAsia="黑体" w:cs="楷体_GB2312"/>
          <w:b/>
          <w:color w:val="auto"/>
          <w:sz w:val="24"/>
          <w:lang w:val="zh-CN"/>
        </w:rPr>
        <w:t>谈判文件的法律适用及法律效力</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所述内容，仅适用于本次项目采购。</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谈判文件</w:t>
      </w:r>
      <w:r>
        <w:rPr>
          <w:rFonts w:hint="eastAsia" w:ascii="宋体" w:hAnsi="宋体"/>
          <w:color w:val="auto"/>
          <w:sz w:val="24"/>
          <w:szCs w:val="24"/>
        </w:rPr>
        <w:t>的修改性文件、补充文件、澄清文件或说明具有同等法律效力。</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适用于并执行《政府采购法》和其它相关的法律、法规。</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的解释权属采购人及代理机构。</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凡符合谈判文件规定，承认本谈判文件所有内容的投标人为合格的投标人。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投标人应遵守国家法律、法规和谈判文件的规定。</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黑体" w:hAnsi="黑体" w:eastAsia="黑体" w:cs="楷体_GB2312"/>
          <w:b/>
          <w:color w:val="auto"/>
          <w:sz w:val="24"/>
          <w:lang w:val="zh-CN"/>
        </w:rPr>
        <w:t>如</w:t>
      </w:r>
      <w:r>
        <w:rPr>
          <w:rFonts w:hint="eastAsia" w:ascii="宋体" w:hAnsi="宋体" w:cs="楷体_GB2312"/>
          <w:color w:val="auto"/>
          <w:sz w:val="24"/>
          <w:lang w:val="zh-CN"/>
        </w:rPr>
        <w:t>投标人须知前附表规定接受联合体投标的，应遵守以下规定：</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rPr>
      </w:pPr>
      <w:r>
        <w:rPr>
          <w:rFonts w:hint="eastAsia" w:ascii="宋体" w:hAnsi="宋体"/>
          <w:color w:val="auto"/>
          <w:sz w:val="24"/>
        </w:rPr>
        <w:t>1.5.3 除非谈判文件特别规定，采购人享有本项目实施过程中产生的知识成果及知识产权。</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投标费用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7</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参与竞争性谈判活动的各方应对谈判文件和投标文件中的商业和技术等秘密保密，投标人应在投标文件中对需保密事项予以书面声明，否则视为非保密事项。</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8</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.1</w:t>
      </w:r>
      <w:r>
        <w:rPr>
          <w:rFonts w:hint="eastAsia" w:ascii="宋体" w:hAnsi="宋体" w:cs="楷体_GB2312"/>
          <w:color w:val="auto"/>
          <w:sz w:val="24"/>
          <w:lang w:val="zh-CN"/>
        </w:rPr>
        <w:t>投标人踏勘现场发生的费用自理，投标人自行负责在踏勘现场中所发生的人员伤亡和财产损失。</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.2</w:t>
      </w:r>
      <w:r>
        <w:rPr>
          <w:rFonts w:hint="eastAsia" w:ascii="宋体" w:hAnsi="宋体" w:cs="楷体_GB2312"/>
          <w:color w:val="auto"/>
          <w:sz w:val="24"/>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投标预备会</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投标人须知前附表规定召开投标预备会的，采购人及代理机构按投标人须知前附表规定的时间和地点召开投标预备会，澄清投标人提出的问题。</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投标人应在投标人须知前附表规定的时间前，以书面形式将提出的问题送达采购人及代理机构，以便采购人及代理机构在会议期间澄清。</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投标预备会后，采购人及代理机构在投标人须知前附表规定的时间内，将对投标人所提问题的澄清，以本章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项方式通告潜在投标人。该澄清内容为谈判文件的组成部分。</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 分包</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投标人拟在成交后将成交项目</w:t>
      </w:r>
      <w:r>
        <w:rPr>
          <w:rFonts w:ascii="宋体" w:hAnsi="宋体" w:cs="楷体_GB2312"/>
          <w:color w:val="auto"/>
          <w:sz w:val="24"/>
          <w:lang w:val="zh-CN"/>
        </w:rPr>
        <w:t>(</w:t>
      </w:r>
      <w:r>
        <w:rPr>
          <w:rFonts w:hint="eastAsia" w:ascii="宋体" w:hAnsi="宋体" w:cs="楷体_GB2312"/>
          <w:color w:val="auto"/>
          <w:sz w:val="24"/>
          <w:lang w:val="zh-CN"/>
        </w:rPr>
        <w:t>标段&lt;包&gt;</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的部分非主体、非关键性工作进行分包的，应符合投标人须知前附表规定的分包内容、分包金额和接受分包的第三人资质要求等限制性条件。</w:t>
      </w:r>
    </w:p>
    <w:p>
      <w:pPr>
        <w:autoSpaceDE w:val="0"/>
        <w:autoSpaceDN w:val="0"/>
        <w:adjustRightInd w:val="0"/>
        <w:snapToGrid w:val="0"/>
        <w:spacing w:before="156"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3 偏离</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谈判文件允许投标文件偏离谈判文件某些要求的，偏离应当符合谈判文件规定的偏离范围和幅度。</w:t>
      </w:r>
    </w:p>
    <w:p>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2" w:name="_Toc150758832"/>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谈判文件</w:t>
      </w:r>
      <w:bookmarkEnd w:id="22"/>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谈判文件的组成</w:t>
      </w:r>
      <w:r>
        <w:rPr>
          <w:rFonts w:hint="eastAsia" w:ascii="宋体" w:hAnsi="宋体" w:cs="楷体_GB2312"/>
          <w:color w:val="auto"/>
          <w:sz w:val="24"/>
          <w:lang w:val="zh-CN"/>
        </w:rPr>
        <w:t>：</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谈判文件用以阐明采购项目的内容、程序和合同主要条款。谈判文件由下述部分组成：</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）谈判公告</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款、对谈判文件的澄清、修改、补充书构成谈判文件的组成部分，并取代谈判文件中被澄清、修改处，对所有投标人均有约束力。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当谈判文件、谈判文件的澄清、修改、补充等在同一内容的表述上不一致时，以最后发出（发布）的文件为准。</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投标人与任何人的口头协议不影响《谈判文件》的任何条款和内容。</w:t>
      </w:r>
    </w:p>
    <w:p>
      <w:pPr>
        <w:autoSpaceDE w:val="0"/>
        <w:autoSpaceDN w:val="0"/>
        <w:adjustRightInd w:val="0"/>
        <w:snapToGrid w:val="0"/>
        <w:spacing w:before="156" w:beforeLines="50" w:line="300" w:lineRule="auto"/>
        <w:ind w:firstLine="539"/>
        <w:rPr>
          <w:rFonts w:ascii="宋体" w:cs="楷体_GB2312"/>
          <w:color w:val="auto"/>
          <w:sz w:val="24"/>
        </w:rPr>
      </w:pPr>
      <w:r>
        <w:rPr>
          <w:rFonts w:ascii="宋体" w:hAnsi="宋体" w:cs="楷体_GB2312"/>
          <w:color w:val="auto"/>
          <w:sz w:val="24"/>
        </w:rPr>
        <w:t xml:space="preserve">2.1.5 </w:t>
      </w:r>
      <w:r>
        <w:rPr>
          <w:rFonts w:hint="eastAsia" w:ascii="宋体" w:hAnsi="宋体" w:cs="楷体_GB2312"/>
          <w:color w:val="auto"/>
          <w:sz w:val="24"/>
        </w:rPr>
        <w:t>投标人应仔细阅读和检查谈判文件的全部内容是否齐全，如发现缺页或附件不全等遗漏，应及时向采购代理机构提出并索取补齐，否则责任及风险自负。</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谈判文件的澄清</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谈判文件的所有潜在投标人对谈判文件如有需澄清的疑问，应在投标人须知前附表规定的时间内按谈判公告中载明的地址以纸质书面形式通知到采购代理机构。在规定的时间内未提出疑问的，将视为对谈判文件的完全认可。</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采购代理机构对潜在投标人在规定的时间内提出的疑问，将视情况以书面形式予以答复，并在其认为必要时，将不标明查询来源的书面答复，在“谈判公告”所述媒体通告所有潜在投标人。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adjustRightInd w:val="0"/>
        <w:snapToGrid w:val="0"/>
        <w:spacing w:before="156" w:beforeLines="50" w:line="300" w:lineRule="auto"/>
        <w:ind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谈判文件的澄清、修改、补充</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采购人、代理机构在投标截止时间前有权澄清修改、补充已发售的谈判文件。</w:t>
      </w:r>
    </w:p>
    <w:p>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谈判过程中对谈判文件的变动见第四章评审办法</w:t>
      </w:r>
      <w:r>
        <w:rPr>
          <w:rFonts w:ascii="宋体" w:hAnsi="宋体"/>
          <w:color w:val="auto"/>
          <w:sz w:val="24"/>
        </w:rPr>
        <w:t>3.5</w:t>
      </w:r>
      <w:r>
        <w:rPr>
          <w:rFonts w:hint="eastAsia" w:ascii="宋体" w:hAnsi="宋体"/>
          <w:color w:val="auto"/>
          <w:sz w:val="24"/>
        </w:rPr>
        <w:t>款谈判规则。</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谈判文件的澄清、修改、补充的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谈判文件在投标截止时间前的所有澄清、修改（包括时间变更等）、补充事项，均在“谈判公告”所述媒体予以公告。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无权限获知或通知潜在投标人，潜在投标人应随时关注“谈判公告”所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相关项目信息（为免各部门网站出现维护等情况，潜在投标人应对“谈判公告”所述媒体逐一查阅），如有遗漏，后果自负。</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cs="楷体_GB2312"/>
          <w:color w:val="auto"/>
          <w:sz w:val="24"/>
          <w:lang w:val="zh-CN"/>
        </w:rPr>
        <w:t>谈判文件的澄清、修改、补充书构成谈判文件的组成部分，并取代谈判文件中被澄清、修改处，对所有投标人均有约束力。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谈判公告”所述媒体予以公告。</w:t>
      </w:r>
    </w:p>
    <w:p>
      <w:pPr>
        <w:autoSpaceDE w:val="0"/>
        <w:autoSpaceDN w:val="0"/>
        <w:adjustRightInd w:val="0"/>
        <w:snapToGrid w:val="0"/>
        <w:spacing w:before="156" w:beforeLines="50" w:line="300" w:lineRule="auto"/>
        <w:ind w:firstLine="539"/>
        <w:rPr>
          <w:rFonts w:ascii="宋体" w:cs="楷体_GB2312"/>
          <w:color w:val="auto"/>
          <w:sz w:val="24"/>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3" w:name="_Toc150758833"/>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投标文件（响应文件）</w:t>
      </w:r>
      <w:bookmarkEnd w:id="23"/>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xml:space="preserve"> 投标人应仔细阅读谈判文件的所有内容，按谈判文件的要求提供投标文件（响应文件），并保证所提供全部资料的真实性。投标文件（响应文件）应对谈判文件实质性要求作出实质性响应。谈判小组对投标文件（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投标文件（响应文件）的组成</w:t>
      </w:r>
    </w:p>
    <w:p>
      <w:pPr>
        <w:adjustRightInd w:val="0"/>
        <w:snapToGrid w:val="0"/>
        <w:spacing w:before="156"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pPr>
        <w:adjustRightInd w:val="0"/>
        <w:snapToGrid w:val="0"/>
        <w:spacing w:before="156" w:beforeLines="50" w:line="300" w:lineRule="auto"/>
        <w:ind w:firstLine="539"/>
        <w:textAlignment w:val="top"/>
        <w:rPr>
          <w:color w:val="auto"/>
        </w:rPr>
      </w:pPr>
      <w:r>
        <w:rPr>
          <w:rFonts w:ascii="宋体" w:hAnsi="宋体" w:cs="楷体_GB2312"/>
          <w:color w:val="auto"/>
          <w:sz w:val="24"/>
          <w:lang w:val="zh-CN"/>
        </w:rPr>
        <w:t xml:space="preserve">3.2.2 </w:t>
      </w:r>
      <w:r>
        <w:rPr>
          <w:rFonts w:hint="eastAsia" w:ascii="宋体" w:hAnsi="宋体" w:cs="楷体_GB2312"/>
          <w:color w:val="auto"/>
          <w:sz w:val="24"/>
          <w:lang w:val="zh-CN"/>
        </w:rPr>
        <w:t>投标文件（响应文件）应包括下列内容：</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ascii="宋体" w:hAnsi="宋体"/>
          <w:color w:val="auto"/>
          <w:sz w:val="24"/>
        </w:rPr>
        <w:t>投标产品清单及其技术参数，安装调试方案</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）技术偏差表。</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ascii="宋体" w:hAnsi="宋体"/>
          <w:color w:val="auto"/>
          <w:sz w:val="24"/>
        </w:rPr>
        <w:t>其他偏差表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ascii="宋体" w:hAnsi="宋体"/>
          <w:color w:val="auto"/>
          <w:sz w:val="24"/>
        </w:rPr>
        <w:t>售后服务计划</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ascii="宋体" w:hAnsi="宋体"/>
          <w:color w:val="auto"/>
          <w:sz w:val="24"/>
        </w:rPr>
        <w:t>关于资格的声明函</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ascii="宋体" w:hAnsi="宋体"/>
          <w:color w:val="auto"/>
          <w:sz w:val="24"/>
        </w:rPr>
        <w:t>反商业贿赂承诺书。</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ascii="宋体" w:hAnsi="宋体"/>
          <w:color w:val="auto"/>
          <w:sz w:val="24"/>
        </w:rPr>
        <w:t>履约承诺书。</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）资格要求相关证明材料（文件）</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）采购项目及技术服务要求所需的其他材料（按条款需要）</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）投标人须知所需的其他材料（按条款需要）</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）评审办法所需的其他材料（按条款需要）</w:t>
      </w:r>
    </w:p>
    <w:p>
      <w:pPr>
        <w:autoSpaceDE w:val="0"/>
        <w:autoSpaceDN w:val="0"/>
        <w:adjustRightInd w:val="0"/>
        <w:snapToGrid w:val="0"/>
        <w:spacing w:line="300" w:lineRule="auto"/>
        <w:ind w:firstLine="520" w:firstLineChars="217"/>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topLinePunct/>
        <w:adjustRightInd w:val="0"/>
        <w:snapToGrid w:val="0"/>
        <w:spacing w:before="156"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款规定，对投标文件（响应文件）的补充、修改、澄清、说明或者更正构成投标文件（响应文件）的组成部分，</w:t>
      </w:r>
    </w:p>
    <w:p>
      <w:pPr>
        <w:topLinePunct/>
        <w:adjustRightInd w:val="0"/>
        <w:snapToGrid w:val="0"/>
        <w:spacing w:before="156"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投标有效期见投标人须知前附表。投标文件（响应文件）在投标有效期内保持不变（包括价格等投标文件各项条款）。</w:t>
      </w:r>
    </w:p>
    <w:p>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在投标有效期内，投标人撤销或修改其投标文件（响应文件）的，应承担谈判文件和法律规定的责任。</w:t>
      </w:r>
    </w:p>
    <w:p>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w:t>
      </w:r>
      <w:r>
        <w:rPr>
          <w:rFonts w:hint="eastAsia" w:ascii="宋体" w:hAnsi="宋体"/>
          <w:b/>
          <w:bCs/>
          <w:color w:val="auto"/>
          <w:sz w:val="24"/>
          <w:szCs w:val="24"/>
        </w:rPr>
        <w:t>无效投标</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3.5.3 投标人的投标承诺函包含投标人承诺的事项及违背承诺的责任追究措施。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3.5.4.1、投标人应遵循公开、公平、公正和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3.5.4.2、投标人在政府采购活动中应提供真实、准确、有效、合法的材料，不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3.5.4.3、投标人</w:t>
      </w:r>
      <w:r>
        <w:rPr>
          <w:rFonts w:hint="eastAsia" w:ascii="宋体" w:hAnsi="宋体"/>
          <w:color w:val="auto"/>
          <w:sz w:val="24"/>
          <w:szCs w:val="24"/>
          <w:lang w:val="zh-CN"/>
        </w:rPr>
        <w:t>按照</w:t>
      </w:r>
      <w:r>
        <w:rPr>
          <w:rFonts w:hint="eastAsia" w:ascii="宋体" w:hAnsi="宋体"/>
          <w:color w:val="auto"/>
          <w:sz w:val="24"/>
          <w:szCs w:val="24"/>
        </w:rPr>
        <w:t>谈判</w:t>
      </w:r>
      <w:r>
        <w:rPr>
          <w:rFonts w:hint="eastAsia" w:ascii="宋体" w:hAnsi="宋体"/>
          <w:color w:val="auto"/>
          <w:sz w:val="24"/>
          <w:szCs w:val="24"/>
          <w:lang w:val="zh-CN"/>
        </w:rPr>
        <w:t>文件规定，在提交投标文件截止时间后，在</w:t>
      </w:r>
      <w:r>
        <w:rPr>
          <w:rFonts w:hint="eastAsia" w:ascii="宋体" w:hAnsi="宋体"/>
          <w:color w:val="auto"/>
          <w:sz w:val="24"/>
          <w:szCs w:val="24"/>
        </w:rPr>
        <w:t>谈判</w:t>
      </w:r>
      <w:r>
        <w:rPr>
          <w:rFonts w:hint="eastAsia" w:ascii="宋体" w:hAnsi="宋体"/>
          <w:color w:val="auto"/>
          <w:sz w:val="24"/>
          <w:szCs w:val="24"/>
          <w:lang w:val="zh-CN"/>
        </w:rPr>
        <w:t>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撤回投标文件；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3.5.4.5、中标后</w:t>
      </w:r>
      <w:r>
        <w:rPr>
          <w:rFonts w:hint="eastAsia" w:ascii="宋体" w:hAnsi="宋体"/>
          <w:color w:val="auto"/>
          <w:sz w:val="24"/>
          <w:szCs w:val="24"/>
          <w:lang w:val="zh-CN"/>
        </w:rPr>
        <w:t>除不可抗拒力或谈判文件认可的情形外</w:t>
      </w:r>
      <w:r>
        <w:rPr>
          <w:rFonts w:hint="eastAsia" w:ascii="宋体" w:hAnsi="宋体"/>
          <w:color w:val="auto"/>
          <w:sz w:val="24"/>
          <w:szCs w:val="24"/>
        </w:rPr>
        <w:t>，投标人应及时领取中标通知书，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3.5.4.6、投标人应</w:t>
      </w:r>
      <w:r>
        <w:rPr>
          <w:rFonts w:hint="eastAsia" w:ascii="宋体" w:hAnsi="宋体"/>
          <w:color w:val="auto"/>
          <w:sz w:val="24"/>
          <w:szCs w:val="24"/>
          <w:lang w:val="zh-CN"/>
        </w:rPr>
        <w:t>遵守法律法规及</w:t>
      </w:r>
      <w:r>
        <w:rPr>
          <w:rFonts w:hint="eastAsia" w:ascii="宋体" w:hAnsi="宋体"/>
          <w:color w:val="auto"/>
          <w:sz w:val="24"/>
          <w:szCs w:val="24"/>
        </w:rPr>
        <w:t>谈判</w:t>
      </w:r>
      <w:r>
        <w:rPr>
          <w:rFonts w:hint="eastAsia" w:ascii="宋体" w:hAnsi="宋体"/>
          <w:color w:val="auto"/>
          <w:sz w:val="24"/>
          <w:szCs w:val="24"/>
          <w:lang w:val="zh-CN"/>
        </w:rPr>
        <w:t>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3.5.4.7、投标人应按谈判文件规定及时缴纳中标服务费。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投标人如违背上述承诺事项，应无条件接受以下责任追究：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cs="楷体_GB2312"/>
          <w:color w:val="auto"/>
          <w:sz w:val="24"/>
          <w:lang w:val="zh-CN"/>
        </w:rPr>
      </w:pPr>
      <w:r>
        <w:rPr>
          <w:rFonts w:hint="eastAsia" w:ascii="宋体" w:hAnsi="宋体"/>
          <w:color w:val="auto"/>
          <w:sz w:val="24"/>
          <w:szCs w:val="24"/>
        </w:rPr>
        <w:t>3.5.5.2.3中标后未缴中标服</w:t>
      </w:r>
      <w:r>
        <w:rPr>
          <w:rFonts w:hint="eastAsia"/>
          <w:color w:val="auto"/>
          <w:sz w:val="24"/>
        </w:rPr>
        <w:t>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pPr>
        <w:autoSpaceDE w:val="0"/>
        <w:autoSpaceDN w:val="0"/>
        <w:adjustRightInd w:val="0"/>
        <w:spacing w:before="156"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要求见谈判公告</w:t>
      </w:r>
    </w:p>
    <w:p>
      <w:pPr>
        <w:topLinePunct/>
        <w:adjustRightInd w:val="0"/>
        <w:snapToGrid w:val="0"/>
        <w:spacing w:before="156"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pPr>
        <w:topLinePunct/>
        <w:adjustRightInd w:val="0"/>
        <w:snapToGrid w:val="0"/>
        <w:spacing w:before="156"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投标文件（响应文件）应按第六章“投标文件格式”进行编写，如有必要，可以增加附页，作为投标文件（响应文件）的组成部分。谈判文件中未列明格式的，由投标人按一般通用格式自行设计编写。</w:t>
      </w:r>
    </w:p>
    <w:p>
      <w:pPr>
        <w:topLinePunct/>
        <w:adjustRightInd w:val="0"/>
        <w:snapToGrid w:val="0"/>
        <w:spacing w:before="156" w:beforeLines="50" w:line="300" w:lineRule="auto"/>
        <w:ind w:firstLine="566" w:firstLineChars="235"/>
        <w:rPr>
          <w:rFonts w:ascii="宋体" w:hAnsi="宋体" w:cs="楷体_GB2312"/>
          <w:b/>
          <w:color w:val="auto"/>
          <w:sz w:val="24"/>
          <w:lang w:val="zh-CN"/>
        </w:rPr>
      </w:pPr>
      <w:r>
        <w:rPr>
          <w:rFonts w:hint="eastAsia" w:ascii="宋体" w:hAnsi="宋体" w:cs="楷体_GB2312"/>
          <w:b/>
          <w:color w:val="auto"/>
          <w:sz w:val="24"/>
          <w:lang w:val="zh-CN"/>
        </w:rPr>
        <w:t>投标文件编制后</w:t>
      </w:r>
      <w:r>
        <w:rPr>
          <w:rFonts w:ascii="宋体" w:hAnsi="宋体" w:cs="楷体_GB2312"/>
          <w:b/>
          <w:color w:val="auto"/>
          <w:sz w:val="24"/>
          <w:lang w:val="zh-CN"/>
        </w:rPr>
        <w:t>，需录入导入</w:t>
      </w:r>
      <w:r>
        <w:rPr>
          <w:rFonts w:hint="eastAsia" w:ascii="宋体" w:hAnsi="宋体" w:cs="楷体_GB2312"/>
          <w:b/>
          <w:color w:val="auto"/>
          <w:sz w:val="24"/>
          <w:lang w:val="zh-CN"/>
        </w:rPr>
        <w:t>谈</w:t>
      </w:r>
      <w:r>
        <w:rPr>
          <w:rFonts w:ascii="宋体" w:hAnsi="宋体" w:cs="楷体_GB2312"/>
          <w:b/>
          <w:color w:val="auto"/>
          <w:sz w:val="24"/>
          <w:lang w:val="zh-CN"/>
        </w:rPr>
        <w:t>判公告所述 “</w:t>
      </w:r>
      <w:r>
        <w:rPr>
          <w:rFonts w:hint="eastAsia" w:ascii="宋体" w:hAnsi="宋体" w:cs="楷体_GB2312"/>
          <w:b/>
          <w:color w:val="auto"/>
          <w:sz w:val="24"/>
          <w:lang w:val="zh-CN"/>
        </w:rPr>
        <w:t>安阳市政府采购投标文件编制系统</w:t>
      </w:r>
      <w:r>
        <w:rPr>
          <w:rFonts w:ascii="宋体" w:hAnsi="宋体" w:cs="楷体_GB2312"/>
          <w:b/>
          <w:color w:val="auto"/>
          <w:sz w:val="24"/>
          <w:lang w:val="zh-CN"/>
        </w:rPr>
        <w:t>”</w:t>
      </w:r>
      <w:r>
        <w:rPr>
          <w:rFonts w:hint="eastAsia" w:ascii="宋体" w:hAnsi="宋体" w:cs="楷体_GB2312"/>
          <w:b/>
          <w:color w:val="auto"/>
          <w:sz w:val="24"/>
          <w:lang w:val="zh-CN"/>
        </w:rPr>
        <w:t>，经电</w:t>
      </w:r>
      <w:r>
        <w:rPr>
          <w:rFonts w:ascii="宋体" w:hAnsi="宋体" w:cs="楷体_GB2312"/>
          <w:b/>
          <w:color w:val="auto"/>
          <w:sz w:val="24"/>
          <w:lang w:val="zh-CN"/>
        </w:rPr>
        <w:t>子签名并加密后、在</w:t>
      </w:r>
      <w:r>
        <w:rPr>
          <w:rFonts w:hint="eastAsia" w:ascii="宋体" w:hAnsi="宋体" w:cs="楷体_GB2312"/>
          <w:b/>
          <w:color w:val="auto"/>
          <w:sz w:val="24"/>
          <w:lang w:val="zh-CN"/>
        </w:rPr>
        <w:t>响应文件提交截止时间前，</w:t>
      </w:r>
      <w:r>
        <w:rPr>
          <w:rFonts w:ascii="宋体" w:hAnsi="宋体" w:cs="楷体_GB2312"/>
          <w:b/>
          <w:color w:val="auto"/>
          <w:sz w:val="24"/>
          <w:lang w:val="zh-CN"/>
        </w:rPr>
        <w:t>上</w:t>
      </w:r>
      <w:r>
        <w:rPr>
          <w:rFonts w:hint="eastAsia" w:ascii="宋体" w:hAnsi="宋体" w:cs="楷体_GB2312"/>
          <w:b/>
          <w:color w:val="auto"/>
          <w:sz w:val="24"/>
          <w:lang w:val="zh-CN"/>
        </w:rPr>
        <w:t>传至谈判公告所述网上电子交易系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“投标文件格式”仅为对投标文件（响应文件）部分内容的格式化规范，并非投标文件所应具备的全部内容。投标人应按本章“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投标文件的组成”列示内容编制投标文件（响应文件）。</w:t>
      </w:r>
    </w:p>
    <w:p>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响应文件）应当对谈判文件有关标段（包）内容（范围）、技术要求、售后服务、交验期、投标有效期等实质性内容作出响应。在满足谈判文件实质性要求的基础上，可以提出比谈判文件要求更有利于采购人的承诺。并符合谈判文件偏差规定。</w:t>
      </w:r>
    </w:p>
    <w:p>
      <w:pPr>
        <w:adjustRightInd w:val="0"/>
        <w:snapToGrid w:val="0"/>
        <w:spacing w:before="156"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投标文件（响应文件）的所有条款与谈判文件要求有任何不同之处，应按《技术偏差表》、《其他偏差表》格式逐一填列。投标文件（响应文件）与谈判文件所有要求存在偏差而未填列的，谈判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。投标人应认真编制投标文件（响应文件）并自负此项风险。</w:t>
      </w:r>
    </w:p>
    <w:p>
      <w:pPr>
        <w:autoSpaceDE w:val="0"/>
        <w:autoSpaceDN w:val="0"/>
        <w:adjustRightInd w:val="0"/>
        <w:snapToGrid w:val="0"/>
        <w:spacing w:before="156" w:beforeLines="50" w:line="300" w:lineRule="auto"/>
        <w:ind w:firstLine="539"/>
        <w:rPr>
          <w:rFonts w:ascii="宋体" w:cs="楷体_GB2312"/>
          <w:b/>
          <w:color w:val="auto"/>
          <w:sz w:val="24"/>
        </w:rPr>
      </w:pPr>
      <w:r>
        <w:rPr>
          <w:rFonts w:ascii="宋体" w:hAnsi="宋体" w:cs="楷体_GB2312"/>
          <w:b/>
          <w:color w:val="auto"/>
          <w:sz w:val="24"/>
          <w:lang w:val="zh-CN"/>
        </w:rPr>
        <w:t>3.7.</w:t>
      </w:r>
      <w:r>
        <w:rPr>
          <w:rFonts w:hint="eastAsia" w:ascii="宋体" w:hAnsi="宋体" w:cs="楷体_GB2312"/>
          <w:b/>
          <w:color w:val="auto"/>
          <w:sz w:val="24"/>
          <w:lang w:val="zh-CN"/>
        </w:rPr>
        <w:t>4</w:t>
      </w:r>
      <w:r>
        <w:rPr>
          <w:rFonts w:ascii="宋体" w:hAnsi="宋体" w:cs="楷体_GB2312"/>
          <w:b/>
          <w:color w:val="auto"/>
          <w:sz w:val="24"/>
          <w:lang w:val="zh-CN"/>
        </w:rPr>
        <w:t xml:space="preserve"> </w:t>
      </w:r>
      <w:r>
        <w:rPr>
          <w:rFonts w:hint="eastAsia" w:ascii="宋体" w:hAnsi="宋体" w:cs="楷体_GB2312"/>
          <w:b/>
          <w:color w:val="auto"/>
          <w:sz w:val="24"/>
          <w:lang w:val="zh-CN"/>
        </w:rPr>
        <w:t>投标文件（响应文件）</w:t>
      </w:r>
      <w:r>
        <w:rPr>
          <w:rFonts w:hint="eastAsia" w:ascii="宋体" w:hAnsi="宋体" w:cs="楷体_GB2312"/>
          <w:b/>
          <w:color w:val="auto"/>
          <w:sz w:val="24"/>
        </w:rPr>
        <w:t>应</w:t>
      </w:r>
      <w:r>
        <w:rPr>
          <w:rFonts w:hint="eastAsia" w:ascii="宋体" w:hAnsi="宋体" w:cs="楷体_GB2312"/>
          <w:b/>
          <w:color w:val="auto"/>
          <w:sz w:val="24"/>
          <w:lang w:val="zh-CN"/>
        </w:rPr>
        <w:t>按谈判文件相关要求（含格式上标注的要求）、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签名（签章）并加密的响应文件，属于未按照谈判文件要求进行签署。</w:t>
      </w:r>
    </w:p>
    <w:p>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根据《中华人民共和国电子签名法》规定，可靠的电子签名与手写签名或者盖章具有同等的法律效力。本次采购活动中，供应商使用有效的企业数字证书对响应文件进行电子签章与加盖投标</w:t>
      </w:r>
      <w:r>
        <w:rPr>
          <w:rFonts w:ascii="宋体" w:hAnsi="宋体" w:cs="楷体_GB2312"/>
          <w:b/>
          <w:color w:val="auto"/>
          <w:sz w:val="24"/>
        </w:rPr>
        <w:t>人公</w:t>
      </w:r>
      <w:r>
        <w:rPr>
          <w:rFonts w:hint="eastAsia" w:ascii="宋体" w:hAnsi="宋体" w:cs="楷体_GB2312"/>
          <w:b/>
          <w:color w:val="auto"/>
          <w:sz w:val="24"/>
        </w:rPr>
        <w:t>章具有同等法律效力；供应商法定代表人使用有效的个人数字证书对响应文件进行签名（签章）与法人签章具有同等法律效力。</w:t>
      </w:r>
    </w:p>
    <w:p>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投标人可对本谈判文件“标段（包）一览表”中所列的所有标段（包）进行分别投标，也可选择其中一个标段（包）或几个标段（包）投标，但不得将谈判文件规定的同一标段（包）的内容拆开投标，否则将按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投标文件（响应文件）因字迹或表述不清所引起的后果由投标人自行负责。</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未按上述要求提供的投标文件（响应文件）将视为</w:t>
      </w:r>
      <w:r>
        <w:rPr>
          <w:rFonts w:hint="eastAsia" w:ascii="宋体" w:hAnsi="宋体" w:cs="楷体_GB2312"/>
          <w:b/>
          <w:color w:val="auto"/>
          <w:sz w:val="24"/>
          <w:lang w:val="zh-CN"/>
        </w:rPr>
        <w:t>无效投标。</w:t>
      </w:r>
    </w:p>
    <w:p>
      <w:pPr>
        <w:autoSpaceDE w:val="0"/>
        <w:autoSpaceDN w:val="0"/>
        <w:adjustRightInd w:val="0"/>
        <w:spacing w:line="36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4" w:name="_Toc150758834"/>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24"/>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投标文件（响应文件）的加</w:t>
      </w:r>
      <w:r>
        <w:rPr>
          <w:rFonts w:ascii="黑体" w:hAnsi="黑体" w:eastAsia="黑体" w:cs="楷体_GB2312"/>
          <w:b/>
          <w:color w:val="auto"/>
          <w:sz w:val="24"/>
          <w:lang w:val="zh-CN"/>
        </w:rPr>
        <w:t>密</w:t>
      </w:r>
      <w:r>
        <w:rPr>
          <w:rFonts w:hint="eastAsia" w:ascii="黑体" w:hAnsi="黑体" w:eastAsia="黑体" w:cs="楷体_GB2312"/>
          <w:b/>
          <w:color w:val="auto"/>
          <w:sz w:val="24"/>
          <w:lang w:val="zh-CN"/>
        </w:rPr>
        <w:t>和标记：</w:t>
      </w:r>
    </w:p>
    <w:p>
      <w:pPr>
        <w:autoSpaceDE w:val="0"/>
        <w:autoSpaceDN w:val="0"/>
        <w:adjustRightInd w:val="0"/>
        <w:snapToGrid w:val="0"/>
        <w:spacing w:before="156" w:beforeLines="50" w:line="300" w:lineRule="auto"/>
        <w:ind w:firstLine="539"/>
        <w:rPr>
          <w:rFonts w:ascii="宋体" w:cs="楷体_GB2312"/>
          <w:b/>
          <w:color w:val="auto"/>
          <w:sz w:val="24"/>
          <w:lang w:val="zh-CN"/>
        </w:rPr>
      </w:pPr>
      <w:bookmarkStart w:id="25"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投标文件（响应文件）</w:t>
      </w:r>
      <w:r>
        <w:rPr>
          <w:rFonts w:ascii="宋体" w:hAnsi="宋体" w:cs="楷体_GB2312"/>
          <w:b/>
          <w:color w:val="auto"/>
          <w:sz w:val="24"/>
          <w:lang w:val="zh-CN"/>
        </w:rPr>
        <w:t>上</w:t>
      </w:r>
      <w:r>
        <w:rPr>
          <w:rFonts w:hint="eastAsia" w:ascii="宋体" w:hAnsi="宋体" w:cs="楷体_GB2312"/>
          <w:b/>
          <w:color w:val="auto"/>
          <w:sz w:val="24"/>
          <w:lang w:val="zh-CN"/>
        </w:rPr>
        <w:t>传至谈判公告所述网上电子交易系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autoSpaceDE w:val="0"/>
        <w:autoSpaceDN w:val="0"/>
        <w:adjustRightInd w:val="0"/>
        <w:snapToGrid w:val="0"/>
        <w:spacing w:before="156" w:beforeLines="50" w:line="300" w:lineRule="auto"/>
        <w:ind w:firstLine="539"/>
        <w:rPr>
          <w:rFonts w:ascii="宋体" w:cs="楷体_GB2312"/>
          <w:b/>
          <w:color w:val="auto"/>
          <w:sz w:val="24"/>
          <w:lang w:val="zh-CN"/>
        </w:rPr>
      </w:pPr>
      <w:bookmarkStart w:id="26"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拒收其投标文件（响应文件），投标人应自负该项风险，采购代理机构对可能产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25"/>
      <w:bookmarkEnd w:id="26"/>
      <w:bookmarkStart w:id="27" w:name="_Toc296602445"/>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bookmarkEnd w:id="27"/>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投标人须</w:t>
      </w:r>
      <w:r>
        <w:rPr>
          <w:rFonts w:ascii="宋体" w:hAnsi="宋体" w:cs="楷体_GB2312"/>
          <w:b/>
          <w:color w:val="auto"/>
          <w:sz w:val="24"/>
          <w:lang w:val="zh-CN"/>
        </w:rPr>
        <w:t>在</w:t>
      </w:r>
      <w:r>
        <w:rPr>
          <w:rFonts w:hint="eastAsia" w:ascii="宋体" w:hAnsi="宋体" w:cs="楷体_GB2312"/>
          <w:b/>
          <w:color w:val="auto"/>
          <w:sz w:val="24"/>
          <w:lang w:val="zh-CN"/>
        </w:rPr>
        <w:t>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截止时间前，将加密的投标文件（响应文件）上传至谈判公告所述网上电子交易系统（在网上电子交易系统，凭企业数字证书登录投标用户入口 的“政府采购”系统上传）。投标人应在上传时认真检查上传投标文件是否完整、正确。</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投标文件（响应文件）提交截止时间后，系统将自动锁定已经提交的电子投标文件（响应文件），拒绝再次提交。投</w:t>
      </w:r>
      <w:r>
        <w:rPr>
          <w:rFonts w:ascii="宋体" w:hAnsi="宋体" w:cs="楷体_GB2312"/>
          <w:b/>
          <w:color w:val="auto"/>
          <w:sz w:val="24"/>
          <w:lang w:val="zh-CN"/>
        </w:rPr>
        <w:t>标人</w:t>
      </w:r>
      <w:r>
        <w:rPr>
          <w:rFonts w:hint="eastAsia" w:ascii="宋体" w:hAnsi="宋体" w:cs="楷体_GB2312"/>
          <w:b/>
          <w:color w:val="auto"/>
          <w:sz w:val="24"/>
          <w:lang w:val="zh-CN"/>
        </w:rPr>
        <w:t>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的投标文件（响应文件）</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由于不可抗拒的原因，代理机构对投标文件（响应文件）的遗失和损坏不负任何责任。</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除投标人须知前附表另有规定外，投标人所递交的投标文件（响应文件）不予退还。</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投标文件（响应文件）的修改与撤回</w:t>
      </w:r>
      <w:r>
        <w:rPr>
          <w:rFonts w:hint="eastAsia" w:ascii="宋体" w:hAnsi="宋体" w:cs="楷体_GB2312"/>
          <w:color w:val="auto"/>
          <w:sz w:val="24"/>
          <w:lang w:val="zh-CN"/>
        </w:rPr>
        <w:t>：</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投标人于提交投标文件（响应文件）截止时间前如对投标文件进行补充、修改，可以上传新的投标文件进行覆盖。投标人如撤回投标文件，应及时书面通知采购代理机构进行办理。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投标人在投标文件（响应文件）提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pPr>
        <w:autoSpaceDE w:val="0"/>
        <w:autoSpaceDN w:val="0"/>
        <w:adjustRightInd w:val="0"/>
        <w:snapToGrid w:val="0"/>
        <w:spacing w:before="156" w:beforeLines="50" w:line="300" w:lineRule="auto"/>
        <w:ind w:firstLine="539"/>
        <w:rPr>
          <w:rFonts w:ascii="宋体" w:cs="楷体_GB2312"/>
          <w:color w:val="auto"/>
          <w:sz w:val="24"/>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28" w:name="_Toc150758835"/>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28"/>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采购人和采购代理机构按谈判公告规定的时间和地点于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（谈判公告所述网上电子交易系统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公开开标。</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 xml:space="preserve"> 投标人需在开标前打开谈判公告所述网上电子交易系统，凭企业数字证书登录投标用户入口 的“政府采购”系统，并进入本项目相匹配的网上开标室。</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投标文件（响应文件）的开启方式为远程解密，为保证开标工作顺利进行，投标人需在开标阶段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管理员下达解密指令后的指定时限内，完成对本单位的加密投标文件（响应文件）的远程解密。如投标人因自身原因、在指定时限内没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解密成功的，其投标将不能被接受，投标人自行承担相应后果。解密完成后，投标人的报价将在系统界面上显示。</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pPr>
        <w:autoSpaceDE w:val="0"/>
        <w:autoSpaceDN w:val="0"/>
        <w:adjustRightInd w:val="0"/>
        <w:snapToGrid w:val="0"/>
        <w:spacing w:before="156" w:beforeLines="50" w:line="300" w:lineRule="auto"/>
        <w:ind w:firstLine="539"/>
        <w:rPr>
          <w:rFonts w:ascii="宋体" w:cs="楷体_GB2312"/>
          <w:color w:val="auto"/>
          <w:sz w:val="24"/>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29" w:name="_Toc150758836"/>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9"/>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 xml:space="preserve">谈判小组  </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评审工作由依法组建的谈判小组负责。谈判小组由采购人代表和评审专家共</w:t>
      </w:r>
      <w:r>
        <w:rPr>
          <w:rFonts w:ascii="宋体" w:hAnsi="宋体" w:cs="楷体_GB2312"/>
          <w:color w:val="auto"/>
          <w:sz w:val="24"/>
          <w:lang w:val="zh-CN"/>
        </w:rPr>
        <w:t>3</w:t>
      </w:r>
      <w:r>
        <w:rPr>
          <w:rFonts w:hint="eastAsia" w:ascii="宋体" w:hAnsi="宋体" w:cs="楷体_GB2312"/>
          <w:color w:val="auto"/>
          <w:sz w:val="24"/>
          <w:lang w:val="zh-CN"/>
        </w:rPr>
        <w:t>人及以上单数组成，其中评审专家人数不少于谈判小组成员总数的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按照同一评审程序及方法审查所有投标人的投标文件。</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 xml:space="preserve"> 评审工作在谈判小组内独立进行。谈判小组按照第四章“评审办法”规定的方法、评审因素、标准和程序对投标文件进行评审。第四章“评审办法”没有规定的方法、评审因素和标准，不作为评审依据。</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 xml:space="preserve"> 在开标、评审期间，投标人不得向谈判小组成员询问情况，不得进行旨在影响评审结果的活动。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 xml:space="preserve"> 谈判：</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款谈判规则。</w:t>
      </w:r>
    </w:p>
    <w:p>
      <w:pPr>
        <w:autoSpaceDE w:val="0"/>
        <w:autoSpaceDN w:val="0"/>
        <w:adjustRightInd w:val="0"/>
        <w:snapToGrid w:val="0"/>
        <w:spacing w:before="156" w:beforeLines="50" w:line="300" w:lineRule="auto"/>
        <w:ind w:firstLine="539"/>
        <w:rPr>
          <w:rFonts w:ascii="宋体" w:cs="楷体_GB2312"/>
          <w:color w:val="auto"/>
          <w:sz w:val="24"/>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30" w:name="_Toc150758837"/>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30"/>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除投标人须知前附表规定授权谈判小组直接确定成交供应商外，采购人应当自收到评审报告之日起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w:t>
      </w:r>
      <w:r>
        <w:rPr>
          <w:rFonts w:hint="eastAsia" w:ascii="宋体" w:hAnsi="宋体" w:cs="楷体_GB2312"/>
          <w:color w:val="auto"/>
          <w:sz w:val="24"/>
        </w:rPr>
        <w:t>当天</w:t>
      </w:r>
      <w:r>
        <w:rPr>
          <w:rFonts w:hint="eastAsia" w:ascii="宋体" w:hAnsi="宋体" w:cs="楷体_GB2312"/>
          <w:color w:val="auto"/>
          <w:sz w:val="24"/>
          <w:lang w:val="zh-CN"/>
        </w:rPr>
        <w:t>在谈判公告所述媒体公告成交结果。同时向成交供应商发出成交通知书。成交结果公告期限为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pPr>
        <w:autoSpaceDE w:val="0"/>
        <w:autoSpaceDN w:val="0"/>
        <w:adjustRightInd w:val="0"/>
        <w:snapToGrid w:val="0"/>
        <w:spacing w:before="156" w:beforeLines="50" w:line="300" w:lineRule="auto"/>
        <w:ind w:firstLine="537" w:firstLineChars="224"/>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见投标人须知前附表</w:t>
      </w:r>
    </w:p>
    <w:p>
      <w:pPr>
        <w:adjustRightInd w:val="0"/>
        <w:snapToGrid w:val="0"/>
        <w:spacing w:before="156" w:beforeLines="50" w:line="240" w:lineRule="auto"/>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见投标人须知前附表</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 xml:space="preserve"> 在签订合同时，成交供应商应按投标人须知前附表规定向采购人提交履约保证金。</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据优化营商环境精神，成交供应商应在《成交通知书》发出后2个工作日内，按照谈判文件确定的合同文本以及成交标的、技术和服务等事项与采购人签订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给采购人造成损失的，成交供应商应当予以赔偿。</w:t>
      </w:r>
    </w:p>
    <w:p>
      <w:pPr>
        <w:widowControl w:val="0"/>
        <w:adjustRightInd w:val="0"/>
        <w:snapToGrid w:val="0"/>
        <w:spacing w:before="156" w:beforeLines="50" w:line="300" w:lineRule="auto"/>
        <w:ind w:firstLine="566"/>
        <w:rPr>
          <w:rFonts w:ascii="宋体" w:hAnsi="宋体"/>
          <w:color w:val="auto"/>
          <w:sz w:val="24"/>
          <w:szCs w:val="24"/>
        </w:rPr>
      </w:pPr>
      <w:r>
        <w:rPr>
          <w:rFonts w:ascii="宋体" w:hAnsi="宋体"/>
          <w:color w:val="auto"/>
          <w:sz w:val="24"/>
          <w:szCs w:val="24"/>
        </w:rPr>
        <w:t>7.6.3</w:t>
      </w:r>
      <w:r>
        <w:rPr>
          <w:rFonts w:hint="eastAsia" w:ascii="宋体" w:hAnsi="宋体"/>
          <w:color w:val="auto"/>
          <w:sz w:val="24"/>
          <w:szCs w:val="24"/>
        </w:rPr>
        <w:t xml:space="preserve"> 合同生效：成交供应商与采购人签订的合同，双方签字后盖章生效</w:t>
      </w:r>
      <w:r>
        <w:rPr>
          <w:rFonts w:hint="eastAsia"/>
          <w:color w:val="auto"/>
          <w:sz w:val="24"/>
          <w:szCs w:val="24"/>
        </w:rPr>
        <w:t>。</w:t>
      </w:r>
      <w:r>
        <w:rPr>
          <w:rFonts w:hint="eastAsia" w:ascii="宋体" w:hAnsi="宋体"/>
          <w:color w:val="auto"/>
          <w:sz w:val="24"/>
          <w:szCs w:val="24"/>
        </w:rPr>
        <w:t>采购人要在合同签订后1个工作日内登陆安阳市政府采购网进行备案并公告。</w:t>
      </w:r>
    </w:p>
    <w:p>
      <w:pPr>
        <w:widowControl w:val="0"/>
        <w:adjustRightInd w:val="0"/>
        <w:snapToGrid w:val="0"/>
        <w:spacing w:before="156" w:beforeLines="50" w:line="300" w:lineRule="auto"/>
        <w:ind w:firstLine="549"/>
        <w:rPr>
          <w:rFonts w:ascii="宋体" w:hAnsi="宋体"/>
          <w:color w:val="auto"/>
          <w:sz w:val="24"/>
          <w:szCs w:val="24"/>
        </w:rPr>
      </w:pPr>
      <w:r>
        <w:rPr>
          <w:rFonts w:ascii="宋体" w:hAnsi="宋体"/>
          <w:color w:val="auto"/>
          <w:sz w:val="24"/>
          <w:szCs w:val="24"/>
        </w:rPr>
        <w:t>7.6.4</w:t>
      </w:r>
      <w:r>
        <w:rPr>
          <w:rFonts w:hint="eastAsia" w:ascii="宋体" w:hAnsi="宋体"/>
          <w:color w:val="auto"/>
          <w:sz w:val="24"/>
          <w:szCs w:val="24"/>
        </w:rPr>
        <w:t>《成交通知书》、谈判文件</w:t>
      </w:r>
      <w:r>
        <w:rPr>
          <w:rFonts w:hint="eastAsia" w:ascii="宋体" w:hAnsi="宋体"/>
          <w:color w:val="auto"/>
          <w:spacing w:val="20"/>
          <w:sz w:val="24"/>
          <w:szCs w:val="24"/>
        </w:rPr>
        <w:t>及其修改补充澄清</w:t>
      </w:r>
      <w:r>
        <w:rPr>
          <w:rFonts w:hint="eastAsia" w:ascii="宋体" w:hAnsi="宋体"/>
          <w:color w:val="auto"/>
          <w:sz w:val="24"/>
          <w:szCs w:val="24"/>
        </w:rPr>
        <w:t>、成交供应商的投标文件及</w:t>
      </w:r>
      <w:r>
        <w:rPr>
          <w:rFonts w:hint="eastAsia" w:ascii="宋体" w:hAnsi="宋体"/>
          <w:color w:val="auto"/>
          <w:spacing w:val="20"/>
          <w:sz w:val="24"/>
          <w:szCs w:val="24"/>
        </w:rPr>
        <w:t>及其修改补充澄清</w:t>
      </w:r>
      <w:r>
        <w:rPr>
          <w:rFonts w:hint="eastAsia" w:ascii="宋体" w:hAnsi="宋体"/>
          <w:color w:val="auto"/>
          <w:sz w:val="24"/>
          <w:szCs w:val="24"/>
        </w:rPr>
        <w:t>等，均为签订合同的依据。所定合同不得对谈判文件和成交供应商的投标文件作实质性修改，采购人和成交供应商不得私下订立背离合同实质性内容的协议。</w:t>
      </w:r>
    </w:p>
    <w:p>
      <w:pPr>
        <w:widowControl w:val="0"/>
        <w:adjustRightInd w:val="0"/>
        <w:snapToGrid w:val="0"/>
        <w:spacing w:before="156" w:beforeLines="50" w:line="300" w:lineRule="auto"/>
        <w:ind w:firstLine="549"/>
        <w:rPr>
          <w:rFonts w:ascii="宋体" w:hAnsi="宋体"/>
          <w:color w:val="auto"/>
          <w:sz w:val="24"/>
          <w:szCs w:val="24"/>
        </w:rPr>
      </w:pPr>
      <w:r>
        <w:rPr>
          <w:rFonts w:ascii="宋体" w:hAnsi="宋体"/>
          <w:color w:val="auto"/>
          <w:sz w:val="24"/>
          <w:szCs w:val="24"/>
        </w:rPr>
        <w:t xml:space="preserve">7.6.5 </w:t>
      </w:r>
      <w:r>
        <w:rPr>
          <w:rFonts w:hint="eastAsia" w:ascii="宋体" w:hAnsi="宋体"/>
          <w:color w:val="auto"/>
          <w:sz w:val="24"/>
          <w:szCs w:val="24"/>
        </w:rPr>
        <w:t>评审会后，成交供应商、采购人之间擅自私下谈判、变更中标（成交）标的、价格及</w:t>
      </w:r>
      <w:r>
        <w:rPr>
          <w:rFonts w:hint="eastAsia" w:ascii="宋体" w:hAnsi="宋体"/>
          <w:color w:val="auto"/>
          <w:sz w:val="24"/>
        </w:rPr>
        <w:t>招投</w:t>
      </w:r>
      <w:r>
        <w:rPr>
          <w:rFonts w:hint="eastAsia" w:ascii="宋体" w:hAnsi="宋体"/>
          <w:color w:val="auto"/>
          <w:sz w:val="24"/>
          <w:szCs w:val="24"/>
        </w:rPr>
        <w:t>标文件实质性内容的，有关部门将按《中华人民共和国政府采购法》及相关法规的规定处理。</w:t>
      </w:r>
    </w:p>
    <w:p>
      <w:pPr>
        <w:widowControl w:val="0"/>
        <w:adjustRightInd w:val="0"/>
        <w:snapToGrid w:val="0"/>
        <w:spacing w:before="156" w:beforeLines="50" w:line="300" w:lineRule="auto"/>
        <w:ind w:firstLine="549"/>
        <w:rPr>
          <w:color w:val="auto"/>
          <w:sz w:val="24"/>
          <w:szCs w:val="24"/>
        </w:rPr>
      </w:pPr>
      <w:r>
        <w:rPr>
          <w:rFonts w:ascii="宋体" w:hAnsi="宋体"/>
          <w:color w:val="auto"/>
          <w:sz w:val="24"/>
          <w:szCs w:val="24"/>
        </w:rPr>
        <w:t>7.6.</w:t>
      </w:r>
      <w:r>
        <w:rPr>
          <w:rFonts w:hint="eastAsia" w:ascii="宋体" w:hAnsi="宋体"/>
          <w:color w:val="auto"/>
          <w:sz w:val="24"/>
          <w:szCs w:val="24"/>
        </w:rPr>
        <w:t>6</w:t>
      </w:r>
      <w:r>
        <w:rPr>
          <w:rFonts w:ascii="宋体" w:hAnsi="宋体"/>
          <w:color w:val="auto"/>
          <w:sz w:val="24"/>
          <w:szCs w:val="24"/>
        </w:rPr>
        <w:t xml:space="preserve"> </w:t>
      </w:r>
      <w:r>
        <w:rPr>
          <w:rFonts w:hint="eastAsia" w:ascii="宋体" w:hAnsi="宋体"/>
          <w:color w:val="auto"/>
          <w:sz w:val="24"/>
          <w:szCs w:val="24"/>
        </w:rPr>
        <w:t>采购人与成交供应商签订《政府采购合同》后，合同履行中产生的纠纷、争议，由采购人与成交供应</w:t>
      </w:r>
      <w:r>
        <w:rPr>
          <w:rFonts w:hint="eastAsia"/>
          <w:color w:val="auto"/>
          <w:sz w:val="24"/>
          <w:szCs w:val="24"/>
        </w:rPr>
        <w:t>商按合同条款及《中华人民共和国民法典》处理。</w:t>
      </w:r>
    </w:p>
    <w:p>
      <w:pPr>
        <w:widowControl w:val="0"/>
        <w:adjustRightInd w:val="0"/>
        <w:snapToGrid w:val="0"/>
        <w:spacing w:before="156" w:beforeLines="50" w:line="300" w:lineRule="auto"/>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pPr>
        <w:widowControl w:val="0"/>
        <w:adjustRightInd w:val="0"/>
        <w:snapToGrid w:val="0"/>
        <w:spacing w:before="156" w:beforeLines="50" w:line="300" w:lineRule="auto"/>
        <w:ind w:firstLine="555"/>
        <w:rPr>
          <w:rFonts w:ascii="宋体" w:hAnsi="宋体"/>
          <w:color w:val="auto"/>
          <w:sz w:val="24"/>
          <w:szCs w:val="24"/>
        </w:rPr>
      </w:pPr>
      <w:r>
        <w:rPr>
          <w:rFonts w:ascii="宋体" w:hAnsi="宋体"/>
          <w:color w:val="auto"/>
          <w:sz w:val="24"/>
          <w:szCs w:val="24"/>
        </w:rPr>
        <w:t xml:space="preserve">7.7.1 </w:t>
      </w:r>
      <w:r>
        <w:rPr>
          <w:rFonts w:hint="eastAsia" w:ascii="宋体" w:hAnsi="宋体"/>
          <w:color w:val="auto"/>
          <w:sz w:val="24"/>
          <w:szCs w:val="24"/>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rPr>
        <w:t>10%</w:t>
      </w:r>
      <w:r>
        <w:rPr>
          <w:rFonts w:hint="eastAsia" w:ascii="宋体" w:hAnsi="宋体"/>
          <w:color w:val="auto"/>
          <w:sz w:val="24"/>
          <w:szCs w:val="24"/>
        </w:rPr>
        <w:t>，不得调增原合同单价，不得超出项目预算，超过原合同采购金额的</w:t>
      </w:r>
      <w:r>
        <w:rPr>
          <w:rFonts w:ascii="宋体" w:hAnsi="宋体"/>
          <w:color w:val="auto"/>
          <w:sz w:val="24"/>
          <w:szCs w:val="24"/>
        </w:rPr>
        <w:t>10%</w:t>
      </w:r>
      <w:r>
        <w:rPr>
          <w:rFonts w:hint="eastAsia" w:ascii="宋体" w:hAnsi="宋体"/>
          <w:color w:val="auto"/>
          <w:sz w:val="24"/>
          <w:szCs w:val="24"/>
        </w:rPr>
        <w:t>，应重新组织采购活动。</w:t>
      </w:r>
    </w:p>
    <w:p>
      <w:pPr>
        <w:widowControl w:val="0"/>
        <w:adjustRightInd w:val="0"/>
        <w:snapToGrid w:val="0"/>
        <w:spacing w:before="156" w:beforeLines="50" w:line="300" w:lineRule="auto"/>
        <w:ind w:firstLine="555"/>
        <w:rPr>
          <w:color w:val="auto"/>
          <w:sz w:val="24"/>
          <w:szCs w:val="24"/>
        </w:rPr>
      </w:pPr>
      <w:r>
        <w:rPr>
          <w:rFonts w:ascii="宋体" w:hAnsi="宋体"/>
          <w:b/>
          <w:color w:val="auto"/>
          <w:sz w:val="24"/>
          <w:szCs w:val="24"/>
        </w:rPr>
        <w:t xml:space="preserve">7.7.2 </w:t>
      </w:r>
      <w:r>
        <w:rPr>
          <w:rFonts w:hint="eastAsia" w:ascii="宋体" w:hAnsi="宋体"/>
          <w:color w:val="auto"/>
          <w:sz w:val="24"/>
          <w:szCs w:val="24"/>
        </w:rPr>
        <w:t>采购人需追加或减少的货物、工程和服务的金额达到</w:t>
      </w:r>
      <w:r>
        <w:rPr>
          <w:rFonts w:ascii="宋体" w:hAnsi="宋体"/>
          <w:color w:val="auto"/>
          <w:sz w:val="24"/>
          <w:szCs w:val="24"/>
        </w:rPr>
        <w:t>50</w:t>
      </w:r>
      <w:r>
        <w:rPr>
          <w:rFonts w:hint="eastAsia" w:ascii="宋体" w:hAnsi="宋体"/>
          <w:color w:val="auto"/>
          <w:sz w:val="24"/>
          <w:szCs w:val="24"/>
        </w:rPr>
        <w:t>万元以</w:t>
      </w:r>
      <w:r>
        <w:rPr>
          <w:rFonts w:hint="eastAsia"/>
          <w:color w:val="auto"/>
          <w:sz w:val="24"/>
          <w:szCs w:val="24"/>
        </w:rPr>
        <w:t>上（含</w:t>
      </w:r>
      <w:r>
        <w:rPr>
          <w:color w:val="auto"/>
          <w:sz w:val="24"/>
          <w:szCs w:val="24"/>
        </w:rPr>
        <w:t>50</w:t>
      </w:r>
      <w:r>
        <w:rPr>
          <w:rFonts w:hint="eastAsia"/>
          <w:color w:val="auto"/>
          <w:sz w:val="24"/>
          <w:szCs w:val="24"/>
        </w:rPr>
        <w:t>万元）、且超过中标（成交）价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before="156" w:beforeLines="50" w:line="300" w:lineRule="auto"/>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before="156" w:beforeLines="50" w:line="300" w:lineRule="auto"/>
        <w:ind w:firstLine="555"/>
        <w:rPr>
          <w:color w:val="auto"/>
          <w:sz w:val="24"/>
          <w:szCs w:val="24"/>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1" w:name="_Toc150758838"/>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1"/>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8.1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156"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156" w:beforeLines="50" w:line="300" w:lineRule="auto"/>
        <w:ind w:firstLine="561"/>
        <w:rPr>
          <w:rFonts w:ascii="宋体" w:hAnsi="宋体" w:cs="楷体_GB2312"/>
          <w:color w:val="auto"/>
          <w:sz w:val="24"/>
        </w:rPr>
      </w:pPr>
      <w:r>
        <w:rPr>
          <w:rFonts w:ascii="宋体" w:hAnsi="宋体" w:cs="楷体_GB2312"/>
          <w:color w:val="auto"/>
          <w:sz w:val="24"/>
          <w:lang w:val="zh-CN"/>
        </w:rPr>
        <w:t>8.</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color w:val="auto"/>
          <w:sz w:val="24"/>
          <w:lang w:val="zh-CN"/>
        </w:rPr>
        <w:t>8.</w:t>
      </w: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8.6 验收公告的时限：采购人要在政府采购项目验收完成后1个工作日内登陆安阳市政府采购网进行验收公告。</w:t>
      </w:r>
    </w:p>
    <w:p>
      <w:pPr>
        <w:widowControl w:val="0"/>
        <w:adjustRightInd w:val="0"/>
        <w:snapToGrid w:val="0"/>
        <w:spacing w:before="156" w:beforeLines="50" w:line="300" w:lineRule="auto"/>
        <w:ind w:firstLine="561"/>
        <w:rPr>
          <w:rFonts w:ascii="宋体" w:cs="楷体_GB2312"/>
          <w:color w:val="auto"/>
          <w:sz w:val="24"/>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2" w:name="_Toc150758839"/>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2"/>
    </w:p>
    <w:p>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color w:val="auto"/>
          <w:sz w:val="24"/>
          <w:lang w:val="zh-CN"/>
        </w:rPr>
        <w:t>见投标人须知前附表</w:t>
      </w:r>
    </w:p>
    <w:p>
      <w:pPr>
        <w:widowControl w:val="0"/>
        <w:adjustRightInd w:val="0"/>
        <w:snapToGrid w:val="0"/>
        <w:spacing w:before="156" w:beforeLines="50" w:line="300" w:lineRule="auto"/>
        <w:ind w:firstLine="561"/>
        <w:rPr>
          <w:rFonts w:ascii="黑体" w:hAnsi="黑体" w:eastAsia="黑体" w:cs="楷体_GB2312"/>
          <w:b/>
          <w:bCs/>
          <w:color w:val="auto"/>
          <w:sz w:val="28"/>
          <w:szCs w:val="28"/>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3" w:name="_Toc150758840"/>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3"/>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10.1 </w:t>
      </w:r>
      <w:r>
        <w:rPr>
          <w:rFonts w:hint="eastAsia" w:ascii="宋体" w:hAnsi="宋体" w:cs="楷体_GB2312"/>
          <w:color w:val="auto"/>
          <w:sz w:val="24"/>
          <w:lang w:val="zh-CN"/>
        </w:rPr>
        <w:t>中标服务费等：见投标人须知前附表</w:t>
      </w:r>
    </w:p>
    <w:p>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 xml:space="preserve">10.2 </w:t>
      </w:r>
      <w:r>
        <w:rPr>
          <w:rFonts w:hint="eastAsia" w:ascii="宋体" w:hAnsi="宋体" w:cs="楷体_GB2312"/>
          <w:color w:val="auto"/>
          <w:sz w:val="24"/>
          <w:lang w:val="zh-CN"/>
        </w:rPr>
        <w:t>同义解释。谈判文件中：“投标”同义“提交响应文件”，“投标人”同义“提交响应文件的供应商”，“投标文件”同义“响应文件”，</w:t>
      </w:r>
      <w:r>
        <w:rPr>
          <w:rFonts w:hint="eastAsia" w:ascii="宋体" w:cs="楷体_GB2312"/>
          <w:color w:val="auto"/>
          <w:sz w:val="24"/>
          <w:lang w:val="zh-CN"/>
        </w:rPr>
        <w:t>“</w:t>
      </w:r>
      <w:r>
        <w:rPr>
          <w:rFonts w:hint="eastAsia" w:ascii="宋体" w:hAnsi="宋体" w:cs="楷体_GB2312"/>
          <w:color w:val="auto"/>
          <w:sz w:val="24"/>
          <w:lang w:val="zh-CN"/>
        </w:rPr>
        <w:t>开标”同义“响应文件的开启</w:t>
      </w:r>
      <w:r>
        <w:rPr>
          <w:rFonts w:hint="eastAsia" w:ascii="宋体" w:cs="楷体_GB2312"/>
          <w:color w:val="auto"/>
          <w:sz w:val="24"/>
          <w:lang w:val="zh-CN"/>
        </w:rPr>
        <w:t>”</w:t>
      </w:r>
      <w:r>
        <w:rPr>
          <w:rFonts w:hint="eastAsia" w:ascii="宋体" w:hAnsi="宋体" w:cs="楷体_GB2312"/>
          <w:color w:val="auto"/>
          <w:sz w:val="24"/>
          <w:lang w:val="zh-CN"/>
        </w:rPr>
        <w:t>，“中标”同义“成交”，“中标供应商”同义“成交供应商</w:t>
      </w:r>
      <w:r>
        <w:rPr>
          <w:rFonts w:hint="eastAsia" w:ascii="宋体" w:cs="楷体_GB2312"/>
          <w:color w:val="auto"/>
          <w:sz w:val="24"/>
          <w:lang w:val="zh-CN"/>
        </w:rPr>
        <w:t>”。</w:t>
      </w:r>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投标人资格条件中包含非法人单位的，谈判文件中法定代表人一词相应包含表示证照标示的负责人；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投标人资格条件中包含自然人的，谈判文件中法定代表人一词相应包含表示自然人，自然人应由其本人签署投标文件、参加投标，不应再授权他人。</w:t>
      </w:r>
    </w:p>
    <w:p>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谈判文件第一章至第四章各章中，用序号标示条、款、项、目，例如：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4" w:name="_Toc58858635"/>
      <w:bookmarkStart w:id="35" w:name="_Toc150758841"/>
      <w:r>
        <w:rPr>
          <w:rFonts w:hint="eastAsia" w:ascii="黑体" w:hAnsi="黑体" w:eastAsia="黑体" w:cs="楷体_GB2312"/>
          <w:b/>
          <w:bCs/>
          <w:color w:val="auto"/>
          <w:sz w:val="28"/>
          <w:szCs w:val="28"/>
          <w:lang w:val="zh-CN"/>
        </w:rPr>
        <w:t>11. 河南省政府采购合同融资政策告知函</w:t>
      </w:r>
      <w:bookmarkEnd w:id="34"/>
      <w:bookmarkEnd w:id="35"/>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各供应商：</w:t>
      </w:r>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pPr>
        <w:widowControl w:val="0"/>
        <w:snapToGrid w:val="0"/>
        <w:spacing w:line="560" w:lineRule="exact"/>
        <w:jc w:val="left"/>
        <w:rPr>
          <w:rFonts w:ascii="宋体" w:hAnsi="宋体"/>
          <w:b/>
          <w:color w:val="auto"/>
          <w:sz w:val="24"/>
          <w:szCs w:val="24"/>
        </w:rPr>
      </w:pPr>
      <w:r>
        <w:rPr>
          <w:rFonts w:eastAsia="黑体"/>
          <w:b/>
          <w:color w:val="auto"/>
          <w:sz w:val="44"/>
        </w:rPr>
        <w:br w:type="page"/>
      </w:r>
    </w:p>
    <w:p>
      <w:pPr>
        <w:widowControl w:val="0"/>
        <w:snapToGrid w:val="0"/>
        <w:spacing w:line="360" w:lineRule="auto"/>
        <w:ind w:firstLine="567"/>
        <w:jc w:val="center"/>
        <w:outlineLvl w:val="0"/>
        <w:rPr>
          <w:rFonts w:ascii="黑体" w:hAnsi="黑体" w:eastAsia="黑体"/>
          <w:b/>
          <w:color w:val="auto"/>
          <w:sz w:val="36"/>
          <w:szCs w:val="36"/>
          <w:lang w:val="zh-CN"/>
        </w:rPr>
      </w:pPr>
      <w:bookmarkStart w:id="36" w:name="_Toc150758842"/>
      <w:r>
        <w:rPr>
          <w:rFonts w:hint="eastAsia" w:ascii="黑体" w:hAnsi="黑体" w:eastAsia="黑体"/>
          <w:b/>
          <w:color w:val="auto"/>
          <w:sz w:val="36"/>
          <w:szCs w:val="36"/>
          <w:lang w:val="zh-CN"/>
        </w:rPr>
        <w:t>第四章 评审办法</w:t>
      </w:r>
      <w:bookmarkEnd w:id="36"/>
    </w:p>
    <w:p>
      <w:pPr>
        <w:widowControl w:val="0"/>
        <w:snapToGrid w:val="0"/>
        <w:spacing w:line="360" w:lineRule="auto"/>
        <w:ind w:firstLine="567"/>
        <w:jc w:val="center"/>
        <w:outlineLvl w:val="0"/>
        <w:rPr>
          <w:b/>
          <w:color w:val="auto"/>
          <w:sz w:val="24"/>
          <w:szCs w:val="24"/>
        </w:rPr>
      </w:pPr>
    </w:p>
    <w:p>
      <w:pPr>
        <w:spacing w:line="500" w:lineRule="exact"/>
        <w:jc w:val="left"/>
        <w:outlineLvl w:val="1"/>
        <w:rPr>
          <w:rFonts w:ascii="黑体" w:hAnsi="黑体" w:eastAsia="黑体"/>
          <w:b/>
          <w:color w:val="auto"/>
          <w:sz w:val="28"/>
          <w:szCs w:val="28"/>
          <w:lang w:val="zh-CN"/>
        </w:rPr>
      </w:pPr>
      <w:bookmarkStart w:id="37" w:name="_Toc150758843"/>
      <w:r>
        <w:rPr>
          <w:rFonts w:hint="eastAsia" w:ascii="黑体" w:hAnsi="黑体" w:eastAsia="黑体"/>
          <w:b/>
          <w:color w:val="auto"/>
          <w:sz w:val="28"/>
          <w:szCs w:val="28"/>
        </w:rPr>
        <w:t>评审办法前附表</w:t>
      </w:r>
      <w:bookmarkEnd w:id="37"/>
    </w:p>
    <w:tbl>
      <w:tblPr>
        <w:tblStyle w:val="1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pPr>
              <w:pStyle w:val="49"/>
              <w:jc w:val="center"/>
              <w:rPr>
                <w:rFonts w:hAnsi="宋体"/>
                <w:b/>
                <w:color w:val="auto"/>
                <w:szCs w:val="24"/>
              </w:rPr>
            </w:pPr>
            <w:r>
              <w:rPr>
                <w:rFonts w:hint="eastAsia" w:hAnsi="宋体"/>
                <w:b/>
                <w:color w:val="auto"/>
                <w:szCs w:val="24"/>
              </w:rPr>
              <w:t>条款号</w:t>
            </w:r>
          </w:p>
        </w:tc>
        <w:tc>
          <w:tcPr>
            <w:tcW w:w="3177" w:type="dxa"/>
            <w:gridSpan w:val="2"/>
            <w:vAlign w:val="center"/>
          </w:tcPr>
          <w:p>
            <w:pPr>
              <w:pStyle w:val="49"/>
              <w:jc w:val="center"/>
              <w:rPr>
                <w:rFonts w:hAnsi="宋体"/>
                <w:b/>
                <w:color w:val="auto"/>
                <w:szCs w:val="24"/>
              </w:rPr>
            </w:pPr>
            <w:r>
              <w:rPr>
                <w:rFonts w:hint="eastAsia" w:hAnsi="宋体"/>
                <w:b/>
                <w:color w:val="auto"/>
                <w:szCs w:val="24"/>
              </w:rPr>
              <w:t>评审因素</w:t>
            </w:r>
          </w:p>
        </w:tc>
        <w:tc>
          <w:tcPr>
            <w:tcW w:w="5736" w:type="dxa"/>
            <w:vAlign w:val="center"/>
          </w:tcPr>
          <w:p>
            <w:pPr>
              <w:pStyle w:val="49"/>
              <w:jc w:val="center"/>
              <w:rPr>
                <w:rFonts w:hAnsi="宋体"/>
                <w:b/>
                <w:color w:val="auto"/>
                <w:szCs w:val="24"/>
              </w:rPr>
            </w:pPr>
            <w:r>
              <w:rPr>
                <w:rFonts w:hint="eastAsia" w:hAnsi="宋体"/>
                <w:b/>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pPr>
              <w:pStyle w:val="49"/>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pPr>
              <w:pStyle w:val="49"/>
              <w:jc w:val="center"/>
              <w:rPr>
                <w:rFonts w:hAnsi="宋体"/>
                <w:color w:val="auto"/>
                <w:szCs w:val="24"/>
              </w:rPr>
            </w:pPr>
            <w:r>
              <w:rPr>
                <w:rFonts w:hint="eastAsia" w:hAnsi="宋体"/>
                <w:color w:val="auto"/>
                <w:szCs w:val="24"/>
              </w:rPr>
              <w:t>资</w:t>
            </w:r>
          </w:p>
          <w:p>
            <w:pPr>
              <w:pStyle w:val="49"/>
              <w:jc w:val="center"/>
              <w:rPr>
                <w:rFonts w:hAnsi="宋体"/>
                <w:color w:val="auto"/>
                <w:szCs w:val="24"/>
              </w:rPr>
            </w:pPr>
            <w:r>
              <w:rPr>
                <w:rFonts w:hint="eastAsia" w:hAnsi="宋体"/>
                <w:color w:val="auto"/>
                <w:szCs w:val="24"/>
              </w:rPr>
              <w:t>格</w:t>
            </w:r>
          </w:p>
          <w:p>
            <w:pPr>
              <w:pStyle w:val="49"/>
              <w:jc w:val="center"/>
              <w:rPr>
                <w:rFonts w:hAnsi="宋体"/>
                <w:color w:val="auto"/>
                <w:szCs w:val="24"/>
              </w:rPr>
            </w:pPr>
            <w:r>
              <w:rPr>
                <w:rFonts w:hint="eastAsia" w:hAnsi="宋体"/>
                <w:color w:val="auto"/>
                <w:szCs w:val="24"/>
              </w:rPr>
              <w:t>性</w:t>
            </w:r>
          </w:p>
          <w:p>
            <w:pPr>
              <w:pStyle w:val="49"/>
              <w:jc w:val="center"/>
              <w:rPr>
                <w:rFonts w:hAnsi="宋体"/>
                <w:color w:val="auto"/>
                <w:szCs w:val="24"/>
              </w:rPr>
            </w:pPr>
            <w:r>
              <w:rPr>
                <w:rFonts w:hint="eastAsia" w:hAnsi="宋体"/>
                <w:color w:val="auto"/>
                <w:szCs w:val="24"/>
              </w:rPr>
              <w:t>审</w:t>
            </w:r>
          </w:p>
          <w:p>
            <w:pPr>
              <w:pStyle w:val="49"/>
              <w:jc w:val="center"/>
              <w:rPr>
                <w:rFonts w:hAnsi="宋体"/>
                <w:color w:val="auto"/>
                <w:szCs w:val="24"/>
              </w:rPr>
            </w:pPr>
            <w:r>
              <w:rPr>
                <w:rFonts w:hint="eastAsia" w:hAnsi="宋体"/>
                <w:color w:val="auto"/>
                <w:szCs w:val="24"/>
              </w:rPr>
              <w:t>查</w:t>
            </w:r>
          </w:p>
        </w:tc>
        <w:tc>
          <w:tcPr>
            <w:tcW w:w="3177" w:type="dxa"/>
            <w:gridSpan w:val="2"/>
            <w:vAlign w:val="center"/>
          </w:tcPr>
          <w:p>
            <w:pPr>
              <w:widowControl w:val="0"/>
              <w:snapToGrid w:val="0"/>
              <w:spacing w:line="240" w:lineRule="auto"/>
              <w:rPr>
                <w:rFonts w:ascii="宋体"/>
                <w:color w:val="auto"/>
                <w:sz w:val="24"/>
                <w:szCs w:val="24"/>
              </w:rPr>
            </w:pPr>
            <w:r>
              <w:rPr>
                <w:rFonts w:hint="eastAsia"/>
                <w:color w:val="auto"/>
                <w:sz w:val="24"/>
                <w:szCs w:val="24"/>
              </w:rPr>
              <w:t>第一章“谈判公告”第</w:t>
            </w:r>
            <w:r>
              <w:rPr>
                <w:color w:val="auto"/>
                <w:sz w:val="24"/>
                <w:szCs w:val="24"/>
              </w:rPr>
              <w:t>2</w:t>
            </w:r>
            <w:r>
              <w:rPr>
                <w:rFonts w:hint="eastAsia"/>
                <w:color w:val="auto"/>
                <w:sz w:val="24"/>
                <w:szCs w:val="24"/>
              </w:rPr>
              <w:t>条各项资格要求</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符合第一章“谈判公告”第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投标承诺函</w:t>
            </w:r>
          </w:p>
          <w:p>
            <w:pPr>
              <w:widowControl w:val="0"/>
              <w:snapToGrid w:val="0"/>
              <w:spacing w:line="240" w:lineRule="auto"/>
              <w:rPr>
                <w:color w:val="auto"/>
                <w:sz w:val="24"/>
                <w:szCs w:val="24"/>
              </w:rPr>
            </w:pPr>
            <w:r>
              <w:rPr>
                <w:rFonts w:hint="eastAsia"/>
                <w:color w:val="auto"/>
                <w:sz w:val="24"/>
                <w:szCs w:val="24"/>
              </w:rPr>
              <w:t>(替代投标保证金)</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3.5</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1.4</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49"/>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pPr>
              <w:pStyle w:val="49"/>
              <w:spacing w:line="360" w:lineRule="auto"/>
              <w:jc w:val="center"/>
              <w:rPr>
                <w:rFonts w:hAnsi="宋体"/>
                <w:color w:val="auto"/>
                <w:szCs w:val="24"/>
              </w:rPr>
            </w:pPr>
            <w:r>
              <w:rPr>
                <w:rFonts w:hint="eastAsia" w:hAnsi="宋体"/>
                <w:color w:val="auto"/>
                <w:szCs w:val="24"/>
              </w:rPr>
              <w:t>符</w:t>
            </w:r>
          </w:p>
          <w:p>
            <w:pPr>
              <w:pStyle w:val="49"/>
              <w:spacing w:line="360" w:lineRule="auto"/>
              <w:jc w:val="center"/>
              <w:rPr>
                <w:rFonts w:hAnsi="宋体"/>
                <w:color w:val="auto"/>
                <w:szCs w:val="24"/>
              </w:rPr>
            </w:pPr>
            <w:r>
              <w:rPr>
                <w:rFonts w:hint="eastAsia" w:hAnsi="宋体"/>
                <w:color w:val="auto"/>
                <w:szCs w:val="24"/>
              </w:rPr>
              <w:t>合</w:t>
            </w:r>
          </w:p>
          <w:p>
            <w:pPr>
              <w:pStyle w:val="49"/>
              <w:spacing w:line="360" w:lineRule="auto"/>
              <w:jc w:val="center"/>
              <w:rPr>
                <w:rFonts w:hAnsi="宋体"/>
                <w:color w:val="auto"/>
                <w:szCs w:val="24"/>
              </w:rPr>
            </w:pPr>
            <w:r>
              <w:rPr>
                <w:rFonts w:hint="eastAsia" w:hAnsi="宋体"/>
                <w:color w:val="auto"/>
                <w:szCs w:val="24"/>
              </w:rPr>
              <w:t>性</w:t>
            </w:r>
          </w:p>
          <w:p>
            <w:pPr>
              <w:pStyle w:val="49"/>
              <w:spacing w:line="360" w:lineRule="auto"/>
              <w:jc w:val="center"/>
              <w:rPr>
                <w:rFonts w:hAnsi="宋体"/>
                <w:color w:val="auto"/>
                <w:szCs w:val="24"/>
              </w:rPr>
            </w:pPr>
            <w:r>
              <w:rPr>
                <w:rFonts w:hint="eastAsia" w:hAnsi="宋体"/>
                <w:color w:val="auto"/>
                <w:szCs w:val="24"/>
              </w:rPr>
              <w:t>审</w:t>
            </w:r>
          </w:p>
          <w:p>
            <w:pPr>
              <w:pStyle w:val="49"/>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pPr>
              <w:pStyle w:val="49"/>
              <w:adjustRightInd/>
              <w:snapToGrid w:val="0"/>
              <w:jc w:val="center"/>
              <w:rPr>
                <w:rFonts w:hAnsi="宋体"/>
                <w:color w:val="auto"/>
                <w:szCs w:val="24"/>
              </w:rPr>
            </w:pPr>
            <w:r>
              <w:rPr>
                <w:rFonts w:hint="eastAsia" w:hAnsi="宋体"/>
                <w:color w:val="auto"/>
                <w:szCs w:val="24"/>
              </w:rPr>
              <w:t>有效性</w:t>
            </w: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投标人名称</w:t>
            </w:r>
          </w:p>
        </w:tc>
        <w:tc>
          <w:tcPr>
            <w:tcW w:w="5736" w:type="dxa"/>
            <w:vAlign w:val="center"/>
          </w:tcPr>
          <w:p>
            <w:pPr>
              <w:pStyle w:val="49"/>
              <w:adjustRightInd/>
              <w:snapToGrid w:val="0"/>
              <w:rPr>
                <w:rFonts w:hAnsi="宋体"/>
                <w:color w:val="auto"/>
                <w:szCs w:val="24"/>
              </w:rPr>
            </w:pPr>
            <w:r>
              <w:rPr>
                <w:rFonts w:hint="eastAsia" w:hAnsi="宋体"/>
                <w:color w:val="auto"/>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3.7.4</w:t>
            </w:r>
            <w:r>
              <w:rPr>
                <w:rFonts w:hint="eastAsia" w:hAnsi="宋体"/>
                <w:color w:val="auto"/>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Align w:val="center"/>
          </w:tcPr>
          <w:p>
            <w:pPr>
              <w:pStyle w:val="49"/>
              <w:adjustRightInd/>
              <w:snapToGrid w:val="0"/>
              <w:jc w:val="center"/>
              <w:rPr>
                <w:rFonts w:hAnsi="宋体"/>
                <w:color w:val="auto"/>
                <w:szCs w:val="24"/>
              </w:rPr>
            </w:pPr>
            <w:r>
              <w:rPr>
                <w:rFonts w:hint="eastAsia" w:hAnsi="宋体"/>
                <w:color w:val="auto"/>
                <w:szCs w:val="24"/>
              </w:rPr>
              <w:t>完整性</w:t>
            </w: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投标文件组成</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restart"/>
            <w:vAlign w:val="center"/>
          </w:tcPr>
          <w:p>
            <w:pPr>
              <w:pStyle w:val="49"/>
              <w:snapToGrid w:val="0"/>
              <w:jc w:val="center"/>
              <w:rPr>
                <w:rFonts w:hAnsi="宋体"/>
                <w:color w:val="auto"/>
                <w:szCs w:val="24"/>
              </w:rPr>
            </w:pPr>
            <w:r>
              <w:rPr>
                <w:rFonts w:hint="eastAsia" w:hAnsi="宋体"/>
                <w:color w:val="auto"/>
                <w:szCs w:val="24"/>
              </w:rPr>
              <w:t>响应程度</w:t>
            </w: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投标报价</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1.3</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投标内容</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交验期</w:t>
            </w:r>
          </w:p>
        </w:tc>
        <w:tc>
          <w:tcPr>
            <w:tcW w:w="5736" w:type="dxa"/>
            <w:vAlign w:val="center"/>
          </w:tcPr>
          <w:p>
            <w:pPr>
              <w:pStyle w:val="49"/>
              <w:adjustRightInd/>
              <w:snapToGrid w:val="0"/>
              <w:jc w:val="both"/>
              <w:rPr>
                <w:rFonts w:hAnsi="宋体"/>
                <w:color w:val="auto"/>
                <w:szCs w:val="24"/>
              </w:rPr>
            </w:pPr>
            <w:r>
              <w:rPr>
                <w:rFonts w:hint="eastAsia" w:hAnsi="宋体"/>
                <w:color w:val="auto"/>
                <w:szCs w:val="24"/>
              </w:rPr>
              <w:t>符合第二章“采购项目及技术服务要求”</w:t>
            </w:r>
            <w:r>
              <w:rPr>
                <w:rFonts w:hAnsi="宋体"/>
                <w:color w:val="auto"/>
                <w:szCs w:val="24"/>
              </w:rPr>
              <w:t>1.2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技术要求</w:t>
            </w:r>
          </w:p>
        </w:tc>
        <w:tc>
          <w:tcPr>
            <w:tcW w:w="5736" w:type="dxa"/>
            <w:vAlign w:val="center"/>
          </w:tcPr>
          <w:p>
            <w:pPr>
              <w:pStyle w:val="49"/>
              <w:adjustRightInd/>
              <w:snapToGrid w:val="0"/>
              <w:jc w:val="both"/>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售后服务</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符合第二章“采购项目及技术服务要求”</w:t>
            </w:r>
            <w:r>
              <w:rPr>
                <w:rFonts w:hAnsi="宋体" w:cs="宋体"/>
                <w:color w:val="auto"/>
                <w:szCs w:val="24"/>
              </w:rPr>
              <w:t xml:space="preserve"> 2.</w:t>
            </w:r>
            <w:r>
              <w:rPr>
                <w:rFonts w:hint="eastAsia" w:hAnsi="宋体" w:cs="宋体"/>
                <w:color w:val="auto"/>
                <w:szCs w:val="24"/>
              </w:rPr>
              <w:t>8款</w:t>
            </w:r>
            <w:r>
              <w:rPr>
                <w:rFonts w:hint="eastAsia" w:hAnsi="宋体"/>
                <w:color w:val="auto"/>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投标有效期</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3.4</w:t>
            </w:r>
            <w:r>
              <w:rPr>
                <w:rFonts w:hint="eastAsia" w:ascii="宋体" w:hAnsi="宋体"/>
                <w:color w:val="auto"/>
                <w:sz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投标文件格式</w:t>
            </w:r>
          </w:p>
        </w:tc>
        <w:tc>
          <w:tcPr>
            <w:tcW w:w="5736" w:type="dxa"/>
            <w:vAlign w:val="center"/>
          </w:tcPr>
          <w:p>
            <w:pPr>
              <w:pStyle w:val="49"/>
              <w:adjustRightInd/>
              <w:snapToGrid w:val="0"/>
              <w:rPr>
                <w:rFonts w:hAnsi="宋体"/>
                <w:color w:val="auto"/>
                <w:szCs w:val="24"/>
              </w:rPr>
            </w:pPr>
            <w:r>
              <w:rPr>
                <w:rFonts w:hint="eastAsia" w:hAnsi="宋体"/>
                <w:color w:val="auto"/>
                <w:szCs w:val="24"/>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rPr>
              <w:t>付款</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符合第三章“投标人须知”第</w:t>
            </w:r>
            <w:r>
              <w:rPr>
                <w:rFonts w:ascii="宋体" w:hAnsi="宋体"/>
                <w:color w:val="auto"/>
                <w:sz w:val="24"/>
              </w:rPr>
              <w:t>9</w:t>
            </w:r>
            <w:r>
              <w:rPr>
                <w:rFonts w:hint="eastAsia" w:ascii="宋体" w:hAnsi="宋体"/>
                <w:color w:val="auto"/>
                <w:sz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rPr>
            </w:pPr>
            <w:r>
              <w:rPr>
                <w:rFonts w:hint="eastAsia" w:hAnsi="宋体"/>
                <w:color w:val="auto"/>
              </w:rPr>
              <w:t>偏差描述</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3.7.3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snapToGrid w:val="0"/>
              <w:spacing w:line="240" w:lineRule="auto"/>
              <w:jc w:val="center"/>
              <w:rPr>
                <w:rFonts w:ascii="宋体"/>
                <w:color w:val="auto"/>
                <w:sz w:val="24"/>
              </w:rPr>
            </w:pPr>
          </w:p>
        </w:tc>
        <w:tc>
          <w:tcPr>
            <w:tcW w:w="2217" w:type="dxa"/>
            <w:vAlign w:val="center"/>
          </w:tcPr>
          <w:p>
            <w:pPr>
              <w:snapToGrid w:val="0"/>
              <w:spacing w:line="240" w:lineRule="auto"/>
              <w:jc w:val="center"/>
              <w:rPr>
                <w:rFonts w:ascii="宋体"/>
                <w:color w:val="auto"/>
                <w:sz w:val="24"/>
              </w:rPr>
            </w:pPr>
            <w:r>
              <w:rPr>
                <w:rFonts w:hint="eastAsia" w:ascii="宋体" w:hAnsi="宋体"/>
                <w:color w:val="auto"/>
                <w:sz w:val="24"/>
              </w:rPr>
              <w:t>谈判文件总体响应</w:t>
            </w:r>
          </w:p>
        </w:tc>
        <w:tc>
          <w:tcPr>
            <w:tcW w:w="5736" w:type="dxa"/>
            <w:vAlign w:val="center"/>
          </w:tcPr>
          <w:p>
            <w:pPr>
              <w:autoSpaceDE w:val="0"/>
              <w:autoSpaceDN w:val="0"/>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1.3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64" w:type="dxa"/>
            <w:vAlign w:val="center"/>
          </w:tcPr>
          <w:p>
            <w:pPr>
              <w:pStyle w:val="49"/>
              <w:spacing w:line="360" w:lineRule="auto"/>
              <w:ind w:right="-155" w:rightChars="-74"/>
              <w:jc w:val="center"/>
              <w:rPr>
                <w:rFonts w:hAnsi="宋体"/>
                <w:color w:val="auto"/>
                <w:szCs w:val="24"/>
              </w:rPr>
            </w:pPr>
            <w:r>
              <w:rPr>
                <w:rFonts w:hAnsi="宋体"/>
                <w:color w:val="auto"/>
                <w:szCs w:val="24"/>
              </w:rPr>
              <w:t>2.2</w:t>
            </w:r>
          </w:p>
        </w:tc>
        <w:tc>
          <w:tcPr>
            <w:tcW w:w="560" w:type="dxa"/>
            <w:vAlign w:val="center"/>
          </w:tcPr>
          <w:p>
            <w:pPr>
              <w:pStyle w:val="49"/>
              <w:jc w:val="center"/>
              <w:rPr>
                <w:rFonts w:hAnsi="宋体"/>
                <w:color w:val="auto"/>
                <w:szCs w:val="24"/>
              </w:rPr>
            </w:pPr>
            <w:r>
              <w:rPr>
                <w:rFonts w:hint="eastAsia" w:hAnsi="宋体"/>
                <w:color w:val="auto"/>
                <w:szCs w:val="24"/>
              </w:rPr>
              <w:t>详细评审</w:t>
            </w:r>
          </w:p>
        </w:tc>
        <w:tc>
          <w:tcPr>
            <w:tcW w:w="3177" w:type="dxa"/>
            <w:gridSpan w:val="2"/>
            <w:vAlign w:val="center"/>
          </w:tcPr>
          <w:p>
            <w:pPr>
              <w:pStyle w:val="49"/>
              <w:adjustRightInd/>
              <w:snapToGrid w:val="0"/>
              <w:jc w:val="center"/>
              <w:rPr>
                <w:rFonts w:hAnsi="宋体"/>
                <w:color w:val="auto"/>
                <w:szCs w:val="24"/>
              </w:rPr>
            </w:pPr>
            <w:r>
              <w:rPr>
                <w:rFonts w:hint="eastAsia" w:hAnsi="宋体"/>
                <w:color w:val="auto"/>
                <w:szCs w:val="24"/>
              </w:rPr>
              <w:t>小微企业价格扣除</w:t>
            </w:r>
          </w:p>
        </w:tc>
        <w:tc>
          <w:tcPr>
            <w:tcW w:w="5736" w:type="dxa"/>
            <w:vAlign w:val="center"/>
          </w:tcPr>
          <w:p>
            <w:pPr>
              <w:pStyle w:val="49"/>
              <w:adjustRightInd/>
              <w:snapToGrid w:val="0"/>
              <w:jc w:val="both"/>
              <w:rPr>
                <w:rFonts w:hAnsi="宋体"/>
                <w:color w:val="auto"/>
                <w:szCs w:val="24"/>
              </w:rPr>
            </w:pPr>
            <w:r>
              <w:rPr>
                <w:rFonts w:hint="eastAsia" w:hAnsi="宋体"/>
                <w:color w:val="auto"/>
                <w:szCs w:val="24"/>
              </w:rPr>
              <w:t>按照第四章“评审办法”第</w:t>
            </w:r>
            <w:r>
              <w:rPr>
                <w:rFonts w:hAnsi="宋体"/>
                <w:color w:val="auto"/>
                <w:szCs w:val="24"/>
              </w:rPr>
              <w:t>4</w:t>
            </w:r>
            <w:r>
              <w:rPr>
                <w:rFonts w:hint="eastAsia" w:hAnsi="宋体"/>
                <w:color w:val="auto"/>
                <w:szCs w:val="24"/>
              </w:rPr>
              <w:t>条规定</w:t>
            </w:r>
          </w:p>
        </w:tc>
      </w:tr>
    </w:tbl>
    <w:p>
      <w:pPr>
        <w:spacing w:line="240" w:lineRule="auto"/>
        <w:jc w:val="left"/>
        <w:textAlignment w:val="auto"/>
        <w:rPr>
          <w:rFonts w:ascii="黑体" w:hAnsi="黑体" w:eastAsia="黑体" w:cs="楷体_GB2312"/>
          <w:b/>
          <w:bCs/>
          <w:color w:val="auto"/>
          <w:sz w:val="28"/>
          <w:szCs w:val="28"/>
          <w:lang w:val="zh-CN"/>
        </w:rPr>
      </w:pPr>
      <w:r>
        <w:rPr>
          <w:rFonts w:ascii="黑体" w:hAnsi="黑体" w:eastAsia="黑体" w:cs="楷体_GB2312"/>
          <w:b/>
          <w:bCs/>
          <w:color w:val="auto"/>
          <w:sz w:val="28"/>
          <w:szCs w:val="28"/>
          <w:lang w:val="zh-CN"/>
        </w:rPr>
        <w:br w:type="page"/>
      </w:r>
    </w:p>
    <w:p>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lang w:val="zh-CN"/>
        </w:rPr>
      </w:pPr>
      <w:bookmarkStart w:id="38" w:name="_Toc150758844"/>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评审方法（评定成交的标准）</w:t>
      </w:r>
      <w:bookmarkEnd w:id="38"/>
    </w:p>
    <w:p>
      <w:pPr>
        <w:autoSpaceDE w:val="0"/>
        <w:autoSpaceDN w:val="0"/>
        <w:adjustRightInd w:val="0"/>
        <w:snapToGrid w:val="0"/>
        <w:spacing w:before="156" w:beforeLines="50" w:line="300" w:lineRule="auto"/>
        <w:ind w:firstLine="619" w:firstLineChars="257"/>
        <w:jc w:val="left"/>
        <w:rPr>
          <w:rFonts w:ascii="宋体"/>
          <w:b/>
          <w:color w:val="auto"/>
          <w:sz w:val="24"/>
        </w:rPr>
      </w:pPr>
      <w:r>
        <w:rPr>
          <w:rFonts w:hint="eastAsia"/>
          <w:b/>
          <w:color w:val="auto"/>
          <w:sz w:val="24"/>
          <w:szCs w:val="24"/>
        </w:rPr>
        <w:t>本次政府采购项目（标段&lt;包&gt;）按照最低评标价法确定成交供应商，即在符合采购需求、提供的产品质量和服务均能满足采购文件规定的实质性要求且最后报价（扣除经评审合格的“价格扣除”，见本章第</w:t>
      </w:r>
      <w:r>
        <w:rPr>
          <w:b/>
          <w:color w:val="auto"/>
          <w:sz w:val="24"/>
          <w:szCs w:val="24"/>
        </w:rPr>
        <w:t>4</w:t>
      </w:r>
      <w:r>
        <w:rPr>
          <w:rFonts w:hint="eastAsia"/>
          <w:b/>
          <w:color w:val="auto"/>
          <w:sz w:val="24"/>
          <w:szCs w:val="24"/>
        </w:rPr>
        <w:t>条）最低的原则确定各标段（包）成交供应商。</w:t>
      </w:r>
    </w:p>
    <w:p>
      <w:pPr>
        <w:autoSpaceDE w:val="0"/>
        <w:autoSpaceDN w:val="0"/>
        <w:adjustRightInd w:val="0"/>
        <w:snapToGrid w:val="0"/>
        <w:spacing w:before="156" w:beforeLines="50" w:line="300" w:lineRule="auto"/>
        <w:ind w:firstLine="616" w:firstLineChars="257"/>
        <w:jc w:val="left"/>
        <w:rPr>
          <w:rFonts w:ascii="宋体"/>
          <w:color w:val="auto"/>
          <w:sz w:val="24"/>
        </w:rPr>
      </w:pPr>
    </w:p>
    <w:p>
      <w:pPr>
        <w:pStyle w:val="49"/>
        <w:snapToGrid w:val="0"/>
        <w:spacing w:before="156"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39" w:name="_Toc150758845"/>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39"/>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r>
        <w:rPr>
          <w:rFonts w:hint="eastAsia" w:ascii="宋体" w:hAnsi="宋体"/>
          <w:color w:val="auto"/>
          <w:sz w:val="24"/>
        </w:rPr>
        <w:t>：见评审办法前附表</w:t>
      </w:r>
    </w:p>
    <w:p>
      <w:pPr>
        <w:autoSpaceDE w:val="0"/>
        <w:autoSpaceDN w:val="0"/>
        <w:adjustRightInd w:val="0"/>
        <w:snapToGrid w:val="0"/>
        <w:spacing w:before="156" w:beforeLines="50" w:line="300" w:lineRule="auto"/>
        <w:ind w:left="540" w:leftChars="257"/>
        <w:jc w:val="left"/>
        <w:rPr>
          <w:rFonts w:ascii="宋体"/>
          <w:color w:val="auto"/>
          <w:sz w:val="24"/>
        </w:rPr>
      </w:pPr>
    </w:p>
    <w:p>
      <w:pPr>
        <w:pStyle w:val="49"/>
        <w:snapToGrid w:val="0"/>
        <w:spacing w:before="156"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40" w:name="_Toc150758846"/>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40"/>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谈判小组按标段（包）进行评审</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确认谈判文件</w:t>
      </w:r>
    </w:p>
    <w:p>
      <w:pPr>
        <w:pStyle w:val="49"/>
        <w:snapToGrid w:val="0"/>
        <w:spacing w:before="156" w:beforeLines="50" w:line="300" w:lineRule="auto"/>
        <w:ind w:firstLine="480" w:firstLineChars="200"/>
        <w:jc w:val="both"/>
        <w:rPr>
          <w:rFonts w:hAnsi="宋体"/>
          <w:color w:val="auto"/>
        </w:rPr>
      </w:pPr>
      <w:r>
        <w:rPr>
          <w:rFonts w:hAnsi="宋体"/>
          <w:color w:val="auto"/>
        </w:rPr>
        <w:t xml:space="preserve">3.1.1 </w:t>
      </w:r>
      <w:r>
        <w:rPr>
          <w:rFonts w:hint="eastAsia" w:hAnsi="宋体"/>
          <w:color w:val="auto"/>
        </w:rPr>
        <w:t>谈判小组确认谈判文件，谈判文件内容违反国家有关强制性规定的，谈判小组应当停止评审并向采购人或者采购代理机构书面说明情况。</w:t>
      </w:r>
    </w:p>
    <w:p>
      <w:pPr>
        <w:pStyle w:val="49"/>
        <w:snapToGrid w:val="0"/>
        <w:spacing w:before="156" w:beforeLines="50" w:line="300" w:lineRule="auto"/>
        <w:ind w:firstLine="480" w:firstLineChars="200"/>
        <w:jc w:val="both"/>
        <w:rPr>
          <w:rFonts w:hAnsi="宋体"/>
          <w:color w:val="auto"/>
        </w:rPr>
      </w:pPr>
      <w:r>
        <w:rPr>
          <w:rFonts w:hAnsi="宋体"/>
          <w:color w:val="auto"/>
        </w:rPr>
        <w:t xml:space="preserve">3.1.2  </w:t>
      </w:r>
      <w:r>
        <w:rPr>
          <w:rFonts w:hint="eastAsia" w:hAnsi="宋体"/>
          <w:color w:val="auto"/>
        </w:rPr>
        <w:t>谈判小组</w:t>
      </w:r>
      <w:r>
        <w:rPr>
          <w:rFonts w:hint="eastAsia" w:ascii="??" w:hAnsi="??" w:cs="宋体"/>
          <w:color w:val="auto"/>
          <w:szCs w:val="21"/>
        </w:rPr>
        <w:t>要求解释</w:t>
      </w:r>
      <w:r>
        <w:rPr>
          <w:rFonts w:hint="eastAsia" w:hAnsi="宋体"/>
          <w:color w:val="auto"/>
        </w:rPr>
        <w:t>谈判文件的，书面提出需解释的相关谈判文件的具体内容后、由采购代理机构或者采购人进行书面解释。</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3.2</w:t>
      </w:r>
      <w:r>
        <w:rPr>
          <w:rFonts w:hint="eastAsia" w:ascii="黑体" w:hAnsi="黑体" w:eastAsia="黑体"/>
          <w:b/>
          <w:color w:val="auto"/>
          <w:sz w:val="24"/>
        </w:rPr>
        <w:t>初步评审</w:t>
      </w:r>
    </w:p>
    <w:p>
      <w:pPr>
        <w:autoSpaceDE w:val="0"/>
        <w:autoSpaceDN w:val="0"/>
        <w:adjustRightInd w:val="0"/>
        <w:snapToGrid w:val="0"/>
        <w:spacing w:before="156" w:beforeLines="50" w:line="300" w:lineRule="auto"/>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rPr>
        <w:t>谈判小组依据本章第2.</w:t>
      </w:r>
      <w:r>
        <w:rPr>
          <w:rFonts w:ascii="宋体" w:hAnsi="宋体"/>
          <w:color w:val="auto"/>
          <w:sz w:val="24"/>
        </w:rPr>
        <w:t>1.1</w:t>
      </w:r>
      <w:r>
        <w:rPr>
          <w:rFonts w:hint="eastAsia" w:ascii="宋体" w:hAnsi="宋体"/>
          <w:color w:val="auto"/>
          <w:sz w:val="24"/>
        </w:rPr>
        <w:t>、2.</w:t>
      </w:r>
      <w:r>
        <w:rPr>
          <w:rFonts w:ascii="宋体" w:hAnsi="宋体"/>
          <w:color w:val="auto"/>
          <w:sz w:val="24"/>
        </w:rPr>
        <w:t xml:space="preserve">1.2 </w:t>
      </w:r>
      <w:r>
        <w:rPr>
          <w:rFonts w:hint="eastAsia" w:ascii="宋体" w:hAnsi="宋体"/>
          <w:color w:val="auto"/>
          <w:sz w:val="24"/>
        </w:rPr>
        <w:t>款规定的标准对投标文件进行资格性、符合性评审。有一项不符合评审标准的，作无效投标处理。</w:t>
      </w:r>
    </w:p>
    <w:p>
      <w:pPr>
        <w:autoSpaceDE w:val="0"/>
        <w:autoSpaceDN w:val="0"/>
        <w:adjustRightInd w:val="0"/>
        <w:snapToGrid w:val="0"/>
        <w:spacing w:before="156" w:beforeLines="50" w:line="300" w:lineRule="auto"/>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）投标人不符合国家或者谈判文件规定的资格条件；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）投标人没有按照谈判文件要求提供投标承诺函；</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）投标联合体不符合谈判文件规定；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）投标文件的签字盖章不符合谈判文件规定；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）投标报价高于谈判公告公布的预算金额；</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）同一投标人提交两个以上不同的投标文件（响应文件）或者投标报价，投标文件（响应文件）的每种报价有两个报价或其他选择性报价的。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）投标文件（响应文件）没有对谈判文件的实质性要求和条件作出实质性响应，或不符合谈判文件的实质性要求和条件；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）投标文件（响应文件）附有采购项目不能接受的条件或不符合国家强制性规定的；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w:t>
      </w:r>
      <w:r>
        <w:rPr>
          <w:rFonts w:hint="eastAsia" w:ascii="宋体" w:hAnsi="宋体" w:cs="楷体_GB2312"/>
          <w:color w:val="auto"/>
          <w:sz w:val="24"/>
          <w:lang w:val="zh-CN"/>
        </w:rPr>
        <w:t>&lt;包&gt;</w:t>
      </w:r>
      <w:r>
        <w:rPr>
          <w:rFonts w:hint="eastAsia" w:ascii="宋体" w:hAnsi="宋体"/>
          <w:color w:val="auto"/>
          <w:sz w:val="24"/>
        </w:rPr>
        <w:t>）投标的；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）为采购项目提供整体设计、规范编制或者项目管理、监理、检测等服务的供应商，不得再参加该采购项目的其他采购活动。</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（11）组成联合体或者接受分包的小微企业与联合体内其他企业、分包企业之间存在直接控股、管理关系的。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2）提供虚假材料谋取中标（成交）的；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3）投标人有串通投标、行贿等违法行为。其中，有下列情形之一的，视为投标人相互串通投标：</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◆不同投标人的投标文件由同一单位或者个人编制；</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◆不同投标人委托同一单位或者个人办理投标事宜；</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◆不同投标人的投标文件载明的项目管理成员为同一人；</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◆不同投标人的投标文件异常一致或者投标报价呈规律性差异；</w:t>
      </w:r>
    </w:p>
    <w:p>
      <w:pPr>
        <w:autoSpaceDE w:val="0"/>
        <w:autoSpaceDN w:val="0"/>
        <w:adjustRightInd w:val="0"/>
        <w:snapToGrid w:val="0"/>
        <w:spacing w:line="300" w:lineRule="auto"/>
        <w:ind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◆不同投标人的投标文件相互混装。</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（14）根据豫财购〔2021〕6号文件，参与同一个标段(包)的供应商存在下列情形之一的，其投标(响应)文件无效:</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◆不同供应商的电子投标(响应)文件上传计算机的网卡MAC地址、CPU序列号和硬盘序列号等硬件信息相同的；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◆不同供应商的投标(响应)文件由同一电子设备编制、打印加密或者上传；</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◆不同供应商的投标(响应)文件由同一电子设备打印、复印；</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◆不同供应商的投标(响应)文件由同一人送达或者分发，或者不同供应商联系人为同一人或不同联系人的联系电话一致的；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◆不同供应商的投标(响应)文件的内容存在两处以上细节错误一致；</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◆不同供应商的法定代表人、委托代理人、项目经理、项目负责人等由同一个单位缴纳社会保险或者领取报酬的；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◆不同供应商投标(响应)文件中法定代表人或者负责人签字出自同一人之手；</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◆其它涉嫌串通的情形。</w:t>
      </w:r>
    </w:p>
    <w:p>
      <w:pPr>
        <w:autoSpaceDE w:val="0"/>
        <w:autoSpaceDN w:val="0"/>
        <w:adjustRightInd w:val="0"/>
        <w:snapToGrid w:val="0"/>
        <w:spacing w:before="156" w:beforeLines="50" w:line="300" w:lineRule="auto"/>
        <w:ind w:firstLine="539"/>
        <w:rPr>
          <w:rFonts w:ascii="宋体" w:hAnsi="宋体"/>
          <w:color w:val="auto"/>
          <w:sz w:val="24"/>
        </w:rPr>
      </w:pPr>
      <w:r>
        <w:rPr>
          <w:rFonts w:hint="eastAsia" w:ascii="宋体" w:hAnsi="宋体"/>
          <w:color w:val="auto"/>
          <w:sz w:val="24"/>
        </w:rPr>
        <w:t>(15)据豫财购〔2021〕6号文件精神，工程领域招标投标行政主管部门对供应商串通投标等予以市场禁入的，在本次政府采购活动中，该供应商投标(响应)文件无效。</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3.2.3</w:t>
      </w:r>
      <w:r>
        <w:rPr>
          <w:rFonts w:hint="eastAsia" w:ascii="宋体" w:hAnsi="宋体"/>
          <w:color w:val="auto"/>
          <w:sz w:val="24"/>
        </w:rPr>
        <w:t xml:space="preserve"> </w:t>
      </w:r>
      <w:r>
        <w:rPr>
          <w:rFonts w:hint="eastAsia" w:ascii="宋体" w:hAnsi="宋体"/>
          <w:b/>
          <w:color w:val="auto"/>
          <w:sz w:val="24"/>
        </w:rPr>
        <w:t>未实质性响应谈判文件的响应文件按无效处理，谈判小组应当告知有关供应商。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 xml:space="preserve">4 </w:t>
      </w:r>
      <w:r>
        <w:rPr>
          <w:rFonts w:hint="eastAsia" w:ascii="宋体" w:hAnsi="宋体"/>
          <w:color w:val="auto"/>
          <w:sz w:val="24"/>
        </w:rPr>
        <w:t>开标一览表与分项报价或报价明细表有差别时，以开标一览表为准；大写文字表示的数据与小写数字表示的有差别时，以大写文字表示的数据为准；单价与开标一览表总价不符时，以开标一览表总价为准。如投标人拒绝接受上述意见，其</w:t>
      </w:r>
      <w:r>
        <w:rPr>
          <w:rFonts w:hint="eastAsia" w:ascii="宋体" w:hAnsi="宋体"/>
          <w:b/>
          <w:color w:val="auto"/>
          <w:sz w:val="24"/>
        </w:rPr>
        <w:t>投标将被拒绝。</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投标人的义务的规定，而纠正这些偏离将影响到其他提交实质性响应投标人的公平竞争地位）。</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谈判小组判断投标文件（响应文件）的响应性仅基于投标文件（响应文件）本身而不靠外部证据。</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谈判小组拒绝被确定为非实质性响应的投标人，投标人不得通过修正或撤销不符之处而使其投标成为实质性响应的投标。</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允许投标人修改投标中不构成重大偏离的、微小的、非正规、不一致或不规则的地方。</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详细评审</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3.3.1</w:t>
      </w:r>
      <w:r>
        <w:rPr>
          <w:rFonts w:hint="eastAsia" w:ascii="宋体" w:hAnsi="宋体"/>
          <w:color w:val="auto"/>
          <w:sz w:val="24"/>
        </w:rPr>
        <w:t xml:space="preserve"> 按本章第</w:t>
      </w:r>
      <w:r>
        <w:rPr>
          <w:rFonts w:ascii="宋体" w:hAnsi="宋体"/>
          <w:color w:val="auto"/>
          <w:sz w:val="24"/>
        </w:rPr>
        <w:t xml:space="preserve">4 </w:t>
      </w:r>
      <w:r>
        <w:rPr>
          <w:rFonts w:hint="eastAsia" w:ascii="宋体" w:hAnsi="宋体"/>
          <w:color w:val="auto"/>
          <w:sz w:val="24"/>
        </w:rPr>
        <w:t>条规定执行促进中小企业发展扶持政策，用扣除后的价格参与评审。</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3.3.2</w:t>
      </w:r>
      <w:r>
        <w:rPr>
          <w:rFonts w:hint="eastAsia" w:ascii="宋体" w:hAnsi="宋体"/>
          <w:color w:val="auto"/>
          <w:sz w:val="24"/>
        </w:rPr>
        <w:t xml:space="preserve"> 谈判小组认为供应商的报价明显低于其他通过符合性审查投标人的报价，有可能影响产品质量或者不能诚信履约的，应当要求其在合理的时间内提供书面说明，必要时提交相关证明材料；供应商不能证明其报价合理性的，谈判小组应当将其作为无效投标处理。</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投标文件（响应文件）的澄清</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hint="eastAsia" w:ascii="宋体" w:hAnsi="宋体"/>
          <w:b/>
          <w:color w:val="auto"/>
          <w:sz w:val="24"/>
        </w:rPr>
        <w:t>投标文件（响应文件）的澄清在谈</w:t>
      </w:r>
      <w:r>
        <w:rPr>
          <w:rFonts w:ascii="宋体" w:hAnsi="宋体"/>
          <w:b/>
          <w:color w:val="auto"/>
          <w:sz w:val="24"/>
        </w:rPr>
        <w:t>判公告所述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4</w:t>
      </w:r>
      <w:r>
        <w:rPr>
          <w:rFonts w:ascii="宋体" w:hAnsi="宋体"/>
          <w:b/>
          <w:color w:val="auto"/>
          <w:sz w:val="24"/>
        </w:rPr>
        <w:t>.1</w:t>
      </w:r>
      <w:r>
        <w:rPr>
          <w:rFonts w:hint="eastAsia" w:ascii="宋体" w:hAnsi="宋体"/>
          <w:b/>
          <w:color w:val="auto"/>
          <w:sz w:val="24"/>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rPr>
        <w:t>，</w:t>
      </w:r>
      <w:r>
        <w:rPr>
          <w:rFonts w:hint="eastAsia" w:ascii="宋体" w:hAnsi="宋体"/>
          <w:b/>
          <w:color w:val="auto"/>
          <w:sz w:val="24"/>
        </w:rPr>
        <w:t>由投标人自行承担。</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3.4.2</w:t>
      </w:r>
      <w:r>
        <w:rPr>
          <w:rFonts w:hint="eastAsia" w:ascii="宋体" w:hAnsi="宋体"/>
          <w:color w:val="auto"/>
          <w:sz w:val="24"/>
        </w:rPr>
        <w:t>　为有助于对投标文件（响应文件）进行审查、评估和比较，谈判小组有权个别的向投标人提出质疑，请投标人澄清其投标内容。</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3.4.3</w:t>
      </w:r>
      <w:r>
        <w:rPr>
          <w:rFonts w:hint="eastAsia" w:ascii="宋体" w:hAnsi="宋体"/>
          <w:color w:val="auto"/>
          <w:sz w:val="24"/>
        </w:rPr>
        <w:t>　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3.4.4</w:t>
      </w:r>
      <w:r>
        <w:rPr>
          <w:rFonts w:hint="eastAsia" w:ascii="宋体" w:hAnsi="宋体"/>
          <w:b/>
          <w:color w:val="auto"/>
          <w:sz w:val="24"/>
        </w:rPr>
        <w:t>　投标人的澄清、说明或者更正应当采用书面形式，应加</w:t>
      </w:r>
      <w:r>
        <w:rPr>
          <w:rFonts w:ascii="宋体" w:hAnsi="宋体"/>
          <w:b/>
          <w:color w:val="auto"/>
          <w:sz w:val="24"/>
        </w:rPr>
        <w:t>盖</w:t>
      </w:r>
      <w:r>
        <w:rPr>
          <w:rFonts w:hint="eastAsia" w:ascii="宋体" w:hAnsi="宋体"/>
          <w:b/>
          <w:color w:val="auto"/>
          <w:sz w:val="24"/>
        </w:rPr>
        <w:t>投</w:t>
      </w:r>
      <w:r>
        <w:rPr>
          <w:rFonts w:ascii="宋体" w:hAnsi="宋体"/>
          <w:b/>
          <w:color w:val="auto"/>
          <w:sz w:val="24"/>
        </w:rPr>
        <w:t>标人</w:t>
      </w:r>
      <w:r>
        <w:rPr>
          <w:rFonts w:hint="eastAsia" w:ascii="宋体" w:hAnsi="宋体"/>
          <w:b/>
          <w:color w:val="auto"/>
          <w:sz w:val="24"/>
        </w:rPr>
        <w:t>电子签章或其法定代表人电子签名（签章）。并将澄清等内容作为附件上传至系统中。</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3.4.5</w:t>
      </w:r>
      <w:r>
        <w:rPr>
          <w:rFonts w:hint="eastAsia" w:ascii="宋体" w:hAnsi="宋体"/>
          <w:color w:val="auto"/>
          <w:sz w:val="24"/>
        </w:rPr>
        <w:t>　投标人的澄清文件是投标文件（响应文件）的组成部分，并取代投标文件（响应文件）中被澄清的部分。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3.4.6</w:t>
      </w:r>
      <w:r>
        <w:rPr>
          <w:rFonts w:hint="eastAsia" w:ascii="宋体" w:hAnsi="宋体"/>
          <w:color w:val="auto"/>
          <w:sz w:val="24"/>
        </w:rPr>
        <w:t>　澄清文件应按谈判小组规定的时间提交。</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3.5 </w:t>
      </w:r>
      <w:r>
        <w:rPr>
          <w:rFonts w:hint="eastAsia" w:ascii="黑体" w:hAnsi="黑体" w:eastAsia="黑体"/>
          <w:b/>
          <w:color w:val="auto"/>
          <w:sz w:val="24"/>
        </w:rPr>
        <w:t>谈判规则</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hint="eastAsia" w:ascii="宋体" w:hAnsi="宋体"/>
          <w:b/>
          <w:color w:val="auto"/>
          <w:sz w:val="24"/>
        </w:rPr>
        <w:t>评</w:t>
      </w:r>
      <w:r>
        <w:rPr>
          <w:rFonts w:ascii="宋体" w:hAnsi="宋体"/>
          <w:b/>
          <w:color w:val="auto"/>
          <w:sz w:val="24"/>
        </w:rPr>
        <w:t>审</w:t>
      </w:r>
      <w:r>
        <w:rPr>
          <w:rFonts w:hint="eastAsia" w:ascii="宋体" w:hAnsi="宋体"/>
          <w:b/>
          <w:color w:val="auto"/>
          <w:sz w:val="24"/>
        </w:rPr>
        <w:t>谈判在谈</w:t>
      </w:r>
      <w:r>
        <w:rPr>
          <w:rFonts w:ascii="宋体" w:hAnsi="宋体"/>
          <w:b/>
          <w:color w:val="auto"/>
          <w:sz w:val="24"/>
        </w:rPr>
        <w:t>判公告所述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156" w:beforeLines="50" w:line="300" w:lineRule="auto"/>
        <w:ind w:firstLine="566" w:firstLineChars="236"/>
        <w:rPr>
          <w:rFonts w:ascii="宋体"/>
          <w:color w:val="auto"/>
          <w:sz w:val="24"/>
        </w:rPr>
      </w:pPr>
      <w:r>
        <w:rPr>
          <w:rFonts w:ascii="宋体" w:hAnsi="宋体"/>
          <w:color w:val="auto"/>
          <w:sz w:val="24"/>
        </w:rPr>
        <w:t xml:space="preserve">3.5.1 </w:t>
      </w:r>
      <w:r>
        <w:rPr>
          <w:rFonts w:hint="eastAsia" w:ascii="宋体" w:hAnsi="宋体"/>
          <w:color w:val="auto"/>
          <w:sz w:val="24"/>
        </w:rPr>
        <w:t>本次政府采购采取竞争性谈判方式。谈判小组将据评审情况就所投货物的技术、服务、价格等事项与有关投标人分别进行谈判。谈判的任何一方不得将与谈判有关的技术资料、价格和其他信息透露给其他供应商。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谈判小组根据谈判文件规定的程序、评定成交的标准等事项与实质性响应谈判文件要求的投标人进行谈判。</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3.5.3 </w:t>
      </w:r>
      <w:r>
        <w:rPr>
          <w:rFonts w:hint="eastAsia" w:ascii="宋体" w:hAnsi="宋体"/>
          <w:color w:val="auto"/>
          <w:sz w:val="24"/>
        </w:rPr>
        <w:t>谈判小组所有成员集中与单一投标人分别进行谈判，并给予所有参加谈判的投标人平等的谈判机会。</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3.5.4 </w:t>
      </w:r>
      <w:r>
        <w:rPr>
          <w:rFonts w:hint="eastAsia" w:ascii="宋体" w:hAnsi="宋体"/>
          <w:color w:val="auto"/>
          <w:sz w:val="24"/>
        </w:rPr>
        <w:t>在谈判过程中，谈判小组可以根据谈判文件和谈判情况实质性变动采购需求中的技术、服务要求以及合同草案条款，谈判文件中的其他内容将不再变动。实质性变动的内容，经采购人代表确认</w:t>
      </w:r>
      <w:r>
        <w:rPr>
          <w:rFonts w:hint="eastAsia" w:ascii="宋体" w:hAnsi="宋体"/>
          <w:b/>
          <w:color w:val="auto"/>
          <w:sz w:val="24"/>
        </w:rPr>
        <w:t>后，谈判小组将在评审界面的对话框及时通知所有参加谈判的供应商。评审期间，供应商可通过评审界面的对话框接受询问。谈判结束后，未实质性响应谈判文件的响应文件按无效处理，谈判小组应当告知有关供应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3.5.5 </w:t>
      </w:r>
      <w:r>
        <w:rPr>
          <w:rFonts w:hint="eastAsia" w:ascii="宋体" w:hAnsi="宋体"/>
          <w:color w:val="auto"/>
          <w:sz w:val="24"/>
        </w:rPr>
        <w:t>对谈判文件作出的实质性变动是谈判文件的有效组成部分。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3.5.6 </w:t>
      </w:r>
      <w:r>
        <w:rPr>
          <w:rFonts w:hint="eastAsia" w:ascii="宋体" w:hAnsi="宋体"/>
          <w:color w:val="auto"/>
          <w:sz w:val="24"/>
        </w:rPr>
        <w:t>投标人应当按照谈判文件的变动情况和谈判小组的要求重新提交投标文件（响应文件）或修订投标文件相应条款，</w:t>
      </w:r>
      <w:r>
        <w:rPr>
          <w:rFonts w:hint="eastAsia" w:ascii="宋体" w:hAnsi="宋体"/>
          <w:b/>
          <w:color w:val="auto"/>
          <w:sz w:val="24"/>
        </w:rPr>
        <w:t>并应加</w:t>
      </w:r>
      <w:r>
        <w:rPr>
          <w:rFonts w:ascii="宋体" w:hAnsi="宋体"/>
          <w:b/>
          <w:color w:val="auto"/>
          <w:sz w:val="24"/>
        </w:rPr>
        <w:t>盖</w:t>
      </w:r>
      <w:r>
        <w:rPr>
          <w:rFonts w:hint="eastAsia" w:ascii="宋体" w:hAnsi="宋体"/>
          <w:b/>
          <w:color w:val="auto"/>
          <w:sz w:val="24"/>
        </w:rPr>
        <w:t>投</w:t>
      </w:r>
      <w:r>
        <w:rPr>
          <w:rFonts w:ascii="宋体" w:hAnsi="宋体"/>
          <w:b/>
          <w:color w:val="auto"/>
          <w:sz w:val="24"/>
        </w:rPr>
        <w:t>标人</w:t>
      </w:r>
      <w:r>
        <w:rPr>
          <w:rFonts w:hint="eastAsia" w:ascii="宋体" w:hAnsi="宋体"/>
          <w:b/>
          <w:color w:val="auto"/>
          <w:sz w:val="24"/>
        </w:rPr>
        <w:t>或其法定代表人的电子签名</w:t>
      </w:r>
      <w:r>
        <w:rPr>
          <w:rFonts w:hint="eastAsia" w:ascii="宋体" w:hAnsi="宋体" w:cs="楷体_GB2312"/>
          <w:b/>
          <w:color w:val="auto"/>
          <w:sz w:val="24"/>
        </w:rPr>
        <w:t>（签章）</w:t>
      </w:r>
      <w:r>
        <w:rPr>
          <w:rFonts w:hint="eastAsia" w:ascii="宋体" w:hAnsi="宋体"/>
          <w:b/>
          <w:color w:val="auto"/>
          <w:sz w:val="24"/>
        </w:rPr>
        <w:t>。</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3.5.7 </w:t>
      </w:r>
      <w:r>
        <w:rPr>
          <w:rFonts w:hint="eastAsia" w:ascii="宋体" w:hAnsi="宋体"/>
          <w:color w:val="auto"/>
          <w:sz w:val="24"/>
        </w:rPr>
        <w:t>价格谈判</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3.5.7.1 </w:t>
      </w:r>
      <w:r>
        <w:rPr>
          <w:rFonts w:hint="eastAsia" w:ascii="宋体" w:hAnsi="宋体"/>
          <w:color w:val="auto"/>
          <w:sz w:val="24"/>
        </w:rPr>
        <w:t>见第二章“采购项目及技术服务要求”</w:t>
      </w:r>
      <w:r>
        <w:rPr>
          <w:rFonts w:ascii="宋体" w:hAnsi="宋体"/>
          <w:color w:val="auto"/>
          <w:sz w:val="24"/>
        </w:rPr>
        <w:t>1.3.2</w:t>
      </w:r>
      <w:r>
        <w:rPr>
          <w:rFonts w:hint="eastAsia" w:ascii="宋体" w:hAnsi="宋体"/>
          <w:color w:val="auto"/>
          <w:sz w:val="24"/>
        </w:rPr>
        <w:t>项规定</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3.5.7.2 </w:t>
      </w:r>
      <w:r>
        <w:rPr>
          <w:rFonts w:hint="eastAsia" w:ascii="宋体" w:hAnsi="宋体"/>
          <w:color w:val="auto"/>
          <w:sz w:val="24"/>
        </w:rPr>
        <w:t>谈判小组应当要求所有继续参加谈判的供应商在规定时间内提交最后报价，提交最后报价的供应商不得少于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家。最后报价是投标文件（响应文件）的有效组成部分。</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3.5.8</w:t>
      </w:r>
      <w:r>
        <w:rPr>
          <w:rFonts w:hint="eastAsia" w:ascii="宋体" w:hAnsi="宋体"/>
          <w:color w:val="auto"/>
          <w:sz w:val="24"/>
        </w:rPr>
        <w:t xml:space="preserve"> 谈判文件的实质性变动影响到投标人因此无法继续参加谈判的，投标人可以在提交最后报价之前退出谈判。其响应文件按无效处理的投标人，所提交的最后报价也按无效处理。</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3.5.9</w:t>
      </w:r>
      <w:r>
        <w:rPr>
          <w:rFonts w:hint="eastAsia" w:ascii="宋体" w:hAnsi="宋体"/>
          <w:b/>
          <w:color w:val="auto"/>
          <w:sz w:val="24"/>
        </w:rPr>
        <w:t xml:space="preserve"> 投标人提交最后报价应在系统中填列分项报价，分项报价自动汇总价。</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3.5.10</w:t>
      </w:r>
      <w:r>
        <w:rPr>
          <w:rFonts w:hint="eastAsia" w:ascii="宋体" w:hAnsi="宋体"/>
          <w:b/>
          <w:color w:val="auto"/>
          <w:sz w:val="24"/>
        </w:rPr>
        <w:t xml:space="preserve"> </w:t>
      </w:r>
      <w:r>
        <w:rPr>
          <w:rFonts w:hint="eastAsia"/>
          <w:b/>
          <w:color w:val="auto"/>
          <w:sz w:val="24"/>
          <w:szCs w:val="24"/>
        </w:rPr>
        <w:t>本项目在开标后只进行一轮报价，即最后报价。网</w:t>
      </w:r>
      <w:r>
        <w:rPr>
          <w:b/>
          <w:color w:val="auto"/>
          <w:sz w:val="24"/>
          <w:szCs w:val="24"/>
        </w:rPr>
        <w:t>上交易系统中</w:t>
      </w:r>
      <w:r>
        <w:rPr>
          <w:rFonts w:hint="eastAsia"/>
          <w:b/>
          <w:color w:val="auto"/>
          <w:sz w:val="24"/>
          <w:szCs w:val="24"/>
        </w:rPr>
        <w:t>管理员发起最后报价后，</w:t>
      </w:r>
      <w:r>
        <w:rPr>
          <w:rFonts w:hint="eastAsia" w:ascii="宋体" w:hAnsi="宋体"/>
          <w:b/>
          <w:color w:val="auto"/>
          <w:sz w:val="24"/>
        </w:rPr>
        <w:t>如投标人未在指定时限内提交最后报价，视为该供应商根据谈判情况退出谈判。</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 xml:space="preserve">3.5.11 </w:t>
      </w:r>
      <w:r>
        <w:rPr>
          <w:rFonts w:hint="eastAsia" w:ascii="宋体" w:hAnsi="宋体"/>
          <w:b/>
          <w:color w:val="auto"/>
          <w:sz w:val="24"/>
        </w:rPr>
        <w:t>投标人在网上报价过程中，如遇到网上投标系统的操作问题，可通过网上预留的咨询电话进行咨询。投标人因未按照要求进行操作、投标人办理的数字证书失效等其他自身原因导致响应文件错误或无效的，谈判小组将认定其为无效投</w:t>
      </w:r>
      <w:r>
        <w:rPr>
          <w:rFonts w:ascii="宋体" w:hAnsi="宋体"/>
          <w:b/>
          <w:color w:val="auto"/>
          <w:sz w:val="24"/>
        </w:rPr>
        <w:t>标</w:t>
      </w:r>
      <w:r>
        <w:rPr>
          <w:rFonts w:hint="eastAsia" w:ascii="宋体" w:hAnsi="宋体"/>
          <w:b/>
          <w:color w:val="auto"/>
          <w:sz w:val="24"/>
        </w:rPr>
        <w:t>。</w:t>
      </w:r>
    </w:p>
    <w:p>
      <w:pPr>
        <w:autoSpaceDE w:val="0"/>
        <w:autoSpaceDN w:val="0"/>
        <w:adjustRightInd w:val="0"/>
        <w:snapToGrid w:val="0"/>
        <w:spacing w:before="156" w:beforeLines="50" w:line="300" w:lineRule="auto"/>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hAnsi="宋体"/>
          <w:color w:val="auto"/>
          <w:sz w:val="24"/>
        </w:rPr>
        <w:t>：谈判小组对排名第一的、报价最低的、投标或相应文件被认定为无效的情形按谈判文件实质性要求进行重点复核。</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3.7 </w:t>
      </w:r>
      <w:r>
        <w:rPr>
          <w:rFonts w:hint="eastAsia" w:ascii="黑体" w:hAnsi="黑体" w:eastAsia="黑体"/>
          <w:b/>
          <w:color w:val="auto"/>
          <w:sz w:val="24"/>
        </w:rPr>
        <w:t>评审结果</w:t>
      </w:r>
    </w:p>
    <w:p>
      <w:pPr>
        <w:autoSpaceDE w:val="0"/>
        <w:autoSpaceDN w:val="0"/>
        <w:adjustRightInd w:val="0"/>
        <w:snapToGrid w:val="0"/>
        <w:spacing w:before="156" w:beforeLines="50" w:line="300" w:lineRule="auto"/>
        <w:ind w:firstLine="616" w:firstLineChars="257"/>
        <w:jc w:val="left"/>
        <w:rPr>
          <w:rFonts w:ascii="宋体" w:hAnsi="宋体"/>
          <w:color w:val="auto"/>
          <w:sz w:val="24"/>
        </w:rPr>
      </w:pPr>
      <w:r>
        <w:rPr>
          <w:rFonts w:ascii="宋体" w:hAnsi="宋体"/>
          <w:color w:val="auto"/>
          <w:sz w:val="24"/>
        </w:rPr>
        <w:t>3.</w:t>
      </w:r>
      <w:r>
        <w:rPr>
          <w:rFonts w:hint="eastAsia" w:ascii="宋体" w:hAnsi="宋体"/>
          <w:color w:val="auto"/>
          <w:sz w:val="24"/>
        </w:rPr>
        <w:t xml:space="preserve">7 </w:t>
      </w:r>
      <w:r>
        <w:rPr>
          <w:rFonts w:ascii="宋体" w:hAnsi="宋体"/>
          <w:color w:val="auto"/>
          <w:sz w:val="24"/>
        </w:rPr>
        <w:t>.1</w:t>
      </w:r>
      <w:r>
        <w:rPr>
          <w:rFonts w:hint="eastAsia" w:ascii="宋体" w:hAnsi="宋体"/>
          <w:color w:val="auto"/>
          <w:sz w:val="24"/>
        </w:rPr>
        <w:t xml:space="preserve"> 谈判小组从质量和服务均能满足谈判文件实质性响应要求的投标人中，按照报价（扣除经评审合格的“价格扣除”，见本章第</w:t>
      </w:r>
      <w:r>
        <w:rPr>
          <w:rFonts w:ascii="宋体" w:hAnsi="宋体"/>
          <w:color w:val="auto"/>
          <w:sz w:val="24"/>
        </w:rPr>
        <w:t>4</w:t>
      </w:r>
      <w:r>
        <w:rPr>
          <w:rFonts w:hint="eastAsia" w:ascii="宋体" w:hAnsi="宋体"/>
          <w:color w:val="auto"/>
          <w:sz w:val="24"/>
        </w:rPr>
        <w:t>条）由低到高的顺序提出</w:t>
      </w:r>
      <w:r>
        <w:rPr>
          <w:rFonts w:ascii="宋体" w:hAnsi="宋体"/>
          <w:color w:val="auto"/>
          <w:sz w:val="24"/>
        </w:rPr>
        <w:t>3</w:t>
      </w:r>
      <w:r>
        <w:rPr>
          <w:rFonts w:hint="eastAsia" w:ascii="宋体" w:hAnsi="宋体"/>
          <w:color w:val="auto"/>
          <w:sz w:val="24"/>
        </w:rPr>
        <w:t>名以上成交候选人，并编写书面评审报告。</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确定成交供应商：按第三章“投标人须知前附表”</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rPr>
        <w:t>谈判终止</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.1 </w:t>
      </w:r>
      <w:r>
        <w:rPr>
          <w:rFonts w:hint="eastAsia" w:ascii="宋体" w:hAnsi="宋体"/>
          <w:color w:val="auto"/>
          <w:sz w:val="24"/>
        </w:rPr>
        <w:t>出现下列情形之一的，终止竞争性谈判活动：</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）因情况变化，不再符合规定的竞争性谈判方式适用情形的；</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）在采购过程中符合竞争要求的供应商或者报价未超过预算金额的供应商不足</w:t>
      </w:r>
      <w:r>
        <w:rPr>
          <w:rFonts w:ascii="宋体" w:hAnsi="宋体"/>
          <w:color w:val="auto"/>
          <w:sz w:val="24"/>
        </w:rPr>
        <w:t>3</w:t>
      </w:r>
      <w:r>
        <w:rPr>
          <w:rFonts w:hint="eastAsia" w:ascii="宋体" w:hAnsi="宋体"/>
          <w:color w:val="auto"/>
          <w:sz w:val="24"/>
        </w:rPr>
        <w:t>家的。</w:t>
      </w:r>
    </w:p>
    <w:p>
      <w:pPr>
        <w:autoSpaceDE w:val="0"/>
        <w:autoSpaceDN w:val="0"/>
        <w:adjustRightInd w:val="0"/>
        <w:snapToGrid w:val="0"/>
        <w:spacing w:line="300" w:lineRule="auto"/>
        <w:ind w:firstLine="566" w:firstLineChars="236"/>
        <w:jc w:val="left"/>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r>
        <w:rPr>
          <w:rFonts w:ascii="宋体" w:hAnsi="宋体"/>
          <w:color w:val="auto"/>
          <w:sz w:val="24"/>
        </w:rPr>
        <w:t>.</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.2 </w:t>
      </w:r>
      <w:r>
        <w:rPr>
          <w:rFonts w:hint="eastAsia" w:ascii="宋体" w:hAnsi="宋体"/>
          <w:color w:val="auto"/>
          <w:sz w:val="24"/>
        </w:rPr>
        <w:t>谈判小组要在采购项目（标段</w:t>
      </w:r>
      <w:r>
        <w:rPr>
          <w:rFonts w:hint="eastAsia" w:ascii="宋体" w:hAnsi="宋体" w:cs="楷体_GB2312"/>
          <w:color w:val="auto"/>
          <w:sz w:val="24"/>
          <w:lang w:val="zh-CN"/>
        </w:rPr>
        <w:t>&lt;包&gt;</w:t>
      </w:r>
      <w:r>
        <w:rPr>
          <w:rFonts w:hint="eastAsia" w:ascii="宋体" w:hAnsi="宋体"/>
          <w:color w:val="auto"/>
          <w:sz w:val="24"/>
        </w:rPr>
        <w:t>）谈判失败时，出具谈判文件是否存在不合理条款的论证意见，要协助采购人、采购代理机构、财政部门答复质疑或处理投诉事项。　</w:t>
      </w:r>
    </w:p>
    <w:p>
      <w:pPr>
        <w:autoSpaceDE w:val="0"/>
        <w:autoSpaceDN w:val="0"/>
        <w:adjustRightInd w:val="0"/>
        <w:snapToGrid w:val="0"/>
        <w:spacing w:before="156" w:beforeLines="50" w:line="300" w:lineRule="auto"/>
        <w:ind w:firstLine="566" w:firstLineChars="236"/>
        <w:jc w:val="left"/>
        <w:rPr>
          <w:rFonts w:ascii="宋体"/>
          <w:color w:val="auto"/>
          <w:sz w:val="24"/>
        </w:rPr>
      </w:pPr>
    </w:p>
    <w:p>
      <w:pPr>
        <w:pStyle w:val="49"/>
        <w:snapToGrid w:val="0"/>
        <w:spacing w:before="156" w:beforeLines="50" w:line="300" w:lineRule="auto"/>
        <w:ind w:firstLine="422" w:firstLineChars="150"/>
        <w:jc w:val="both"/>
        <w:outlineLvl w:val="1"/>
        <w:rPr>
          <w:rFonts w:ascii="黑体" w:hAnsi="黑体" w:eastAsia="黑体" w:cs="楷体_GB2312"/>
          <w:b/>
          <w:bCs/>
          <w:color w:val="auto"/>
          <w:sz w:val="28"/>
          <w:szCs w:val="28"/>
          <w:lang w:val="zh-CN"/>
        </w:rPr>
      </w:pPr>
      <w:bookmarkStart w:id="41" w:name="_Toc150758847"/>
      <w:bookmarkStart w:id="42" w:name="_Toc60844012"/>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政府采购促进中小企业发展扶持政策</w:t>
      </w:r>
      <w:bookmarkEnd w:id="41"/>
      <w:bookmarkEnd w:id="42"/>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w:t>
      </w:r>
      <w:r>
        <w:rPr>
          <w:rFonts w:ascii="宋体" w:hAnsi="宋体"/>
          <w:color w:val="auto"/>
          <w:sz w:val="24"/>
        </w:rPr>
        <w:t>在政府采购活动中，供应商提供的货物、工程或者服务符合下列情形的， 享受</w:t>
      </w:r>
      <w:r>
        <w:rPr>
          <w:rFonts w:hint="eastAsia" w:ascii="宋体" w:hAnsi="宋体"/>
          <w:color w:val="auto"/>
          <w:sz w:val="24"/>
        </w:rPr>
        <w:t>《政府采购促进中小企业发展管理办法》</w:t>
      </w:r>
      <w:r>
        <w:rPr>
          <w:rFonts w:ascii="宋体" w:hAnsi="宋体"/>
          <w:color w:val="auto"/>
          <w:sz w:val="24"/>
        </w:rPr>
        <w:t>规定的中小企业扶持政策：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（一） 在货物采购项目中，货物由中小企业制造，即货物由中小企业生产且使用该中小企业商号或者注册商标；</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（二） 在工程采购项目中，工程由中小企业承建，即工程施工单位为中小企业；</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（三）在服务采购项目中，服务由中小企业承接，即提供服务的人员为中小企业依照《中华人民共和国劳动合同法》订立劳动合同的从业人员</w:t>
      </w:r>
      <w:r>
        <w:rPr>
          <w:rFonts w:hint="eastAsia" w:ascii="宋体" w:hAnsi="宋体"/>
          <w:color w:val="auto"/>
          <w:sz w:val="24"/>
        </w:rPr>
        <w:t>。</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以联合体形式参加政府采购活动，联合体各方均为中小企业的，联合体视同中小企业。其中，联合体各方均为小微企业的，联合体视同小微企业。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4.2 符合中小企业划分标准的个体工商户，在政府采购活动中视同中小企业。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4.</w:t>
      </w: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监狱企业、符合法</w:t>
      </w:r>
      <w:r>
        <w:rPr>
          <w:rFonts w:ascii="宋体" w:hAnsi="宋体"/>
          <w:color w:val="auto"/>
          <w:sz w:val="24"/>
        </w:rPr>
        <w:t>定</w:t>
      </w:r>
      <w:r>
        <w:rPr>
          <w:rFonts w:hint="eastAsia" w:ascii="宋体" w:hAnsi="宋体"/>
          <w:color w:val="auto"/>
          <w:sz w:val="24"/>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4.</w:t>
      </w:r>
      <w:r>
        <w:rPr>
          <w:rFonts w:hint="eastAsia" w:ascii="宋体" w:hAnsi="宋体"/>
          <w:color w:val="auto"/>
          <w:sz w:val="24"/>
        </w:rPr>
        <w:t>3</w:t>
      </w:r>
      <w:r>
        <w:rPr>
          <w:rFonts w:ascii="宋体" w:hAnsi="宋体"/>
          <w:color w:val="auto"/>
          <w:sz w:val="24"/>
        </w:rPr>
        <w:t>.1</w:t>
      </w:r>
      <w:r>
        <w:rPr>
          <w:rFonts w:hint="eastAsia" w:ascii="宋体" w:hAnsi="宋体"/>
          <w:color w:val="auto"/>
          <w:sz w:val="24"/>
        </w:rPr>
        <w:t xml:space="preserve"> 享受政府采购支持政策的残疾人福利性单位应当同时满足以下条件：</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（1）安置的残疾人占本单位在职职工人数的比例不低于25%（含25%），并且安置的残疾人人数不少于10人（含10人）；</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（2）依法与安置的每位残疾人签订了一年以上（含一年）的劳动合同或服务协议；</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（3）为安置的每位残疾人按月足额缴纳了基本养老保险、基本医疗保险、失业保险、工伤保险和生育保险等社会保险费；</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（4）通过银行等金融机构向安置的每位残疾人，按月支付了不低于单位所在区县适用的经省级人民政府批准的月最低工资标准的工资；</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（5）提供本单位制造的货物、承担的工程或者服务（以下简称产品），或者提供其他残疾人福利性单位制造的货物（不包括使用非残疾人福利性单位注册商标的货物）。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before="156" w:beforeLines="50" w:line="300" w:lineRule="auto"/>
        <w:ind w:firstLine="539"/>
        <w:rPr>
          <w:rFonts w:ascii="宋体" w:hAnsi="宋体"/>
          <w:color w:val="auto"/>
          <w:sz w:val="24"/>
          <w:szCs w:val="22"/>
        </w:rPr>
      </w:pPr>
      <w:r>
        <w:rPr>
          <w:rFonts w:hint="eastAsia" w:ascii="宋体" w:hAnsi="宋体"/>
          <w:color w:val="auto"/>
          <w:sz w:val="24"/>
        </w:rPr>
        <w:t xml:space="preserve">4.4 </w:t>
      </w:r>
      <w:r>
        <w:rPr>
          <w:rFonts w:hint="eastAsia"/>
          <w:color w:val="auto"/>
          <w:sz w:val="24"/>
          <w:szCs w:val="24"/>
        </w:rPr>
        <w:t>参加</w:t>
      </w:r>
      <w:r>
        <w:rPr>
          <w:rFonts w:hint="eastAsia" w:ascii="宋体" w:hAnsi="宋体"/>
          <w:color w:val="auto"/>
          <w:sz w:val="24"/>
        </w:rPr>
        <w:t>本次政府采购项目的中小企业应按附件格式提供《中小企业声明函》。</w:t>
      </w:r>
      <w:r>
        <w:rPr>
          <w:rFonts w:hint="eastAsia" w:ascii="宋体" w:hAnsi="宋体" w:cs="宋体"/>
          <w:color w:val="auto"/>
          <w:sz w:val="24"/>
          <w:szCs w:val="24"/>
        </w:rPr>
        <w:t>如谈判文件接受以联合体形式参加投标的，联合体各方均应按附件格式提供《中小企业声明函》。</w:t>
      </w:r>
    </w:p>
    <w:p>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供应商按照财库〔2020〕46号规定及谈判文件要求提供声明函内容不实的，属于提供虚假材料谋取中标、成交，依照《中华人民共和国政府采购法》等国家有关规定追究相应责任。</w:t>
      </w:r>
    </w:p>
    <w:p>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4.5 《政府采购促进中小企业发展管理办法》各项中小企业扶持政策中，价格扣除扶持政策仅小型、微型企业适用。</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4.6 小微企业价格扣除扶持政策：</w:t>
      </w:r>
    </w:p>
    <w:p>
      <w:pPr>
        <w:adjustRightInd w:val="0"/>
        <w:snapToGrid w:val="0"/>
        <w:spacing w:before="156" w:beforeLines="50" w:line="300" w:lineRule="auto"/>
        <w:ind w:firstLine="600" w:firstLineChars="250"/>
        <w:rPr>
          <w:rFonts w:ascii="宋体" w:hAnsi="宋体"/>
          <w:color w:val="auto"/>
          <w:sz w:val="24"/>
          <w:szCs w:val="24"/>
        </w:rPr>
      </w:pPr>
      <w:r>
        <w:rPr>
          <w:rFonts w:hint="eastAsia" w:ascii="宋体" w:hAnsi="宋体"/>
          <w:color w:val="auto"/>
          <w:sz w:val="24"/>
          <w:szCs w:val="24"/>
        </w:rPr>
        <w:t>4.6.1本次政府采购项目对符合《政府采购促进中小企业发展管理办法》小型和微型企业的报价给予10%的扣除，用扣除后的价格参与评审。</w:t>
      </w:r>
    </w:p>
    <w:p>
      <w:pPr>
        <w:autoSpaceDE w:val="0"/>
        <w:autoSpaceDN w:val="0"/>
        <w:adjustRightInd w:val="0"/>
        <w:snapToGrid w:val="0"/>
        <w:spacing w:before="156" w:beforeLines="50" w:line="300" w:lineRule="auto"/>
        <w:ind w:firstLine="684" w:firstLineChars="285"/>
        <w:jc w:val="left"/>
        <w:rPr>
          <w:rFonts w:ascii="宋体" w:hAnsi="宋体"/>
          <w:color w:val="auto"/>
          <w:sz w:val="24"/>
        </w:rPr>
      </w:pPr>
      <w:r>
        <w:rPr>
          <w:rFonts w:hint="eastAsia" w:ascii="宋体" w:hAnsi="宋体"/>
          <w:color w:val="auto"/>
          <w:sz w:val="24"/>
        </w:rPr>
        <w:t>（1）投标人所投货物均由小型和微型企业制造，享受小微企业价格扣除扶持政策。</w:t>
      </w:r>
    </w:p>
    <w:p>
      <w:pPr>
        <w:autoSpaceDE w:val="0"/>
        <w:autoSpaceDN w:val="0"/>
        <w:adjustRightInd w:val="0"/>
        <w:snapToGrid w:val="0"/>
        <w:spacing w:before="156" w:beforeLines="50" w:line="300" w:lineRule="auto"/>
        <w:ind w:firstLine="684" w:firstLineChars="285"/>
        <w:jc w:val="left"/>
        <w:rPr>
          <w:rFonts w:ascii="宋体" w:hAnsi="宋体"/>
          <w:color w:val="auto"/>
          <w:sz w:val="24"/>
          <w:szCs w:val="22"/>
        </w:rPr>
      </w:pPr>
      <w:r>
        <w:rPr>
          <w:rFonts w:hint="eastAsia" w:ascii="宋体" w:hAnsi="宋体"/>
          <w:color w:val="auto"/>
          <w:sz w:val="24"/>
        </w:rPr>
        <w:t>（2）投标人所投货物既有小型和微型企业制造，也有中型企业制造或大型企业制造的，不享受小微企业价格扣除扶持政策。</w:t>
      </w:r>
    </w:p>
    <w:p>
      <w:pPr>
        <w:adjustRightInd w:val="0"/>
        <w:snapToGrid w:val="0"/>
        <w:spacing w:before="156" w:beforeLines="50" w:line="300" w:lineRule="auto"/>
        <w:ind w:firstLine="600" w:firstLineChars="250"/>
        <w:rPr>
          <w:rFonts w:ascii="宋体" w:hAnsi="宋体"/>
          <w:color w:val="auto"/>
          <w:sz w:val="24"/>
        </w:rPr>
      </w:pPr>
      <w:r>
        <w:rPr>
          <w:rFonts w:hint="eastAsia" w:ascii="宋体" w:hAnsi="宋体"/>
          <w:color w:val="auto"/>
          <w:sz w:val="24"/>
          <w:szCs w:val="24"/>
        </w:rPr>
        <w:t>4.6.2</w:t>
      </w:r>
      <w:r>
        <w:rPr>
          <w:rFonts w:hint="eastAsia" w:ascii="宋体" w:hAnsi="宋体"/>
          <w:color w:val="auto"/>
          <w:sz w:val="24"/>
        </w:rPr>
        <w:t>如谈判文件接受大中型企业与小微企业组成联合体或者允许大中型企业向一家或者多家小微企业分包时，联合协议或分包意向协议约定小微型企业的合同份额占到合同总金额30%以上的，给予联合体或大中型企业4%的价格扣除，用扣除后的价格参加评审。</w:t>
      </w:r>
    </w:p>
    <w:p>
      <w:pPr>
        <w:adjustRightInd w:val="0"/>
        <w:snapToGrid w:val="0"/>
        <w:spacing w:before="156" w:beforeLines="50" w:line="300" w:lineRule="auto"/>
        <w:ind w:firstLine="600" w:firstLineChars="250"/>
        <w:rPr>
          <w:rFonts w:ascii="宋体" w:hAnsi="宋体"/>
          <w:color w:val="auto"/>
          <w:sz w:val="24"/>
        </w:rPr>
      </w:pPr>
      <w:r>
        <w:rPr>
          <w:rFonts w:hint="eastAsia" w:ascii="宋体" w:hAnsi="宋体"/>
          <w:color w:val="auto"/>
          <w:sz w:val="24"/>
        </w:rPr>
        <w:t>组成联合体或者接受分包合同的中小企业与联合体内其他企业、分包企业之间不得存在直接控股、管理关系。</w:t>
      </w:r>
    </w:p>
    <w:p>
      <w:pPr>
        <w:adjustRightInd w:val="0"/>
        <w:snapToGrid w:val="0"/>
        <w:spacing w:before="156" w:beforeLines="50" w:line="300" w:lineRule="auto"/>
        <w:ind w:firstLine="600" w:firstLineChars="250"/>
        <w:rPr>
          <w:rFonts w:ascii="宋体" w:hAnsi="宋体"/>
          <w:color w:val="auto"/>
          <w:sz w:val="24"/>
          <w:szCs w:val="24"/>
        </w:rPr>
      </w:pPr>
      <w:r>
        <w:rPr>
          <w:rFonts w:hint="eastAsia" w:ascii="宋体" w:hAnsi="宋体"/>
          <w:color w:val="auto"/>
          <w:sz w:val="24"/>
          <w:szCs w:val="24"/>
        </w:rPr>
        <w:t>4.6.3价格扣除比例或者价格分加分比例对小型企业和微型企业同等对待，不作区分。</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4.</w:t>
      </w:r>
      <w:r>
        <w:rPr>
          <w:rFonts w:hint="eastAsia" w:ascii="宋体" w:hAnsi="宋体"/>
          <w:color w:val="auto"/>
          <w:sz w:val="24"/>
        </w:rPr>
        <w:t>7 谈判小组对投标人申报的小型和微型企业价格扣除事项进行评审。鉴于小微企业价格扣除政策与合同执行价格无关，为避免投标人申报价格扣除事项的随意性，故特别规定：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）谈判小组对投标人申报的小型和微型企业价格扣除事项的评审结论，分为合格与不合格。</w:t>
      </w:r>
    </w:p>
    <w:p>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（2） A.投标人所投货物均由小型和微型企业制造，享受小微企业价格扣除扶持政策。</w:t>
      </w:r>
    </w:p>
    <w:p>
      <w:pPr>
        <w:autoSpaceDE w:val="0"/>
        <w:autoSpaceDN w:val="0"/>
        <w:adjustRightInd w:val="0"/>
        <w:snapToGrid w:val="0"/>
        <w:spacing w:before="156" w:beforeLines="50" w:line="300" w:lineRule="auto"/>
        <w:ind w:firstLine="684" w:firstLineChars="285"/>
        <w:jc w:val="left"/>
        <w:rPr>
          <w:rFonts w:ascii="宋体" w:hAnsi="宋体"/>
          <w:color w:val="auto"/>
          <w:sz w:val="24"/>
        </w:rPr>
      </w:pPr>
      <w:r>
        <w:rPr>
          <w:rFonts w:hint="eastAsia" w:ascii="宋体" w:hAnsi="宋体"/>
          <w:color w:val="auto"/>
          <w:sz w:val="24"/>
        </w:rPr>
        <w:t>B.投标人所投货物既有小型和微型企业制造，也有中型企业制造或大型企业制造的，不享受小微企业价格扣除扶持政策。</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3）经评审，申报的小微价格扣除事项缺失中小企业声明函、中小企业声明函含有大型中型企业制造产品、中小企业声明函中少列产品、《中小企业声明函》中产品承诺与投标产品不一致、联合协议或分包意向协议不符合中小企业价格扣除规定、未按谈判文件确定的价格扣除比例填列等任一不符合政策要求及不准确的事项，谈判小组均将评审为不合格，该投标人申报的价格扣除事项不予接受、为</w:t>
      </w:r>
      <w:r>
        <w:rPr>
          <w:rFonts w:ascii="宋体" w:hAnsi="宋体"/>
          <w:color w:val="auto"/>
          <w:sz w:val="24"/>
        </w:rPr>
        <w:t>0</w:t>
      </w:r>
      <w:r>
        <w:rPr>
          <w:rFonts w:hint="eastAsia" w:ascii="宋体" w:hAnsi="宋体"/>
          <w:color w:val="auto"/>
          <w:sz w:val="24"/>
        </w:rPr>
        <w:t>；谈判小组应当告知相关投标人。</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提供虚假材料的为无效投标、并承担相应的法律责任。</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（4）评审合格的，接受其申报的小型和微型企业价格扣除（最后报价的价格扣除），用扣除后的价格参与评审。</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（5）评审不合格的，不接受其小微企业价格扣除，其开标一览表价格扣除（总价）视为</w:t>
      </w:r>
      <w:r>
        <w:rPr>
          <w:rFonts w:ascii="宋体" w:hAnsi="宋体"/>
          <w:color w:val="auto"/>
          <w:sz w:val="24"/>
        </w:rPr>
        <w:t>0</w:t>
      </w:r>
      <w:r>
        <w:rPr>
          <w:rFonts w:hint="eastAsia" w:ascii="宋体" w:hAnsi="宋体"/>
          <w:color w:val="auto"/>
          <w:sz w:val="24"/>
        </w:rPr>
        <w:t>，但将不作为无效投标。</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（6）在电子交易系统，投标人填选后，扣除后的价格将由电子交易系统自动生成。</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注：小微企业价格扣除，仅作为价格评审的依据，并不影响合同执行价格，合同执行价格为成交供应商的最后报价。</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4.8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4.9</w:t>
      </w:r>
      <w:r>
        <w:rPr>
          <w:rFonts w:ascii="宋体" w:hAnsi="宋体"/>
          <w:color w:val="auto"/>
          <w:sz w:val="24"/>
        </w:rPr>
        <w:t xml:space="preserve"> </w:t>
      </w:r>
      <w:r>
        <w:rPr>
          <w:rFonts w:hint="eastAsia" w:ascii="宋体" w:hAnsi="宋体"/>
          <w:color w:val="auto"/>
          <w:sz w:val="24"/>
        </w:rPr>
        <w:t>中标、成交供应商享受中小企业扶持政策的，中标、成交供应商的《中小企业声明函》将随中标、成交结果公开。</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4.10</w:t>
      </w:r>
      <w:r>
        <w:rPr>
          <w:rFonts w:ascii="宋体" w:hAnsi="宋体"/>
          <w:color w:val="auto"/>
          <w:sz w:val="24"/>
        </w:rPr>
        <w:t xml:space="preserve"> </w:t>
      </w:r>
      <w:r>
        <w:rPr>
          <w:rFonts w:hint="eastAsia" w:ascii="宋体" w:hAnsi="宋体"/>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4.11</w:t>
      </w:r>
      <w:r>
        <w:rPr>
          <w:rFonts w:ascii="宋体" w:hAnsi="宋体"/>
          <w:color w:val="auto"/>
          <w:sz w:val="24"/>
        </w:rPr>
        <w:t xml:space="preserve"> </w:t>
      </w:r>
      <w:r>
        <w:rPr>
          <w:rFonts w:hint="eastAsia" w:ascii="宋体" w:hAnsi="宋体"/>
          <w:color w:val="auto"/>
          <w:sz w:val="24"/>
        </w:rPr>
        <w:t>政府采购监督检查、投诉处理及政府采购行政处罚中对中小企业的认定，由货物制造商或者工程、服务供应商注册登记所在地的县级以上人民政府中小企业主管部门负责。</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p>
    <w:p>
      <w:pPr>
        <w:autoSpaceDE w:val="0"/>
        <w:autoSpaceDN w:val="0"/>
        <w:adjustRightInd w:val="0"/>
        <w:snapToGrid w:val="0"/>
        <w:spacing w:before="156" w:beforeLines="50" w:line="300" w:lineRule="auto"/>
        <w:ind w:firstLine="566" w:firstLineChars="236"/>
        <w:jc w:val="left"/>
        <w:rPr>
          <w:rFonts w:ascii="宋体" w:hAnsi="宋体"/>
          <w:color w:val="auto"/>
          <w:sz w:val="24"/>
        </w:rPr>
      </w:pPr>
    </w:p>
    <w:p>
      <w:pPr>
        <w:autoSpaceDE w:val="0"/>
        <w:autoSpaceDN w:val="0"/>
        <w:adjustRightInd w:val="0"/>
        <w:snapToGrid w:val="0"/>
        <w:spacing w:before="156" w:beforeLines="50" w:line="300" w:lineRule="auto"/>
        <w:ind w:firstLine="566" w:firstLineChars="236"/>
        <w:jc w:val="left"/>
        <w:rPr>
          <w:rFonts w:ascii="宋体"/>
          <w:color w:val="auto"/>
          <w:sz w:val="24"/>
        </w:rPr>
      </w:pPr>
    </w:p>
    <w:p>
      <w:pPr>
        <w:widowControl w:val="0"/>
        <w:adjustRightInd w:val="0"/>
        <w:snapToGrid w:val="0"/>
        <w:spacing w:before="156" w:beforeLines="50" w:line="300" w:lineRule="auto"/>
        <w:ind w:firstLine="480" w:firstLineChars="200"/>
        <w:rPr>
          <w:color w:val="auto"/>
          <w:sz w:val="24"/>
          <w:szCs w:val="24"/>
        </w:rPr>
      </w:pPr>
      <w:r>
        <w:rPr>
          <w:color w:val="auto"/>
          <w:sz w:val="24"/>
          <w:szCs w:val="24"/>
        </w:rPr>
        <w:br w:type="page"/>
      </w:r>
    </w:p>
    <w:p>
      <w:pPr>
        <w:widowControl w:val="0"/>
        <w:snapToGrid w:val="0"/>
        <w:spacing w:line="657" w:lineRule="atLeast"/>
        <w:jc w:val="center"/>
        <w:outlineLvl w:val="0"/>
        <w:rPr>
          <w:rFonts w:ascii="黑体" w:eastAsia="黑体"/>
          <w:b/>
          <w:color w:val="auto"/>
          <w:sz w:val="36"/>
          <w:szCs w:val="36"/>
        </w:rPr>
      </w:pPr>
      <w:bookmarkStart w:id="43" w:name="_Toc150758848"/>
      <w:r>
        <w:rPr>
          <w:rFonts w:hint="eastAsia" w:ascii="黑体" w:eastAsia="黑体"/>
          <w:b/>
          <w:color w:val="auto"/>
          <w:sz w:val="36"/>
          <w:szCs w:val="36"/>
        </w:rPr>
        <w:t>第五章 合同主要条款</w:t>
      </w:r>
      <w:bookmarkEnd w:id="43"/>
    </w:p>
    <w:p>
      <w:pPr>
        <w:widowControl w:val="0"/>
        <w:snapToGrid w:val="0"/>
        <w:spacing w:line="657" w:lineRule="atLeast"/>
        <w:jc w:val="center"/>
        <w:rPr>
          <w:rFonts w:ascii="黑体" w:eastAsia="黑体"/>
          <w:b/>
          <w:color w:val="auto"/>
          <w:spacing w:val="20"/>
          <w:sz w:val="36"/>
          <w:szCs w:val="36"/>
        </w:rPr>
      </w:pPr>
    </w:p>
    <w:p>
      <w:pPr>
        <w:widowControl w:val="0"/>
        <w:snapToGrid w:val="0"/>
        <w:spacing w:line="657" w:lineRule="atLeast"/>
        <w:jc w:val="center"/>
        <w:rPr>
          <w:rFonts w:ascii="宋体" w:hAnsi="宋体"/>
          <w:b/>
          <w:color w:val="auto"/>
          <w:spacing w:val="20"/>
          <w:sz w:val="36"/>
          <w:szCs w:val="36"/>
        </w:rPr>
      </w:pPr>
      <w:r>
        <w:rPr>
          <w:rFonts w:hint="eastAsia" w:ascii="宋体" w:hAnsi="宋体"/>
          <w:b/>
          <w:color w:val="auto"/>
          <w:spacing w:val="20"/>
          <w:sz w:val="36"/>
          <w:szCs w:val="36"/>
        </w:rPr>
        <w:t>供</w:t>
      </w:r>
      <w:r>
        <w:rPr>
          <w:rFonts w:ascii="宋体" w:hAnsi="宋体"/>
          <w:b/>
          <w:color w:val="auto"/>
          <w:spacing w:val="20"/>
          <w:sz w:val="36"/>
          <w:szCs w:val="36"/>
        </w:rPr>
        <w:t xml:space="preserve"> </w:t>
      </w:r>
      <w:r>
        <w:rPr>
          <w:rFonts w:hint="eastAsia" w:ascii="宋体" w:hAnsi="宋体"/>
          <w:b/>
          <w:color w:val="auto"/>
          <w:spacing w:val="20"/>
          <w:sz w:val="36"/>
          <w:szCs w:val="36"/>
        </w:rPr>
        <w:t>货</w:t>
      </w:r>
      <w:r>
        <w:rPr>
          <w:rFonts w:ascii="宋体" w:hAnsi="宋体"/>
          <w:b/>
          <w:color w:val="auto"/>
          <w:spacing w:val="20"/>
          <w:sz w:val="36"/>
          <w:szCs w:val="36"/>
        </w:rPr>
        <w:t xml:space="preserve"> </w:t>
      </w:r>
      <w:r>
        <w:rPr>
          <w:rFonts w:hint="eastAsia" w:ascii="宋体" w:hAnsi="宋体"/>
          <w:b/>
          <w:color w:val="auto"/>
          <w:spacing w:val="20"/>
          <w:sz w:val="36"/>
          <w:szCs w:val="36"/>
        </w:rPr>
        <w:t>合</w:t>
      </w:r>
      <w:r>
        <w:rPr>
          <w:rFonts w:ascii="宋体" w:hAnsi="宋体"/>
          <w:b/>
          <w:color w:val="auto"/>
          <w:spacing w:val="20"/>
          <w:sz w:val="36"/>
          <w:szCs w:val="36"/>
        </w:rPr>
        <w:t xml:space="preserve"> </w:t>
      </w:r>
      <w:r>
        <w:rPr>
          <w:rFonts w:hint="eastAsia" w:ascii="宋体" w:hAnsi="宋体"/>
          <w:b/>
          <w:color w:val="auto"/>
          <w:spacing w:val="20"/>
          <w:sz w:val="36"/>
          <w:szCs w:val="36"/>
        </w:rPr>
        <w:t>同</w:t>
      </w:r>
    </w:p>
    <w:p>
      <w:pPr>
        <w:widowControl w:val="0"/>
        <w:snapToGrid w:val="0"/>
        <w:spacing w:before="56" w:after="56" w:line="360" w:lineRule="auto"/>
        <w:ind w:right="85"/>
        <w:jc w:val="left"/>
        <w:textAlignment w:val="top"/>
        <w:rPr>
          <w:rFonts w:ascii="宋体" w:hAnsi="宋体"/>
          <w:color w:val="auto"/>
          <w:sz w:val="24"/>
          <w:szCs w:val="24"/>
        </w:rPr>
      </w:pPr>
      <w:r>
        <w:rPr>
          <w:rFonts w:hint="eastAsia" w:ascii="宋体" w:hAnsi="宋体"/>
          <w:color w:val="auto"/>
          <w:sz w:val="24"/>
          <w:szCs w:val="24"/>
        </w:rPr>
        <w:t>合同编号：</w:t>
      </w:r>
    </w:p>
    <w:p>
      <w:pPr>
        <w:widowControl w:val="0"/>
        <w:snapToGrid w:val="0"/>
        <w:spacing w:before="56" w:after="56" w:line="360" w:lineRule="auto"/>
        <w:ind w:right="85"/>
        <w:jc w:val="left"/>
        <w:textAlignment w:val="top"/>
        <w:rPr>
          <w:rFonts w:ascii="宋体" w:hAnsi="宋体"/>
          <w:color w:val="auto"/>
          <w:sz w:val="24"/>
          <w:szCs w:val="24"/>
        </w:rPr>
      </w:pPr>
      <w:r>
        <w:rPr>
          <w:rFonts w:hint="eastAsia" w:ascii="宋体" w:hAnsi="宋体"/>
          <w:color w:val="auto"/>
          <w:sz w:val="24"/>
          <w:szCs w:val="24"/>
        </w:rPr>
        <w:t>甲方：（采购人）</w:t>
      </w:r>
    </w:p>
    <w:p>
      <w:pPr>
        <w:widowControl w:val="0"/>
        <w:snapToGrid w:val="0"/>
        <w:spacing w:before="56" w:after="56" w:line="360" w:lineRule="auto"/>
        <w:ind w:right="85"/>
        <w:jc w:val="left"/>
        <w:textAlignment w:val="top"/>
        <w:rPr>
          <w:rFonts w:ascii="宋体" w:hAnsi="宋体"/>
          <w:color w:val="auto"/>
          <w:sz w:val="24"/>
          <w:szCs w:val="24"/>
        </w:rPr>
      </w:pPr>
      <w:r>
        <w:rPr>
          <w:rFonts w:hint="eastAsia" w:ascii="宋体" w:hAnsi="宋体"/>
          <w:color w:val="auto"/>
          <w:sz w:val="24"/>
          <w:szCs w:val="24"/>
        </w:rPr>
        <w:t>乙方：（供应商）</w:t>
      </w:r>
    </w:p>
    <w:p>
      <w:pPr>
        <w:widowControl w:val="0"/>
        <w:snapToGrid w:val="0"/>
        <w:spacing w:line="360" w:lineRule="auto"/>
        <w:ind w:right="85" w:firstLine="460" w:firstLineChars="192"/>
        <w:rPr>
          <w:rFonts w:ascii="宋体" w:hAnsi="宋体"/>
          <w:color w:val="auto"/>
          <w:spacing w:val="20"/>
          <w:sz w:val="24"/>
          <w:szCs w:val="24"/>
        </w:rPr>
      </w:pPr>
      <w:r>
        <w:rPr>
          <w:rFonts w:hint="eastAsia" w:ascii="宋体" w:hAnsi="宋体"/>
          <w:color w:val="auto"/>
          <w:sz w:val="24"/>
          <w:szCs w:val="24"/>
        </w:rPr>
        <w:t>甲、乙双方持安阳市方正招标采购服务有限责任公司</w:t>
      </w:r>
      <w:r>
        <w:rPr>
          <w:rFonts w:ascii="宋体" w:hAnsi="宋体"/>
          <w:color w:val="auto"/>
          <w:sz w:val="24"/>
          <w:szCs w:val="24"/>
        </w:rPr>
        <w:t>20</w:t>
      </w:r>
      <w:r>
        <w:rPr>
          <w:rFonts w:hint="eastAsia" w:ascii="宋体" w:hAnsi="宋体"/>
          <w:color w:val="auto"/>
          <w:sz w:val="24"/>
          <w:szCs w:val="24"/>
        </w:rPr>
        <w:t>23年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日签发的</w:t>
      </w:r>
      <w:r>
        <w:rPr>
          <w:rFonts w:hint="eastAsia" w:ascii="宋体" w:hAnsi="宋体"/>
          <w:color w:val="auto"/>
          <w:sz w:val="24"/>
          <w:szCs w:val="24"/>
          <w:u w:val="single"/>
        </w:rPr>
        <w:t>（采购人及项目名称）</w:t>
      </w:r>
      <w:r>
        <w:rPr>
          <w:rFonts w:hint="eastAsia" w:ascii="宋体" w:hAnsi="宋体"/>
          <w:color w:val="auto"/>
          <w:sz w:val="24"/>
          <w:szCs w:val="24"/>
        </w:rPr>
        <w:t>〔项目编号：〕成交通知书，根据采购文件</w:t>
      </w:r>
      <w:r>
        <w:rPr>
          <w:rFonts w:hint="eastAsia" w:ascii="宋体" w:hAnsi="宋体"/>
          <w:color w:val="auto"/>
          <w:spacing w:val="20"/>
          <w:sz w:val="24"/>
          <w:szCs w:val="24"/>
        </w:rPr>
        <w:t>及其修改补充澄清、投标文件及其修改补充澄清的内容，经双方平等协商一致，达成以下合同条款：</w:t>
      </w:r>
    </w:p>
    <w:p>
      <w:pPr>
        <w:widowControl w:val="0"/>
        <w:snapToGrid w:val="0"/>
        <w:spacing w:line="360" w:lineRule="auto"/>
        <w:ind w:right="85" w:firstLine="460" w:firstLineChars="192"/>
        <w:rPr>
          <w:rFonts w:ascii="宋体" w:hAnsi="宋体"/>
          <w:color w:val="auto"/>
          <w:sz w:val="24"/>
          <w:szCs w:val="24"/>
        </w:rPr>
      </w:pPr>
      <w:r>
        <w:rPr>
          <w:rFonts w:hint="eastAsia" w:ascii="宋体" w:hAnsi="宋体"/>
          <w:color w:val="auto"/>
          <w:sz w:val="24"/>
          <w:szCs w:val="24"/>
        </w:rPr>
        <w:t>一、本合同所指货物为此次竞争性谈判的货物，包括</w:t>
      </w:r>
      <w:r>
        <w:rPr>
          <w:rFonts w:hint="eastAsia" w:ascii="宋体" w:hAnsi="宋体"/>
          <w:color w:val="auto"/>
          <w:sz w:val="24"/>
          <w:szCs w:val="24"/>
          <w:u w:val="single"/>
        </w:rPr>
        <w:t>（详细注明：品名、规格、型号、数量、单价、产地及技术要求）</w:t>
      </w:r>
      <w:r>
        <w:rPr>
          <w:rFonts w:hint="eastAsia" w:ascii="宋体" w:hAnsi="宋体"/>
          <w:color w:val="auto"/>
          <w:sz w:val="24"/>
          <w:szCs w:val="24"/>
        </w:rPr>
        <w:t>，合同总价款为元（大写：）。</w:t>
      </w:r>
    </w:p>
    <w:p>
      <w:pPr>
        <w:widowControl w:val="0"/>
        <w:snapToGrid w:val="0"/>
        <w:spacing w:line="360" w:lineRule="auto"/>
        <w:ind w:right="85" w:firstLine="537" w:firstLineChars="192"/>
        <w:rPr>
          <w:rFonts w:ascii="宋体" w:hAnsi="宋体"/>
          <w:color w:val="auto"/>
          <w:sz w:val="24"/>
          <w:szCs w:val="24"/>
        </w:rPr>
      </w:pPr>
      <w:r>
        <w:rPr>
          <w:rFonts w:hint="eastAsia" w:ascii="宋体" w:hAnsi="宋体"/>
          <w:color w:val="auto"/>
          <w:spacing w:val="20"/>
          <w:sz w:val="24"/>
          <w:szCs w:val="24"/>
        </w:rPr>
        <w:t>本合同为固定总价合同，不因人工、材料和产品等价格的波动而影响合同价格。</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二、货物质量要求及乙方对质量负责条件和期限：</w:t>
      </w:r>
    </w:p>
    <w:p>
      <w:pPr>
        <w:widowControl w:val="0"/>
        <w:snapToGrid w:val="0"/>
        <w:spacing w:line="360" w:lineRule="auto"/>
        <w:ind w:firstLine="561"/>
        <w:rPr>
          <w:rFonts w:ascii="宋体" w:hAnsi="宋体"/>
          <w:color w:val="auto"/>
          <w:spacing w:val="20"/>
          <w:sz w:val="24"/>
          <w:szCs w:val="24"/>
        </w:rPr>
      </w:pPr>
      <w:r>
        <w:rPr>
          <w:rFonts w:ascii="宋体" w:hAnsi="宋体"/>
          <w:color w:val="auto"/>
          <w:sz w:val="24"/>
          <w:szCs w:val="24"/>
        </w:rPr>
        <w:t>1</w:t>
      </w:r>
      <w:r>
        <w:rPr>
          <w:rFonts w:hint="eastAsia" w:ascii="宋体" w:hAnsi="宋体"/>
          <w:color w:val="auto"/>
          <w:sz w:val="24"/>
          <w:szCs w:val="24"/>
        </w:rPr>
        <w:t>、乙方提供的货物是全新的货物，符合国家强制标准及安全标准、检测标准以及该产品的出厂标准，符合采购文件</w:t>
      </w:r>
      <w:r>
        <w:rPr>
          <w:rFonts w:hint="eastAsia" w:ascii="宋体" w:hAnsi="宋体"/>
          <w:color w:val="auto"/>
          <w:spacing w:val="20"/>
          <w:sz w:val="24"/>
          <w:szCs w:val="24"/>
        </w:rPr>
        <w:t>及其修改补充澄清要求且达到乙方投标文件及澄清中的技术标准。</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、售后服务：（按采购文件及投标文件等相应条款制订）</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三、交货时间、地点、方式：</w:t>
      </w:r>
    </w:p>
    <w:p>
      <w:pPr>
        <w:widowControl w:val="0"/>
        <w:snapToGrid w:val="0"/>
        <w:spacing w:line="360" w:lineRule="auto"/>
        <w:ind w:right="85" w:firstLine="537" w:firstLineChars="192"/>
        <w:rPr>
          <w:rFonts w:ascii="宋体" w:hAnsi="宋体"/>
          <w:color w:val="auto"/>
          <w:spacing w:val="20"/>
          <w:sz w:val="24"/>
          <w:szCs w:val="24"/>
        </w:rPr>
      </w:pPr>
      <w:r>
        <w:rPr>
          <w:rFonts w:hint="eastAsia" w:ascii="宋体" w:hAnsi="宋体"/>
          <w:color w:val="auto"/>
          <w:spacing w:val="20"/>
          <w:sz w:val="24"/>
          <w:szCs w:val="24"/>
        </w:rPr>
        <w:t>合同生效后，乙方应于</w:t>
      </w:r>
      <w:r>
        <w:rPr>
          <w:rFonts w:ascii="宋体" w:hAnsi="宋体"/>
          <w:color w:val="auto"/>
          <w:spacing w:val="20"/>
          <w:sz w:val="24"/>
          <w:szCs w:val="24"/>
        </w:rPr>
        <w:t>20</w:t>
      </w:r>
      <w:r>
        <w:rPr>
          <w:rFonts w:hint="eastAsia" w:ascii="宋体" w:hAnsi="宋体"/>
          <w:color w:val="auto"/>
          <w:spacing w:val="20"/>
          <w:sz w:val="24"/>
          <w:szCs w:val="24"/>
        </w:rPr>
        <w:t>23年</w:t>
      </w:r>
      <w:r>
        <w:rPr>
          <w:rFonts w:hint="eastAsia" w:ascii="宋体" w:hAnsi="宋体"/>
          <w:color w:val="auto"/>
          <w:spacing w:val="20"/>
          <w:sz w:val="24"/>
          <w:szCs w:val="24"/>
          <w:u w:val="single"/>
        </w:rPr>
        <w:t xml:space="preserve"> </w:t>
      </w:r>
      <w:r>
        <w:rPr>
          <w:rFonts w:hint="eastAsia" w:ascii="宋体" w:hAnsi="宋体"/>
          <w:color w:val="auto"/>
          <w:spacing w:val="20"/>
          <w:sz w:val="24"/>
          <w:szCs w:val="24"/>
        </w:rPr>
        <w:t>月</w:t>
      </w:r>
      <w:r>
        <w:rPr>
          <w:rFonts w:hint="eastAsia" w:ascii="宋体" w:hAnsi="宋体"/>
          <w:color w:val="auto"/>
          <w:spacing w:val="20"/>
          <w:sz w:val="24"/>
          <w:szCs w:val="24"/>
          <w:u w:val="single"/>
        </w:rPr>
        <w:t xml:space="preserve"> </w:t>
      </w:r>
      <w:r>
        <w:rPr>
          <w:rFonts w:hint="eastAsia" w:ascii="宋体" w:hAnsi="宋体"/>
          <w:color w:val="auto"/>
          <w:spacing w:val="20"/>
          <w:sz w:val="24"/>
          <w:szCs w:val="24"/>
        </w:rPr>
        <w:t>日前将货物带包装送达甲方指定地点（安阳市），并于</w:t>
      </w:r>
      <w:r>
        <w:rPr>
          <w:rFonts w:ascii="宋体" w:hAnsi="宋体"/>
          <w:color w:val="auto"/>
          <w:spacing w:val="20"/>
          <w:sz w:val="24"/>
          <w:szCs w:val="24"/>
        </w:rPr>
        <w:t>20</w:t>
      </w:r>
      <w:r>
        <w:rPr>
          <w:rFonts w:hint="eastAsia" w:ascii="宋体" w:hAnsi="宋体"/>
          <w:color w:val="auto"/>
          <w:spacing w:val="20"/>
          <w:sz w:val="24"/>
          <w:szCs w:val="24"/>
        </w:rPr>
        <w:t>23年</w:t>
      </w:r>
      <w:r>
        <w:rPr>
          <w:rFonts w:hint="eastAsia" w:ascii="宋体" w:hAnsi="宋体"/>
          <w:color w:val="auto"/>
          <w:spacing w:val="20"/>
          <w:sz w:val="24"/>
          <w:szCs w:val="24"/>
          <w:u w:val="single"/>
        </w:rPr>
        <w:t xml:space="preserve"> </w:t>
      </w:r>
      <w:r>
        <w:rPr>
          <w:rFonts w:hint="eastAsia" w:ascii="宋体" w:hAnsi="宋体"/>
          <w:color w:val="auto"/>
          <w:spacing w:val="20"/>
          <w:sz w:val="24"/>
          <w:szCs w:val="24"/>
        </w:rPr>
        <w:t>月</w:t>
      </w:r>
      <w:r>
        <w:rPr>
          <w:rFonts w:hint="eastAsia" w:ascii="宋体" w:hAnsi="宋体"/>
          <w:color w:val="auto"/>
          <w:spacing w:val="20"/>
          <w:sz w:val="24"/>
          <w:szCs w:val="24"/>
          <w:u w:val="single"/>
        </w:rPr>
        <w:t xml:space="preserve"> </w:t>
      </w:r>
      <w:r>
        <w:rPr>
          <w:rFonts w:hint="eastAsia" w:ascii="宋体" w:hAnsi="宋体"/>
          <w:color w:val="auto"/>
          <w:spacing w:val="20"/>
          <w:sz w:val="24"/>
          <w:szCs w:val="24"/>
        </w:rPr>
        <w:t>日前安装调试完毕，具备正常使用及验收条件。</w:t>
      </w:r>
    </w:p>
    <w:p>
      <w:pPr>
        <w:widowControl w:val="0"/>
        <w:snapToGrid w:val="0"/>
        <w:spacing w:line="360" w:lineRule="auto"/>
        <w:ind w:right="85" w:firstLine="537" w:firstLineChars="192"/>
        <w:rPr>
          <w:rFonts w:ascii="宋体" w:hAnsi="宋体"/>
          <w:color w:val="auto"/>
          <w:spacing w:val="20"/>
          <w:sz w:val="24"/>
          <w:szCs w:val="24"/>
        </w:rPr>
      </w:pPr>
      <w:r>
        <w:rPr>
          <w:rFonts w:hint="eastAsia" w:ascii="宋体" w:hAnsi="宋体"/>
          <w:color w:val="auto"/>
          <w:spacing w:val="20"/>
          <w:sz w:val="24"/>
          <w:szCs w:val="24"/>
        </w:rPr>
        <w:t>货物运送产生的费用由乙方负责。乙方在交付货物时应向甲方提供货物的使用说明书、合格证书及其他相关的资料。</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四、验收程序和要求</w:t>
      </w:r>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156"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4</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五、履约保证金：</w:t>
      </w:r>
      <w:r>
        <w:rPr>
          <w:rFonts w:hint="eastAsia" w:ascii="宋体" w:hAnsi="宋体"/>
          <w:color w:val="auto"/>
          <w:sz w:val="24"/>
          <w:szCs w:val="24"/>
          <w:u w:val="single"/>
        </w:rPr>
        <w:t xml:space="preserve">                                                     </w:t>
      </w:r>
      <w:r>
        <w:rPr>
          <w:rFonts w:hint="eastAsia" w:ascii="宋体" w:hAnsi="宋体"/>
          <w:color w:val="auto"/>
          <w:sz w:val="24"/>
          <w:szCs w:val="24"/>
        </w:rPr>
        <w:t>。</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六、付款程序：按投标人须知相关条款编列。</w:t>
      </w:r>
    </w:p>
    <w:p>
      <w:pPr>
        <w:widowControl w:val="0"/>
        <w:snapToGrid w:val="0"/>
        <w:spacing w:before="56" w:after="56" w:line="360" w:lineRule="auto"/>
        <w:ind w:right="85" w:firstLine="555"/>
        <w:rPr>
          <w:color w:val="auto"/>
          <w:sz w:val="24"/>
          <w:szCs w:val="24"/>
        </w:rPr>
      </w:pPr>
      <w:r>
        <w:rPr>
          <w:rFonts w:hint="eastAsia" w:ascii="宋体" w:hAnsi="宋体"/>
          <w:color w:val="auto"/>
          <w:sz w:val="24"/>
          <w:szCs w:val="24"/>
        </w:rPr>
        <w:t>七、合同遵行《保障中小企业款项支付条例》。</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八、责任和义务</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、甲方的责任和义务</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）对乙方供货安装调试工作提供必要的场地、给予必要的协助。</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）按时验收、及时支付资金；</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）遵守国家法律法规，不得要求乙方虚开发票，不得向乙方索要“好处”、“回扣”、“礼品”，或要求乙方提供合同以外的其他物品或服务；</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）对乙方未按合同约定履约在验收报告中注明违约情形和事项，并应及时通知财政部门。属假冒伪劣产品的，同时向工商管理、质量监督等行政执法部门举报。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）其他法律法规规定应尽的义务。</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、乙方的责任和义务</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）严格按采购文件要求与投标文件的质量及服务承诺执行，保质、按期履行。保证提供全新正规产品，不得以次充好；提供优质服务，出现故障及时响应、上门维修。</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）不得将合同权利义务全部或部分转让给第三人。</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）货物验收合格前，对货物和人员的安全负责，应采取安全措施，确保人员、材料、设备和设施的安全，防止货物验收合格前的人身伤害和财产损失；应对其履行合同所雇佣的全部人员的工伤事故承担责任。</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）遵守法律、依法纳税</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）遵守职业道德和行业规范，坚决杜绝送礼、回扣、报销费用等一切不正当竞争行为和商业贿赂行为；对甲方索要回扣、礼品等违规行为，向同级财政局政府采购监督管理科及相关执法机关举报。</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）其他法律法规规定应尽的义务。</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九、违约责任：</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、甲方无正当理由拒收货物、拒付货款的，向乙方偿付拒收拒付部分货物款总额</w:t>
      </w:r>
      <w:r>
        <w:rPr>
          <w:rFonts w:ascii="宋体" w:hAnsi="宋体"/>
          <w:color w:val="auto"/>
          <w:sz w:val="24"/>
          <w:szCs w:val="24"/>
        </w:rPr>
        <w:t>%</w:t>
      </w:r>
      <w:r>
        <w:rPr>
          <w:rFonts w:hint="eastAsia" w:ascii="宋体" w:hAnsi="宋体"/>
          <w:color w:val="auto"/>
          <w:sz w:val="24"/>
          <w:szCs w:val="24"/>
        </w:rPr>
        <w:t>的违约金。</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、乙方所交货物的规格型号、技术要求、质量品质等不符合合同规定，甲方有权拒收货物，乙方应负责更换并承担因更换而支付的全部实际费用。因更换而造成逾期交货，则按逾期交货处理。</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、乙方不能交付货物的，乙方向甲方支付未交付部分货物款总额</w:t>
      </w:r>
      <w:r>
        <w:rPr>
          <w:rFonts w:ascii="宋体" w:hAnsi="宋体"/>
          <w:color w:val="auto"/>
          <w:sz w:val="24"/>
          <w:szCs w:val="24"/>
        </w:rPr>
        <w:t xml:space="preserve"> %</w:t>
      </w:r>
      <w:r>
        <w:rPr>
          <w:rFonts w:hint="eastAsia" w:ascii="宋体" w:hAnsi="宋体"/>
          <w:color w:val="auto"/>
          <w:sz w:val="24"/>
          <w:szCs w:val="24"/>
        </w:rPr>
        <w:t>违约金。</w:t>
      </w:r>
    </w:p>
    <w:p>
      <w:pPr>
        <w:widowControl w:val="0"/>
        <w:snapToGrid w:val="0"/>
        <w:spacing w:before="56" w:after="56" w:line="360" w:lineRule="auto"/>
        <w:ind w:right="85" w:firstLine="472" w:firstLineChars="197"/>
        <w:jc w:val="distribute"/>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、乙方逾期交付货物，乙方向甲方每日偿付逾期交货部分货款总值</w:t>
      </w:r>
    </w:p>
    <w:p>
      <w:pPr>
        <w:widowControl w:val="0"/>
        <w:snapToGrid w:val="0"/>
        <w:spacing w:before="56" w:after="56" w:line="360" w:lineRule="auto"/>
        <w:ind w:right="85"/>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赔偿费。</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十、《采购文件》及其修改补充、投标文件及其修改补充澄清均为本合同的组成部分。</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十一、因货物的质量问题发生争议，由甲方所在地市级技术监督单位进行质量鉴定。</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十二、本合同发生争议时双方应按合同条款协商解决。双方协商不成的，可以根据仲裁协议向当地仲裁机构申请仲裁。当事人没有订立仲裁协议或者仲裁协议无效的，可以向当地人民法院起诉。</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十三、合同生效及其它：</w:t>
      </w:r>
    </w:p>
    <w:p>
      <w:pPr>
        <w:widowControl w:val="0"/>
        <w:snapToGrid w:val="0"/>
        <w:spacing w:before="56" w:after="56" w:line="360" w:lineRule="auto"/>
        <w:ind w:right="85" w:firstLine="555"/>
        <w:rPr>
          <w:color w:val="auto"/>
          <w:sz w:val="24"/>
          <w:szCs w:val="24"/>
        </w:rPr>
      </w:pPr>
      <w:r>
        <w:rPr>
          <w:rFonts w:hint="eastAsia" w:ascii="宋体" w:hAnsi="宋体"/>
          <w:color w:val="auto"/>
          <w:sz w:val="24"/>
          <w:szCs w:val="24"/>
        </w:rPr>
        <w:t>本合同经甲乙双方代表签字、加盖公章和骑缝章后生效。</w:t>
      </w:r>
      <w:r>
        <w:rPr>
          <w:rFonts w:hint="eastAsia"/>
          <w:color w:val="auto"/>
          <w:sz w:val="24"/>
          <w:szCs w:val="24"/>
        </w:rPr>
        <w:t>本合同一式</w:t>
      </w:r>
      <w:r>
        <w:rPr>
          <w:rFonts w:hint="eastAsia"/>
          <w:color w:val="auto"/>
          <w:sz w:val="24"/>
          <w:szCs w:val="24"/>
          <w:u w:val="single"/>
        </w:rPr>
        <w:t xml:space="preserve">  </w:t>
      </w:r>
      <w:r>
        <w:rPr>
          <w:rFonts w:hint="eastAsia"/>
          <w:color w:val="auto"/>
          <w:sz w:val="24"/>
          <w:szCs w:val="24"/>
        </w:rPr>
        <w:t>份，甲乙双方各持</w:t>
      </w:r>
      <w:r>
        <w:rPr>
          <w:rFonts w:hint="eastAsia"/>
          <w:color w:val="auto"/>
          <w:sz w:val="24"/>
          <w:szCs w:val="24"/>
          <w:u w:val="single"/>
        </w:rPr>
        <w:t xml:space="preserve">   </w:t>
      </w:r>
      <w:r>
        <w:rPr>
          <w:rFonts w:hint="eastAsia"/>
          <w:color w:val="auto"/>
          <w:sz w:val="24"/>
          <w:szCs w:val="24"/>
        </w:rPr>
        <w:t>份。</w:t>
      </w:r>
    </w:p>
    <w:p>
      <w:pPr>
        <w:widowControl w:val="0"/>
        <w:adjustRightInd w:val="0"/>
        <w:snapToGrid w:val="0"/>
        <w:spacing w:before="156" w:beforeLines="50" w:line="300" w:lineRule="auto"/>
        <w:ind w:firstLine="566"/>
        <w:rPr>
          <w:rFonts w:ascii="宋体" w:hAnsi="宋体"/>
          <w:color w:val="auto"/>
          <w:sz w:val="24"/>
          <w:szCs w:val="24"/>
        </w:rPr>
      </w:pPr>
      <w:r>
        <w:rPr>
          <w:rFonts w:hint="eastAsia" w:ascii="宋体" w:hAnsi="宋体"/>
          <w:color w:val="auto"/>
          <w:sz w:val="24"/>
          <w:szCs w:val="24"/>
        </w:rPr>
        <w:t>甲方要在合同签订后1个工作日内登陆安阳市政府采购网进行备案并公告。</w:t>
      </w:r>
    </w:p>
    <w:p>
      <w:pPr>
        <w:widowControl w:val="0"/>
        <w:adjustRightInd w:val="0"/>
        <w:snapToGrid w:val="0"/>
        <w:spacing w:before="156" w:beforeLines="50" w:line="300" w:lineRule="auto"/>
        <w:ind w:firstLine="566"/>
        <w:rPr>
          <w:color w:val="auto"/>
          <w:sz w:val="24"/>
          <w:szCs w:val="24"/>
        </w:rPr>
      </w:pP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甲方：</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乙方：</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地址：</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地址：</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法定代表人：</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法定代表人：</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委托代理人：</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委托代理人：</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电话：</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电话：</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开户银行：</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开户银行：</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银行账号：</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银行账号：</w:t>
      </w:r>
    </w:p>
    <w:p>
      <w:pPr>
        <w:widowControl w:val="0"/>
        <w:snapToGrid w:val="0"/>
        <w:spacing w:before="56" w:after="56" w:line="360" w:lineRule="auto"/>
        <w:ind w:right="85" w:firstLine="555"/>
        <w:rPr>
          <w:rFonts w:ascii="宋体" w:hAnsi="宋体"/>
          <w:color w:val="auto"/>
          <w:sz w:val="24"/>
          <w:szCs w:val="24"/>
        </w:rPr>
      </w:pPr>
    </w:p>
    <w:p>
      <w:pPr>
        <w:widowControl w:val="0"/>
        <w:snapToGrid w:val="0"/>
        <w:spacing w:before="56" w:after="56" w:line="360" w:lineRule="auto"/>
        <w:ind w:right="85" w:firstLine="555"/>
        <w:rPr>
          <w:rFonts w:ascii="宋体" w:hAnsi="宋体"/>
          <w:color w:val="auto"/>
          <w:sz w:val="24"/>
          <w:szCs w:val="24"/>
        </w:rPr>
      </w:pPr>
    </w:p>
    <w:p>
      <w:pPr>
        <w:widowControl w:val="0"/>
        <w:tabs>
          <w:tab w:val="left" w:pos="4678"/>
        </w:tabs>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签约时间：</w:t>
      </w:r>
      <w:r>
        <w:rPr>
          <w:rFonts w:ascii="宋体" w:hAnsi="宋体"/>
          <w:color w:val="auto"/>
          <w:sz w:val="24"/>
          <w:szCs w:val="24"/>
        </w:rPr>
        <w:t xml:space="preserve">          </w:t>
      </w:r>
      <w:r>
        <w:rPr>
          <w:rFonts w:hint="eastAsia" w:ascii="宋体" w:hAnsi="宋体"/>
          <w:color w:val="auto"/>
          <w:sz w:val="24"/>
          <w:szCs w:val="24"/>
        </w:rPr>
        <w:t>签约地点：</w:t>
      </w:r>
    </w:p>
    <w:p>
      <w:pPr>
        <w:widowControl w:val="0"/>
        <w:snapToGrid w:val="0"/>
        <w:spacing w:line="360" w:lineRule="auto"/>
        <w:ind w:firstLine="480" w:firstLineChars="200"/>
        <w:rPr>
          <w:rFonts w:ascii="宋体" w:hAnsi="宋体"/>
          <w:color w:val="auto"/>
          <w:sz w:val="24"/>
          <w:szCs w:val="24"/>
          <w:u w:val="single"/>
        </w:rPr>
      </w:pPr>
    </w:p>
    <w:p>
      <w:pPr>
        <w:widowControl w:val="0"/>
        <w:snapToGrid w:val="0"/>
        <w:spacing w:line="540" w:lineRule="exact"/>
        <w:ind w:right="476"/>
        <w:rPr>
          <w:color w:val="auto"/>
          <w:sz w:val="24"/>
          <w:szCs w:val="24"/>
        </w:rPr>
      </w:pPr>
    </w:p>
    <w:p>
      <w:pPr>
        <w:spacing w:line="240" w:lineRule="auto"/>
        <w:jc w:val="left"/>
        <w:textAlignment w:val="auto"/>
        <w:rPr>
          <w:color w:val="auto"/>
        </w:rPr>
      </w:pPr>
    </w:p>
    <w:p>
      <w:pPr>
        <w:widowControl w:val="0"/>
        <w:snapToGrid w:val="0"/>
        <w:spacing w:line="360" w:lineRule="auto"/>
        <w:rPr>
          <w:color w:val="auto"/>
          <w:sz w:val="24"/>
          <w:szCs w:val="24"/>
        </w:rPr>
      </w:pPr>
    </w:p>
    <w:p>
      <w:pPr>
        <w:spacing w:line="240" w:lineRule="auto"/>
        <w:jc w:val="left"/>
        <w:textAlignment w:val="auto"/>
        <w:rPr>
          <w:rFonts w:ascii="宋体"/>
          <w:b/>
          <w:color w:val="auto"/>
          <w:sz w:val="36"/>
          <w:szCs w:val="36"/>
          <w:lang w:val="zh-CN"/>
        </w:rPr>
      </w:pPr>
      <w:r>
        <w:rPr>
          <w:rFonts w:ascii="宋体"/>
          <w:b/>
          <w:color w:val="auto"/>
          <w:sz w:val="36"/>
          <w:szCs w:val="36"/>
          <w:lang w:val="zh-CN"/>
        </w:rPr>
        <w:br w:type="page"/>
      </w:r>
    </w:p>
    <w:p>
      <w:pPr>
        <w:autoSpaceDE w:val="0"/>
        <w:autoSpaceDN w:val="0"/>
        <w:adjustRightInd w:val="0"/>
        <w:spacing w:line="360" w:lineRule="auto"/>
        <w:jc w:val="center"/>
        <w:outlineLvl w:val="0"/>
        <w:rPr>
          <w:rFonts w:ascii="黑体" w:hAnsi="黑体" w:eastAsia="黑体"/>
          <w:b/>
          <w:color w:val="auto"/>
          <w:sz w:val="36"/>
          <w:szCs w:val="36"/>
          <w:lang w:val="zh-CN"/>
        </w:rPr>
      </w:pPr>
      <w:bookmarkStart w:id="44" w:name="_Toc150758849"/>
      <w:r>
        <w:rPr>
          <w:rFonts w:hint="eastAsia" w:ascii="黑体" w:hAnsi="黑体" w:eastAsia="黑体"/>
          <w:b/>
          <w:color w:val="auto"/>
          <w:sz w:val="36"/>
          <w:szCs w:val="36"/>
          <w:lang w:val="zh-CN"/>
        </w:rPr>
        <w:t>第六章 投标文件格式</w:t>
      </w:r>
      <w:bookmarkEnd w:id="44"/>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pPr>
        <w:autoSpaceDE w:val="0"/>
        <w:autoSpaceDN w:val="0"/>
        <w:adjustRightInd w:val="0"/>
        <w:spacing w:line="276" w:lineRule="auto"/>
        <w:ind w:firstLine="882" w:firstLineChars="245"/>
        <w:jc w:val="left"/>
        <w:rPr>
          <w:rFonts w:ascii="宋体"/>
          <w:color w:val="auto"/>
          <w:sz w:val="36"/>
          <w:szCs w:val="36"/>
          <w:lang w:val="zh-CN"/>
        </w:rPr>
      </w:pPr>
    </w:p>
    <w:p>
      <w:pPr>
        <w:autoSpaceDE w:val="0"/>
        <w:autoSpaceDN w:val="0"/>
        <w:adjustRightInd w:val="0"/>
        <w:spacing w:line="360" w:lineRule="auto"/>
        <w:ind w:right="-817"/>
        <w:rPr>
          <w:rFonts w:ascii="宋体"/>
          <w:color w:val="auto"/>
          <w:sz w:val="24"/>
          <w:u w:val="single"/>
        </w:rPr>
      </w:pPr>
    </w:p>
    <w:p>
      <w:pPr>
        <w:autoSpaceDE w:val="0"/>
        <w:autoSpaceDN w:val="0"/>
        <w:adjustRightInd w:val="0"/>
        <w:spacing w:line="360" w:lineRule="auto"/>
        <w:ind w:firstLine="480" w:firstLineChars="200"/>
        <w:jc w:val="left"/>
        <w:rPr>
          <w:rFonts w:ascii="宋体"/>
          <w:color w:val="auto"/>
          <w:sz w:val="24"/>
          <w:u w:val="single"/>
        </w:rPr>
      </w:pPr>
    </w:p>
    <w:p>
      <w:pPr>
        <w:autoSpaceDE w:val="0"/>
        <w:autoSpaceDN w:val="0"/>
        <w:adjustRightInd w:val="0"/>
        <w:spacing w:line="360" w:lineRule="auto"/>
        <w:jc w:val="left"/>
        <w:rPr>
          <w:rFonts w:ascii="宋体"/>
          <w:color w:val="auto"/>
          <w:sz w:val="44"/>
          <w:szCs w:val="44"/>
          <w:u w:val="single"/>
        </w:rPr>
      </w:pPr>
      <w:r>
        <w:rPr>
          <w:rFonts w:hint="eastAsia" w:ascii="宋体" w:hAnsi="宋体"/>
          <w:color w:val="auto"/>
          <w:sz w:val="44"/>
          <w:szCs w:val="44"/>
        </w:rPr>
        <w:t>项目名称：</w:t>
      </w:r>
      <w:r>
        <w:rPr>
          <w:rFonts w:ascii="宋体" w:hAnsi="宋体"/>
          <w:color w:val="auto"/>
          <w:sz w:val="44"/>
          <w:szCs w:val="44"/>
          <w:u w:val="single"/>
        </w:rPr>
        <w:t xml:space="preserve">                                 </w:t>
      </w:r>
    </w:p>
    <w:p>
      <w:pPr>
        <w:autoSpaceDE w:val="0"/>
        <w:autoSpaceDN w:val="0"/>
        <w:adjustRightInd w:val="0"/>
        <w:spacing w:line="360" w:lineRule="auto"/>
        <w:jc w:val="left"/>
        <w:rPr>
          <w:rFonts w:ascii="宋体"/>
          <w:color w:val="auto"/>
          <w:sz w:val="24"/>
        </w:rPr>
      </w:pPr>
      <w:r>
        <w:rPr>
          <w:rFonts w:hint="eastAsia" w:ascii="宋体" w:hAnsi="宋体"/>
          <w:color w:val="auto"/>
          <w:sz w:val="44"/>
          <w:szCs w:val="44"/>
        </w:rPr>
        <w:t>项目编号：</w:t>
      </w:r>
      <w:r>
        <w:rPr>
          <w:rFonts w:ascii="宋体" w:hAnsi="宋体"/>
          <w:color w:val="auto"/>
          <w:sz w:val="44"/>
          <w:szCs w:val="44"/>
          <w:u w:val="single"/>
        </w:rPr>
        <w:t xml:space="preserve">                                 </w:t>
      </w:r>
    </w:p>
    <w:p>
      <w:pPr>
        <w:autoSpaceDE w:val="0"/>
        <w:autoSpaceDN w:val="0"/>
        <w:adjustRightInd w:val="0"/>
        <w:spacing w:line="360" w:lineRule="auto"/>
        <w:jc w:val="left"/>
        <w:rPr>
          <w:rFonts w:ascii="宋体"/>
          <w:color w:val="auto"/>
          <w:sz w:val="84"/>
          <w:szCs w:val="84"/>
        </w:rPr>
      </w:pPr>
    </w:p>
    <w:p>
      <w:pPr>
        <w:autoSpaceDE w:val="0"/>
        <w:autoSpaceDN w:val="0"/>
        <w:adjustRightInd w:val="0"/>
        <w:spacing w:line="360" w:lineRule="auto"/>
        <w:jc w:val="center"/>
        <w:rPr>
          <w:rFonts w:ascii="黑体" w:hAnsi="黑体" w:eastAsia="黑体"/>
          <w:b/>
          <w:color w:val="auto"/>
          <w:spacing w:val="60"/>
          <w:sz w:val="84"/>
          <w:szCs w:val="84"/>
        </w:rPr>
      </w:pPr>
      <w:r>
        <w:rPr>
          <w:rFonts w:hint="eastAsia" w:ascii="黑体" w:hAnsi="黑体" w:eastAsia="黑体"/>
          <w:b/>
          <w:color w:val="auto"/>
          <w:spacing w:val="60"/>
          <w:sz w:val="84"/>
          <w:szCs w:val="84"/>
        </w:rPr>
        <w:t>包</w:t>
      </w:r>
      <w:r>
        <w:rPr>
          <w:rFonts w:hint="eastAsia" w:ascii="黑体" w:hAnsi="黑体" w:eastAsia="黑体"/>
          <w:b/>
          <w:color w:val="auto"/>
          <w:spacing w:val="60"/>
          <w:sz w:val="84"/>
          <w:szCs w:val="84"/>
          <w:u w:val="single"/>
        </w:rPr>
        <w:t>2</w:t>
      </w:r>
      <w:r>
        <w:rPr>
          <w:rFonts w:hint="eastAsia" w:ascii="黑体" w:hAnsi="黑体" w:eastAsia="黑体"/>
          <w:b/>
          <w:color w:val="auto"/>
          <w:spacing w:val="60"/>
          <w:sz w:val="84"/>
          <w:szCs w:val="84"/>
        </w:rPr>
        <w:t>投</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件</w:t>
      </w: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pStyle w:val="49"/>
        <w:spacing w:line="360" w:lineRule="auto"/>
        <w:rPr>
          <w:rFonts w:hAnsi="宋体"/>
          <w:color w:val="auto"/>
          <w:szCs w:val="24"/>
          <w:u w:val="single"/>
        </w:rPr>
      </w:pPr>
    </w:p>
    <w:p>
      <w:pPr>
        <w:pStyle w:val="49"/>
        <w:spacing w:line="360" w:lineRule="auto"/>
        <w:jc w:val="both"/>
        <w:rPr>
          <w:rFonts w:hAnsi="宋体"/>
          <w:color w:val="auto"/>
          <w:sz w:val="28"/>
          <w:szCs w:val="28"/>
          <w:u w:val="single"/>
        </w:rPr>
      </w:pPr>
      <w:r>
        <w:rPr>
          <w:rFonts w:hAnsi="宋体"/>
          <w:color w:val="auto"/>
          <w:sz w:val="28"/>
          <w:szCs w:val="28"/>
        </w:rPr>
        <w:t xml:space="preserve">  </w:t>
      </w:r>
      <w:r>
        <w:rPr>
          <w:rFonts w:hint="eastAsia" w:hAnsi="宋体"/>
          <w:color w:val="auto"/>
          <w:sz w:val="28"/>
          <w:szCs w:val="28"/>
        </w:rPr>
        <w:t>投标人（</w:t>
      </w:r>
      <w:r>
        <w:rPr>
          <w:rFonts w:hint="eastAsia"/>
          <w:color w:val="auto"/>
          <w:szCs w:val="24"/>
        </w:rPr>
        <w:t>电子签</w:t>
      </w:r>
      <w:r>
        <w:rPr>
          <w:rFonts w:hint="eastAsia" w:hAnsi="宋体"/>
          <w:color w:val="auto"/>
          <w:szCs w:val="24"/>
        </w:rPr>
        <w:t>章</w:t>
      </w:r>
      <w:r>
        <w:rPr>
          <w:rFonts w:hint="eastAsia" w:hAnsi="宋体"/>
          <w:color w:val="auto"/>
          <w:sz w:val="28"/>
          <w:szCs w:val="28"/>
        </w:rPr>
        <w:t>）：</w:t>
      </w:r>
      <w:r>
        <w:rPr>
          <w:rFonts w:hAnsi="宋体"/>
          <w:color w:val="auto"/>
          <w:sz w:val="28"/>
          <w:szCs w:val="28"/>
          <w:u w:val="single"/>
        </w:rPr>
        <w:t xml:space="preserve">                                       </w:t>
      </w:r>
    </w:p>
    <w:p>
      <w:pPr>
        <w:pStyle w:val="49"/>
        <w:spacing w:line="360" w:lineRule="auto"/>
        <w:ind w:firstLine="280" w:firstLineChars="100"/>
        <w:rPr>
          <w:rFonts w:hAnsi="宋体"/>
          <w:color w:val="auto"/>
          <w:sz w:val="28"/>
          <w:szCs w:val="28"/>
        </w:rPr>
      </w:pPr>
    </w:p>
    <w:p>
      <w:pPr>
        <w:pStyle w:val="49"/>
        <w:spacing w:line="360" w:lineRule="auto"/>
        <w:ind w:firstLine="280" w:firstLineChars="100"/>
        <w:rPr>
          <w:rFonts w:hAnsi="宋体"/>
          <w:color w:val="auto"/>
          <w:sz w:val="28"/>
          <w:szCs w:val="28"/>
          <w:u w:val="single"/>
        </w:rPr>
      </w:pPr>
      <w:r>
        <w:rPr>
          <w:rFonts w:hint="eastAsia" w:hAnsi="宋体"/>
          <w:color w:val="auto"/>
          <w:sz w:val="28"/>
          <w:szCs w:val="28"/>
        </w:rPr>
        <w:t>法定代表人（电子签名或签章）：</w:t>
      </w:r>
      <w:r>
        <w:rPr>
          <w:rFonts w:hAnsi="宋体"/>
          <w:color w:val="auto"/>
          <w:sz w:val="28"/>
          <w:szCs w:val="28"/>
          <w:u w:val="single"/>
        </w:rPr>
        <w:t xml:space="preserve">                                    </w:t>
      </w:r>
    </w:p>
    <w:p>
      <w:pPr>
        <w:pStyle w:val="49"/>
        <w:spacing w:line="360" w:lineRule="auto"/>
        <w:jc w:val="center"/>
        <w:rPr>
          <w:rFonts w:hAnsi="宋体"/>
          <w:color w:val="auto"/>
          <w:sz w:val="28"/>
          <w:szCs w:val="28"/>
        </w:rPr>
      </w:pPr>
    </w:p>
    <w:p>
      <w:pPr>
        <w:pStyle w:val="49"/>
        <w:spacing w:line="360" w:lineRule="auto"/>
        <w:jc w:val="both"/>
        <w:rPr>
          <w:rFonts w:hAnsi="宋体"/>
          <w:color w:val="auto"/>
          <w:sz w:val="28"/>
          <w:szCs w:val="28"/>
        </w:rPr>
      </w:pPr>
    </w:p>
    <w:p>
      <w:pPr>
        <w:widowControl w:val="0"/>
        <w:tabs>
          <w:tab w:val="left" w:pos="9365"/>
        </w:tabs>
        <w:snapToGrid w:val="0"/>
        <w:spacing w:before="56" w:after="56" w:line="560" w:lineRule="atLeast"/>
        <w:jc w:val="left"/>
        <w:textAlignment w:val="top"/>
        <w:rPr>
          <w:color w:val="auto"/>
          <w:sz w:val="28"/>
        </w:rPr>
      </w:pPr>
      <w:r>
        <w:rPr>
          <w:rFonts w:ascii="宋体" w:cs="楷体_GB2312"/>
          <w:b/>
          <w:bCs/>
          <w:color w:val="auto"/>
          <w:sz w:val="44"/>
          <w:szCs w:val="44"/>
          <w:lang w:val="zh-CN"/>
        </w:rPr>
        <w:br w:type="page"/>
      </w:r>
      <w:bookmarkStart w:id="45" w:name="OLE_LINK35"/>
      <w:bookmarkStart w:id="46" w:name="OLE_LINK10"/>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一、投标书</w:t>
      </w:r>
      <w:bookmarkEnd w:id="45"/>
    </w:p>
    <w:bookmarkEnd w:id="46"/>
    <w:p>
      <w:pPr>
        <w:widowControl w:val="0"/>
        <w:snapToGrid w:val="0"/>
        <w:spacing w:line="560" w:lineRule="exact"/>
        <w:rPr>
          <w:color w:val="auto"/>
          <w:sz w:val="28"/>
        </w:rPr>
      </w:pPr>
    </w:p>
    <w:p>
      <w:pPr>
        <w:widowControl w:val="0"/>
        <w:snapToGrid w:val="0"/>
        <w:spacing w:line="360" w:lineRule="auto"/>
        <w:rPr>
          <w:color w:val="auto"/>
          <w:sz w:val="24"/>
          <w:szCs w:val="24"/>
        </w:rPr>
      </w:pPr>
      <w:r>
        <w:rPr>
          <w:rFonts w:hint="eastAsia"/>
          <w:color w:val="auto"/>
          <w:sz w:val="24"/>
          <w:szCs w:val="24"/>
        </w:rPr>
        <w:t>致：安阳市方正招标采购服务有限责任公司</w:t>
      </w:r>
    </w:p>
    <w:p>
      <w:pPr>
        <w:widowControl w:val="0"/>
        <w:snapToGrid w:val="0"/>
        <w:spacing w:line="360" w:lineRule="auto"/>
        <w:ind w:firstLine="578"/>
        <w:textAlignment w:val="top"/>
        <w:rPr>
          <w:color w:val="auto"/>
          <w:sz w:val="24"/>
          <w:szCs w:val="24"/>
        </w:rPr>
      </w:pPr>
      <w:r>
        <w:rPr>
          <w:rFonts w:hint="eastAsia"/>
          <w:color w:val="auto"/>
          <w:sz w:val="24"/>
          <w:szCs w:val="24"/>
        </w:rPr>
        <w:t>根据贵方竞争性谈判采购</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的谈判文件（项目编号：</w:t>
      </w:r>
      <w:r>
        <w:rPr>
          <w:color w:val="auto"/>
          <w:sz w:val="24"/>
          <w:szCs w:val="24"/>
          <w:u w:val="single"/>
        </w:rPr>
        <w:t xml:space="preserve">         </w:t>
      </w:r>
      <w:r>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ascii="宋体" w:hAnsi="宋体"/>
          <w:color w:val="auto"/>
          <w:sz w:val="24"/>
        </w:rPr>
        <w:t>投标产品清单及其技术参数，安装调试方案</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）技术偏差表。</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ascii="宋体" w:hAnsi="宋体"/>
          <w:color w:val="auto"/>
          <w:sz w:val="24"/>
        </w:rPr>
        <w:t>其他偏差表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ascii="宋体" w:hAnsi="宋体"/>
          <w:color w:val="auto"/>
          <w:sz w:val="24"/>
        </w:rPr>
        <w:t>售后服务计划</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ascii="宋体" w:hAnsi="宋体"/>
          <w:color w:val="auto"/>
          <w:sz w:val="24"/>
        </w:rPr>
        <w:t>关于资格的声明函</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ascii="宋体" w:hAnsi="宋体"/>
          <w:color w:val="auto"/>
          <w:sz w:val="24"/>
        </w:rPr>
        <w:t>反商业贿赂承诺书。</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ascii="宋体" w:hAnsi="宋体"/>
          <w:color w:val="auto"/>
          <w:sz w:val="24"/>
        </w:rPr>
        <w:t>履约承诺书。</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）资格要求相关证件材料及证明材料</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）采购项目及技术服务要求所需的其他材料</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）投标人须知所需的其他材料</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）评审办法所需的其他材料</w:t>
      </w:r>
    </w:p>
    <w:p>
      <w:pPr>
        <w:autoSpaceDE w:val="0"/>
        <w:autoSpaceDN w:val="0"/>
        <w:adjustRightInd w:val="0"/>
        <w:snapToGrid w:val="0"/>
        <w:spacing w:line="300" w:lineRule="auto"/>
        <w:ind w:firstLine="520" w:firstLineChars="217"/>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widowControl w:val="0"/>
        <w:snapToGrid w:val="0"/>
        <w:spacing w:line="560" w:lineRule="exact"/>
        <w:ind w:firstLine="555"/>
        <w:rPr>
          <w:rFonts w:ascii="宋体" w:hAnsi="宋体"/>
          <w:color w:val="auto"/>
          <w:sz w:val="24"/>
          <w:szCs w:val="24"/>
        </w:rPr>
      </w:pPr>
      <w:r>
        <w:rPr>
          <w:rFonts w:ascii="宋体" w:hAnsi="宋体"/>
          <w:color w:val="auto"/>
          <w:sz w:val="24"/>
          <w:szCs w:val="24"/>
        </w:rPr>
        <w:t>.........</w:t>
      </w:r>
    </w:p>
    <w:p>
      <w:pPr>
        <w:widowControl w:val="0"/>
        <w:snapToGrid w:val="0"/>
        <w:spacing w:before="156" w:beforeLines="50" w:line="300" w:lineRule="auto"/>
        <w:ind w:firstLine="556"/>
        <w:rPr>
          <w:rFonts w:ascii="宋体" w:hAnsi="宋体"/>
          <w:color w:val="auto"/>
          <w:sz w:val="24"/>
          <w:szCs w:val="24"/>
        </w:rPr>
      </w:pPr>
      <w:r>
        <w:rPr>
          <w:rFonts w:hint="eastAsia" w:ascii="宋体" w:hAnsi="宋体"/>
          <w:color w:val="auto"/>
          <w:sz w:val="24"/>
          <w:szCs w:val="24"/>
        </w:rPr>
        <w:t>据此函，签字代表宣布同意如下：</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所附“开标一览表”中规定的应提供和交付的投标总价为：</w:t>
      </w:r>
    </w:p>
    <w:p>
      <w:pPr>
        <w:widowControl w:val="0"/>
        <w:snapToGrid w:val="0"/>
        <w:spacing w:before="156" w:beforeLines="50" w:line="300" w:lineRule="auto"/>
        <w:ind w:firstLine="556"/>
        <w:rPr>
          <w:color w:val="auto"/>
          <w:sz w:val="24"/>
          <w:szCs w:val="24"/>
        </w:rPr>
      </w:pPr>
      <w:r>
        <w:rPr>
          <w:rFonts w:hint="eastAsia" w:ascii="宋体" w:hAnsi="宋体"/>
          <w:color w:val="auto"/>
          <w:sz w:val="24"/>
          <w:szCs w:val="24"/>
        </w:rPr>
        <w:t>人民币</w:t>
      </w:r>
      <w:r>
        <w:rPr>
          <w:rFonts w:ascii="宋体" w:hAnsi="宋体"/>
          <w:color w:val="auto"/>
          <w:sz w:val="24"/>
          <w:szCs w:val="24"/>
          <w:u w:val="single"/>
        </w:rPr>
        <w:tab/>
      </w:r>
      <w:r>
        <w:rPr>
          <w:rFonts w:hint="eastAsia" w:ascii="宋体" w:hAnsi="宋体"/>
          <w:color w:val="auto"/>
          <w:sz w:val="24"/>
          <w:szCs w:val="24"/>
          <w:u w:val="single"/>
        </w:rPr>
        <w:t xml:space="preserve">   </w:t>
      </w:r>
      <w:r>
        <w:rPr>
          <w:rFonts w:hint="eastAsia" w:ascii="宋体" w:hAnsi="宋体"/>
          <w:color w:val="auto"/>
          <w:sz w:val="24"/>
          <w:szCs w:val="24"/>
        </w:rPr>
        <w:t>，即</w:t>
      </w:r>
      <w:r>
        <w:rPr>
          <w:rFonts w:ascii="宋体" w:hAnsi="宋体"/>
          <w:color w:val="auto"/>
          <w:sz w:val="24"/>
          <w:szCs w:val="24"/>
          <w:u w:val="single"/>
        </w:rPr>
        <w:tab/>
      </w:r>
      <w:r>
        <w:rPr>
          <w:rFonts w:ascii="宋体" w:hAnsi="宋体"/>
          <w:color w:val="auto"/>
          <w:sz w:val="24"/>
          <w:szCs w:val="24"/>
          <w:u w:val="single"/>
        </w:rPr>
        <w:tab/>
      </w:r>
      <w:r>
        <w:rPr>
          <w:rFonts w:ascii="宋体" w:hAnsi="宋体"/>
          <w:color w:val="auto"/>
          <w:sz w:val="24"/>
          <w:szCs w:val="24"/>
          <w:u w:val="single"/>
        </w:rPr>
        <w:tab/>
      </w:r>
      <w:r>
        <w:rPr>
          <w:rFonts w:hint="eastAsia" w:ascii="宋体" w:hAnsi="宋体"/>
          <w:color w:val="auto"/>
          <w:sz w:val="24"/>
          <w:szCs w:val="24"/>
        </w:rPr>
        <w:t>（文字表述）</w:t>
      </w:r>
      <w:r>
        <w:rPr>
          <w:rFonts w:hint="eastAsia"/>
          <w:color w:val="auto"/>
          <w:sz w:val="24"/>
          <w:szCs w:val="24"/>
        </w:rPr>
        <w:t>交验期：</w:t>
      </w:r>
      <w:r>
        <w:rPr>
          <w:rFonts w:hint="eastAsia"/>
          <w:color w:val="auto"/>
          <w:sz w:val="24"/>
          <w:szCs w:val="24"/>
          <w:u w:val="single"/>
        </w:rPr>
        <w:t xml:space="preserve">                   </w:t>
      </w:r>
      <w:r>
        <w:rPr>
          <w:rFonts w:hint="eastAsia"/>
          <w:color w:val="auto"/>
          <w:sz w:val="24"/>
          <w:szCs w:val="24"/>
        </w:rPr>
        <w:t>，</w:t>
      </w:r>
    </w:p>
    <w:p>
      <w:pPr>
        <w:widowControl w:val="0"/>
        <w:snapToGrid w:val="0"/>
        <w:spacing w:before="156" w:beforeLines="50" w:line="300" w:lineRule="auto"/>
        <w:ind w:firstLine="556"/>
        <w:rPr>
          <w:color w:val="auto"/>
          <w:sz w:val="24"/>
          <w:szCs w:val="24"/>
        </w:rPr>
      </w:pPr>
      <w:r>
        <w:rPr>
          <w:rFonts w:hint="eastAsia"/>
          <w:color w:val="auto"/>
          <w:sz w:val="24"/>
          <w:szCs w:val="24"/>
        </w:rPr>
        <w:t>交验地点：</w:t>
      </w:r>
      <w:r>
        <w:rPr>
          <w:rFonts w:hint="eastAsia"/>
          <w:color w:val="auto"/>
          <w:sz w:val="24"/>
          <w:szCs w:val="24"/>
          <w:u w:val="single"/>
        </w:rPr>
        <w:t xml:space="preserve">                                 </w:t>
      </w:r>
      <w:r>
        <w:rPr>
          <w:rFonts w:hint="eastAsia"/>
          <w:color w:val="auto"/>
          <w:sz w:val="24"/>
          <w:szCs w:val="24"/>
        </w:rPr>
        <w:t>。</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如果我单位的投标书被接受，我单位将履行谈判文件中规定的每一项要求，按期、按质、按量履行合同。</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 xml:space="preserve">3. </w:t>
      </w:r>
      <w:r>
        <w:rPr>
          <w:rFonts w:hint="eastAsia" w:ascii="宋体" w:hAnsi="宋体"/>
          <w:color w:val="auto"/>
          <w:sz w:val="24"/>
          <w:szCs w:val="24"/>
        </w:rPr>
        <w:t>我单位愿按《中华人民共和国民法典》履行我单位的全部责任。</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 xml:space="preserve">4. </w:t>
      </w:r>
      <w:r>
        <w:rPr>
          <w:rFonts w:hint="eastAsia" w:ascii="宋体" w:hAnsi="宋体"/>
          <w:color w:val="auto"/>
          <w:sz w:val="24"/>
          <w:szCs w:val="24"/>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本投标自开标日起有效期为</w:t>
      </w:r>
      <w:r>
        <w:rPr>
          <w:rFonts w:ascii="宋体" w:hAnsi="宋体"/>
          <w:color w:val="auto"/>
          <w:sz w:val="24"/>
          <w:szCs w:val="24"/>
        </w:rPr>
        <w:t>90</w:t>
      </w:r>
      <w:r>
        <w:rPr>
          <w:rFonts w:hint="eastAsia" w:ascii="宋体" w:hAnsi="宋体"/>
          <w:color w:val="auto"/>
          <w:sz w:val="24"/>
          <w:szCs w:val="24"/>
        </w:rPr>
        <w:t>日历天。</w:t>
      </w:r>
    </w:p>
    <w:p>
      <w:pPr>
        <w:widowControl w:val="0"/>
        <w:snapToGrid w:val="0"/>
        <w:spacing w:before="156" w:beforeLines="50" w:line="300" w:lineRule="auto"/>
        <w:ind w:firstLine="556"/>
        <w:rPr>
          <w:rFonts w:ascii="宋体" w:hAnsi="宋体"/>
          <w:color w:val="auto"/>
          <w:sz w:val="24"/>
          <w:szCs w:val="24"/>
        </w:rPr>
      </w:pPr>
      <w:r>
        <w:rPr>
          <w:rFonts w:hint="eastAsia" w:ascii="宋体" w:hAnsi="宋体"/>
          <w:color w:val="auto"/>
          <w:sz w:val="24"/>
          <w:szCs w:val="24"/>
        </w:rPr>
        <w:t>6.我单位承诺按照《谈判文件》规定的付款方式执行。</w:t>
      </w:r>
    </w:p>
    <w:p>
      <w:pPr>
        <w:widowControl w:val="0"/>
        <w:snapToGrid w:val="0"/>
        <w:spacing w:before="156" w:beforeLines="50" w:line="300" w:lineRule="auto"/>
        <w:ind w:firstLine="556"/>
        <w:rPr>
          <w:rFonts w:ascii="宋体" w:hAnsi="宋体"/>
          <w:color w:val="auto"/>
          <w:sz w:val="24"/>
          <w:szCs w:val="24"/>
        </w:rPr>
      </w:pPr>
      <w:r>
        <w:rPr>
          <w:rFonts w:hint="eastAsia"/>
          <w:color w:val="auto"/>
          <w:sz w:val="24"/>
          <w:szCs w:val="24"/>
        </w:rPr>
        <w:t>7</w:t>
      </w:r>
      <w:r>
        <w:rPr>
          <w:color w:val="auto"/>
          <w:sz w:val="24"/>
          <w:szCs w:val="24"/>
        </w:rPr>
        <w:t>.</w:t>
      </w:r>
      <w:r>
        <w:rPr>
          <w:rFonts w:hint="eastAsia"/>
          <w:color w:val="auto"/>
          <w:sz w:val="24"/>
          <w:szCs w:val="24"/>
        </w:rPr>
        <w:t>如果在规定的开标时间后，我单位在投标有效期内撤回投标的，依据</w:t>
      </w:r>
      <w:r>
        <w:rPr>
          <w:rFonts w:hint="eastAsia" w:ascii="宋体" w:hAnsi="宋体"/>
          <w:color w:val="auto"/>
          <w:sz w:val="24"/>
          <w:szCs w:val="24"/>
        </w:rPr>
        <w:t>谈判</w:t>
      </w:r>
      <w:r>
        <w:rPr>
          <w:rFonts w:hint="eastAsia"/>
          <w:color w:val="auto"/>
          <w:sz w:val="24"/>
          <w:szCs w:val="24"/>
        </w:rPr>
        <w:t>文件“第三章3.5.5 违背承诺的责任追究措施”，我单位承担相应法律责任及违约责任。</w:t>
      </w:r>
    </w:p>
    <w:p>
      <w:pPr>
        <w:widowControl w:val="0"/>
        <w:snapToGrid w:val="0"/>
        <w:spacing w:before="156" w:beforeLines="50" w:line="300" w:lineRule="auto"/>
        <w:ind w:firstLine="556"/>
        <w:rPr>
          <w:rFonts w:ascii="宋体" w:hAnsi="宋体"/>
          <w:color w:val="auto"/>
          <w:sz w:val="24"/>
          <w:szCs w:val="24"/>
        </w:rPr>
      </w:pPr>
      <w:r>
        <w:rPr>
          <w:rFonts w:hint="eastAsia" w:ascii="宋体" w:hAnsi="宋体"/>
          <w:color w:val="auto"/>
          <w:sz w:val="24"/>
          <w:szCs w:val="24"/>
        </w:rPr>
        <w:t>8</w:t>
      </w:r>
      <w:r>
        <w:rPr>
          <w:rFonts w:ascii="宋体" w:hAnsi="宋体"/>
          <w:color w:val="auto"/>
          <w:sz w:val="24"/>
          <w:szCs w:val="24"/>
        </w:rPr>
        <w:t xml:space="preserve">. </w:t>
      </w:r>
      <w:r>
        <w:rPr>
          <w:rFonts w:hint="eastAsia" w:ascii="宋体" w:hAnsi="宋体"/>
          <w:color w:val="auto"/>
          <w:sz w:val="24"/>
          <w:szCs w:val="24"/>
        </w:rPr>
        <w:t>我单位同意提供按照贵方可能要求的与投标有关的一切数据或资料，理解贵方不一定要接受最低价的投标或收到的任何投标。</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与本投标有关的一切正式往来请寄：</w:t>
      </w:r>
    </w:p>
    <w:p>
      <w:pPr>
        <w:widowControl w:val="0"/>
        <w:snapToGrid w:val="0"/>
        <w:spacing w:line="560" w:lineRule="exact"/>
        <w:ind w:firstLine="555"/>
        <w:jc w:val="left"/>
        <w:rPr>
          <w:rFonts w:ascii="宋体" w:hAnsi="宋体"/>
          <w:color w:val="auto"/>
          <w:sz w:val="24"/>
          <w:szCs w:val="24"/>
        </w:rPr>
      </w:pPr>
      <w:r>
        <w:rPr>
          <w:rFonts w:hint="eastAsia" w:ascii="宋体" w:hAnsi="宋体"/>
          <w:color w:val="auto"/>
          <w:sz w:val="24"/>
          <w:szCs w:val="24"/>
        </w:rPr>
        <w:t>地址：</w:t>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邮政编码：</w:t>
      </w:r>
      <w:r>
        <w:rPr>
          <w:rFonts w:ascii="宋体" w:hAnsi="宋体"/>
          <w:color w:val="auto"/>
          <w:sz w:val="24"/>
          <w:szCs w:val="24"/>
        </w:rPr>
        <w:tab/>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电话：</w:t>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传真：</w:t>
      </w:r>
    </w:p>
    <w:p>
      <w:pPr>
        <w:widowControl w:val="0"/>
        <w:snapToGrid w:val="0"/>
        <w:spacing w:line="560" w:lineRule="exact"/>
        <w:ind w:firstLine="555"/>
        <w:rPr>
          <w:rFonts w:ascii="宋体" w:hAnsi="宋体"/>
          <w:color w:val="auto"/>
          <w:sz w:val="24"/>
          <w:szCs w:val="24"/>
        </w:rPr>
      </w:pPr>
    </w:p>
    <w:p>
      <w:pPr>
        <w:widowControl w:val="0"/>
        <w:snapToGrid w:val="0"/>
        <w:spacing w:line="560" w:lineRule="exact"/>
        <w:ind w:firstLine="555"/>
        <w:rPr>
          <w:rFonts w:ascii="宋体" w:hAnsi="宋体"/>
          <w:color w:val="auto"/>
          <w:sz w:val="24"/>
          <w:szCs w:val="24"/>
        </w:rPr>
      </w:pPr>
    </w:p>
    <w:p>
      <w:pPr>
        <w:widowControl w:val="0"/>
        <w:snapToGrid w:val="0"/>
        <w:spacing w:line="560" w:lineRule="exact"/>
        <w:ind w:firstLine="555"/>
        <w:rPr>
          <w:rFonts w:ascii="宋体" w:hAnsi="宋体"/>
          <w:color w:val="auto"/>
          <w:sz w:val="24"/>
          <w:szCs w:val="24"/>
        </w:rPr>
      </w:pP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投标人（电子签章）：</w:t>
      </w: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法定代表人（电子签名或签章）：</w:t>
      </w:r>
    </w:p>
    <w:p>
      <w:pPr>
        <w:autoSpaceDE w:val="0"/>
        <w:autoSpaceDN w:val="0"/>
        <w:adjustRightInd w:val="0"/>
        <w:spacing w:line="360" w:lineRule="auto"/>
        <w:ind w:right="-817"/>
        <w:rPr>
          <w:rFonts w:ascii="宋体" w:hAns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ascii="宋体" w:hAnsi="宋体"/>
          <w:color w:val="auto"/>
          <w:sz w:val="24"/>
          <w:szCs w:val="24"/>
        </w:rPr>
      </w:pPr>
      <w:r>
        <w:rPr>
          <w:rFonts w:ascii="宋体" w:hAnsi="宋体"/>
          <w:color w:val="auto"/>
          <w:sz w:val="24"/>
          <w:szCs w:val="24"/>
        </w:rPr>
        <w:br w:type="page"/>
      </w:r>
    </w:p>
    <w:p>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二、开标一览表</w:t>
      </w: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8"/>
        </w:rPr>
      </w:pPr>
      <w:r>
        <w:rPr>
          <w:rFonts w:hint="eastAsia"/>
          <w:b/>
          <w:color w:val="auto"/>
          <w:sz w:val="24"/>
          <w:szCs w:val="24"/>
        </w:rPr>
        <w:t>注：投标人需在“安阳市政府采购投标文件编制系统”中、按系统要求填列开标一览表，系统中填列的开标一览表为投标人《投</w:t>
      </w:r>
      <w:r>
        <w:rPr>
          <w:b/>
          <w:color w:val="auto"/>
          <w:sz w:val="24"/>
          <w:szCs w:val="24"/>
        </w:rPr>
        <w:t>标文件</w:t>
      </w:r>
      <w:r>
        <w:rPr>
          <w:rFonts w:hint="eastAsia"/>
          <w:b/>
          <w:color w:val="auto"/>
          <w:sz w:val="24"/>
          <w:szCs w:val="24"/>
        </w:rPr>
        <w:t>》</w:t>
      </w:r>
      <w:r>
        <w:rPr>
          <w:b/>
          <w:color w:val="auto"/>
          <w:sz w:val="24"/>
          <w:szCs w:val="24"/>
        </w:rPr>
        <w:t>（</w:t>
      </w:r>
      <w:r>
        <w:rPr>
          <w:rFonts w:hint="eastAsia"/>
          <w:b/>
          <w:color w:val="auto"/>
          <w:sz w:val="24"/>
          <w:szCs w:val="24"/>
        </w:rPr>
        <w:t>响应文件）的一部分。</w:t>
      </w:r>
    </w:p>
    <w:p>
      <w:pPr>
        <w:widowControl w:val="0"/>
        <w:snapToGrid w:val="0"/>
        <w:spacing w:line="560" w:lineRule="exact"/>
        <w:jc w:val="left"/>
        <w:rPr>
          <w:color w:val="auto"/>
          <w:sz w:val="28"/>
        </w:rPr>
      </w:pPr>
    </w:p>
    <w:p>
      <w:pPr>
        <w:widowControl w:val="0"/>
        <w:tabs>
          <w:tab w:val="left" w:pos="9365"/>
        </w:tabs>
        <w:snapToGrid w:val="0"/>
        <w:spacing w:before="56" w:after="56" w:line="560" w:lineRule="atLeast"/>
        <w:jc w:val="left"/>
        <w:textAlignment w:val="top"/>
        <w:rPr>
          <w:color w:val="auto"/>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基于电子化交易的特点，投标人上传解密后的《开标一览表》、《分项报价表》、《符合性响应文件》，构成《投标文件》</w:t>
      </w:r>
      <w:r>
        <w:rPr>
          <w:b/>
          <w:color w:val="auto"/>
          <w:sz w:val="24"/>
          <w:szCs w:val="24"/>
        </w:rPr>
        <w:t>（</w:t>
      </w:r>
      <w:r>
        <w:rPr>
          <w:rFonts w:hint="eastAsia"/>
          <w:b/>
          <w:color w:val="auto"/>
          <w:sz w:val="24"/>
          <w:szCs w:val="24"/>
        </w:rPr>
        <w:t>响应文件）的组成部分。</w:t>
      </w:r>
    </w:p>
    <w:p>
      <w:pPr>
        <w:widowControl w:val="0"/>
        <w:tabs>
          <w:tab w:val="left" w:pos="9365"/>
        </w:tabs>
        <w:snapToGrid w:val="0"/>
        <w:spacing w:before="56" w:after="56" w:line="560" w:lineRule="atLeast"/>
        <w:ind w:firstLine="354" w:firstLineChars="147"/>
        <w:jc w:val="left"/>
        <w:textAlignment w:val="top"/>
        <w:rPr>
          <w:b/>
          <w:color w:val="auto"/>
          <w:sz w:val="24"/>
          <w:szCs w:val="24"/>
        </w:rPr>
      </w:pPr>
      <w:r>
        <w:rPr>
          <w:rFonts w:hint="eastAsia"/>
          <w:b/>
          <w:color w:val="auto"/>
          <w:sz w:val="24"/>
          <w:szCs w:val="24"/>
        </w:rPr>
        <w:t>《开标一览表》、《分项报价表》无需另行填列。</w:t>
      </w:r>
    </w:p>
    <w:p>
      <w:pPr>
        <w:widowControl w:val="0"/>
        <w:tabs>
          <w:tab w:val="left" w:pos="9365"/>
        </w:tabs>
        <w:snapToGrid w:val="0"/>
        <w:spacing w:before="56" w:after="56" w:line="560" w:lineRule="atLeast"/>
        <w:jc w:val="left"/>
        <w:textAlignment w:val="top"/>
        <w:rPr>
          <w:color w:val="auto"/>
        </w:rPr>
      </w:pPr>
    </w:p>
    <w:p>
      <w:pPr>
        <w:widowControl w:val="0"/>
        <w:tabs>
          <w:tab w:val="left" w:pos="9365"/>
        </w:tabs>
        <w:snapToGrid w:val="0"/>
        <w:spacing w:before="56" w:after="56" w:line="560" w:lineRule="atLeast"/>
        <w:jc w:val="left"/>
        <w:textAlignment w:val="top"/>
        <w:rPr>
          <w:color w:val="auto"/>
        </w:rPr>
      </w:pPr>
      <w:r>
        <w:rPr>
          <w:color w:val="auto"/>
        </w:rPr>
        <w:br w:type="page"/>
      </w:r>
    </w:p>
    <w:p>
      <w:pPr>
        <w:widowControl w:val="0"/>
        <w:snapToGrid w:val="0"/>
        <w:spacing w:line="560" w:lineRule="exact"/>
        <w:jc w:val="center"/>
        <w:rPr>
          <w:rFonts w:ascii="黑体" w:hAnsi="黑体" w:eastAsia="黑体"/>
          <w:color w:val="auto"/>
          <w:sz w:val="28"/>
        </w:rPr>
      </w:pPr>
      <w:r>
        <w:rPr>
          <w:rFonts w:hint="eastAsia" w:ascii="黑体" w:hAnsi="黑体" w:eastAsia="黑体"/>
          <w:b/>
          <w:color w:val="auto"/>
          <w:sz w:val="30"/>
          <w:szCs w:val="30"/>
        </w:rPr>
        <w:t>三、分项报价</w:t>
      </w:r>
    </w:p>
    <w:p>
      <w:pPr>
        <w:widowControl w:val="0"/>
        <w:snapToGrid w:val="0"/>
        <w:spacing w:line="560" w:lineRule="exact"/>
        <w:jc w:val="left"/>
        <w:rPr>
          <w:color w:val="auto"/>
          <w:sz w:val="28"/>
        </w:rPr>
      </w:pP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1、投标人需在“安阳市政府采购投标文件编制系统”中、按系统要求填列分项报价，系统中填列的分项报价为投标人《投</w:t>
      </w:r>
      <w:r>
        <w:rPr>
          <w:b/>
          <w:color w:val="auto"/>
          <w:sz w:val="24"/>
          <w:szCs w:val="24"/>
        </w:rPr>
        <w:t>标文件</w:t>
      </w:r>
      <w:r>
        <w:rPr>
          <w:rFonts w:hint="eastAsia"/>
          <w:b/>
          <w:color w:val="auto"/>
          <w:sz w:val="24"/>
          <w:szCs w:val="24"/>
        </w:rPr>
        <w:t>》</w:t>
      </w:r>
      <w:r>
        <w:rPr>
          <w:b/>
          <w:color w:val="auto"/>
          <w:sz w:val="24"/>
          <w:szCs w:val="24"/>
        </w:rPr>
        <w:t>（</w:t>
      </w:r>
      <w:r>
        <w:rPr>
          <w:rFonts w:hint="eastAsia"/>
          <w:b/>
          <w:color w:val="auto"/>
          <w:sz w:val="24"/>
          <w:szCs w:val="24"/>
        </w:rPr>
        <w:t>响应文件）的一部分。</w:t>
      </w:r>
    </w:p>
    <w:p>
      <w:pPr>
        <w:widowControl w:val="0"/>
        <w:snapToGrid w:val="0"/>
        <w:spacing w:line="560" w:lineRule="exact"/>
        <w:ind w:firstLine="482" w:firstLineChars="200"/>
        <w:jc w:val="left"/>
        <w:rPr>
          <w:b/>
          <w:color w:val="auto"/>
          <w:sz w:val="24"/>
          <w:szCs w:val="24"/>
        </w:rPr>
      </w:pP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基于电子化交易的特点，投标人上传解密后的《开标一览表》、《分项报价表》、《符合性响应文件》，构成《投标文件》</w:t>
      </w:r>
      <w:r>
        <w:rPr>
          <w:b/>
          <w:color w:val="auto"/>
          <w:sz w:val="24"/>
          <w:szCs w:val="24"/>
        </w:rPr>
        <w:t>（</w:t>
      </w:r>
      <w:r>
        <w:rPr>
          <w:rFonts w:hint="eastAsia"/>
          <w:b/>
          <w:color w:val="auto"/>
          <w:sz w:val="24"/>
          <w:szCs w:val="24"/>
        </w:rPr>
        <w:t>响应文件）的组成部分。</w:t>
      </w:r>
    </w:p>
    <w:p>
      <w:pPr>
        <w:widowControl w:val="0"/>
        <w:tabs>
          <w:tab w:val="left" w:pos="9365"/>
        </w:tabs>
        <w:snapToGrid w:val="0"/>
        <w:spacing w:before="56" w:after="56" w:line="560" w:lineRule="atLeast"/>
        <w:ind w:firstLine="354" w:firstLineChars="147"/>
        <w:jc w:val="left"/>
        <w:textAlignment w:val="top"/>
        <w:rPr>
          <w:b/>
          <w:color w:val="auto"/>
          <w:sz w:val="24"/>
          <w:szCs w:val="24"/>
        </w:rPr>
      </w:pPr>
      <w:r>
        <w:rPr>
          <w:rFonts w:hint="eastAsia"/>
          <w:b/>
          <w:color w:val="auto"/>
          <w:sz w:val="24"/>
          <w:szCs w:val="24"/>
        </w:rPr>
        <w:t>《开标一览表》、《分项报价表》无需另行填列。</w:t>
      </w:r>
    </w:p>
    <w:p>
      <w:pPr>
        <w:widowControl w:val="0"/>
        <w:snapToGrid w:val="0"/>
        <w:spacing w:line="560" w:lineRule="exact"/>
        <w:ind w:firstLine="482" w:firstLineChars="200"/>
        <w:jc w:val="left"/>
        <w:rPr>
          <w:b/>
          <w:color w:val="auto"/>
          <w:sz w:val="24"/>
          <w:szCs w:val="24"/>
        </w:rPr>
      </w:pPr>
    </w:p>
    <w:p>
      <w:pPr>
        <w:widowControl w:val="0"/>
        <w:tabs>
          <w:tab w:val="left" w:pos="9365"/>
        </w:tabs>
        <w:snapToGrid w:val="0"/>
        <w:spacing w:before="56" w:after="56" w:line="560" w:lineRule="atLeast"/>
        <w:jc w:val="left"/>
        <w:textAlignment w:val="top"/>
        <w:rPr>
          <w:color w:val="auto"/>
        </w:rPr>
      </w:pPr>
    </w:p>
    <w:p>
      <w:pPr>
        <w:widowControl w:val="0"/>
        <w:snapToGrid w:val="0"/>
        <w:spacing w:line="560" w:lineRule="exact"/>
        <w:jc w:val="left"/>
        <w:rPr>
          <w:color w:val="auto"/>
          <w:sz w:val="28"/>
        </w:rPr>
      </w:pPr>
      <w:r>
        <w:rPr>
          <w:rFonts w:eastAsia="方正黑体简体"/>
          <w:b/>
          <w:color w:val="auto"/>
          <w:sz w:val="30"/>
          <w:szCs w:val="30"/>
        </w:rPr>
        <w:br w:type="page"/>
      </w:r>
    </w:p>
    <w:p>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四、投标产品清单及具体技术参数</w:t>
      </w:r>
    </w:p>
    <w:p>
      <w:pPr>
        <w:pStyle w:val="14"/>
        <w:adjustRightInd w:val="0"/>
        <w:snapToGrid w:val="0"/>
        <w:spacing w:before="0" w:beforeAutospacing="0" w:after="0" w:afterAutospacing="0"/>
        <w:rPr>
          <w:color w:val="auto"/>
        </w:rPr>
      </w:pPr>
    </w:p>
    <w:p>
      <w:pPr>
        <w:pStyle w:val="14"/>
        <w:adjustRightInd w:val="0"/>
        <w:snapToGrid w:val="0"/>
        <w:spacing w:before="0" w:beforeAutospacing="0" w:after="0" w:afterAutospacing="0"/>
        <w:rPr>
          <w:color w:val="auto"/>
          <w:u w:val="single"/>
        </w:rPr>
      </w:pPr>
      <w:r>
        <w:rPr>
          <w:rFonts w:hint="eastAsia"/>
          <w:color w:val="auto"/>
        </w:rPr>
        <w:t>项目名称：</w:t>
      </w:r>
    </w:p>
    <w:p>
      <w:pPr>
        <w:pStyle w:val="14"/>
        <w:adjustRightInd w:val="0"/>
        <w:snapToGrid w:val="0"/>
        <w:spacing w:before="0" w:beforeAutospacing="0" w:after="0" w:afterAutospacing="0"/>
        <w:rPr>
          <w:color w:val="auto"/>
        </w:rPr>
      </w:pPr>
      <w:r>
        <w:rPr>
          <w:rFonts w:hint="eastAsia"/>
          <w:color w:val="auto"/>
        </w:rPr>
        <w:t>项目编号：</w:t>
      </w:r>
    </w:p>
    <w:tbl>
      <w:tblPr>
        <w:tblStyle w:val="1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200"/>
        <w:gridCol w:w="567"/>
        <w:gridCol w:w="567"/>
        <w:gridCol w:w="1134"/>
        <w:gridCol w:w="1912"/>
        <w:gridCol w:w="1559"/>
        <w:gridCol w:w="567"/>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480"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序号</w:t>
            </w:r>
          </w:p>
        </w:tc>
        <w:tc>
          <w:tcPr>
            <w:tcW w:w="1200" w:type="dxa"/>
            <w:tcBorders>
              <w:top w:val="single" w:color="000000" w:sz="8" w:space="0"/>
              <w:bottom w:val="single" w:color="000000" w:sz="4" w:space="0"/>
              <w:right w:val="single" w:color="000000" w:sz="4" w:space="0"/>
            </w:tcBorders>
            <w:vAlign w:val="center"/>
          </w:tcPr>
          <w:p>
            <w:pPr>
              <w:widowControl w:val="0"/>
              <w:snapToGrid w:val="0"/>
              <w:spacing w:line="360" w:lineRule="exact"/>
              <w:jc w:val="center"/>
              <w:rPr>
                <w:b/>
                <w:color w:val="auto"/>
                <w:sz w:val="28"/>
              </w:rPr>
            </w:pPr>
            <w:r>
              <w:rPr>
                <w:rFonts w:hint="eastAsia"/>
                <w:b/>
                <w:color w:val="auto"/>
              </w:rPr>
              <w:t>产品名称</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单位</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数量</w:t>
            </w:r>
          </w:p>
        </w:tc>
        <w:tc>
          <w:tcPr>
            <w:tcW w:w="1134"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品牌型号</w:t>
            </w:r>
          </w:p>
        </w:tc>
        <w:tc>
          <w:tcPr>
            <w:tcW w:w="1912"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技术参数</w:t>
            </w:r>
          </w:p>
        </w:tc>
        <w:tc>
          <w:tcPr>
            <w:tcW w:w="1559"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原产地及制造商</w:t>
            </w:r>
          </w:p>
        </w:tc>
        <w:tc>
          <w:tcPr>
            <w:tcW w:w="567" w:type="dxa"/>
            <w:tcBorders>
              <w:top w:val="single" w:color="000000" w:sz="8" w:space="0"/>
              <w:bottom w:val="single" w:color="000000" w:sz="4" w:space="0"/>
              <w:right w:val="single" w:color="000000" w:sz="8" w:space="0"/>
            </w:tcBorders>
            <w:vAlign w:val="center"/>
          </w:tcPr>
          <w:p>
            <w:pPr>
              <w:spacing w:line="360" w:lineRule="exact"/>
              <w:jc w:val="center"/>
              <w:rPr>
                <w:b/>
                <w:color w:val="auto"/>
                <w:sz w:val="28"/>
              </w:rPr>
            </w:pPr>
            <w:r>
              <w:rPr>
                <w:rFonts w:hint="eastAsia"/>
                <w:b/>
                <w:color w:val="auto"/>
              </w:rPr>
              <w:t>附件</w:t>
            </w:r>
          </w:p>
        </w:tc>
        <w:tc>
          <w:tcPr>
            <w:tcW w:w="1490" w:type="dxa"/>
            <w:tcBorders>
              <w:top w:val="single" w:color="000000" w:sz="8" w:space="0"/>
              <w:bottom w:val="single" w:color="000000" w:sz="4" w:space="0"/>
              <w:right w:val="single" w:color="000000" w:sz="8" w:space="0"/>
            </w:tcBorders>
          </w:tcPr>
          <w:p>
            <w:pPr>
              <w:spacing w:line="360" w:lineRule="exact"/>
              <w:jc w:val="center"/>
              <w:rPr>
                <w:b/>
                <w:color w:val="auto"/>
              </w:rPr>
            </w:pPr>
            <w:r>
              <w:rPr>
                <w:rFonts w:hint="eastAsia"/>
                <w:b/>
                <w:color w:val="auto"/>
                <w:szCs w:val="21"/>
              </w:rPr>
              <w:t>节能产品、环境标志产品的标注</w:t>
            </w:r>
            <w:r>
              <w:rPr>
                <w:b/>
                <w:color w:val="auto"/>
                <w:sz w:val="18"/>
                <w:szCs w:val="18"/>
              </w:rPr>
              <w:t>(</w:t>
            </w:r>
            <w:r>
              <w:rPr>
                <w:rFonts w:hint="eastAsia"/>
                <w:b/>
                <w:color w:val="auto"/>
                <w:sz w:val="18"/>
                <w:szCs w:val="18"/>
              </w:rPr>
              <w:t>按需填列</w:t>
            </w:r>
            <w:r>
              <w:rPr>
                <w:b/>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jc w:val="center"/>
        </w:trPr>
        <w:tc>
          <w:tcPr>
            <w:tcW w:w="480" w:type="dxa"/>
            <w:tcBorders>
              <w:bottom w:val="single" w:color="000000" w:sz="4" w:space="0"/>
              <w:right w:val="single" w:color="000000" w:sz="4" w:space="0"/>
            </w:tcBorders>
            <w:vAlign w:val="center"/>
          </w:tcPr>
          <w:p>
            <w:pPr>
              <w:spacing w:line="360" w:lineRule="exact"/>
              <w:jc w:val="center"/>
              <w:rPr>
                <w:color w:val="auto"/>
                <w:sz w:val="28"/>
              </w:rPr>
            </w:pPr>
            <w:r>
              <w:rPr>
                <w:color w:val="auto"/>
              </w:rPr>
              <w:t>1</w:t>
            </w:r>
          </w:p>
        </w:tc>
        <w:tc>
          <w:tcPr>
            <w:tcW w:w="1200"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1134" w:type="dxa"/>
            <w:tcBorders>
              <w:bottom w:val="single" w:color="000000" w:sz="4" w:space="0"/>
              <w:right w:val="single" w:color="000000" w:sz="4" w:space="0"/>
            </w:tcBorders>
            <w:vAlign w:val="center"/>
          </w:tcPr>
          <w:p>
            <w:pPr>
              <w:spacing w:line="360" w:lineRule="exact"/>
              <w:jc w:val="center"/>
              <w:rPr>
                <w:color w:val="auto"/>
                <w:sz w:val="28"/>
              </w:rPr>
            </w:pPr>
          </w:p>
        </w:tc>
        <w:tc>
          <w:tcPr>
            <w:tcW w:w="1912" w:type="dxa"/>
            <w:tcBorders>
              <w:bottom w:val="single" w:color="000000" w:sz="4" w:space="0"/>
              <w:right w:val="single" w:color="000000" w:sz="4" w:space="0"/>
            </w:tcBorders>
            <w:vAlign w:val="center"/>
          </w:tcPr>
          <w:p>
            <w:pPr>
              <w:spacing w:line="360" w:lineRule="exact"/>
              <w:jc w:val="center"/>
              <w:rPr>
                <w:color w:val="auto"/>
                <w:sz w:val="28"/>
              </w:rPr>
            </w:pPr>
          </w:p>
        </w:tc>
        <w:tc>
          <w:tcPr>
            <w:tcW w:w="155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8" w:space="0"/>
            </w:tcBorders>
            <w:vAlign w:val="center"/>
          </w:tcPr>
          <w:p>
            <w:pPr>
              <w:spacing w:line="360" w:lineRule="exact"/>
              <w:jc w:val="center"/>
              <w:rPr>
                <w:color w:val="auto"/>
                <w:sz w:val="28"/>
              </w:rPr>
            </w:pPr>
          </w:p>
        </w:tc>
        <w:tc>
          <w:tcPr>
            <w:tcW w:w="1490"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jc w:val="center"/>
        </w:trPr>
        <w:tc>
          <w:tcPr>
            <w:tcW w:w="480" w:type="dxa"/>
            <w:tcBorders>
              <w:left w:val="single" w:color="000000" w:sz="4" w:space="0"/>
              <w:bottom w:val="single" w:color="000000" w:sz="4" w:space="0"/>
              <w:right w:val="single" w:color="000000" w:sz="4" w:space="0"/>
            </w:tcBorders>
            <w:vAlign w:val="center"/>
          </w:tcPr>
          <w:p>
            <w:pPr>
              <w:spacing w:line="360" w:lineRule="exact"/>
              <w:jc w:val="center"/>
              <w:rPr>
                <w:color w:val="auto"/>
                <w:sz w:val="28"/>
              </w:rPr>
            </w:pPr>
            <w:r>
              <w:rPr>
                <w:color w:val="auto"/>
              </w:rPr>
              <w:t>2</w:t>
            </w:r>
          </w:p>
        </w:tc>
        <w:tc>
          <w:tcPr>
            <w:tcW w:w="1200"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1134" w:type="dxa"/>
            <w:tcBorders>
              <w:bottom w:val="single" w:color="000000" w:sz="4" w:space="0"/>
              <w:right w:val="single" w:color="000000" w:sz="4" w:space="0"/>
            </w:tcBorders>
            <w:vAlign w:val="center"/>
          </w:tcPr>
          <w:p>
            <w:pPr>
              <w:spacing w:line="360" w:lineRule="exact"/>
              <w:jc w:val="center"/>
              <w:rPr>
                <w:color w:val="auto"/>
                <w:sz w:val="28"/>
              </w:rPr>
            </w:pPr>
          </w:p>
        </w:tc>
        <w:tc>
          <w:tcPr>
            <w:tcW w:w="1912" w:type="dxa"/>
            <w:tcBorders>
              <w:bottom w:val="single" w:color="000000" w:sz="4" w:space="0"/>
              <w:right w:val="single" w:color="000000" w:sz="4" w:space="0"/>
            </w:tcBorders>
            <w:vAlign w:val="center"/>
          </w:tcPr>
          <w:p>
            <w:pPr>
              <w:spacing w:line="360" w:lineRule="exact"/>
              <w:jc w:val="center"/>
              <w:rPr>
                <w:color w:val="auto"/>
                <w:sz w:val="28"/>
              </w:rPr>
            </w:pPr>
          </w:p>
        </w:tc>
        <w:tc>
          <w:tcPr>
            <w:tcW w:w="155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8" w:space="0"/>
            </w:tcBorders>
            <w:vAlign w:val="center"/>
          </w:tcPr>
          <w:p>
            <w:pPr>
              <w:spacing w:line="360" w:lineRule="exact"/>
              <w:jc w:val="center"/>
              <w:rPr>
                <w:color w:val="auto"/>
                <w:sz w:val="28"/>
              </w:rPr>
            </w:pPr>
          </w:p>
        </w:tc>
        <w:tc>
          <w:tcPr>
            <w:tcW w:w="1490"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sz w:val="28"/>
              </w:rPr>
            </w:pPr>
            <w:r>
              <w:rPr>
                <w:color w:val="auto"/>
              </w:rPr>
              <w:t>3</w:t>
            </w:r>
          </w:p>
        </w:tc>
        <w:tc>
          <w:tcPr>
            <w:tcW w:w="1200"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1134" w:type="dxa"/>
            <w:tcBorders>
              <w:right w:val="single" w:color="000000" w:sz="4" w:space="0"/>
            </w:tcBorders>
            <w:vAlign w:val="center"/>
          </w:tcPr>
          <w:p>
            <w:pPr>
              <w:spacing w:line="360" w:lineRule="exact"/>
              <w:jc w:val="center"/>
              <w:rPr>
                <w:color w:val="auto"/>
                <w:sz w:val="28"/>
              </w:rPr>
            </w:pPr>
          </w:p>
        </w:tc>
        <w:tc>
          <w:tcPr>
            <w:tcW w:w="1912" w:type="dxa"/>
            <w:tcBorders>
              <w:right w:val="single" w:color="000000" w:sz="4" w:space="0"/>
            </w:tcBorders>
            <w:vAlign w:val="center"/>
          </w:tcPr>
          <w:p>
            <w:pPr>
              <w:spacing w:line="360" w:lineRule="exact"/>
              <w:jc w:val="center"/>
              <w:rPr>
                <w:color w:val="auto"/>
                <w:sz w:val="28"/>
              </w:rPr>
            </w:pPr>
          </w:p>
        </w:tc>
        <w:tc>
          <w:tcPr>
            <w:tcW w:w="155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8" w:space="0"/>
            </w:tcBorders>
            <w:vAlign w:val="center"/>
          </w:tcPr>
          <w:p>
            <w:pPr>
              <w:spacing w:line="360" w:lineRule="exact"/>
              <w:jc w:val="center"/>
              <w:rPr>
                <w:color w:val="auto"/>
                <w:sz w:val="28"/>
              </w:rPr>
            </w:pPr>
          </w:p>
        </w:tc>
        <w:tc>
          <w:tcPr>
            <w:tcW w:w="1490" w:type="dxa"/>
            <w:tcBorders>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rPr>
            </w:pPr>
            <w:r>
              <w:rPr>
                <w:rFonts w:hint="eastAsia"/>
                <w:color w:val="auto"/>
              </w:rPr>
              <w:t>……</w:t>
            </w:r>
          </w:p>
        </w:tc>
        <w:tc>
          <w:tcPr>
            <w:tcW w:w="1200"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1134" w:type="dxa"/>
            <w:tcBorders>
              <w:right w:val="single" w:color="000000" w:sz="4" w:space="0"/>
            </w:tcBorders>
            <w:vAlign w:val="center"/>
          </w:tcPr>
          <w:p>
            <w:pPr>
              <w:spacing w:line="360" w:lineRule="exact"/>
              <w:jc w:val="center"/>
              <w:rPr>
                <w:color w:val="auto"/>
                <w:sz w:val="28"/>
              </w:rPr>
            </w:pPr>
          </w:p>
        </w:tc>
        <w:tc>
          <w:tcPr>
            <w:tcW w:w="1912" w:type="dxa"/>
            <w:tcBorders>
              <w:right w:val="single" w:color="000000" w:sz="4" w:space="0"/>
            </w:tcBorders>
            <w:vAlign w:val="center"/>
          </w:tcPr>
          <w:p>
            <w:pPr>
              <w:spacing w:line="360" w:lineRule="exact"/>
              <w:jc w:val="center"/>
              <w:rPr>
                <w:color w:val="auto"/>
                <w:sz w:val="28"/>
              </w:rPr>
            </w:pPr>
          </w:p>
        </w:tc>
        <w:tc>
          <w:tcPr>
            <w:tcW w:w="155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8" w:space="0"/>
            </w:tcBorders>
            <w:vAlign w:val="center"/>
          </w:tcPr>
          <w:p>
            <w:pPr>
              <w:spacing w:line="360" w:lineRule="exact"/>
              <w:jc w:val="center"/>
              <w:rPr>
                <w:color w:val="auto"/>
                <w:sz w:val="28"/>
              </w:rPr>
            </w:pPr>
          </w:p>
        </w:tc>
        <w:tc>
          <w:tcPr>
            <w:tcW w:w="1490" w:type="dxa"/>
            <w:tcBorders>
              <w:right w:val="single" w:color="000000" w:sz="8" w:space="0"/>
            </w:tcBorders>
          </w:tcPr>
          <w:p>
            <w:pPr>
              <w:spacing w:line="360" w:lineRule="exact"/>
              <w:jc w:val="center"/>
              <w:rPr>
                <w:color w:val="auto"/>
                <w:sz w:val="28"/>
              </w:rPr>
            </w:pPr>
          </w:p>
        </w:tc>
      </w:tr>
    </w:tbl>
    <w:p>
      <w:pPr>
        <w:spacing w:line="240" w:lineRule="auto"/>
        <w:rPr>
          <w:rFonts w:ascii="宋体" w:hAnsi="宋体" w:cs="宋体"/>
          <w:color w:val="auto"/>
        </w:rPr>
      </w:pPr>
      <w:r>
        <w:rPr>
          <w:rFonts w:hint="eastAsia"/>
          <w:color w:val="auto"/>
          <w:sz w:val="24"/>
        </w:rPr>
        <w:t>　</w:t>
      </w:r>
      <w:r>
        <w:rPr>
          <w:rFonts w:hint="eastAsia"/>
          <w:color w:val="auto"/>
        </w:rPr>
        <w:t>注：</w:t>
      </w:r>
      <w:r>
        <w:rPr>
          <w:rFonts w:hint="eastAsia" w:ascii="宋体" w:hAnsi="宋体" w:cs="宋体"/>
          <w:color w:val="auto"/>
        </w:rPr>
        <w:t>1、投标人应详细填写投标产品具体技术参数。包括产品的品牌、规格、型号、产地等技术参数。</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2、如采购产品属于政府强制采购品目清单的，投标人须在本表对应栏中标明 “为节能产品，节能产品认证证书后附”，认证证书应当为国家确定的认证机构出具、且应处于有效期之内。不符合的、按谈判文件规定为无效投标。</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3、如采购产品不属于政府强制采购品目清单的，投标人自主填列。</w:t>
      </w:r>
    </w:p>
    <w:p>
      <w:pPr>
        <w:autoSpaceDE w:val="0"/>
        <w:autoSpaceDN w:val="0"/>
        <w:adjustRightInd w:val="0"/>
        <w:spacing w:line="360" w:lineRule="auto"/>
        <w:jc w:val="center"/>
        <w:rPr>
          <w:color w:val="auto"/>
          <w:sz w:val="28"/>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bookmarkStart w:id="47" w:name="OLE_LINK22"/>
    </w:p>
    <w:p>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五、技术偏差表</w:t>
      </w:r>
      <w:bookmarkEnd w:id="47"/>
    </w:p>
    <w:p>
      <w:pPr>
        <w:pStyle w:val="14"/>
        <w:adjustRightInd w:val="0"/>
        <w:snapToGrid w:val="0"/>
        <w:spacing w:before="0" w:beforeAutospacing="0" w:after="0" w:afterAutospacing="0"/>
        <w:rPr>
          <w:color w:val="auto"/>
          <w:u w:val="single"/>
        </w:rPr>
      </w:pPr>
      <w:r>
        <w:rPr>
          <w:rFonts w:hint="eastAsia"/>
          <w:color w:val="auto"/>
        </w:rPr>
        <w:t>项目名称：</w:t>
      </w:r>
    </w:p>
    <w:p>
      <w:pPr>
        <w:pStyle w:val="14"/>
        <w:adjustRightInd w:val="0"/>
        <w:snapToGrid w:val="0"/>
        <w:spacing w:before="0" w:beforeAutospacing="0" w:after="0" w:afterAutospacing="0"/>
        <w:rPr>
          <w:color w:val="auto"/>
        </w:rPr>
      </w:pPr>
      <w:r>
        <w:rPr>
          <w:rFonts w:hint="eastAsia"/>
          <w:color w:val="auto"/>
        </w:rPr>
        <w:t>项目编号：</w:t>
      </w:r>
    </w:p>
    <w:tbl>
      <w:tblPr>
        <w:tblStyle w:val="16"/>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产品名称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投标产品参数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c>
          <w:tcPr>
            <w:tcW w:w="1260" w:type="dxa"/>
            <w:tcBorders>
              <w:top w:val="single" w:color="000000" w:sz="8" w:space="0"/>
              <w:bottom w:val="single" w:color="000000" w:sz="4" w:space="0"/>
              <w:right w:val="single" w:color="000000" w:sz="8" w:space="0"/>
            </w:tcBorders>
          </w:tcPr>
          <w:p>
            <w:pPr>
              <w:spacing w:line="240" w:lineRule="auto"/>
              <w:jc w:val="center"/>
              <w:rPr>
                <w:b/>
                <w:color w:val="auto"/>
              </w:rPr>
            </w:pPr>
            <w:r>
              <w:rPr>
                <w:rFonts w:hint="eastAsia"/>
                <w:b/>
                <w:color w:val="auto"/>
              </w:rPr>
              <w:t>所对应的产品证明材料的页码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1640" w:type="dxa"/>
            <w:tcBorders>
              <w:bottom w:val="single" w:color="000000" w:sz="8" w:space="0"/>
              <w:right w:val="single" w:color="000000" w:sz="4" w:space="0"/>
            </w:tcBorders>
            <w:vAlign w:val="center"/>
          </w:tcPr>
          <w:p>
            <w:pPr>
              <w:spacing w:line="560" w:lineRule="exact"/>
              <w:jc w:val="center"/>
              <w:rPr>
                <w:color w:val="auto"/>
                <w:sz w:val="28"/>
              </w:rPr>
            </w:pPr>
          </w:p>
        </w:tc>
        <w:tc>
          <w:tcPr>
            <w:tcW w:w="2184" w:type="dxa"/>
            <w:tcBorders>
              <w:bottom w:val="single" w:color="000000" w:sz="8" w:space="0"/>
              <w:right w:val="single" w:color="000000" w:sz="4" w:space="0"/>
            </w:tcBorders>
            <w:vAlign w:val="center"/>
          </w:tcPr>
          <w:p>
            <w:pPr>
              <w:spacing w:line="560" w:lineRule="exact"/>
              <w:jc w:val="center"/>
              <w:rPr>
                <w:color w:val="auto"/>
                <w:sz w:val="28"/>
              </w:rPr>
            </w:pPr>
          </w:p>
        </w:tc>
        <w:tc>
          <w:tcPr>
            <w:tcW w:w="2077" w:type="dxa"/>
            <w:tcBorders>
              <w:bottom w:val="single" w:color="000000" w:sz="8" w:space="0"/>
              <w:right w:val="single" w:color="000000" w:sz="4" w:space="0"/>
            </w:tcBorders>
            <w:vAlign w:val="center"/>
          </w:tcPr>
          <w:p>
            <w:pPr>
              <w:spacing w:line="560" w:lineRule="exact"/>
              <w:jc w:val="center"/>
              <w:rPr>
                <w:color w:val="auto"/>
                <w:sz w:val="28"/>
              </w:rPr>
            </w:pPr>
          </w:p>
        </w:tc>
        <w:tc>
          <w:tcPr>
            <w:tcW w:w="1859" w:type="dxa"/>
            <w:tcBorders>
              <w:bottom w:val="single" w:color="000000" w:sz="8" w:space="0"/>
              <w:right w:val="single" w:color="000000" w:sz="8" w:space="0"/>
            </w:tcBorders>
            <w:vAlign w:val="center"/>
          </w:tcPr>
          <w:p>
            <w:pPr>
              <w:spacing w:line="560" w:lineRule="exact"/>
              <w:jc w:val="center"/>
              <w:rPr>
                <w:color w:val="auto"/>
                <w:sz w:val="28"/>
              </w:rPr>
            </w:pPr>
          </w:p>
        </w:tc>
        <w:tc>
          <w:tcPr>
            <w:tcW w:w="1260" w:type="dxa"/>
            <w:tcBorders>
              <w:bottom w:val="single" w:color="000000" w:sz="8" w:space="0"/>
              <w:right w:val="single" w:color="000000" w:sz="8" w:space="0"/>
            </w:tcBorders>
          </w:tcPr>
          <w:p>
            <w:pPr>
              <w:spacing w:line="560" w:lineRule="exact"/>
              <w:jc w:val="center"/>
              <w:rPr>
                <w:color w:val="auto"/>
                <w:sz w:val="28"/>
              </w:rPr>
            </w:pPr>
          </w:p>
        </w:tc>
      </w:tr>
    </w:tbl>
    <w:p>
      <w:pPr>
        <w:widowControl w:val="0"/>
        <w:tabs>
          <w:tab w:val="left" w:pos="9365"/>
        </w:tabs>
        <w:snapToGrid w:val="0"/>
        <w:spacing w:after="56" w:line="560" w:lineRule="exact"/>
        <w:ind w:firstLine="623"/>
        <w:textAlignment w:val="top"/>
        <w:rPr>
          <w:color w:val="auto"/>
        </w:rPr>
      </w:pPr>
    </w:p>
    <w:p>
      <w:pPr>
        <w:widowControl w:val="0"/>
        <w:tabs>
          <w:tab w:val="left" w:pos="9365"/>
        </w:tabs>
        <w:snapToGrid w:val="0"/>
        <w:spacing w:line="360" w:lineRule="auto"/>
        <w:ind w:firstLine="624"/>
        <w:textAlignment w:val="top"/>
        <w:rPr>
          <w:rFonts w:ascii="宋体" w:cs="宋体"/>
          <w:color w:val="auto"/>
        </w:rPr>
      </w:pPr>
      <w:r>
        <w:rPr>
          <w:rFonts w:hint="eastAsia"/>
          <w:color w:val="auto"/>
        </w:rPr>
        <w:t>注：</w:t>
      </w:r>
      <w:r>
        <w:rPr>
          <w:rFonts w:ascii="宋体" w:hAnsi="宋体" w:cs="宋体"/>
          <w:color w:val="auto"/>
        </w:rPr>
        <w:t>1</w:t>
      </w:r>
      <w:r>
        <w:rPr>
          <w:rFonts w:hint="eastAsia"/>
          <w:color w:val="auto"/>
        </w:rPr>
        <w:t>、“偏差”栏中详细注明所投产品参数与《谈判文件》中要求有何不同，并说明其符合性。投标人应分标段（包）填制本表。</w:t>
      </w:r>
    </w:p>
    <w:p>
      <w:pPr>
        <w:widowControl w:val="0"/>
        <w:tabs>
          <w:tab w:val="left" w:pos="9365"/>
        </w:tabs>
        <w:snapToGrid w:val="0"/>
        <w:spacing w:line="360" w:lineRule="auto"/>
        <w:ind w:firstLine="624"/>
        <w:textAlignment w:val="top"/>
        <w:rPr>
          <w:color w:val="auto"/>
        </w:rPr>
      </w:pPr>
      <w:r>
        <w:rPr>
          <w:rFonts w:ascii="宋体" w:hAnsi="宋体" w:cs="宋体"/>
          <w:color w:val="auto"/>
        </w:rPr>
        <w:t>2</w:t>
      </w:r>
      <w:r>
        <w:rPr>
          <w:rFonts w:hint="eastAsia"/>
          <w:color w:val="auto"/>
        </w:rPr>
        <w:t>、如所投产品配置及技术参数与“技术要求”一致的部分，仍需在本表填列“与《谈判文件》技术要求一致”字样。</w:t>
      </w:r>
    </w:p>
    <w:p>
      <w:pPr>
        <w:autoSpaceDE w:val="0"/>
        <w:autoSpaceDN w:val="0"/>
        <w:adjustRightInd w:val="0"/>
        <w:spacing w:line="360" w:lineRule="auto"/>
        <w:jc w:val="center"/>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autoSpaceDE w:val="0"/>
        <w:autoSpaceDN w:val="0"/>
        <w:adjustRightInd w:val="0"/>
        <w:spacing w:line="360" w:lineRule="auto"/>
        <w:ind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eastAsia="方正黑体简体"/>
          <w:b/>
          <w:color w:val="auto"/>
          <w:sz w:val="30"/>
          <w:szCs w:val="30"/>
        </w:rPr>
      </w:pPr>
    </w:p>
    <w:p>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六、其他偏差表（除技术偏差外）</w:t>
      </w:r>
    </w:p>
    <w:p>
      <w:pPr>
        <w:pStyle w:val="14"/>
        <w:adjustRightInd w:val="0"/>
        <w:snapToGrid w:val="0"/>
        <w:spacing w:before="0" w:beforeAutospacing="0" w:after="0" w:afterAutospacing="0"/>
        <w:rPr>
          <w:color w:val="auto"/>
          <w:u w:val="single"/>
        </w:rPr>
      </w:pPr>
      <w:r>
        <w:rPr>
          <w:rFonts w:hint="eastAsia"/>
          <w:color w:val="auto"/>
        </w:rPr>
        <w:t>项目名称：</w:t>
      </w:r>
    </w:p>
    <w:p>
      <w:pPr>
        <w:pStyle w:val="14"/>
        <w:adjustRightInd w:val="0"/>
        <w:snapToGrid w:val="0"/>
        <w:spacing w:before="0" w:beforeAutospacing="0" w:after="0" w:afterAutospacing="0"/>
        <w:rPr>
          <w:color w:val="auto"/>
        </w:rPr>
      </w:pPr>
      <w:r>
        <w:rPr>
          <w:rFonts w:hint="eastAsia"/>
          <w:color w:val="auto"/>
        </w:rPr>
        <w:t>项目编号：</w:t>
      </w: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谈判文件要求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3098" w:type="dxa"/>
            <w:tcBorders>
              <w:bottom w:val="single" w:color="000000" w:sz="8" w:space="0"/>
              <w:right w:val="single" w:color="000000" w:sz="4" w:space="0"/>
            </w:tcBorders>
            <w:vAlign w:val="center"/>
          </w:tcPr>
          <w:p>
            <w:pPr>
              <w:spacing w:line="560" w:lineRule="exact"/>
              <w:jc w:val="center"/>
              <w:rPr>
                <w:color w:val="auto"/>
                <w:sz w:val="28"/>
              </w:rPr>
            </w:pPr>
          </w:p>
        </w:tc>
        <w:tc>
          <w:tcPr>
            <w:tcW w:w="2947" w:type="dxa"/>
            <w:tcBorders>
              <w:bottom w:val="single" w:color="000000" w:sz="8" w:space="0"/>
              <w:right w:val="single" w:color="000000" w:sz="4" w:space="0"/>
            </w:tcBorders>
            <w:vAlign w:val="center"/>
          </w:tcPr>
          <w:p>
            <w:pPr>
              <w:spacing w:line="560" w:lineRule="exact"/>
              <w:jc w:val="center"/>
              <w:rPr>
                <w:color w:val="auto"/>
                <w:sz w:val="28"/>
              </w:rPr>
            </w:pPr>
          </w:p>
        </w:tc>
        <w:tc>
          <w:tcPr>
            <w:tcW w:w="2638" w:type="dxa"/>
            <w:tcBorders>
              <w:bottom w:val="single" w:color="000000" w:sz="8" w:space="0"/>
              <w:right w:val="single" w:color="000000" w:sz="8" w:space="0"/>
            </w:tcBorders>
            <w:vAlign w:val="center"/>
          </w:tcPr>
          <w:p>
            <w:pPr>
              <w:spacing w:line="560" w:lineRule="exact"/>
              <w:jc w:val="center"/>
              <w:rPr>
                <w:color w:val="auto"/>
                <w:sz w:val="28"/>
              </w:rPr>
            </w:pPr>
          </w:p>
        </w:tc>
      </w:tr>
    </w:tbl>
    <w:p>
      <w:pPr>
        <w:tabs>
          <w:tab w:val="left" w:pos="0"/>
        </w:tabs>
        <w:adjustRightInd w:val="0"/>
        <w:snapToGrid w:val="0"/>
        <w:spacing w:before="156" w:beforeLines="50" w:line="300" w:lineRule="auto"/>
        <w:ind w:right="25" w:firstLine="452" w:firstLineChars="200"/>
        <w:rPr>
          <w:rFonts w:ascii="宋体" w:hAns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、“其他偏差表”应详细注明与《谈判文件》中各项要求（除技术条款外的所有条款）有何不同，并说明其符合性（优于、或低于《谈判文件》要求）。</w:t>
      </w:r>
    </w:p>
    <w:p>
      <w:pPr>
        <w:tabs>
          <w:tab w:val="left" w:pos="0"/>
        </w:tabs>
        <w:adjustRightInd w:val="0"/>
        <w:snapToGrid w:val="0"/>
        <w:spacing w:before="156" w:beforeLines="50" w:line="300" w:lineRule="auto"/>
        <w:ind w:right="25" w:firstLine="452" w:firstLineChars="200"/>
        <w:rPr>
          <w:rFonts w:ascii="宋体"/>
          <w:color w:val="auto"/>
          <w:spacing w:val="8"/>
          <w:szCs w:val="21"/>
        </w:rPr>
      </w:pPr>
      <w:r>
        <w:rPr>
          <w:rFonts w:ascii="宋体" w:hAnsi="宋体"/>
          <w:color w:val="auto"/>
          <w:spacing w:val="8"/>
          <w:szCs w:val="21"/>
        </w:rPr>
        <w:t>2</w:t>
      </w:r>
      <w:r>
        <w:rPr>
          <w:rFonts w:hint="eastAsia" w:ascii="宋体" w:hAnsi="宋体"/>
          <w:color w:val="auto"/>
          <w:spacing w:val="8"/>
          <w:szCs w:val="21"/>
        </w:rPr>
        <w:t>、如投标条款与《谈判文件》其他要求一致，仍需在本表填列“除技术条款外，与《谈判文件》所有条款要求一致，无偏差”字样。</w:t>
      </w:r>
    </w:p>
    <w:p>
      <w:pPr>
        <w:tabs>
          <w:tab w:val="left" w:pos="0"/>
        </w:tabs>
        <w:adjustRightInd w:val="0"/>
        <w:snapToGrid w:val="0"/>
        <w:spacing w:before="156" w:beforeLines="50" w:line="300" w:lineRule="auto"/>
        <w:ind w:right="510"/>
        <w:rPr>
          <w:rFonts w:ascii="宋体"/>
          <w:color w:val="auto"/>
          <w:spacing w:val="8"/>
          <w:szCs w:val="21"/>
        </w:rPr>
      </w:pPr>
    </w:p>
    <w:p>
      <w:pPr>
        <w:tabs>
          <w:tab w:val="left" w:pos="0"/>
        </w:tabs>
        <w:adjustRightInd w:val="0"/>
        <w:snapToGrid w:val="0"/>
        <w:spacing w:before="156" w:beforeLines="50" w:line="300" w:lineRule="auto"/>
        <w:ind w:right="510"/>
        <w:rPr>
          <w:rFonts w:ascii="宋体"/>
          <w:color w:val="auto"/>
          <w:spacing w:val="8"/>
          <w:szCs w:val="21"/>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tabs>
          <w:tab w:val="left" w:pos="540"/>
        </w:tabs>
        <w:spacing w:line="440" w:lineRule="exact"/>
        <w:jc w:val="center"/>
        <w:rPr>
          <w:rFonts w:ascii="宋体" w:cs="楷体_GB2312"/>
          <w:b/>
          <w:color w:val="auto"/>
          <w:sz w:val="30"/>
          <w:szCs w:val="30"/>
          <w:lang w:val="zh-CN"/>
        </w:rPr>
      </w:pPr>
    </w:p>
    <w:p>
      <w:pPr>
        <w:widowControl w:val="0"/>
        <w:snapToGrid w:val="0"/>
        <w:spacing w:line="560" w:lineRule="exact"/>
        <w:jc w:val="left"/>
        <w:textAlignment w:val="top"/>
        <w:rPr>
          <w:color w:val="auto"/>
        </w:rPr>
      </w:pPr>
      <w:r>
        <w:rPr>
          <w:color w:val="auto"/>
        </w:rPr>
        <w:br w:type="page"/>
      </w:r>
    </w:p>
    <w:p>
      <w:pPr>
        <w:tabs>
          <w:tab w:val="left" w:pos="540"/>
        </w:tabs>
        <w:spacing w:line="440" w:lineRule="exact"/>
        <w:jc w:val="center"/>
        <w:rPr>
          <w:rFonts w:ascii="黑体" w:hAnsi="黑体" w:eastAsia="黑体"/>
          <w:b/>
          <w:color w:val="auto"/>
          <w:sz w:val="30"/>
          <w:szCs w:val="30"/>
        </w:rPr>
      </w:pPr>
      <w:bookmarkStart w:id="48" w:name="OLE_LINK27"/>
      <w:r>
        <w:rPr>
          <w:rFonts w:hint="eastAsia" w:ascii="黑体" w:hAnsi="黑体" w:eastAsia="黑体"/>
          <w:b/>
          <w:color w:val="auto"/>
          <w:sz w:val="30"/>
          <w:szCs w:val="30"/>
        </w:rPr>
        <w:t>七、售后服务计划</w:t>
      </w:r>
      <w:bookmarkEnd w:id="48"/>
    </w:p>
    <w:p>
      <w:pPr>
        <w:snapToGrid w:val="0"/>
        <w:spacing w:line="560" w:lineRule="exact"/>
        <w:ind w:firstLine="839"/>
        <w:rPr>
          <w:color w:val="auto"/>
        </w:rPr>
      </w:pP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、详细说明售后服务的内容、形式、时间、解决质量的响应时间、解决问题时间、单位名称、地点。</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、质量保证措施。</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3</w:t>
      </w:r>
      <w:r>
        <w:rPr>
          <w:rFonts w:hint="eastAsia" w:ascii="宋体" w:hAnsi="宋体" w:cs="楷体_GB2312"/>
          <w:color w:val="auto"/>
          <w:sz w:val="24"/>
          <w:lang w:val="zh-CN"/>
        </w:rPr>
        <w:t>、培训计划</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4</w:t>
      </w:r>
      <w:r>
        <w:rPr>
          <w:rFonts w:hint="eastAsia" w:ascii="宋体" w:hAnsi="宋体" w:cs="楷体_GB2312"/>
          <w:color w:val="auto"/>
          <w:sz w:val="24"/>
          <w:lang w:val="zh-CN"/>
        </w:rPr>
        <w:t>、该项目（标段&lt;包&gt;）所提供的其他免费物品或服务。</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r>
        <w:rPr>
          <w:rFonts w:hint="eastAsia" w:ascii="宋体" w:hAnsi="宋体" w:cs="楷体_GB2312"/>
          <w:color w:val="auto"/>
          <w:sz w:val="24"/>
          <w:lang w:val="zh-CN"/>
        </w:rPr>
        <w:t>注：</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、投标人应按要求详细制定出所列条款。</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、“售后服务计划”按谈判文件相应条款要求电子签名&lt;签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章&gt;或投标人</w:t>
      </w:r>
      <w:r>
        <w:rPr>
          <w:rFonts w:hint="eastAsia" w:ascii="宋体" w:hAnsi="宋体" w:cs="楷体_GB2312"/>
          <w:color w:val="auto"/>
          <w:sz w:val="24"/>
          <w:lang w:val="zh-CN"/>
        </w:rPr>
        <w:t>电子签</w:t>
      </w:r>
      <w:r>
        <w:rPr>
          <w:rFonts w:hint="eastAsia" w:ascii="宋体" w:hAnsi="宋体"/>
          <w:color w:val="auto"/>
          <w:sz w:val="24"/>
          <w:szCs w:val="24"/>
        </w:rPr>
        <w:t>章</w:t>
      </w:r>
      <w:r>
        <w:rPr>
          <w:rFonts w:hint="eastAsia" w:ascii="宋体" w:hAnsi="宋体" w:cs="楷体_GB2312"/>
          <w:color w:val="auto"/>
          <w:sz w:val="24"/>
          <w:lang w:val="zh-CN"/>
        </w:rPr>
        <w:t>。</w:t>
      </w:r>
      <w:r>
        <w:rPr>
          <w:rFonts w:ascii="宋体" w:hAnsi="宋体" w:cs="楷体_GB2312"/>
          <w:color w:val="auto"/>
          <w:sz w:val="24"/>
          <w:lang w:val="zh-CN"/>
        </w:rPr>
        <w:t xml:space="preserve">     </w:t>
      </w:r>
    </w:p>
    <w:p>
      <w:pPr>
        <w:snapToGrid w:val="0"/>
        <w:spacing w:line="560" w:lineRule="exact"/>
        <w:rPr>
          <w:color w:val="auto"/>
        </w:rPr>
      </w:pPr>
    </w:p>
    <w:p>
      <w:pPr>
        <w:tabs>
          <w:tab w:val="left" w:pos="540"/>
        </w:tabs>
        <w:spacing w:line="440" w:lineRule="exact"/>
        <w:jc w:val="center"/>
        <w:rPr>
          <w:color w:val="auto"/>
          <w:sz w:val="28"/>
        </w:rPr>
      </w:pPr>
      <w:r>
        <w:rPr>
          <w:color w:val="auto"/>
          <w:sz w:val="28"/>
        </w:rPr>
        <w:br w:type="page"/>
      </w:r>
      <w:bookmarkStart w:id="49" w:name="OLE_LINK28"/>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八、关于资格的声明函</w:t>
      </w:r>
      <w:bookmarkEnd w:id="49"/>
    </w:p>
    <w:p>
      <w:pPr>
        <w:snapToGrid w:val="0"/>
        <w:spacing w:line="560" w:lineRule="exact"/>
        <w:ind w:firstLine="839"/>
        <w:rPr>
          <w:color w:val="auto"/>
        </w:rPr>
      </w:pPr>
    </w:p>
    <w:p>
      <w:pPr>
        <w:snapToGrid w:val="0"/>
        <w:spacing w:line="560" w:lineRule="exact"/>
        <w:rPr>
          <w:rFonts w:ascii="宋体"/>
          <w:color w:val="auto"/>
          <w:sz w:val="24"/>
        </w:rPr>
      </w:pPr>
      <w:r>
        <w:rPr>
          <w:rFonts w:hint="eastAsia" w:ascii="宋体" w:hAnsi="宋体"/>
          <w:color w:val="auto"/>
          <w:sz w:val="24"/>
        </w:rPr>
        <w:t>安阳市方正招标采购服务有限责任公司：</w:t>
      </w:r>
    </w:p>
    <w:p>
      <w:pPr>
        <w:snapToGrid w:val="0"/>
        <w:spacing w:line="560" w:lineRule="exact"/>
        <w:ind w:firstLine="555"/>
        <w:rPr>
          <w:rFonts w:ascii="宋体"/>
          <w:color w:val="auto"/>
          <w:sz w:val="24"/>
        </w:rPr>
      </w:pPr>
      <w:r>
        <w:rPr>
          <w:rFonts w:hint="eastAsia" w:ascii="宋体" w:hAnsi="宋体"/>
          <w:color w:val="auto"/>
          <w:sz w:val="24"/>
        </w:rPr>
        <w:t>关于贵方项目编号为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的谈</w:t>
      </w:r>
      <w:r>
        <w:rPr>
          <w:rFonts w:ascii="宋体" w:hAnsi="宋体"/>
          <w:color w:val="auto"/>
          <w:sz w:val="24"/>
        </w:rPr>
        <w:t>判公告</w:t>
      </w:r>
      <w:r>
        <w:rPr>
          <w:rFonts w:hint="eastAsia" w:ascii="宋体" w:hAnsi="宋体"/>
          <w:color w:val="auto"/>
          <w:sz w:val="24"/>
        </w:rPr>
        <w:t>，本签字人愿意参加投标，提供谈判文件中规定的产品及服务，并声明提交下列文件是准确的、真实的和有效的。</w:t>
      </w:r>
    </w:p>
    <w:p>
      <w:pPr>
        <w:numPr>
          <w:ilvl w:val="0"/>
          <w:numId w:val="1"/>
        </w:numPr>
        <w:snapToGrid w:val="0"/>
        <w:spacing w:line="560" w:lineRule="exact"/>
        <w:ind w:firstLine="555"/>
        <w:rPr>
          <w:rFonts w:ascii="宋体" w:hAnsi="宋体"/>
          <w:color w:val="auto"/>
          <w:sz w:val="24"/>
        </w:rPr>
      </w:pPr>
      <w:r>
        <w:rPr>
          <w:rFonts w:hint="eastAsia" w:ascii="宋体" w:hAnsi="宋体"/>
          <w:color w:val="auto"/>
          <w:sz w:val="24"/>
        </w:rPr>
        <w:t>《谈判文件》第一章“谈判公告”第二条所要求的资格性证明文件（证件或证明资料或承诺）</w:t>
      </w:r>
    </w:p>
    <w:p>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pPr>
        <w:snapToGrid w:val="0"/>
        <w:spacing w:line="560" w:lineRule="exact"/>
        <w:ind w:firstLine="555"/>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napToGrid w:val="0"/>
        <w:spacing w:line="560" w:lineRule="exact"/>
        <w:rPr>
          <w:rFonts w:ascii="宋体"/>
          <w:color w:val="auto"/>
          <w:sz w:val="24"/>
        </w:rPr>
      </w:pPr>
      <w:r>
        <w:rPr>
          <w:rFonts w:ascii="宋体" w:hAnsi="宋体"/>
          <w:color w:val="auto"/>
          <w:sz w:val="24"/>
        </w:rPr>
        <w:t xml:space="preserve"> </w:t>
      </w:r>
    </w:p>
    <w:p>
      <w:pPr>
        <w:tabs>
          <w:tab w:val="left" w:pos="540"/>
        </w:tabs>
        <w:spacing w:line="440" w:lineRule="exact"/>
        <w:jc w:val="center"/>
        <w:rPr>
          <w:color w:val="auto"/>
          <w:sz w:val="28"/>
        </w:rPr>
      </w:pPr>
      <w:r>
        <w:rPr>
          <w:rFonts w:ascii="宋体"/>
          <w:color w:val="auto"/>
          <w:sz w:val="24"/>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九、反商业贿赂承诺书</w:t>
      </w:r>
    </w:p>
    <w:p>
      <w:pPr>
        <w:rPr>
          <w:b/>
          <w:color w:val="auto"/>
          <w:sz w:val="48"/>
          <w:szCs w:val="48"/>
        </w:rPr>
      </w:pPr>
    </w:p>
    <w:p>
      <w:pPr>
        <w:snapToGrid w:val="0"/>
        <w:spacing w:line="560" w:lineRule="atLeast"/>
        <w:ind w:right="56" w:firstLine="555"/>
        <w:rPr>
          <w:color w:val="auto"/>
          <w:sz w:val="24"/>
        </w:rPr>
      </w:pPr>
      <w:r>
        <w:rPr>
          <w:rFonts w:hint="eastAsia"/>
          <w:color w:val="auto"/>
          <w:sz w:val="24"/>
        </w:rPr>
        <w:t>我公司承诺：</w:t>
      </w:r>
    </w:p>
    <w:p>
      <w:pPr>
        <w:snapToGrid w:val="0"/>
        <w:spacing w:line="560" w:lineRule="atLeast"/>
        <w:ind w:right="56" w:firstLine="555"/>
        <w:rPr>
          <w:color w:val="auto"/>
          <w:sz w:val="24"/>
        </w:rPr>
      </w:pPr>
      <w:r>
        <w:rPr>
          <w:rFonts w:hint="eastAsia"/>
          <w:color w:val="auto"/>
          <w:sz w:val="24"/>
        </w:rPr>
        <w:t>在采购活动中，我公司保证做到：</w:t>
      </w:r>
    </w:p>
    <w:p>
      <w:pPr>
        <w:snapToGrid w:val="0"/>
        <w:spacing w:line="560" w:lineRule="atLeast"/>
        <w:ind w:right="56" w:firstLine="555"/>
        <w:rPr>
          <w:color w:val="auto"/>
          <w:sz w:val="24"/>
        </w:rPr>
      </w:pPr>
      <w:r>
        <w:rPr>
          <w:rFonts w:hint="eastAsia"/>
          <w:color w:val="auto"/>
          <w:sz w:val="24"/>
        </w:rPr>
        <w:t>一、公平竞争参加本次采购活动。</w:t>
      </w:r>
    </w:p>
    <w:p>
      <w:pPr>
        <w:snapToGrid w:val="0"/>
        <w:spacing w:line="560" w:lineRule="atLeast"/>
        <w:ind w:right="56" w:firstLine="555"/>
        <w:rPr>
          <w:color w:val="auto"/>
          <w:sz w:val="24"/>
        </w:rPr>
      </w:pPr>
      <w:r>
        <w:rPr>
          <w:rFonts w:hint="eastAsia"/>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napToGrid w:val="0"/>
        <w:spacing w:line="560" w:lineRule="atLeast"/>
        <w:ind w:right="56" w:firstLine="555"/>
        <w:rPr>
          <w:color w:val="auto"/>
          <w:sz w:val="24"/>
        </w:rPr>
      </w:pPr>
      <w:r>
        <w:rPr>
          <w:rFonts w:hint="eastAsia"/>
          <w:color w:val="auto"/>
          <w:sz w:val="24"/>
        </w:rPr>
        <w:t>三、若出现上述行为，我公司及其参与投标的工作人员愿意接受按照国家法律法规等有关规定给予的处罚。</w:t>
      </w:r>
    </w:p>
    <w:p>
      <w:pPr>
        <w:snapToGrid w:val="0"/>
        <w:spacing w:line="560" w:lineRule="atLeast"/>
        <w:ind w:right="56" w:firstLine="555"/>
        <w:rPr>
          <w:color w:val="auto"/>
          <w:sz w:val="24"/>
        </w:rPr>
      </w:pPr>
    </w:p>
    <w:p>
      <w:pPr>
        <w:snapToGrid w:val="0"/>
        <w:spacing w:line="560" w:lineRule="atLeast"/>
        <w:ind w:right="56" w:firstLine="555"/>
        <w:rPr>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tabs>
          <w:tab w:val="left" w:pos="540"/>
        </w:tabs>
        <w:spacing w:line="440" w:lineRule="exact"/>
        <w:jc w:val="center"/>
        <w:rPr>
          <w:color w:val="auto"/>
        </w:rPr>
      </w:pPr>
      <w:r>
        <w:rPr>
          <w:color w:val="auto"/>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十、</w:t>
      </w:r>
      <w:bookmarkStart w:id="50" w:name="OLE_LINK19"/>
      <w:r>
        <w:rPr>
          <w:rFonts w:hint="eastAsia" w:ascii="黑体" w:hAnsi="黑体" w:eastAsia="黑体"/>
          <w:b/>
          <w:color w:val="auto"/>
          <w:sz w:val="30"/>
          <w:szCs w:val="30"/>
        </w:rPr>
        <w:t>履约承诺书</w:t>
      </w:r>
      <w:bookmarkEnd w:id="50"/>
    </w:p>
    <w:p>
      <w:pPr>
        <w:adjustRightInd w:val="0"/>
        <w:snapToGrid w:val="0"/>
        <w:spacing w:before="156" w:beforeLines="50" w:line="300" w:lineRule="auto"/>
        <w:ind w:right="56" w:firstLine="555"/>
        <w:rPr>
          <w:color w:val="auto"/>
          <w:sz w:val="24"/>
        </w:rPr>
      </w:pPr>
      <w:r>
        <w:rPr>
          <w:rFonts w:hint="eastAsia"/>
          <w:color w:val="auto"/>
          <w:sz w:val="24"/>
        </w:rPr>
        <w:t>一、我单位承诺：</w:t>
      </w:r>
    </w:p>
    <w:p>
      <w:pPr>
        <w:adjustRightInd w:val="0"/>
        <w:snapToGrid w:val="0"/>
        <w:spacing w:before="156" w:beforeLines="50" w:line="300" w:lineRule="auto"/>
        <w:ind w:firstLine="555"/>
        <w:rPr>
          <w:color w:val="auto"/>
          <w:sz w:val="24"/>
        </w:rPr>
      </w:pPr>
      <w:r>
        <w:rPr>
          <w:rFonts w:hint="eastAsia"/>
          <w:color w:val="auto"/>
          <w:sz w:val="24"/>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人确定的技术及商务要求等履行。</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二）我单位开标前已详细勘察现场，并按采购人现场条件及采购要求编制投标报价；我单位的投标报价括谈判文件所述报价组成的所有内容、并包括谈判文件未列明而与采购项目相关的、必须的所有款项及费用等达到交付使用及验收条件的所有一切风险、责任和义务的费用。</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我单位保证按谈判文件要求及投标承诺的质量诚信履约。</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三）我单位保证在谈判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二、我单位承诺：</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谈判文件技术、交验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w:t>
      </w:r>
      <w:r>
        <w:rPr>
          <w:rFonts w:hint="eastAsia" w:ascii="宋体" w:hAnsi="宋体" w:cs="楷体_GB2312"/>
          <w:color w:val="auto"/>
          <w:sz w:val="24"/>
          <w:szCs w:val="22"/>
        </w:rPr>
        <w:t>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156" w:beforeLines="50" w:line="300" w:lineRule="auto"/>
        <w:ind w:firstLine="480" w:firstLineChars="200"/>
        <w:rPr>
          <w:color w:val="auto"/>
          <w:sz w:val="24"/>
        </w:rPr>
      </w:pPr>
    </w:p>
    <w:p>
      <w:pPr>
        <w:tabs>
          <w:tab w:val="left" w:pos="9354"/>
        </w:tabs>
        <w:adjustRightInd w:val="0"/>
        <w:snapToGrid w:val="0"/>
        <w:spacing w:before="156" w:beforeLines="50" w:line="300" w:lineRule="auto"/>
        <w:ind w:firstLine="480" w:firstLineChars="200"/>
        <w:rPr>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tabs>
          <w:tab w:val="left" w:pos="0"/>
        </w:tabs>
        <w:spacing w:line="500" w:lineRule="exact"/>
        <w:ind w:right="256"/>
        <w:jc w:val="right"/>
        <w:rPr>
          <w:rFonts w:ascii="宋体"/>
          <w:color w:val="auto"/>
          <w:spacing w:val="8"/>
          <w:sz w:val="24"/>
        </w:rPr>
      </w:pPr>
    </w:p>
    <w:p>
      <w:pPr>
        <w:autoSpaceDE w:val="0"/>
        <w:autoSpaceDN w:val="0"/>
        <w:adjustRightInd w:val="0"/>
        <w:spacing w:line="360" w:lineRule="auto"/>
        <w:jc w:val="left"/>
        <w:rPr>
          <w:rFonts w:eastAsia="方正黑体简体"/>
          <w:b/>
          <w:color w:val="auto"/>
          <w:sz w:val="30"/>
          <w:szCs w:val="30"/>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十一、资格要求相关证明材料（文件）</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黑体" w:hAnsi="黑体" w:eastAsia="黑体"/>
          <w:b/>
          <w:color w:val="auto"/>
          <w:sz w:val="24"/>
          <w:szCs w:val="24"/>
        </w:rPr>
      </w:pPr>
      <w:r>
        <w:rPr>
          <w:rFonts w:hint="eastAsia" w:ascii="宋体"/>
          <w:color w:val="auto"/>
          <w:sz w:val="24"/>
          <w:szCs w:val="24"/>
        </w:rPr>
        <w:t>★★★【</w:t>
      </w:r>
      <w:r>
        <w:rPr>
          <w:rFonts w:hint="eastAsia" w:ascii="黑体" w:hAnsi="黑体" w:eastAsia="黑体"/>
          <w:b/>
          <w:color w:val="auto"/>
          <w:sz w:val="24"/>
          <w:szCs w:val="24"/>
        </w:rPr>
        <w:t>请注意：未按公告要求逐一提交资格证明资料的将导致无效投标，为近期常见的因不仔细而缺少某一资格证明资料、导致无效，特此提醒】</w:t>
      </w:r>
    </w:p>
    <w:p>
      <w:pPr>
        <w:autoSpaceDE w:val="0"/>
        <w:autoSpaceDN w:val="0"/>
        <w:adjustRightInd w:val="0"/>
        <w:spacing w:line="360" w:lineRule="auto"/>
        <w:jc w:val="center"/>
        <w:rPr>
          <w:rFonts w:ascii="宋体"/>
          <w:color w:val="auto"/>
          <w:sz w:val="24"/>
          <w:szCs w:val="24"/>
        </w:rPr>
      </w:pPr>
    </w:p>
    <w:p>
      <w:pPr>
        <w:spacing w:line="588" w:lineRule="exact"/>
        <w:jc w:val="center"/>
        <w:rPr>
          <w:rFonts w:ascii="黑体" w:hAnsi="黑体" w:eastAsia="黑体"/>
          <w:b/>
          <w:color w:val="auto"/>
          <w:sz w:val="30"/>
          <w:szCs w:val="30"/>
        </w:rPr>
      </w:pPr>
      <w:r>
        <w:rPr>
          <w:rFonts w:hint="eastAsia" w:ascii="宋体"/>
          <w:color w:val="auto"/>
          <w:sz w:val="24"/>
          <w:szCs w:val="24"/>
        </w:rPr>
        <w:t>★★★【</w:t>
      </w:r>
      <w:r>
        <w:rPr>
          <w:rFonts w:hint="eastAsia" w:ascii="黑体" w:hAnsi="黑体" w:eastAsia="黑体"/>
          <w:b/>
          <w:color w:val="auto"/>
          <w:sz w:val="24"/>
          <w:szCs w:val="24"/>
        </w:rPr>
        <w:t>请注意：未按谈判公告要求电子签名&lt;签章&gt;的将导致无效投标，特此提醒】</w:t>
      </w:r>
      <w:r>
        <w:rPr>
          <w:rFonts w:ascii="黑体" w:hAnsi="黑体" w:eastAsia="黑体"/>
          <w:b/>
          <w:color w:val="auto"/>
          <w:sz w:val="30"/>
          <w:szCs w:val="30"/>
        </w:rPr>
        <w:br w:type="page"/>
      </w:r>
      <w:bookmarkStart w:id="51" w:name="bookmark1"/>
    </w:p>
    <w:bookmarkEnd w:id="51"/>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承诺函</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一</w:t>
      </w:r>
      <w:r>
        <w:rPr>
          <w:rFonts w:ascii="宋体" w:hAnsi="宋体"/>
          <w:color w:val="auto"/>
          <w:sz w:val="24"/>
          <w:szCs w:val="24"/>
        </w:rPr>
        <w:t>、</w:t>
      </w:r>
      <w:r>
        <w:rPr>
          <w:rFonts w:hint="eastAsia" w:ascii="宋体" w:hAnsi="宋体"/>
          <w:color w:val="auto"/>
          <w:sz w:val="24"/>
          <w:szCs w:val="24"/>
        </w:rPr>
        <w:t>我公司郑重承诺，我公司符合《政府采购法》第二十二条第一款规定的供应商基础性资格条件，具体如下：</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1、我公司承诺具有独立承担民事责任能力；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2、我公司承诺具有良好的商业信誉和健全的财务会计制度；</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3、我公司承诺具备履行合同所必需的设备和专业技术能力；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4、我公司承诺具有依法缴纳税收和社会保障资金的良好记录；</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5、我公司承诺在参加政府采购活动前三年内，在经营活动中没有重大违法记录。</w:t>
      </w:r>
    </w:p>
    <w:p>
      <w:pPr>
        <w:tabs>
          <w:tab w:val="left" w:pos="9365"/>
        </w:tabs>
        <w:spacing w:before="156" w:beforeLines="50" w:line="240" w:lineRule="auto"/>
        <w:ind w:right="85"/>
        <w:jc w:val="left"/>
        <w:textAlignment w:val="top"/>
        <w:rPr>
          <w:rFonts w:ascii="宋体"/>
          <w:color w:val="auto"/>
          <w:sz w:val="24"/>
          <w:szCs w:val="24"/>
        </w:rPr>
      </w:pPr>
      <w:r>
        <w:rPr>
          <w:rFonts w:hint="eastAsia" w:ascii="宋体"/>
          <w:color w:val="auto"/>
          <w:sz w:val="24"/>
          <w:szCs w:val="24"/>
        </w:rPr>
        <w:t xml:space="preserve">    二</w:t>
      </w:r>
      <w:r>
        <w:rPr>
          <w:rFonts w:ascii="宋体"/>
          <w:color w:val="auto"/>
          <w:sz w:val="24"/>
          <w:szCs w:val="24"/>
        </w:rPr>
        <w:t>、</w:t>
      </w:r>
      <w:r>
        <w:rPr>
          <w:rFonts w:hint="eastAsia" w:ascii="宋体"/>
          <w:color w:val="auto"/>
          <w:sz w:val="24"/>
          <w:szCs w:val="24"/>
        </w:rPr>
        <w:t>我公司保证上述承诺事项的真实性，如有虚假或其他违规违法行为，我公司愿意</w:t>
      </w:r>
      <w:r>
        <w:rPr>
          <w:rFonts w:hint="eastAsia" w:ascii="宋体" w:hAnsi="宋体"/>
          <w:color w:val="auto"/>
          <w:sz w:val="24"/>
          <w:szCs w:val="24"/>
        </w:rPr>
        <w:t>按《政府采购法》提供虚假材料的有关规定</w:t>
      </w:r>
      <w:r>
        <w:rPr>
          <w:rFonts w:hint="eastAsia" w:ascii="宋体"/>
          <w:color w:val="auto"/>
          <w:sz w:val="24"/>
          <w:szCs w:val="24"/>
        </w:rPr>
        <w:t>承担法律责任，并承担因此造成的一切损失。</w:t>
      </w:r>
    </w:p>
    <w:p>
      <w:pPr>
        <w:widowControl w:val="0"/>
        <w:tabs>
          <w:tab w:val="left" w:pos="9365"/>
        </w:tabs>
        <w:snapToGrid w:val="0"/>
        <w:spacing w:before="156" w:beforeLines="50" w:line="240" w:lineRule="auto"/>
        <w:ind w:right="85"/>
        <w:jc w:val="left"/>
        <w:textAlignment w:val="top"/>
        <w:rPr>
          <w:rFonts w:ascii="宋体" w:hAnsi="宋体"/>
          <w:color w:val="auto"/>
          <w:sz w:val="24"/>
          <w:szCs w:val="24"/>
        </w:rPr>
      </w:pPr>
      <w:r>
        <w:rPr>
          <w:rFonts w:hint="eastAsia" w:ascii="宋体"/>
          <w:color w:val="auto"/>
          <w:sz w:val="24"/>
          <w:szCs w:val="24"/>
        </w:rPr>
        <w:t xml:space="preserve">   三</w:t>
      </w:r>
      <w:r>
        <w:rPr>
          <w:rFonts w:ascii="宋体"/>
          <w:color w:val="auto"/>
          <w:sz w:val="24"/>
          <w:szCs w:val="24"/>
        </w:rPr>
        <w:t>、</w:t>
      </w:r>
      <w:r>
        <w:rPr>
          <w:rFonts w:hint="eastAsia" w:ascii="宋体"/>
          <w:color w:val="auto"/>
          <w:sz w:val="24"/>
          <w:szCs w:val="24"/>
        </w:rPr>
        <w:t xml:space="preserve"> 我</w:t>
      </w:r>
      <w:r>
        <w:rPr>
          <w:rFonts w:ascii="宋体"/>
          <w:color w:val="auto"/>
          <w:sz w:val="24"/>
          <w:szCs w:val="24"/>
        </w:rPr>
        <w:t>公司认同</w:t>
      </w:r>
      <w:r>
        <w:rPr>
          <w:rFonts w:hint="eastAsia" w:ascii="宋体"/>
          <w:color w:val="auto"/>
          <w:sz w:val="24"/>
          <w:szCs w:val="24"/>
        </w:rPr>
        <w:t>按</w:t>
      </w:r>
      <w:r>
        <w:rPr>
          <w:rFonts w:ascii="宋体"/>
          <w:color w:val="auto"/>
          <w:sz w:val="24"/>
          <w:szCs w:val="24"/>
        </w:rPr>
        <w:t>照</w:t>
      </w:r>
      <w:r>
        <w:rPr>
          <w:rFonts w:hint="eastAsia" w:ascii="宋体"/>
          <w:color w:val="auto"/>
          <w:sz w:val="24"/>
          <w:szCs w:val="24"/>
        </w:rPr>
        <w:t>《谈</w:t>
      </w:r>
      <w:r>
        <w:rPr>
          <w:rFonts w:ascii="宋体"/>
          <w:color w:val="auto"/>
          <w:sz w:val="24"/>
          <w:szCs w:val="24"/>
        </w:rPr>
        <w:t>判文件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”对</w:t>
      </w:r>
      <w:r>
        <w:rPr>
          <w:rFonts w:ascii="宋体"/>
          <w:color w:val="auto"/>
          <w:sz w:val="24"/>
          <w:szCs w:val="24"/>
        </w:rPr>
        <w:t>我公司或其他公司</w:t>
      </w:r>
      <w:r>
        <w:rPr>
          <w:rFonts w:hint="eastAsia" w:ascii="宋体"/>
          <w:color w:val="auto"/>
          <w:sz w:val="24"/>
          <w:szCs w:val="24"/>
        </w:rPr>
        <w:t>进行的</w:t>
      </w:r>
      <w:r>
        <w:rPr>
          <w:rFonts w:hint="eastAsia" w:ascii="宋体" w:hAnsi="宋体"/>
          <w:color w:val="auto"/>
          <w:sz w:val="24"/>
          <w:szCs w:val="24"/>
        </w:rPr>
        <w:t>供</w:t>
      </w:r>
      <w:r>
        <w:rPr>
          <w:rFonts w:ascii="宋体" w:hAnsi="宋体"/>
          <w:color w:val="auto"/>
          <w:sz w:val="24"/>
          <w:szCs w:val="24"/>
        </w:rPr>
        <w:t>应商基础性资</w:t>
      </w:r>
      <w:r>
        <w:rPr>
          <w:rFonts w:hint="eastAsia" w:ascii="宋体" w:hAnsi="宋体"/>
          <w:color w:val="auto"/>
          <w:sz w:val="24"/>
          <w:szCs w:val="24"/>
        </w:rPr>
        <w:t>格的</w:t>
      </w:r>
      <w:r>
        <w:rPr>
          <w:rFonts w:ascii="宋体" w:hAnsi="宋体"/>
          <w:color w:val="auto"/>
          <w:sz w:val="24"/>
          <w:szCs w:val="24"/>
        </w:rPr>
        <w:t>审查</w:t>
      </w:r>
      <w:r>
        <w:rPr>
          <w:rFonts w:hint="eastAsia" w:ascii="宋体" w:hAnsi="宋体"/>
          <w:color w:val="auto"/>
          <w:sz w:val="24"/>
          <w:szCs w:val="24"/>
        </w:rPr>
        <w:t>，</w:t>
      </w:r>
      <w:r>
        <w:rPr>
          <w:rFonts w:ascii="宋体" w:hAnsi="宋体"/>
          <w:color w:val="auto"/>
          <w:sz w:val="24"/>
          <w:szCs w:val="24"/>
        </w:rPr>
        <w:t>对</w:t>
      </w:r>
      <w:r>
        <w:rPr>
          <w:rFonts w:hint="eastAsia" w:ascii="宋体"/>
          <w:color w:val="auto"/>
          <w:sz w:val="24"/>
          <w:szCs w:val="24"/>
        </w:rPr>
        <w:t>按</w:t>
      </w:r>
      <w:r>
        <w:rPr>
          <w:rFonts w:ascii="宋体"/>
          <w:color w:val="auto"/>
          <w:sz w:val="24"/>
          <w:szCs w:val="24"/>
        </w:rPr>
        <w:t>照</w:t>
      </w:r>
      <w:r>
        <w:rPr>
          <w:rFonts w:hint="eastAsia" w:ascii="宋体" w:hAnsi="宋体"/>
          <w:color w:val="auto"/>
          <w:sz w:val="24"/>
          <w:szCs w:val="24"/>
        </w:rPr>
        <w:t>认定标准得</w:t>
      </w:r>
      <w:r>
        <w:rPr>
          <w:rFonts w:ascii="宋体" w:hAnsi="宋体"/>
          <w:color w:val="auto"/>
          <w:sz w:val="24"/>
          <w:szCs w:val="24"/>
        </w:rPr>
        <w:t>出的审查结果无异</w:t>
      </w:r>
      <w:r>
        <w:rPr>
          <w:rFonts w:hint="eastAsia" w:ascii="宋体" w:hAnsi="宋体"/>
          <w:color w:val="auto"/>
          <w:sz w:val="24"/>
          <w:szCs w:val="24"/>
        </w:rPr>
        <w:t>议。</w:t>
      </w:r>
    </w:p>
    <w:p>
      <w:pPr>
        <w:widowControl w:val="0"/>
        <w:tabs>
          <w:tab w:val="left" w:pos="9365"/>
        </w:tabs>
        <w:snapToGrid w:val="0"/>
        <w:spacing w:before="156" w:beforeLines="50" w:line="240" w:lineRule="auto"/>
        <w:ind w:right="85"/>
        <w:jc w:val="left"/>
        <w:textAlignment w:val="top"/>
        <w:rPr>
          <w:rFonts w:ascii="宋体" w:hAnsi="宋体"/>
          <w:color w:val="auto"/>
          <w:sz w:val="24"/>
          <w:szCs w:val="24"/>
        </w:rPr>
      </w:pPr>
      <w:r>
        <w:rPr>
          <w:rFonts w:hint="eastAsia" w:ascii="宋体" w:hAnsi="宋体"/>
          <w:color w:val="auto"/>
          <w:sz w:val="24"/>
          <w:szCs w:val="24"/>
        </w:rPr>
        <w:t xml:space="preserve">    四、</w:t>
      </w:r>
      <w:r>
        <w:rPr>
          <w:rFonts w:hint="eastAsia" w:ascii="宋体"/>
          <w:color w:val="auto"/>
          <w:sz w:val="24"/>
          <w:szCs w:val="24"/>
        </w:rPr>
        <w:t>我公司投</w:t>
      </w:r>
      <w:r>
        <w:rPr>
          <w:rFonts w:ascii="宋体"/>
          <w:color w:val="auto"/>
          <w:sz w:val="24"/>
          <w:szCs w:val="24"/>
        </w:rPr>
        <w:t>标文件或</w:t>
      </w:r>
      <w:r>
        <w:rPr>
          <w:rFonts w:hint="eastAsia" w:ascii="宋体"/>
          <w:color w:val="auto"/>
          <w:sz w:val="24"/>
          <w:szCs w:val="24"/>
        </w:rPr>
        <w:t>公</w:t>
      </w:r>
      <w:r>
        <w:rPr>
          <w:rFonts w:ascii="宋体"/>
          <w:color w:val="auto"/>
          <w:sz w:val="24"/>
          <w:szCs w:val="24"/>
        </w:rPr>
        <w:t>开资</w:t>
      </w:r>
      <w:r>
        <w:rPr>
          <w:rFonts w:hint="eastAsia" w:ascii="宋体"/>
          <w:color w:val="auto"/>
          <w:sz w:val="24"/>
          <w:szCs w:val="24"/>
        </w:rPr>
        <w:t>料或</w:t>
      </w:r>
      <w:r>
        <w:rPr>
          <w:rFonts w:ascii="宋体"/>
          <w:color w:val="auto"/>
          <w:sz w:val="24"/>
          <w:szCs w:val="24"/>
        </w:rPr>
        <w:t>备</w:t>
      </w:r>
      <w:r>
        <w:rPr>
          <w:rFonts w:hint="eastAsia" w:ascii="宋体"/>
          <w:color w:val="auto"/>
          <w:sz w:val="24"/>
          <w:szCs w:val="24"/>
        </w:rPr>
        <w:t>案</w:t>
      </w:r>
      <w:r>
        <w:rPr>
          <w:rFonts w:ascii="宋体"/>
          <w:color w:val="auto"/>
          <w:sz w:val="24"/>
          <w:szCs w:val="24"/>
        </w:rPr>
        <w:t>资</w:t>
      </w:r>
      <w:r>
        <w:rPr>
          <w:rFonts w:hint="eastAsia" w:ascii="宋体"/>
          <w:color w:val="auto"/>
          <w:sz w:val="24"/>
          <w:szCs w:val="24"/>
        </w:rPr>
        <w:t>料</w:t>
      </w:r>
      <w:r>
        <w:rPr>
          <w:rFonts w:ascii="宋体"/>
          <w:color w:val="auto"/>
          <w:sz w:val="24"/>
          <w:szCs w:val="24"/>
        </w:rPr>
        <w:t>中，有不符合</w:t>
      </w:r>
      <w:r>
        <w:rPr>
          <w:rFonts w:hint="eastAsia" w:ascii="宋体"/>
          <w:color w:val="auto"/>
          <w:sz w:val="24"/>
          <w:szCs w:val="24"/>
        </w:rPr>
        <w:t>《谈</w:t>
      </w:r>
      <w:r>
        <w:rPr>
          <w:rFonts w:ascii="宋体"/>
          <w:color w:val="auto"/>
          <w:sz w:val="24"/>
          <w:szCs w:val="24"/>
        </w:rPr>
        <w:t>判文件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”的</w:t>
      </w:r>
      <w:r>
        <w:rPr>
          <w:rFonts w:ascii="宋体"/>
          <w:color w:val="auto"/>
          <w:sz w:val="24"/>
          <w:szCs w:val="24"/>
        </w:rPr>
        <w:t>，</w:t>
      </w:r>
      <w:r>
        <w:rPr>
          <w:rFonts w:hint="eastAsia" w:ascii="宋体"/>
          <w:color w:val="auto"/>
          <w:sz w:val="24"/>
          <w:szCs w:val="24"/>
        </w:rPr>
        <w:t>我公司</w:t>
      </w:r>
      <w:r>
        <w:rPr>
          <w:rFonts w:ascii="宋体"/>
          <w:color w:val="auto"/>
          <w:sz w:val="24"/>
          <w:szCs w:val="24"/>
        </w:rPr>
        <w:t>认同</w:t>
      </w:r>
      <w:r>
        <w:rPr>
          <w:rFonts w:hint="eastAsia" w:ascii="宋体"/>
          <w:color w:val="auto"/>
          <w:sz w:val="24"/>
          <w:szCs w:val="24"/>
        </w:rPr>
        <w:t>判</w:t>
      </w:r>
      <w:r>
        <w:rPr>
          <w:rFonts w:ascii="宋体"/>
          <w:color w:val="auto"/>
          <w:sz w:val="24"/>
          <w:szCs w:val="24"/>
        </w:rPr>
        <w:t>定为无</w:t>
      </w:r>
      <w:r>
        <w:rPr>
          <w:rFonts w:hint="eastAsia" w:ascii="宋体"/>
          <w:color w:val="auto"/>
          <w:sz w:val="24"/>
          <w:szCs w:val="24"/>
        </w:rPr>
        <w:t>效</w:t>
      </w:r>
      <w:r>
        <w:rPr>
          <w:rFonts w:ascii="宋体"/>
          <w:color w:val="auto"/>
          <w:sz w:val="24"/>
          <w:szCs w:val="24"/>
        </w:rPr>
        <w:t>投标</w:t>
      </w:r>
      <w:r>
        <w:rPr>
          <w:rFonts w:hint="eastAsia" w:ascii="宋体"/>
          <w:color w:val="auto"/>
          <w:sz w:val="24"/>
          <w:szCs w:val="24"/>
        </w:rPr>
        <w:t>、承担</w:t>
      </w:r>
      <w:r>
        <w:rPr>
          <w:rFonts w:hint="eastAsia" w:ascii="宋体" w:hAnsi="宋体"/>
          <w:color w:val="auto"/>
          <w:sz w:val="24"/>
          <w:szCs w:val="24"/>
        </w:rPr>
        <w:t>虚假</w:t>
      </w:r>
      <w:r>
        <w:rPr>
          <w:rFonts w:hint="eastAsia" w:ascii="宋体"/>
          <w:color w:val="auto"/>
          <w:sz w:val="24"/>
          <w:szCs w:val="24"/>
        </w:rPr>
        <w:t>承诺责任。</w:t>
      </w:r>
    </w:p>
    <w:p>
      <w:pPr>
        <w:tabs>
          <w:tab w:val="left" w:pos="9365"/>
        </w:tabs>
        <w:spacing w:before="156" w:beforeLines="50" w:line="240" w:lineRule="auto"/>
        <w:ind w:right="85" w:firstLine="480"/>
        <w:jc w:val="left"/>
        <w:textAlignment w:val="top"/>
        <w:rPr>
          <w:rFonts w:ascii="宋体"/>
          <w:color w:val="auto"/>
          <w:sz w:val="24"/>
          <w:szCs w:val="24"/>
        </w:rPr>
      </w:pPr>
      <w:r>
        <w:rPr>
          <w:rFonts w:hint="eastAsia" w:ascii="宋体"/>
          <w:color w:val="auto"/>
          <w:sz w:val="24"/>
          <w:szCs w:val="24"/>
        </w:rPr>
        <w:t>五</w:t>
      </w:r>
      <w:r>
        <w:rPr>
          <w:rFonts w:ascii="宋体"/>
          <w:color w:val="auto"/>
          <w:sz w:val="24"/>
          <w:szCs w:val="24"/>
        </w:rPr>
        <w:t>、</w:t>
      </w:r>
      <w:r>
        <w:rPr>
          <w:rFonts w:hint="eastAsia" w:ascii="宋体"/>
          <w:color w:val="auto"/>
          <w:sz w:val="24"/>
          <w:szCs w:val="24"/>
        </w:rPr>
        <w:t>我公司</w:t>
      </w:r>
      <w:r>
        <w:rPr>
          <w:rFonts w:ascii="宋体"/>
          <w:color w:val="auto"/>
          <w:sz w:val="24"/>
          <w:szCs w:val="24"/>
        </w:rPr>
        <w:t>在</w:t>
      </w:r>
      <w:r>
        <w:rPr>
          <w:rFonts w:hint="eastAsia" w:ascii="宋体"/>
          <w:color w:val="auto"/>
          <w:sz w:val="24"/>
          <w:szCs w:val="24"/>
        </w:rPr>
        <w:t>没</w:t>
      </w:r>
      <w:r>
        <w:rPr>
          <w:rFonts w:ascii="宋体"/>
          <w:color w:val="auto"/>
          <w:sz w:val="24"/>
          <w:szCs w:val="24"/>
        </w:rPr>
        <w:t>有有效的证明材</w:t>
      </w:r>
      <w:r>
        <w:rPr>
          <w:rFonts w:hint="eastAsia" w:ascii="宋体"/>
          <w:color w:val="auto"/>
          <w:sz w:val="24"/>
          <w:szCs w:val="24"/>
        </w:rPr>
        <w:t>料，以</w:t>
      </w:r>
      <w:r>
        <w:rPr>
          <w:rFonts w:ascii="宋体"/>
          <w:color w:val="auto"/>
          <w:sz w:val="24"/>
          <w:szCs w:val="24"/>
        </w:rPr>
        <w:t>证明其他投标人不符合</w:t>
      </w:r>
      <w:r>
        <w:rPr>
          <w:rFonts w:hint="eastAsia" w:ascii="宋体"/>
          <w:color w:val="auto"/>
          <w:sz w:val="24"/>
          <w:szCs w:val="24"/>
        </w:rPr>
        <w:t>《谈</w:t>
      </w:r>
      <w:r>
        <w:rPr>
          <w:rFonts w:ascii="宋体"/>
          <w:color w:val="auto"/>
          <w:sz w:val="24"/>
          <w:szCs w:val="24"/>
        </w:rPr>
        <w:t>判文件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”时，我公司承诺不</w:t>
      </w:r>
      <w:r>
        <w:rPr>
          <w:rFonts w:ascii="宋体"/>
          <w:color w:val="auto"/>
          <w:sz w:val="24"/>
          <w:szCs w:val="24"/>
        </w:rPr>
        <w:t>对其他投标人</w:t>
      </w:r>
      <w:r>
        <w:rPr>
          <w:rFonts w:hint="eastAsia" w:ascii="宋体"/>
          <w:color w:val="auto"/>
          <w:sz w:val="24"/>
          <w:szCs w:val="24"/>
        </w:rPr>
        <w:t>的承诺函提</w:t>
      </w:r>
      <w:r>
        <w:rPr>
          <w:rFonts w:ascii="宋体"/>
          <w:color w:val="auto"/>
          <w:sz w:val="24"/>
          <w:szCs w:val="24"/>
        </w:rPr>
        <w:t>起质疑投诉，</w:t>
      </w:r>
      <w:r>
        <w:rPr>
          <w:rFonts w:hint="eastAsia" w:ascii="宋体"/>
          <w:color w:val="auto"/>
          <w:sz w:val="24"/>
          <w:szCs w:val="24"/>
        </w:rPr>
        <w:t>同</w:t>
      </w:r>
      <w:r>
        <w:rPr>
          <w:rFonts w:ascii="宋体"/>
          <w:color w:val="auto"/>
          <w:sz w:val="24"/>
          <w:szCs w:val="24"/>
        </w:rPr>
        <w:t>意对已</w:t>
      </w:r>
      <w:r>
        <w:rPr>
          <w:rFonts w:hint="eastAsia" w:ascii="宋体"/>
          <w:color w:val="auto"/>
          <w:sz w:val="24"/>
          <w:szCs w:val="24"/>
        </w:rPr>
        <w:t>提</w:t>
      </w:r>
      <w:r>
        <w:rPr>
          <w:rFonts w:ascii="宋体"/>
          <w:color w:val="auto"/>
          <w:sz w:val="24"/>
          <w:szCs w:val="24"/>
        </w:rPr>
        <w:t>起</w:t>
      </w:r>
      <w:r>
        <w:rPr>
          <w:rFonts w:hint="eastAsia" w:ascii="宋体"/>
          <w:color w:val="auto"/>
          <w:sz w:val="24"/>
          <w:szCs w:val="24"/>
        </w:rPr>
        <w:t>的</w:t>
      </w:r>
      <w:r>
        <w:rPr>
          <w:rFonts w:ascii="宋体"/>
          <w:color w:val="auto"/>
          <w:sz w:val="24"/>
          <w:szCs w:val="24"/>
        </w:rPr>
        <w:t>质疑投诉</w:t>
      </w:r>
      <w:r>
        <w:rPr>
          <w:rFonts w:hint="eastAsia" w:ascii="宋体"/>
          <w:color w:val="auto"/>
          <w:sz w:val="24"/>
          <w:szCs w:val="24"/>
        </w:rPr>
        <w:t>按缺</w:t>
      </w:r>
      <w:r>
        <w:rPr>
          <w:rFonts w:ascii="宋体"/>
          <w:color w:val="auto"/>
          <w:sz w:val="24"/>
          <w:szCs w:val="24"/>
        </w:rPr>
        <w:t>乏</w:t>
      </w:r>
      <w:r>
        <w:rPr>
          <w:rFonts w:hint="eastAsia" w:ascii="宋体" w:hAnsi="宋体"/>
          <w:color w:val="auto"/>
          <w:sz w:val="24"/>
          <w:szCs w:val="24"/>
        </w:rPr>
        <w:t>事实依据、</w:t>
      </w:r>
      <w:r>
        <w:rPr>
          <w:rFonts w:hint="eastAsia" w:ascii="宋体"/>
          <w:color w:val="auto"/>
          <w:sz w:val="24"/>
          <w:szCs w:val="24"/>
        </w:rPr>
        <w:t>按</w:t>
      </w:r>
      <w:r>
        <w:rPr>
          <w:rFonts w:ascii="宋体"/>
          <w:color w:val="auto"/>
          <w:sz w:val="24"/>
          <w:szCs w:val="24"/>
        </w:rPr>
        <w:t>无</w:t>
      </w:r>
      <w:r>
        <w:rPr>
          <w:rFonts w:hint="eastAsia" w:ascii="宋体"/>
          <w:color w:val="auto"/>
          <w:sz w:val="24"/>
          <w:szCs w:val="24"/>
        </w:rPr>
        <w:t>效</w:t>
      </w:r>
      <w:r>
        <w:rPr>
          <w:rFonts w:ascii="宋体"/>
          <w:color w:val="auto"/>
          <w:sz w:val="24"/>
          <w:szCs w:val="24"/>
        </w:rPr>
        <w:t>质疑投诉</w:t>
      </w:r>
      <w:r>
        <w:rPr>
          <w:rFonts w:hint="eastAsia" w:ascii="宋体"/>
          <w:color w:val="auto"/>
          <w:sz w:val="24"/>
          <w:szCs w:val="24"/>
        </w:rPr>
        <w:t>处</w:t>
      </w:r>
      <w:r>
        <w:rPr>
          <w:rFonts w:ascii="宋体"/>
          <w:color w:val="auto"/>
          <w:sz w:val="24"/>
          <w:szCs w:val="24"/>
        </w:rPr>
        <w:t>理。</w:t>
      </w:r>
    </w:p>
    <w:p>
      <w:pPr>
        <w:tabs>
          <w:tab w:val="left" w:pos="9365"/>
        </w:tabs>
        <w:spacing w:before="156" w:beforeLines="50" w:line="240" w:lineRule="auto"/>
        <w:ind w:right="85" w:firstLine="480"/>
        <w:jc w:val="left"/>
        <w:textAlignment w:val="top"/>
        <w:rPr>
          <w:rFonts w:ascii="宋体"/>
          <w:color w:val="auto"/>
          <w:sz w:val="24"/>
          <w:szCs w:val="24"/>
        </w:rPr>
      </w:pPr>
    </w:p>
    <w:p>
      <w:pPr>
        <w:tabs>
          <w:tab w:val="left" w:pos="9365"/>
        </w:tabs>
        <w:spacing w:before="57" w:after="57" w:line="586" w:lineRule="atLeast"/>
        <w:ind w:right="85"/>
        <w:jc w:val="left"/>
        <w:textAlignment w:val="top"/>
        <w:rPr>
          <w:rFonts w:ascii="宋体" w:hAnsi="宋体"/>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snapToGrid w:val="0"/>
        <w:spacing w:line="560" w:lineRule="exact"/>
        <w:ind w:firstLine="555"/>
        <w:rPr>
          <w:rFonts w:ascii="宋体"/>
          <w:color w:val="auto"/>
          <w:sz w:val="24"/>
        </w:rPr>
      </w:pPr>
      <w:r>
        <w:rPr>
          <w:rFonts w:ascii="宋体" w:hAnsi="宋体"/>
          <w:color w:val="auto"/>
          <w:sz w:val="24"/>
        </w:rPr>
        <w:t xml:space="preserve">        </w:t>
      </w:r>
    </w:p>
    <w:p>
      <w:pPr>
        <w:widowControl w:val="0"/>
        <w:tabs>
          <w:tab w:val="left" w:pos="9365"/>
        </w:tabs>
        <w:snapToGrid w:val="0"/>
        <w:spacing w:after="56" w:line="560" w:lineRule="exact"/>
        <w:ind w:right="85"/>
        <w:jc w:val="center"/>
        <w:textAlignment w:val="top"/>
        <w:rPr>
          <w:rFonts w:ascii="宋体"/>
          <w:color w:val="auto"/>
          <w:sz w:val="24"/>
        </w:rPr>
      </w:pPr>
      <w:r>
        <w:rPr>
          <w:rFonts w:ascii="宋体"/>
          <w:color w:val="auto"/>
          <w:sz w:val="24"/>
        </w:rPr>
        <w:br w:type="page"/>
      </w:r>
    </w:p>
    <w:p>
      <w:pPr>
        <w:widowControl w:val="0"/>
        <w:tabs>
          <w:tab w:val="left" w:pos="9365"/>
        </w:tabs>
        <w:snapToGrid w:val="0"/>
        <w:spacing w:after="56" w:line="560" w:lineRule="exact"/>
        <w:ind w:right="85"/>
        <w:jc w:val="center"/>
        <w:textAlignment w:val="top"/>
        <w:rPr>
          <w:rFonts w:ascii="宋体"/>
          <w:color w:val="auto"/>
          <w:sz w:val="24"/>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承诺事</w:t>
      </w:r>
      <w:r>
        <w:rPr>
          <w:rFonts w:ascii="黑体" w:hAnsi="黑体" w:eastAsia="黑体"/>
          <w:b/>
          <w:color w:val="auto"/>
          <w:sz w:val="30"/>
          <w:szCs w:val="30"/>
        </w:rPr>
        <w:t>项的</w:t>
      </w:r>
      <w:r>
        <w:rPr>
          <w:rFonts w:hint="eastAsia" w:ascii="黑体" w:hAnsi="黑体" w:eastAsia="黑体"/>
          <w:b/>
          <w:color w:val="auto"/>
          <w:sz w:val="30"/>
          <w:szCs w:val="30"/>
        </w:rPr>
        <w:t>认定标准</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政府采购监督检查、质疑投诉及政府采购行政处罚等</w:t>
      </w:r>
      <w:r>
        <w:rPr>
          <w:rFonts w:ascii="宋体" w:hAnsi="宋体"/>
          <w:color w:val="auto"/>
          <w:sz w:val="24"/>
          <w:szCs w:val="24"/>
        </w:rPr>
        <w:t>情形</w:t>
      </w:r>
      <w:r>
        <w:rPr>
          <w:rFonts w:hint="eastAsia" w:ascii="宋体" w:hAnsi="宋体"/>
          <w:color w:val="auto"/>
          <w:sz w:val="24"/>
          <w:szCs w:val="24"/>
        </w:rPr>
        <w:t>中，需要对资格承诺的真实性的进</w:t>
      </w:r>
      <w:r>
        <w:rPr>
          <w:rFonts w:ascii="宋体" w:hAnsi="宋体"/>
          <w:color w:val="auto"/>
          <w:sz w:val="24"/>
          <w:szCs w:val="24"/>
        </w:rPr>
        <w:t>行</w:t>
      </w:r>
      <w:r>
        <w:rPr>
          <w:rFonts w:hint="eastAsia" w:ascii="宋体" w:hAnsi="宋体"/>
          <w:color w:val="auto"/>
          <w:sz w:val="24"/>
          <w:szCs w:val="24"/>
        </w:rPr>
        <w:t>认定时，相</w:t>
      </w:r>
      <w:r>
        <w:rPr>
          <w:rFonts w:ascii="宋体" w:hAnsi="宋体"/>
          <w:color w:val="auto"/>
          <w:sz w:val="24"/>
          <w:szCs w:val="24"/>
        </w:rPr>
        <w:t>关</w:t>
      </w:r>
      <w:r>
        <w:rPr>
          <w:rFonts w:hint="eastAsia" w:ascii="宋体" w:hAnsi="宋体"/>
          <w:color w:val="auto"/>
          <w:sz w:val="24"/>
          <w:szCs w:val="24"/>
        </w:rPr>
        <w:t>供应商应提供如下关</w:t>
      </w:r>
      <w:r>
        <w:rPr>
          <w:rFonts w:ascii="宋体" w:hAnsi="宋体"/>
          <w:color w:val="auto"/>
          <w:sz w:val="24"/>
          <w:szCs w:val="24"/>
        </w:rPr>
        <w:t>于基础</w:t>
      </w:r>
      <w:r>
        <w:rPr>
          <w:rFonts w:hint="eastAsia" w:ascii="宋体" w:hAnsi="宋体"/>
          <w:color w:val="auto"/>
          <w:sz w:val="24"/>
          <w:szCs w:val="24"/>
        </w:rPr>
        <w:t>性资格的证明材料：</w:t>
      </w:r>
    </w:p>
    <w:p>
      <w:pPr>
        <w:widowControl w:val="0"/>
        <w:snapToGrid w:val="0"/>
        <w:spacing w:line="360" w:lineRule="auto"/>
        <w:ind w:firstLine="540" w:firstLineChars="225"/>
        <w:rPr>
          <w:rFonts w:ascii="宋体"/>
          <w:color w:val="auto"/>
          <w:szCs w:val="21"/>
        </w:rPr>
      </w:pPr>
      <w:r>
        <w:rPr>
          <w:rFonts w:hint="eastAsia" w:ascii="宋体" w:hAnsi="宋体"/>
          <w:color w:val="auto"/>
          <w:sz w:val="24"/>
          <w:szCs w:val="24"/>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shd w:val="clear" w:color="auto" w:fill="FFFFFF"/>
        </w:rPr>
        <w:t>。</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（二）具有良好的商业信誉和健全的财务会计制度。■提供银行出具的近</w:t>
      </w:r>
      <w:r>
        <w:rPr>
          <w:rFonts w:ascii="宋体" w:hAnsi="宋体"/>
          <w:color w:val="auto"/>
          <w:sz w:val="24"/>
          <w:szCs w:val="24"/>
        </w:rPr>
        <w:t>1</w:t>
      </w:r>
      <w:r>
        <w:rPr>
          <w:rFonts w:hint="eastAsia" w:ascii="宋体" w:hAnsi="宋体"/>
          <w:color w:val="auto"/>
          <w:sz w:val="24"/>
          <w:szCs w:val="24"/>
        </w:rPr>
        <w:t>年内资信证明（法人为基本开户行）、或2021年度以来（任一年度）经审计的财务报告、或银行（保险公司）出具的投标担保函。</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（四）有依法缴纳税收和社会保障资金的良好记录。■提供近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个月）已依法缴纳税收的凭据；■提供近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个月）已依法缴纳社会保险的凭据。依法免税或不需要缴纳社会保障资金的供应商，应提供相应证明文件。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（五）参加政府采购活动前</w:t>
      </w:r>
      <w:r>
        <w:rPr>
          <w:rFonts w:ascii="宋体" w:hAnsi="宋体"/>
          <w:color w:val="auto"/>
          <w:sz w:val="24"/>
          <w:szCs w:val="24"/>
        </w:rPr>
        <w:t>3</w:t>
      </w:r>
      <w:r>
        <w:rPr>
          <w:rFonts w:hint="eastAsia" w:ascii="宋体" w:hAnsi="宋体"/>
          <w:color w:val="auto"/>
          <w:sz w:val="24"/>
          <w:szCs w:val="24"/>
        </w:rPr>
        <w:t>年内在经营活动中没有重大违法记录。</w:t>
      </w:r>
    </w:p>
    <w:p>
      <w:pPr>
        <w:widowControl w:val="0"/>
        <w:snapToGrid w:val="0"/>
        <w:spacing w:line="360" w:lineRule="auto"/>
        <w:ind w:firstLine="540" w:firstLineChars="225"/>
        <w:rPr>
          <w:rFonts w:ascii="宋体" w:hAnsi="宋体"/>
          <w:color w:val="auto"/>
          <w:sz w:val="24"/>
          <w:szCs w:val="24"/>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供应商提供的证明材料不</w:t>
      </w:r>
      <w:r>
        <w:rPr>
          <w:rFonts w:ascii="宋体" w:hAnsi="宋体"/>
          <w:color w:val="auto"/>
          <w:sz w:val="24"/>
          <w:szCs w:val="24"/>
        </w:rPr>
        <w:t>符合上述认定标准的</w:t>
      </w:r>
      <w:r>
        <w:rPr>
          <w:rFonts w:hint="eastAsia" w:ascii="宋体" w:hAnsi="宋体"/>
          <w:color w:val="auto"/>
          <w:sz w:val="24"/>
          <w:szCs w:val="24"/>
        </w:rPr>
        <w:t>，评定该投标人不满足《政府采购法》投标人资格要求，为提供虚假承诺，投标、中标无效，并上报财政部门对其违规违法行为作进一步处理。</w:t>
      </w:r>
    </w:p>
    <w:p>
      <w:pPr>
        <w:tabs>
          <w:tab w:val="left" w:pos="540"/>
        </w:tabs>
        <w:spacing w:line="440" w:lineRule="exact"/>
        <w:rPr>
          <w:rFonts w:ascii="宋体"/>
          <w:color w:val="auto"/>
          <w:sz w:val="24"/>
          <w:szCs w:val="24"/>
        </w:rPr>
      </w:pPr>
      <w:r>
        <w:rPr>
          <w:rFonts w:hint="eastAsia" w:ascii="宋体"/>
          <w:color w:val="auto"/>
          <w:sz w:val="24"/>
          <w:szCs w:val="24"/>
        </w:rPr>
        <w:t xml:space="preserve">    </w:t>
      </w:r>
    </w:p>
    <w:p>
      <w:pPr>
        <w:snapToGrid w:val="0"/>
        <w:spacing w:line="560" w:lineRule="atLeast"/>
        <w:jc w:val="center"/>
        <w:rPr>
          <w:rFonts w:ascii="宋体"/>
          <w:color w:val="auto"/>
          <w:sz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widowControl w:val="0"/>
        <w:snapToGrid w:val="0"/>
        <w:spacing w:line="360" w:lineRule="auto"/>
        <w:textAlignment w:val="top"/>
        <w:rPr>
          <w:color w:val="auto"/>
          <w:sz w:val="24"/>
          <w:szCs w:val="24"/>
        </w:rPr>
      </w:pPr>
    </w:p>
    <w:p>
      <w:pPr>
        <w:snapToGrid w:val="0"/>
        <w:spacing w:line="560" w:lineRule="atLeast"/>
        <w:jc w:val="center"/>
        <w:rPr>
          <w:rFonts w:ascii="宋体"/>
          <w:color w:val="auto"/>
          <w:sz w:val="24"/>
        </w:rPr>
      </w:pPr>
      <w:r>
        <w:rPr>
          <w:rFonts w:ascii="宋体"/>
          <w:color w:val="auto"/>
          <w:sz w:val="24"/>
        </w:rPr>
        <w:br w:type="page"/>
      </w: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rPr>
        <w:t>供应商负责人控股、设计等相关承诺书</w:t>
      </w:r>
    </w:p>
    <w:p>
      <w:pPr>
        <w:tabs>
          <w:tab w:val="left" w:pos="9365"/>
        </w:tabs>
        <w:spacing w:before="360" w:after="360" w:line="586" w:lineRule="atLeas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采购活动中，我单位承诺满足以下要求：</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pPr>
        <w:tabs>
          <w:tab w:val="left" w:pos="9365"/>
        </w:tabs>
        <w:spacing w:before="57" w:after="57" w:line="586" w:lineRule="atLeast"/>
        <w:ind w:right="85"/>
        <w:jc w:val="left"/>
        <w:textAlignment w:val="top"/>
        <w:rPr>
          <w:rFonts w:ascii="宋体" w:hAnsi="宋体"/>
          <w:color w:val="auto"/>
          <w:sz w:val="24"/>
          <w:szCs w:val="24"/>
        </w:rPr>
      </w:pPr>
      <w:r>
        <w:rPr>
          <w:rFonts w:ascii="宋体" w:hAnsi="宋体"/>
          <w:color w:val="auto"/>
          <w:sz w:val="24"/>
          <w:szCs w:val="24"/>
        </w:rPr>
        <w:t> </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投标人（电子签章）：</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法定代表人（电子签名或签章）：</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rPr>
          <w:rFonts w:ascii="黑体" w:hAnsi="黑体" w:eastAsia="黑体"/>
          <w:b/>
          <w:color w:val="auto"/>
          <w:sz w:val="30"/>
          <w:szCs w:val="30"/>
        </w:rPr>
      </w:pPr>
    </w:p>
    <w:p>
      <w:pPr>
        <w:autoSpaceDE w:val="0"/>
        <w:autoSpaceDN w:val="0"/>
        <w:adjustRightInd w:val="0"/>
        <w:spacing w:line="360" w:lineRule="auto"/>
        <w:jc w:val="center"/>
        <w:rPr>
          <w:rFonts w:ascii="宋体"/>
          <w:color w:val="auto"/>
          <w:sz w:val="24"/>
          <w:szCs w:val="24"/>
        </w:rPr>
      </w:pPr>
      <w:r>
        <w:rPr>
          <w:rFonts w:ascii="宋体"/>
          <w:color w:val="auto"/>
          <w:sz w:val="24"/>
          <w:szCs w:val="24"/>
        </w:rPr>
        <w:br w:type="page"/>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投标承诺函</w:t>
      </w:r>
    </w:p>
    <w:p>
      <w:pPr>
        <w:widowControl w:val="0"/>
        <w:autoSpaceDE w:val="0"/>
        <w:autoSpaceDN w:val="0"/>
        <w:adjustRightInd w:val="0"/>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（以投标承诺函形式，替代投标保证金的相关承诺事项）</w:t>
      </w:r>
    </w:p>
    <w:p>
      <w:pPr>
        <w:widowControl w:val="0"/>
        <w:tabs>
          <w:tab w:val="left" w:pos="9365"/>
        </w:tabs>
        <w:spacing w:before="360" w:after="360" w:line="360" w:lineRule="auto"/>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rPr>
        <w:t>安阳市方正招标采购服务有限责任公司</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r>
        <w:rPr>
          <w:rFonts w:hint="eastAsia" w:ascii="宋体" w:hAnsi="宋体"/>
          <w:color w:val="auto"/>
          <w:sz w:val="24"/>
          <w:szCs w:val="24"/>
        </w:rPr>
        <w:br w:type="textWrapping"/>
      </w:r>
      <w:r>
        <w:rPr>
          <w:rFonts w:hint="eastAsia" w:ascii="宋体" w:hAnsi="宋体"/>
          <w:color w:val="auto"/>
          <w:sz w:val="24"/>
          <w:szCs w:val="24"/>
        </w:rPr>
        <w:t xml:space="preserve">    二、在政府采购活动中提供真实、准确、有效、合法的材料，不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三、</w:t>
      </w:r>
      <w:r>
        <w:rPr>
          <w:rFonts w:hint="eastAsia" w:ascii="宋体" w:hAnsi="宋体"/>
          <w:color w:val="auto"/>
          <w:sz w:val="24"/>
          <w:szCs w:val="24"/>
          <w:lang w:val="zh-CN"/>
        </w:rPr>
        <w:t>按照谈判文件规定，在提交投标文件截止时间后，在谈判文件规定的投标有效期限内不撤回投标文件；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四、不</w:t>
      </w:r>
      <w:r>
        <w:rPr>
          <w:rFonts w:hint="eastAsia" w:ascii="宋体" w:hAnsi="宋体"/>
          <w:color w:val="auto"/>
          <w:sz w:val="24"/>
          <w:szCs w:val="24"/>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五、如我单位中标，</w:t>
      </w:r>
      <w:r>
        <w:rPr>
          <w:rFonts w:hint="eastAsia" w:ascii="宋体" w:hAnsi="宋体"/>
          <w:color w:val="auto"/>
          <w:sz w:val="24"/>
          <w:szCs w:val="24"/>
          <w:lang w:val="zh-CN"/>
        </w:rPr>
        <w:t>除不可抗拒力或谈判文件认可的情形外</w:t>
      </w:r>
      <w:r>
        <w:rPr>
          <w:rFonts w:hint="eastAsia" w:ascii="宋体" w:hAnsi="宋体"/>
          <w:color w:val="auto"/>
          <w:sz w:val="24"/>
          <w:szCs w:val="24"/>
        </w:rPr>
        <w:t>，我单位承诺及时领取中标通知书，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六、</w:t>
      </w:r>
      <w:r>
        <w:rPr>
          <w:rFonts w:hint="eastAsia" w:ascii="宋体" w:hAnsi="宋体"/>
          <w:color w:val="auto"/>
          <w:sz w:val="24"/>
          <w:szCs w:val="24"/>
          <w:lang w:val="zh-CN"/>
        </w:rPr>
        <w:t>遵守法律法规及谈判文件规定的其他情况；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七、按</w:t>
      </w:r>
      <w:r>
        <w:rPr>
          <w:rFonts w:hint="eastAsia" w:ascii="宋体" w:hAnsi="宋体"/>
          <w:color w:val="auto"/>
          <w:sz w:val="24"/>
          <w:szCs w:val="24"/>
          <w:lang w:val="zh-CN"/>
        </w:rPr>
        <w:t>谈判</w:t>
      </w:r>
      <w:r>
        <w:rPr>
          <w:rFonts w:hint="eastAsia" w:ascii="宋体" w:hAnsi="宋体"/>
          <w:color w:val="auto"/>
          <w:sz w:val="24"/>
          <w:szCs w:val="24"/>
        </w:rPr>
        <w:t>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八、违背上述承诺事项的，我单位无条件接受以下责任追究：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（一）法定责任：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给采购人及他人造成损失的，愿承担相应的赔偿责任。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（二）违约责任：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1、已中标的，中标（成交）无效；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2、支付采购人违约标的预算金额2%的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color w:val="auto"/>
          <w:sz w:val="24"/>
          <w:lang w:val="zh-CN"/>
        </w:rPr>
      </w:pPr>
      <w:r>
        <w:rPr>
          <w:rFonts w:hint="eastAsia" w:ascii="宋体" w:hAnsi="宋体"/>
          <w:color w:val="auto"/>
          <w:sz w:val="24"/>
          <w:szCs w:val="24"/>
        </w:rPr>
        <w:t>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投标人（电子签章）：</w:t>
      </w: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法定代表人（电子签名或签章）：</w:t>
      </w:r>
    </w:p>
    <w:p>
      <w:pPr>
        <w:widowControl w:val="0"/>
        <w:autoSpaceDE w:val="0"/>
        <w:autoSpaceDN w:val="0"/>
        <w:adjustRightInd w:val="0"/>
        <w:spacing w:line="240" w:lineRule="auto"/>
        <w:ind w:right="-816"/>
        <w:textAlignment w:val="auto"/>
        <w:rPr>
          <w:color w:val="auto"/>
          <w:sz w:val="24"/>
          <w:szCs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jc w:val="center"/>
        <w:rPr>
          <w:rFonts w:ascii="宋体"/>
          <w:color w:val="auto"/>
          <w:sz w:val="24"/>
          <w:szCs w:val="24"/>
        </w:rPr>
      </w:pPr>
      <w:r>
        <w:rPr>
          <w:rFonts w:ascii="宋体"/>
          <w:color w:val="auto"/>
          <w:sz w:val="24"/>
          <w:szCs w:val="24"/>
        </w:rPr>
        <w:br w:type="page"/>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十二、采购项目及技术服务要求所需的其他材料</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章&gt;未作明确要求的，由法定代表人电子签名</w:t>
      </w:r>
      <w:r>
        <w:rPr>
          <w:rFonts w:hint="eastAsia" w:ascii="宋体" w:hAnsi="宋体" w:cs="楷体_GB2312"/>
          <w:color w:val="auto"/>
          <w:sz w:val="24"/>
          <w:lang w:val="zh-CN"/>
        </w:rPr>
        <w:t>&lt;签</w:t>
      </w:r>
      <w:r>
        <w:rPr>
          <w:rFonts w:hint="eastAsia" w:ascii="宋体" w:hAnsi="宋体"/>
          <w:color w:val="auto"/>
          <w:sz w:val="24"/>
          <w:szCs w:val="24"/>
        </w:rPr>
        <w:t>章&gt;或投标人电子签章）</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如采购产品属于政府强制采购品目清单的，投标文件中应当提供相应的认证证书，认证证书应当为国家确定的认证机构出具、且应处于有效期之内。不符合的、为无效投标。</w:t>
      </w:r>
    </w:p>
    <w:p>
      <w:pPr>
        <w:widowControl w:val="0"/>
        <w:snapToGrid w:val="0"/>
        <w:spacing w:line="560" w:lineRule="exact"/>
        <w:ind w:firstLine="555"/>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十三、投标人须知所需的其他材料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十四、评审办法所需的其他材料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十五、投标人认为有必要提交的其它材料</w:t>
      </w:r>
    </w:p>
    <w:p>
      <w:pPr>
        <w:autoSpaceDE w:val="0"/>
        <w:autoSpaceDN w:val="0"/>
        <w:adjustRightInd w:val="0"/>
        <w:spacing w:line="360" w:lineRule="auto"/>
        <w:jc w:val="center"/>
        <w:rPr>
          <w:rFonts w:ascii="宋体"/>
          <w:color w:val="auto"/>
          <w:sz w:val="24"/>
          <w:szCs w:val="24"/>
        </w:rPr>
      </w:pPr>
      <w:r>
        <w:rPr>
          <w:rFonts w:hint="eastAsia" w:ascii="宋体" w:hAnsi="宋体"/>
          <w:color w:val="auto"/>
          <w:sz w:val="24"/>
          <w:szCs w:val="24"/>
        </w:rPr>
        <w:t>（由法定代表人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rPr>
          <w:rFonts w:ascii="宋体"/>
          <w:b/>
          <w:bCs/>
          <w:color w:val="auto"/>
          <w:sz w:val="24"/>
        </w:rPr>
      </w:pPr>
      <w:r>
        <w:rPr>
          <w:rFonts w:ascii="宋体" w:hAnsi="宋体"/>
          <w:color w:val="auto"/>
          <w:sz w:val="24"/>
          <w:szCs w:val="24"/>
        </w:rPr>
        <w:br w:type="page"/>
      </w:r>
    </w:p>
    <w:p>
      <w:pPr>
        <w:spacing w:line="588" w:lineRule="exact"/>
        <w:jc w:val="center"/>
        <w:rPr>
          <w:rFonts w:ascii="黑体" w:hAnsi="黑体" w:eastAsia="黑体"/>
          <w:b/>
          <w:color w:val="auto"/>
          <w:sz w:val="24"/>
          <w:szCs w:val="24"/>
        </w:rPr>
      </w:pPr>
      <w:r>
        <w:rPr>
          <w:rFonts w:hint="eastAsia" w:ascii="黑体" w:hAnsi="黑体" w:eastAsia="黑体"/>
          <w:b/>
          <w:color w:val="auto"/>
          <w:sz w:val="30"/>
          <w:szCs w:val="30"/>
        </w:rPr>
        <w:t>十六、</w:t>
      </w:r>
      <w:r>
        <w:rPr>
          <w:rFonts w:ascii="黑体" w:hAnsi="黑体" w:eastAsia="黑体"/>
          <w:b/>
          <w:color w:val="auto"/>
          <w:sz w:val="30"/>
          <w:szCs w:val="30"/>
        </w:rPr>
        <w:t>中小企业声明函</w:t>
      </w:r>
      <w:r>
        <w:rPr>
          <w:rFonts w:hint="eastAsia" w:ascii="宋体" w:hAnsi="宋体" w:cs="MingLiU"/>
          <w:color w:val="auto"/>
          <w:spacing w:val="30"/>
          <w:sz w:val="24"/>
          <w:szCs w:val="24"/>
        </w:rPr>
        <w:t>（如有）</w:t>
      </w:r>
    </w:p>
    <w:p>
      <w:pPr>
        <w:spacing w:line="588" w:lineRule="exact"/>
        <w:jc w:val="center"/>
        <w:rPr>
          <w:rFonts w:ascii="黑体" w:hAnsi="黑体" w:eastAsia="黑体"/>
          <w:b/>
          <w:color w:val="auto"/>
          <w:sz w:val="30"/>
          <w:szCs w:val="30"/>
        </w:rPr>
      </w:pP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本公司（联合体）郑重声明，根据《政府采购促进中小企业发展管理办法》（财库〔2020〕46号）的规定，本公司(联合体）参加</w:t>
      </w:r>
      <w:r>
        <w:rPr>
          <w:rFonts w:ascii="宋体" w:hAnsi="宋体"/>
          <w:color w:val="auto"/>
          <w:spacing w:val="6"/>
          <w:sz w:val="24"/>
          <w:szCs w:val="24"/>
          <w:u w:val="single"/>
        </w:rPr>
        <w:t>（单位名称）</w:t>
      </w:r>
      <w:r>
        <w:rPr>
          <w:rFonts w:ascii="宋体" w:hAnsi="宋体"/>
          <w:color w:val="auto"/>
          <w:spacing w:val="6"/>
          <w:sz w:val="24"/>
          <w:szCs w:val="24"/>
        </w:rPr>
        <w:t>的</w:t>
      </w:r>
      <w:r>
        <w:rPr>
          <w:rFonts w:ascii="宋体" w:hAnsi="宋体"/>
          <w:color w:val="auto"/>
          <w:spacing w:val="6"/>
          <w:sz w:val="24"/>
          <w:szCs w:val="24"/>
          <w:u w:val="single"/>
        </w:rPr>
        <w:t>（项目名称）</w:t>
      </w:r>
      <w:r>
        <w:rPr>
          <w:rFonts w:ascii="宋体" w:hAnsi="宋体"/>
          <w:color w:val="auto"/>
          <w:spacing w:val="6"/>
          <w:sz w:val="24"/>
          <w:szCs w:val="24"/>
        </w:rPr>
        <w:t>采购活动，提供的货物全部由符合政策要求的中小企业制造。相关企业 (含联合体中的中小企业、签订分包意向协议的中小企业）的具体情况如下：</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1.</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vertAlign w:val="superscript"/>
        </w:rPr>
        <w:t>1</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2.</w:t>
      </w:r>
      <w:r>
        <w:rPr>
          <w:rFonts w:ascii="宋体" w:hAnsi="宋体"/>
          <w:color w:val="auto"/>
          <w:spacing w:val="6"/>
          <w:sz w:val="24"/>
          <w:szCs w:val="24"/>
        </w:rPr>
        <w:t xml:space="preserve"> </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以上企业，不属于大企业的分支机构，不存在控股股东为大企业的情形，也不存在与大企业的负责人为同一人的情形。</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本企业对上述声明内容的真实性负责。如有虚假，将依法承担相应责任。</w:t>
      </w:r>
    </w:p>
    <w:p>
      <w:pPr>
        <w:spacing w:line="588" w:lineRule="exact"/>
        <w:rPr>
          <w:rFonts w:ascii="宋体" w:hAnsi="宋体"/>
          <w:color w:val="auto"/>
          <w:spacing w:val="6"/>
          <w:sz w:val="24"/>
          <w:szCs w:val="24"/>
        </w:rPr>
      </w:pPr>
    </w:p>
    <w:p>
      <w:pPr>
        <w:pStyle w:val="61"/>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pPr>
        <w:spacing w:line="588" w:lineRule="exact"/>
        <w:ind w:firstLine="504" w:firstLineChars="200"/>
        <w:rPr>
          <w:rFonts w:ascii="宋体" w:hAnsi="宋体"/>
          <w:color w:val="auto"/>
          <w:spacing w:val="6"/>
          <w:sz w:val="24"/>
          <w:szCs w:val="24"/>
        </w:rPr>
      </w:pPr>
    </w:p>
    <w:p>
      <w:pPr>
        <w:spacing w:line="240" w:lineRule="auto"/>
        <w:jc w:val="center"/>
        <w:textAlignment w:val="auto"/>
        <w:rPr>
          <w:rFonts w:ascii="黑体" w:hAnsi="黑体" w:eastAsia="黑体"/>
          <w:b/>
          <w:color w:val="auto"/>
          <w:sz w:val="30"/>
          <w:szCs w:val="30"/>
        </w:rPr>
      </w:pPr>
    </w:p>
    <w:p>
      <w:pPr>
        <w:spacing w:line="240" w:lineRule="auto"/>
        <w:rPr>
          <w:rFonts w:ascii="宋体" w:hAnsi="宋体"/>
          <w:color w:val="auto"/>
          <w:sz w:val="18"/>
          <w:szCs w:val="18"/>
        </w:rPr>
      </w:pPr>
      <w:r>
        <w:rPr>
          <w:rFonts w:hint="eastAsia" w:ascii="宋体" w:hAnsi="宋体"/>
          <w:color w:val="auto"/>
          <w:sz w:val="18"/>
          <w:szCs w:val="18"/>
        </w:rPr>
        <w:t>注：1、</w:t>
      </w:r>
      <w:r>
        <w:rPr>
          <w:rStyle w:val="59"/>
          <w:rFonts w:ascii="宋体" w:hAnsi="宋体" w:eastAsia="宋体"/>
          <w:color w:val="auto"/>
          <w:sz w:val="18"/>
          <w:szCs w:val="18"/>
          <w:vertAlign w:val="superscript"/>
        </w:rPr>
        <w:t>1</w:t>
      </w:r>
      <w:r>
        <w:rPr>
          <w:rStyle w:val="60"/>
          <w:rFonts w:ascii="宋体" w:hAnsi="宋体" w:eastAsia="宋体"/>
          <w:color w:val="auto"/>
        </w:rPr>
        <w:t>从业人员、营业收入、资产总额填报上一年度数据，无上一年度数据的新成立企业可不填报</w:t>
      </w:r>
      <w:r>
        <w:rPr>
          <w:rStyle w:val="60"/>
          <w:rFonts w:hint="eastAsia" w:ascii="宋体" w:hAnsi="宋体" w:eastAsia="宋体"/>
          <w:color w:val="auto"/>
        </w:rPr>
        <w:t>。</w:t>
      </w:r>
    </w:p>
    <w:p>
      <w:pPr>
        <w:spacing w:line="240" w:lineRule="auto"/>
        <w:rPr>
          <w:rFonts w:ascii="宋体" w:hAnsi="宋体"/>
          <w:color w:val="auto"/>
          <w:sz w:val="18"/>
          <w:szCs w:val="18"/>
        </w:rPr>
      </w:pPr>
      <w:r>
        <w:rPr>
          <w:rFonts w:hint="eastAsia" w:ascii="宋体" w:hAnsi="宋体"/>
          <w:color w:val="auto"/>
          <w:sz w:val="18"/>
          <w:szCs w:val="18"/>
        </w:rPr>
        <w:t xml:space="preserve"> 2、</w:t>
      </w:r>
      <w:r>
        <w:rPr>
          <w:rStyle w:val="60"/>
          <w:rFonts w:hint="eastAsia" w:ascii="宋体" w:hAnsi="宋体" w:eastAsia="宋体"/>
          <w:color w:val="auto"/>
        </w:rPr>
        <w:t>谈判文件中未标注“专门面向中小企业采购”的未预留（非预留）项目，投标人可以根据自身情况提供《中小企业声明函》，未提供《中小企业声明函》的、将不享受小微企业价格扣除扶持政策。</w:t>
      </w:r>
    </w:p>
    <w:p>
      <w:pPr>
        <w:widowControl w:val="0"/>
        <w:tabs>
          <w:tab w:val="left" w:pos="9365"/>
        </w:tabs>
        <w:snapToGrid w:val="0"/>
        <w:spacing w:after="56" w:line="560" w:lineRule="exact"/>
        <w:ind w:right="85" w:firstLine="452" w:firstLineChars="150"/>
        <w:textAlignment w:val="top"/>
        <w:rPr>
          <w:rFonts w:ascii="黑体" w:hAnsi="黑体" w:eastAsia="黑体"/>
          <w:b/>
          <w:color w:val="auto"/>
          <w:sz w:val="30"/>
          <w:szCs w:val="30"/>
        </w:rPr>
      </w:pPr>
      <w:r>
        <w:rPr>
          <w:rFonts w:ascii="黑体" w:hAnsi="黑体" w:eastAsia="黑体"/>
          <w:b/>
          <w:color w:val="auto"/>
          <w:sz w:val="30"/>
          <w:szCs w:val="30"/>
        </w:rPr>
        <w:br w:type="page"/>
      </w:r>
    </w:p>
    <w:p>
      <w:pPr>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pPr>
        <w:spacing w:line="588" w:lineRule="exact"/>
        <w:rPr>
          <w:rFonts w:ascii="仿宋_GB2312" w:eastAsia="仿宋_GB2312"/>
          <w:b/>
          <w:color w:val="auto"/>
          <w:spacing w:val="6"/>
          <w:sz w:val="30"/>
          <w:szCs w:val="30"/>
        </w:rPr>
      </w:pP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jc w:val="left"/>
        <w:textAlignment w:val="top"/>
        <w:rPr>
          <w:rFonts w:ascii="宋体" w:hAnsi="宋体"/>
          <w:color w:val="auto"/>
          <w:sz w:val="24"/>
          <w:szCs w:val="24"/>
        </w:rPr>
      </w:pPr>
    </w:p>
    <w:p>
      <w:pPr>
        <w:shd w:val="clear" w:color="auto" w:fill="FFFFFF"/>
        <w:spacing w:line="240" w:lineRule="auto"/>
        <w:rPr>
          <w:rFonts w:ascii="宋体" w:hAnsi="宋体"/>
          <w:color w:val="auto"/>
          <w:sz w:val="18"/>
          <w:szCs w:val="18"/>
        </w:rPr>
      </w:pPr>
      <w:r>
        <w:rPr>
          <w:rFonts w:hint="eastAsia" w:ascii="宋体" w:hAnsi="宋体"/>
          <w:color w:val="auto"/>
          <w:sz w:val="18"/>
          <w:szCs w:val="18"/>
        </w:rPr>
        <w:t>注：1、按政策规定：符合条件的残疾人福利性单位视同小型、微型企业，享受评审价格扣除等促进中小企业发展的政府采购政策。残疾人福利性单位属于小型、微型企业的，不重复享受政策。</w:t>
      </w:r>
    </w:p>
    <w:p>
      <w:pPr>
        <w:spacing w:line="240" w:lineRule="auto"/>
        <w:ind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pacing w:val="6"/>
          <w:sz w:val="18"/>
          <w:szCs w:val="18"/>
          <w:vertAlign w:val="superscript"/>
        </w:rPr>
        <w:t>*</w:t>
      </w:r>
      <w:r>
        <w:rPr>
          <w:rFonts w:hint="eastAsia" w:ascii="宋体" w:hAnsi="宋体"/>
          <w:color w:val="auto"/>
          <w:sz w:val="18"/>
          <w:szCs w:val="18"/>
        </w:rPr>
        <w:t>本格式在残疾人福利性单位申请报价格扣除时填写，未填写不享受小微价格扣除，但不作为无效投标。</w:t>
      </w:r>
    </w:p>
    <w:p>
      <w:pPr>
        <w:spacing w:line="240" w:lineRule="auto"/>
        <w:ind w:firstLine="450" w:firstLineChars="250"/>
        <w:rPr>
          <w:rFonts w:ascii="宋体" w:hAnsi="宋体"/>
          <w:color w:val="auto"/>
          <w:sz w:val="18"/>
          <w:szCs w:val="18"/>
        </w:rPr>
      </w:pPr>
      <w:r>
        <w:rPr>
          <w:rFonts w:hint="eastAsia" w:ascii="宋体" w:hAnsi="宋体"/>
          <w:color w:val="auto"/>
          <w:sz w:val="18"/>
          <w:szCs w:val="18"/>
        </w:rPr>
        <w:t>残疾人福利性单位属于小型、微型企业的，可只填写“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pPr>
        <w:spacing w:line="240" w:lineRule="auto"/>
        <w:ind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pPr>
        <w:autoSpaceDE w:val="0"/>
        <w:autoSpaceDN w:val="0"/>
        <w:adjustRightInd w:val="0"/>
        <w:spacing w:line="360" w:lineRule="auto"/>
        <w:jc w:val="center"/>
        <w:rPr>
          <w:rFonts w:ascii="宋体" w:cs="楷体_GB2312"/>
          <w:b/>
          <w:color w:val="auto"/>
          <w:sz w:val="30"/>
          <w:szCs w:val="30"/>
          <w:lang w:val="zh-CN"/>
        </w:rPr>
      </w:pPr>
      <w:r>
        <w:rPr>
          <w:rFonts w:ascii="宋体" w:cs="楷体_GB2312"/>
          <w:b/>
          <w:color w:val="auto"/>
          <w:sz w:val="30"/>
          <w:szCs w:val="30"/>
          <w:lang w:val="zh-CN"/>
        </w:rPr>
        <w:br w:type="page"/>
      </w:r>
    </w:p>
    <w:p>
      <w:pPr>
        <w:autoSpaceDE w:val="0"/>
        <w:autoSpaceDN w:val="0"/>
        <w:adjustRightInd w:val="0"/>
        <w:spacing w:line="360" w:lineRule="auto"/>
        <w:jc w:val="center"/>
        <w:rPr>
          <w:color w:val="auto"/>
          <w:sz w:val="28"/>
        </w:rPr>
      </w:pPr>
      <w:r>
        <w:rPr>
          <w:rFonts w:hint="eastAsia" w:ascii="黑体" w:hAnsi="黑体" w:eastAsia="黑体"/>
          <w:b/>
          <w:color w:val="auto"/>
          <w:sz w:val="30"/>
          <w:szCs w:val="30"/>
        </w:rPr>
        <w:t>十七、投标人如果申报小微企业产品价格扣除的，需在“安阳市政府采购投标文件编制系统”填列。</w:t>
      </w:r>
    </w:p>
    <w:p>
      <w:pPr>
        <w:spacing w:line="240" w:lineRule="auto"/>
        <w:jc w:val="left"/>
        <w:textAlignment w:val="auto"/>
        <w:rPr>
          <w:rFonts w:eastAsia="方正黑体简体"/>
          <w:b/>
          <w:color w:val="auto"/>
          <w:sz w:val="30"/>
          <w:szCs w:val="30"/>
        </w:rPr>
      </w:pPr>
    </w:p>
    <w:p>
      <w:pPr>
        <w:autoSpaceDE w:val="0"/>
        <w:autoSpaceDN w:val="0"/>
        <w:adjustRightInd w:val="0"/>
        <w:spacing w:line="360" w:lineRule="auto"/>
        <w:jc w:val="center"/>
        <w:rPr>
          <w:rFonts w:ascii="宋体"/>
          <w:color w:val="auto"/>
          <w:sz w:val="24"/>
          <w:szCs w:val="24"/>
        </w:rPr>
      </w:pPr>
    </w:p>
    <w:p>
      <w:pPr>
        <w:spacing w:line="240" w:lineRule="auto"/>
        <w:jc w:val="left"/>
        <w:textAlignment w:val="auto"/>
        <w:rPr>
          <w:rFonts w:ascii="宋体" w:cs="楷体_GB2312"/>
          <w:b/>
          <w:color w:val="auto"/>
          <w:sz w:val="30"/>
          <w:szCs w:val="30"/>
          <w:lang w:val="zh-CN"/>
        </w:rPr>
      </w:pPr>
    </w:p>
    <w:sectPr>
      <w:pgSz w:w="11905" w:h="16837"/>
      <w:pgMar w:top="1091" w:right="1106" w:bottom="993" w:left="1418"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hAnsi="宋体"/>
        <w:szCs w:val="21"/>
        <w:u w:val="single"/>
      </w:rPr>
    </w:pPr>
    <w:r>
      <w:rPr>
        <w:rFonts w:hint="eastAsia" w:ascii="宋体" w:hAnsi="宋体"/>
        <w:szCs w:val="21"/>
        <w:u w:val="single"/>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0"/>
        <w:rFonts w:ascii="宋体" w:hAnsi="宋体"/>
        <w:szCs w:val="21"/>
        <w:u w:val="single"/>
      </w:rPr>
      <w:fldChar w:fldCharType="begin"/>
    </w:r>
    <w:r>
      <w:rPr>
        <w:rStyle w:val="20"/>
        <w:rFonts w:ascii="宋体" w:hAnsi="宋体"/>
        <w:szCs w:val="21"/>
        <w:u w:val="single"/>
      </w:rPr>
      <w:instrText xml:space="preserve"> PAGE </w:instrText>
    </w:r>
    <w:r>
      <w:rPr>
        <w:rStyle w:val="20"/>
        <w:rFonts w:ascii="宋体" w:hAnsi="宋体"/>
        <w:szCs w:val="21"/>
        <w:u w:val="single"/>
      </w:rPr>
      <w:fldChar w:fldCharType="separate"/>
    </w:r>
    <w:r>
      <w:rPr>
        <w:rStyle w:val="20"/>
        <w:rFonts w:ascii="宋体" w:hAnsi="宋体"/>
        <w:szCs w:val="21"/>
        <w:u w:val="single"/>
      </w:rPr>
      <w:t>- 8 -</w:t>
    </w:r>
    <w:r>
      <w:rPr>
        <w:rStyle w:val="20"/>
        <w:rFonts w:ascii="宋体" w:hAnsi="宋体"/>
        <w:szCs w:val="21"/>
        <w:u w:val="single"/>
      </w:rPr>
      <w:fldChar w:fldCharType="end"/>
    </w:r>
    <w:r>
      <w:rPr>
        <w:rStyle w:val="20"/>
        <w:rFonts w:ascii="宋体" w:hAnsi="宋体"/>
        <w:szCs w:val="21"/>
        <w:u w:val="single"/>
      </w:rPr>
      <w:t xml:space="preserve"> </w:t>
    </w:r>
    <w:r>
      <w:rPr>
        <w:rStyle w:val="20"/>
        <w:rFonts w:hint="eastAsia" w:ascii="宋体" w:hAnsi="宋体"/>
        <w:szCs w:val="21"/>
        <w:u w:val="single"/>
      </w:rPr>
      <w:t>（</w:t>
    </w:r>
    <w:r>
      <w:rPr>
        <w:rFonts w:hint="eastAsia" w:ascii="宋体" w:hAnsi="宋体"/>
        <w:szCs w:val="21"/>
        <w:u w:val="single"/>
      </w:rPr>
      <w:t>共</w:t>
    </w:r>
    <w:r>
      <w:rPr>
        <w:rStyle w:val="20"/>
        <w:szCs w:val="21"/>
        <w:u w:val="single"/>
      </w:rPr>
      <w:fldChar w:fldCharType="begin"/>
    </w:r>
    <w:r>
      <w:rPr>
        <w:rStyle w:val="20"/>
        <w:szCs w:val="21"/>
        <w:u w:val="single"/>
      </w:rPr>
      <w:instrText xml:space="preserve"> SECTIONPAGES   \* MERGEFORMAT </w:instrText>
    </w:r>
    <w:r>
      <w:rPr>
        <w:rStyle w:val="20"/>
        <w:szCs w:val="21"/>
        <w:u w:val="single"/>
      </w:rPr>
      <w:fldChar w:fldCharType="separate"/>
    </w:r>
    <w:r>
      <w:rPr>
        <w:rStyle w:val="20"/>
        <w:szCs w:val="21"/>
        <w:u w:val="single"/>
      </w:rPr>
      <w:t>62</w:t>
    </w:r>
    <w:r>
      <w:rPr>
        <w:rStyle w:val="20"/>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4445" t="0" r="0" b="3175"/>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ne5yNkAAAAOAQAADwAAAAAAAAABACAAAAAiAAAAZHJzL2Rvd25yZXYu&#10;eG1sUEsBAhQAFAAAAAgAh07iQD9is8L6AQAA/AMAAA4AAAAAAAAAAQAgAAAAKAEAAGRycy9lMm9E&#10;b2MueG1sUEsFBgAAAAAGAAYAWQEAAJQ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4445" t="0" r="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N05x2AAAAAoBAAAPAAAAAAAAAAEAIAAAACIAAABkcnMvZG93bnJldi54bWxQ&#10;SwECFAAUAAAACACHTuJAJySDtPcBAAD5AwAADgAAAAAAAAABACAAAAAnAQAAZHJzL2Uyb0RvYy54&#10;bWxQSwUGAAAAAAYABgBZAQAAkA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dit="forms" w:formatting="1" w:enforcement="1" w:cryptProviderType="rsaFull" w:cryptAlgorithmClass="hash" w:cryptAlgorithmType="typeAny" w:cryptAlgorithmSid="4" w:cryptSpinCount="0" w:hash="HBPK/puharWVpbD0hK9j6AWFK6I=" w:salt="tWoZc1KEONvr/ZKJDR+6Kg=="/>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YWFjMDEyOWIxMDRiMzJjNmM0MTE3OGZjYjA0YjkifQ=="/>
  </w:docVars>
  <w:rsids>
    <w:rsidRoot w:val="00172A27"/>
    <w:rsid w:val="0000090B"/>
    <w:rsid w:val="000009A9"/>
    <w:rsid w:val="00001B2F"/>
    <w:rsid w:val="00001D7A"/>
    <w:rsid w:val="00003060"/>
    <w:rsid w:val="000055BB"/>
    <w:rsid w:val="00013814"/>
    <w:rsid w:val="00013DB2"/>
    <w:rsid w:val="00017CFC"/>
    <w:rsid w:val="00017E1E"/>
    <w:rsid w:val="00021EFD"/>
    <w:rsid w:val="00022C34"/>
    <w:rsid w:val="00023676"/>
    <w:rsid w:val="00024608"/>
    <w:rsid w:val="00025F1E"/>
    <w:rsid w:val="0002643A"/>
    <w:rsid w:val="0002687B"/>
    <w:rsid w:val="0002701F"/>
    <w:rsid w:val="000339BC"/>
    <w:rsid w:val="00034EBE"/>
    <w:rsid w:val="00035118"/>
    <w:rsid w:val="0003567F"/>
    <w:rsid w:val="00035CA9"/>
    <w:rsid w:val="000362DF"/>
    <w:rsid w:val="00036AA4"/>
    <w:rsid w:val="00041891"/>
    <w:rsid w:val="00042CA8"/>
    <w:rsid w:val="00043821"/>
    <w:rsid w:val="00043CBA"/>
    <w:rsid w:val="00044F84"/>
    <w:rsid w:val="00045385"/>
    <w:rsid w:val="00045540"/>
    <w:rsid w:val="00046A4B"/>
    <w:rsid w:val="00046ABB"/>
    <w:rsid w:val="00046C08"/>
    <w:rsid w:val="00051B50"/>
    <w:rsid w:val="0005241B"/>
    <w:rsid w:val="000565C4"/>
    <w:rsid w:val="000573B8"/>
    <w:rsid w:val="00057834"/>
    <w:rsid w:val="00057F78"/>
    <w:rsid w:val="000602CF"/>
    <w:rsid w:val="0006134B"/>
    <w:rsid w:val="00062821"/>
    <w:rsid w:val="000651DA"/>
    <w:rsid w:val="00072834"/>
    <w:rsid w:val="000738CA"/>
    <w:rsid w:val="0007390E"/>
    <w:rsid w:val="00073A45"/>
    <w:rsid w:val="00074766"/>
    <w:rsid w:val="00077629"/>
    <w:rsid w:val="00080AE9"/>
    <w:rsid w:val="00081092"/>
    <w:rsid w:val="00081801"/>
    <w:rsid w:val="00081ACD"/>
    <w:rsid w:val="00081C6C"/>
    <w:rsid w:val="00081EB8"/>
    <w:rsid w:val="00081F16"/>
    <w:rsid w:val="00081F58"/>
    <w:rsid w:val="000823AD"/>
    <w:rsid w:val="000829A8"/>
    <w:rsid w:val="000832B2"/>
    <w:rsid w:val="0008431C"/>
    <w:rsid w:val="0008447C"/>
    <w:rsid w:val="000847D3"/>
    <w:rsid w:val="00084AB6"/>
    <w:rsid w:val="00086706"/>
    <w:rsid w:val="00086B70"/>
    <w:rsid w:val="00087637"/>
    <w:rsid w:val="000900BA"/>
    <w:rsid w:val="00090D6B"/>
    <w:rsid w:val="00090EB6"/>
    <w:rsid w:val="00090FEC"/>
    <w:rsid w:val="00091C5E"/>
    <w:rsid w:val="00092A9B"/>
    <w:rsid w:val="00092FFF"/>
    <w:rsid w:val="000933F0"/>
    <w:rsid w:val="00093A6B"/>
    <w:rsid w:val="000956CE"/>
    <w:rsid w:val="00096169"/>
    <w:rsid w:val="000963AD"/>
    <w:rsid w:val="00096A9B"/>
    <w:rsid w:val="0009779D"/>
    <w:rsid w:val="000A152E"/>
    <w:rsid w:val="000A1C72"/>
    <w:rsid w:val="000A1E97"/>
    <w:rsid w:val="000A2E93"/>
    <w:rsid w:val="000A3597"/>
    <w:rsid w:val="000A36C8"/>
    <w:rsid w:val="000A3FE8"/>
    <w:rsid w:val="000A4640"/>
    <w:rsid w:val="000A55EE"/>
    <w:rsid w:val="000A6CD3"/>
    <w:rsid w:val="000A6D2F"/>
    <w:rsid w:val="000A7E88"/>
    <w:rsid w:val="000B1334"/>
    <w:rsid w:val="000B16E2"/>
    <w:rsid w:val="000B1BD0"/>
    <w:rsid w:val="000B22A3"/>
    <w:rsid w:val="000B380C"/>
    <w:rsid w:val="000B4758"/>
    <w:rsid w:val="000B5412"/>
    <w:rsid w:val="000B6571"/>
    <w:rsid w:val="000B709F"/>
    <w:rsid w:val="000B7D7A"/>
    <w:rsid w:val="000C2AA6"/>
    <w:rsid w:val="000C2ED3"/>
    <w:rsid w:val="000C4940"/>
    <w:rsid w:val="000C4BA5"/>
    <w:rsid w:val="000C4C3B"/>
    <w:rsid w:val="000D0476"/>
    <w:rsid w:val="000D0E03"/>
    <w:rsid w:val="000D2631"/>
    <w:rsid w:val="000D5549"/>
    <w:rsid w:val="000D619E"/>
    <w:rsid w:val="000D7406"/>
    <w:rsid w:val="000D7EA9"/>
    <w:rsid w:val="000E02FC"/>
    <w:rsid w:val="000E1639"/>
    <w:rsid w:val="000E2414"/>
    <w:rsid w:val="000E2432"/>
    <w:rsid w:val="000E4B27"/>
    <w:rsid w:val="000E4CE0"/>
    <w:rsid w:val="000E5379"/>
    <w:rsid w:val="000E54A0"/>
    <w:rsid w:val="000E6299"/>
    <w:rsid w:val="000E632B"/>
    <w:rsid w:val="000E6AAA"/>
    <w:rsid w:val="000F0324"/>
    <w:rsid w:val="000F108C"/>
    <w:rsid w:val="000F3188"/>
    <w:rsid w:val="000F3D46"/>
    <w:rsid w:val="000F4146"/>
    <w:rsid w:val="000F6070"/>
    <w:rsid w:val="000F71A3"/>
    <w:rsid w:val="000F73C6"/>
    <w:rsid w:val="000F7917"/>
    <w:rsid w:val="001013AB"/>
    <w:rsid w:val="001019D8"/>
    <w:rsid w:val="00101A32"/>
    <w:rsid w:val="00101EAB"/>
    <w:rsid w:val="001023AB"/>
    <w:rsid w:val="001041CB"/>
    <w:rsid w:val="00107435"/>
    <w:rsid w:val="00110434"/>
    <w:rsid w:val="001118D4"/>
    <w:rsid w:val="00113293"/>
    <w:rsid w:val="00114EE3"/>
    <w:rsid w:val="001163D8"/>
    <w:rsid w:val="00116DFD"/>
    <w:rsid w:val="00120C96"/>
    <w:rsid w:val="001212EB"/>
    <w:rsid w:val="00122298"/>
    <w:rsid w:val="0012307F"/>
    <w:rsid w:val="00123128"/>
    <w:rsid w:val="001234C9"/>
    <w:rsid w:val="00124F88"/>
    <w:rsid w:val="00126132"/>
    <w:rsid w:val="0012648C"/>
    <w:rsid w:val="0012732E"/>
    <w:rsid w:val="001279FE"/>
    <w:rsid w:val="001304AB"/>
    <w:rsid w:val="00131B13"/>
    <w:rsid w:val="00131CCB"/>
    <w:rsid w:val="00132172"/>
    <w:rsid w:val="001321E1"/>
    <w:rsid w:val="00132364"/>
    <w:rsid w:val="00132A89"/>
    <w:rsid w:val="001342A5"/>
    <w:rsid w:val="00135227"/>
    <w:rsid w:val="00135251"/>
    <w:rsid w:val="00137369"/>
    <w:rsid w:val="001378C9"/>
    <w:rsid w:val="001401E4"/>
    <w:rsid w:val="00140424"/>
    <w:rsid w:val="00141D13"/>
    <w:rsid w:val="00142572"/>
    <w:rsid w:val="00142EF6"/>
    <w:rsid w:val="00143832"/>
    <w:rsid w:val="00144E92"/>
    <w:rsid w:val="001507A5"/>
    <w:rsid w:val="00150E1D"/>
    <w:rsid w:val="00150E2B"/>
    <w:rsid w:val="00152007"/>
    <w:rsid w:val="00152E6D"/>
    <w:rsid w:val="00152FD1"/>
    <w:rsid w:val="001532B2"/>
    <w:rsid w:val="001537D5"/>
    <w:rsid w:val="0015445A"/>
    <w:rsid w:val="00154FBD"/>
    <w:rsid w:val="00155298"/>
    <w:rsid w:val="00155525"/>
    <w:rsid w:val="00156B7B"/>
    <w:rsid w:val="00161255"/>
    <w:rsid w:val="0016167A"/>
    <w:rsid w:val="00164692"/>
    <w:rsid w:val="00165AF5"/>
    <w:rsid w:val="00166938"/>
    <w:rsid w:val="0016693E"/>
    <w:rsid w:val="001672C3"/>
    <w:rsid w:val="0016783C"/>
    <w:rsid w:val="001678FA"/>
    <w:rsid w:val="001708C3"/>
    <w:rsid w:val="00170AE1"/>
    <w:rsid w:val="00170E55"/>
    <w:rsid w:val="00170F9A"/>
    <w:rsid w:val="00170FDB"/>
    <w:rsid w:val="001719D7"/>
    <w:rsid w:val="00172A27"/>
    <w:rsid w:val="00172A7E"/>
    <w:rsid w:val="00174C97"/>
    <w:rsid w:val="00175E3A"/>
    <w:rsid w:val="001777B6"/>
    <w:rsid w:val="0017792A"/>
    <w:rsid w:val="0018076B"/>
    <w:rsid w:val="00180E2F"/>
    <w:rsid w:val="00181A4E"/>
    <w:rsid w:val="00182260"/>
    <w:rsid w:val="001822AD"/>
    <w:rsid w:val="00182803"/>
    <w:rsid w:val="00183BF5"/>
    <w:rsid w:val="00183C38"/>
    <w:rsid w:val="001843DB"/>
    <w:rsid w:val="00184540"/>
    <w:rsid w:val="00186AF5"/>
    <w:rsid w:val="00193CD2"/>
    <w:rsid w:val="00193EED"/>
    <w:rsid w:val="00193FCE"/>
    <w:rsid w:val="001941B8"/>
    <w:rsid w:val="00194451"/>
    <w:rsid w:val="001949DF"/>
    <w:rsid w:val="00194D1C"/>
    <w:rsid w:val="00195036"/>
    <w:rsid w:val="0019595A"/>
    <w:rsid w:val="0019697C"/>
    <w:rsid w:val="001A0309"/>
    <w:rsid w:val="001A0470"/>
    <w:rsid w:val="001A1BB5"/>
    <w:rsid w:val="001A1D5B"/>
    <w:rsid w:val="001A246D"/>
    <w:rsid w:val="001A6EC8"/>
    <w:rsid w:val="001A733E"/>
    <w:rsid w:val="001A786E"/>
    <w:rsid w:val="001B0C40"/>
    <w:rsid w:val="001B1895"/>
    <w:rsid w:val="001B399F"/>
    <w:rsid w:val="001B3DD4"/>
    <w:rsid w:val="001B46BC"/>
    <w:rsid w:val="001B5626"/>
    <w:rsid w:val="001B6072"/>
    <w:rsid w:val="001B63AC"/>
    <w:rsid w:val="001B654C"/>
    <w:rsid w:val="001C050D"/>
    <w:rsid w:val="001C0CBE"/>
    <w:rsid w:val="001C2D34"/>
    <w:rsid w:val="001C397C"/>
    <w:rsid w:val="001C6505"/>
    <w:rsid w:val="001C71F2"/>
    <w:rsid w:val="001D0621"/>
    <w:rsid w:val="001D0DA4"/>
    <w:rsid w:val="001D14A1"/>
    <w:rsid w:val="001D17A7"/>
    <w:rsid w:val="001D1A88"/>
    <w:rsid w:val="001D23F7"/>
    <w:rsid w:val="001D2F63"/>
    <w:rsid w:val="001D3921"/>
    <w:rsid w:val="001D3B0B"/>
    <w:rsid w:val="001D4968"/>
    <w:rsid w:val="001D57AD"/>
    <w:rsid w:val="001D5C73"/>
    <w:rsid w:val="001D5C9A"/>
    <w:rsid w:val="001D61CE"/>
    <w:rsid w:val="001D6398"/>
    <w:rsid w:val="001E04F2"/>
    <w:rsid w:val="001E0A3F"/>
    <w:rsid w:val="001E1A46"/>
    <w:rsid w:val="001E30AE"/>
    <w:rsid w:val="001E45BE"/>
    <w:rsid w:val="001E58CE"/>
    <w:rsid w:val="001E60F3"/>
    <w:rsid w:val="001E66B1"/>
    <w:rsid w:val="001E7368"/>
    <w:rsid w:val="001F0376"/>
    <w:rsid w:val="001F0470"/>
    <w:rsid w:val="001F0931"/>
    <w:rsid w:val="001F15D0"/>
    <w:rsid w:val="001F1A30"/>
    <w:rsid w:val="001F1AC5"/>
    <w:rsid w:val="001F4C70"/>
    <w:rsid w:val="001F4DB5"/>
    <w:rsid w:val="001F5DAF"/>
    <w:rsid w:val="001F6921"/>
    <w:rsid w:val="001F6D7D"/>
    <w:rsid w:val="001F7A0D"/>
    <w:rsid w:val="00200A06"/>
    <w:rsid w:val="00200B9A"/>
    <w:rsid w:val="00200E90"/>
    <w:rsid w:val="002011F8"/>
    <w:rsid w:val="00201E27"/>
    <w:rsid w:val="00202132"/>
    <w:rsid w:val="002052BF"/>
    <w:rsid w:val="002053C1"/>
    <w:rsid w:val="00205670"/>
    <w:rsid w:val="00205D86"/>
    <w:rsid w:val="00205DC9"/>
    <w:rsid w:val="0020635B"/>
    <w:rsid w:val="002064E1"/>
    <w:rsid w:val="00206EA4"/>
    <w:rsid w:val="00207173"/>
    <w:rsid w:val="00207193"/>
    <w:rsid w:val="00210346"/>
    <w:rsid w:val="00210ACA"/>
    <w:rsid w:val="00212022"/>
    <w:rsid w:val="002145E4"/>
    <w:rsid w:val="002146E7"/>
    <w:rsid w:val="002149A3"/>
    <w:rsid w:val="00214DD7"/>
    <w:rsid w:val="00214F54"/>
    <w:rsid w:val="00215479"/>
    <w:rsid w:val="002155C5"/>
    <w:rsid w:val="00217326"/>
    <w:rsid w:val="00220C50"/>
    <w:rsid w:val="0022149C"/>
    <w:rsid w:val="00221561"/>
    <w:rsid w:val="00221997"/>
    <w:rsid w:val="00222752"/>
    <w:rsid w:val="002228C6"/>
    <w:rsid w:val="0022294E"/>
    <w:rsid w:val="002238AE"/>
    <w:rsid w:val="002243D1"/>
    <w:rsid w:val="00225DB3"/>
    <w:rsid w:val="0023012A"/>
    <w:rsid w:val="00230C43"/>
    <w:rsid w:val="00231D21"/>
    <w:rsid w:val="0023255F"/>
    <w:rsid w:val="00232CD0"/>
    <w:rsid w:val="002341A2"/>
    <w:rsid w:val="00237A15"/>
    <w:rsid w:val="00240733"/>
    <w:rsid w:val="00240FF8"/>
    <w:rsid w:val="002414E5"/>
    <w:rsid w:val="00241D3A"/>
    <w:rsid w:val="0024269B"/>
    <w:rsid w:val="00244532"/>
    <w:rsid w:val="00246DB1"/>
    <w:rsid w:val="00247523"/>
    <w:rsid w:val="00247993"/>
    <w:rsid w:val="002511FE"/>
    <w:rsid w:val="00252113"/>
    <w:rsid w:val="002529D6"/>
    <w:rsid w:val="00254019"/>
    <w:rsid w:val="002551E0"/>
    <w:rsid w:val="0025530F"/>
    <w:rsid w:val="00255F14"/>
    <w:rsid w:val="002574D7"/>
    <w:rsid w:val="00257B22"/>
    <w:rsid w:val="002602F6"/>
    <w:rsid w:val="00263C39"/>
    <w:rsid w:val="002645C9"/>
    <w:rsid w:val="002665E4"/>
    <w:rsid w:val="002673AF"/>
    <w:rsid w:val="00267440"/>
    <w:rsid w:val="0027067C"/>
    <w:rsid w:val="00270EED"/>
    <w:rsid w:val="00270FE1"/>
    <w:rsid w:val="00271ABB"/>
    <w:rsid w:val="00272B6B"/>
    <w:rsid w:val="00272DEC"/>
    <w:rsid w:val="002751DF"/>
    <w:rsid w:val="002759A2"/>
    <w:rsid w:val="00276204"/>
    <w:rsid w:val="00280BE5"/>
    <w:rsid w:val="00280E45"/>
    <w:rsid w:val="002810F8"/>
    <w:rsid w:val="00281565"/>
    <w:rsid w:val="00282BD7"/>
    <w:rsid w:val="00283074"/>
    <w:rsid w:val="00285049"/>
    <w:rsid w:val="00286F72"/>
    <w:rsid w:val="00290B53"/>
    <w:rsid w:val="00290D50"/>
    <w:rsid w:val="00292F27"/>
    <w:rsid w:val="00293F3F"/>
    <w:rsid w:val="0029442F"/>
    <w:rsid w:val="002954F0"/>
    <w:rsid w:val="0029595B"/>
    <w:rsid w:val="00295A34"/>
    <w:rsid w:val="00296501"/>
    <w:rsid w:val="002975BF"/>
    <w:rsid w:val="002A0347"/>
    <w:rsid w:val="002A0BEE"/>
    <w:rsid w:val="002A2B5C"/>
    <w:rsid w:val="002A4898"/>
    <w:rsid w:val="002A4B7F"/>
    <w:rsid w:val="002A4B93"/>
    <w:rsid w:val="002A4F6F"/>
    <w:rsid w:val="002A5411"/>
    <w:rsid w:val="002A7325"/>
    <w:rsid w:val="002A7814"/>
    <w:rsid w:val="002B04AA"/>
    <w:rsid w:val="002B11CB"/>
    <w:rsid w:val="002B3F5D"/>
    <w:rsid w:val="002B5E0D"/>
    <w:rsid w:val="002C00FF"/>
    <w:rsid w:val="002C11FF"/>
    <w:rsid w:val="002C13E7"/>
    <w:rsid w:val="002C13ED"/>
    <w:rsid w:val="002C1681"/>
    <w:rsid w:val="002C181D"/>
    <w:rsid w:val="002C1C0D"/>
    <w:rsid w:val="002C3330"/>
    <w:rsid w:val="002C6208"/>
    <w:rsid w:val="002C6933"/>
    <w:rsid w:val="002C798C"/>
    <w:rsid w:val="002D0379"/>
    <w:rsid w:val="002D14BE"/>
    <w:rsid w:val="002D272C"/>
    <w:rsid w:val="002D35EE"/>
    <w:rsid w:val="002D378D"/>
    <w:rsid w:val="002D40A9"/>
    <w:rsid w:val="002D5868"/>
    <w:rsid w:val="002D6349"/>
    <w:rsid w:val="002D6B6F"/>
    <w:rsid w:val="002D7623"/>
    <w:rsid w:val="002D7628"/>
    <w:rsid w:val="002D7A77"/>
    <w:rsid w:val="002D7BE8"/>
    <w:rsid w:val="002E002C"/>
    <w:rsid w:val="002E098C"/>
    <w:rsid w:val="002E0CA5"/>
    <w:rsid w:val="002E130B"/>
    <w:rsid w:val="002E15EE"/>
    <w:rsid w:val="002E2367"/>
    <w:rsid w:val="002E3E40"/>
    <w:rsid w:val="002E5245"/>
    <w:rsid w:val="002E5D37"/>
    <w:rsid w:val="002E60E6"/>
    <w:rsid w:val="002E650E"/>
    <w:rsid w:val="002E76EF"/>
    <w:rsid w:val="002E7E70"/>
    <w:rsid w:val="002F08C6"/>
    <w:rsid w:val="002F098F"/>
    <w:rsid w:val="002F24F3"/>
    <w:rsid w:val="002F2754"/>
    <w:rsid w:val="002F32BA"/>
    <w:rsid w:val="002F37CB"/>
    <w:rsid w:val="002F4ADA"/>
    <w:rsid w:val="002F5465"/>
    <w:rsid w:val="002F7AD0"/>
    <w:rsid w:val="002F7EF3"/>
    <w:rsid w:val="00300192"/>
    <w:rsid w:val="00300564"/>
    <w:rsid w:val="0030169A"/>
    <w:rsid w:val="00302091"/>
    <w:rsid w:val="00306123"/>
    <w:rsid w:val="00307CF1"/>
    <w:rsid w:val="0031007D"/>
    <w:rsid w:val="00311B9B"/>
    <w:rsid w:val="00313DA1"/>
    <w:rsid w:val="0031405F"/>
    <w:rsid w:val="003144F4"/>
    <w:rsid w:val="003157D1"/>
    <w:rsid w:val="003167BE"/>
    <w:rsid w:val="00316A48"/>
    <w:rsid w:val="00317222"/>
    <w:rsid w:val="003214B1"/>
    <w:rsid w:val="00322799"/>
    <w:rsid w:val="0032321A"/>
    <w:rsid w:val="00323A80"/>
    <w:rsid w:val="003241F1"/>
    <w:rsid w:val="0032467A"/>
    <w:rsid w:val="0032568F"/>
    <w:rsid w:val="00332B99"/>
    <w:rsid w:val="003343B3"/>
    <w:rsid w:val="00334CC7"/>
    <w:rsid w:val="0033552B"/>
    <w:rsid w:val="003355B7"/>
    <w:rsid w:val="00336881"/>
    <w:rsid w:val="00336AAB"/>
    <w:rsid w:val="00340B42"/>
    <w:rsid w:val="00341021"/>
    <w:rsid w:val="00341B56"/>
    <w:rsid w:val="00341F13"/>
    <w:rsid w:val="0034236C"/>
    <w:rsid w:val="003429CA"/>
    <w:rsid w:val="003431FD"/>
    <w:rsid w:val="00343634"/>
    <w:rsid w:val="00343A1D"/>
    <w:rsid w:val="00343D9C"/>
    <w:rsid w:val="003445EE"/>
    <w:rsid w:val="00344CFC"/>
    <w:rsid w:val="003500BA"/>
    <w:rsid w:val="0035121B"/>
    <w:rsid w:val="00351933"/>
    <w:rsid w:val="00352D4E"/>
    <w:rsid w:val="00355DB8"/>
    <w:rsid w:val="00357F64"/>
    <w:rsid w:val="0036067C"/>
    <w:rsid w:val="003612D6"/>
    <w:rsid w:val="00362DC8"/>
    <w:rsid w:val="003634F4"/>
    <w:rsid w:val="00363B02"/>
    <w:rsid w:val="003642B6"/>
    <w:rsid w:val="00364E6B"/>
    <w:rsid w:val="00365BD8"/>
    <w:rsid w:val="00371760"/>
    <w:rsid w:val="00372115"/>
    <w:rsid w:val="00372991"/>
    <w:rsid w:val="003738EA"/>
    <w:rsid w:val="00374103"/>
    <w:rsid w:val="00374310"/>
    <w:rsid w:val="00374E90"/>
    <w:rsid w:val="00376869"/>
    <w:rsid w:val="00380598"/>
    <w:rsid w:val="00381B01"/>
    <w:rsid w:val="003829D9"/>
    <w:rsid w:val="003832F9"/>
    <w:rsid w:val="00383880"/>
    <w:rsid w:val="00383B07"/>
    <w:rsid w:val="00383B17"/>
    <w:rsid w:val="00384A92"/>
    <w:rsid w:val="003854F3"/>
    <w:rsid w:val="00386518"/>
    <w:rsid w:val="00386A15"/>
    <w:rsid w:val="0038748E"/>
    <w:rsid w:val="00391A61"/>
    <w:rsid w:val="0039316A"/>
    <w:rsid w:val="0039491D"/>
    <w:rsid w:val="003978C0"/>
    <w:rsid w:val="00397B1C"/>
    <w:rsid w:val="00397E86"/>
    <w:rsid w:val="003A092F"/>
    <w:rsid w:val="003A1388"/>
    <w:rsid w:val="003A139A"/>
    <w:rsid w:val="003A1D20"/>
    <w:rsid w:val="003A258C"/>
    <w:rsid w:val="003A40E7"/>
    <w:rsid w:val="003A4472"/>
    <w:rsid w:val="003A5C2B"/>
    <w:rsid w:val="003A73C8"/>
    <w:rsid w:val="003A78B7"/>
    <w:rsid w:val="003B095A"/>
    <w:rsid w:val="003B2F1D"/>
    <w:rsid w:val="003B30E9"/>
    <w:rsid w:val="003B4530"/>
    <w:rsid w:val="003B4EE5"/>
    <w:rsid w:val="003B50F5"/>
    <w:rsid w:val="003B5D7B"/>
    <w:rsid w:val="003B5F19"/>
    <w:rsid w:val="003B638F"/>
    <w:rsid w:val="003B67A0"/>
    <w:rsid w:val="003B70F6"/>
    <w:rsid w:val="003B72E5"/>
    <w:rsid w:val="003C0C7E"/>
    <w:rsid w:val="003C0E0B"/>
    <w:rsid w:val="003C1220"/>
    <w:rsid w:val="003C2DA4"/>
    <w:rsid w:val="003C3607"/>
    <w:rsid w:val="003C4595"/>
    <w:rsid w:val="003C47B5"/>
    <w:rsid w:val="003C5626"/>
    <w:rsid w:val="003C58B5"/>
    <w:rsid w:val="003C6339"/>
    <w:rsid w:val="003C6B76"/>
    <w:rsid w:val="003C779C"/>
    <w:rsid w:val="003C7C2C"/>
    <w:rsid w:val="003D1F56"/>
    <w:rsid w:val="003D1FCD"/>
    <w:rsid w:val="003D3512"/>
    <w:rsid w:val="003D3B92"/>
    <w:rsid w:val="003D4056"/>
    <w:rsid w:val="003D415D"/>
    <w:rsid w:val="003D46D1"/>
    <w:rsid w:val="003D5A77"/>
    <w:rsid w:val="003D681C"/>
    <w:rsid w:val="003D7686"/>
    <w:rsid w:val="003E0C29"/>
    <w:rsid w:val="003E4A4E"/>
    <w:rsid w:val="003E4AEB"/>
    <w:rsid w:val="003E58E5"/>
    <w:rsid w:val="003E5EE1"/>
    <w:rsid w:val="003E6A13"/>
    <w:rsid w:val="003E7C9B"/>
    <w:rsid w:val="003E7D25"/>
    <w:rsid w:val="003F0417"/>
    <w:rsid w:val="003F180D"/>
    <w:rsid w:val="003F3165"/>
    <w:rsid w:val="003F404C"/>
    <w:rsid w:val="003F45C6"/>
    <w:rsid w:val="003F66A4"/>
    <w:rsid w:val="003F6764"/>
    <w:rsid w:val="0040196C"/>
    <w:rsid w:val="00402F4C"/>
    <w:rsid w:val="004031A9"/>
    <w:rsid w:val="00403958"/>
    <w:rsid w:val="004075E0"/>
    <w:rsid w:val="00407C0B"/>
    <w:rsid w:val="004118B9"/>
    <w:rsid w:val="004123EF"/>
    <w:rsid w:val="004128F3"/>
    <w:rsid w:val="00412960"/>
    <w:rsid w:val="00412A5D"/>
    <w:rsid w:val="00412CA6"/>
    <w:rsid w:val="00413557"/>
    <w:rsid w:val="004137F3"/>
    <w:rsid w:val="00415470"/>
    <w:rsid w:val="00415CFA"/>
    <w:rsid w:val="00415E18"/>
    <w:rsid w:val="00416388"/>
    <w:rsid w:val="00416EA9"/>
    <w:rsid w:val="00417214"/>
    <w:rsid w:val="0041769D"/>
    <w:rsid w:val="00417D4F"/>
    <w:rsid w:val="00421EEA"/>
    <w:rsid w:val="00422027"/>
    <w:rsid w:val="004221B2"/>
    <w:rsid w:val="004223F4"/>
    <w:rsid w:val="0042390E"/>
    <w:rsid w:val="00425B45"/>
    <w:rsid w:val="00425C82"/>
    <w:rsid w:val="00425D4D"/>
    <w:rsid w:val="00427D04"/>
    <w:rsid w:val="004300B5"/>
    <w:rsid w:val="00430F93"/>
    <w:rsid w:val="004328A0"/>
    <w:rsid w:val="00433AB6"/>
    <w:rsid w:val="004342C9"/>
    <w:rsid w:val="004374D0"/>
    <w:rsid w:val="00440412"/>
    <w:rsid w:val="00443935"/>
    <w:rsid w:val="00443D5A"/>
    <w:rsid w:val="004442B3"/>
    <w:rsid w:val="0044498E"/>
    <w:rsid w:val="004460B8"/>
    <w:rsid w:val="00446162"/>
    <w:rsid w:val="00447613"/>
    <w:rsid w:val="00447654"/>
    <w:rsid w:val="00450A1C"/>
    <w:rsid w:val="004513F9"/>
    <w:rsid w:val="00451F87"/>
    <w:rsid w:val="00452D92"/>
    <w:rsid w:val="00452DB9"/>
    <w:rsid w:val="00452F36"/>
    <w:rsid w:val="00453130"/>
    <w:rsid w:val="0045394E"/>
    <w:rsid w:val="004543BF"/>
    <w:rsid w:val="00454B5D"/>
    <w:rsid w:val="00454E5F"/>
    <w:rsid w:val="00455B44"/>
    <w:rsid w:val="00456FA3"/>
    <w:rsid w:val="0045706F"/>
    <w:rsid w:val="0045754E"/>
    <w:rsid w:val="004575C3"/>
    <w:rsid w:val="00460E98"/>
    <w:rsid w:val="00461AA0"/>
    <w:rsid w:val="0046225F"/>
    <w:rsid w:val="004640E1"/>
    <w:rsid w:val="00465462"/>
    <w:rsid w:val="004666B5"/>
    <w:rsid w:val="004669E3"/>
    <w:rsid w:val="00467112"/>
    <w:rsid w:val="00467B60"/>
    <w:rsid w:val="00467ECF"/>
    <w:rsid w:val="004722EC"/>
    <w:rsid w:val="0047305B"/>
    <w:rsid w:val="004736BA"/>
    <w:rsid w:val="00475A0F"/>
    <w:rsid w:val="004771A7"/>
    <w:rsid w:val="00477DF1"/>
    <w:rsid w:val="00480562"/>
    <w:rsid w:val="004805E1"/>
    <w:rsid w:val="0048194E"/>
    <w:rsid w:val="00481D33"/>
    <w:rsid w:val="004830D3"/>
    <w:rsid w:val="00483137"/>
    <w:rsid w:val="004833C3"/>
    <w:rsid w:val="00483BCD"/>
    <w:rsid w:val="00484258"/>
    <w:rsid w:val="00484BA8"/>
    <w:rsid w:val="004851E7"/>
    <w:rsid w:val="00486BD8"/>
    <w:rsid w:val="00486D4E"/>
    <w:rsid w:val="00487F50"/>
    <w:rsid w:val="004905D0"/>
    <w:rsid w:val="0049262A"/>
    <w:rsid w:val="0049352F"/>
    <w:rsid w:val="00494A80"/>
    <w:rsid w:val="0049585B"/>
    <w:rsid w:val="00496C53"/>
    <w:rsid w:val="004A07AF"/>
    <w:rsid w:val="004A465C"/>
    <w:rsid w:val="004A4F4D"/>
    <w:rsid w:val="004A5A5E"/>
    <w:rsid w:val="004A5AA9"/>
    <w:rsid w:val="004A64A5"/>
    <w:rsid w:val="004A791C"/>
    <w:rsid w:val="004B10CD"/>
    <w:rsid w:val="004B1FA9"/>
    <w:rsid w:val="004B22AA"/>
    <w:rsid w:val="004B2765"/>
    <w:rsid w:val="004B672E"/>
    <w:rsid w:val="004B67C9"/>
    <w:rsid w:val="004B6984"/>
    <w:rsid w:val="004B74ED"/>
    <w:rsid w:val="004B7B30"/>
    <w:rsid w:val="004C05F2"/>
    <w:rsid w:val="004C08DE"/>
    <w:rsid w:val="004C1E28"/>
    <w:rsid w:val="004C2800"/>
    <w:rsid w:val="004C3306"/>
    <w:rsid w:val="004C407E"/>
    <w:rsid w:val="004C40F4"/>
    <w:rsid w:val="004C506F"/>
    <w:rsid w:val="004C5CD3"/>
    <w:rsid w:val="004C7107"/>
    <w:rsid w:val="004C7A15"/>
    <w:rsid w:val="004D11B7"/>
    <w:rsid w:val="004D2194"/>
    <w:rsid w:val="004D2778"/>
    <w:rsid w:val="004D4274"/>
    <w:rsid w:val="004D57A0"/>
    <w:rsid w:val="004D5F36"/>
    <w:rsid w:val="004D7563"/>
    <w:rsid w:val="004E0791"/>
    <w:rsid w:val="004E0F8E"/>
    <w:rsid w:val="004E1013"/>
    <w:rsid w:val="004E16B6"/>
    <w:rsid w:val="004E2848"/>
    <w:rsid w:val="004E3ADE"/>
    <w:rsid w:val="004E44CC"/>
    <w:rsid w:val="004E5CA5"/>
    <w:rsid w:val="004E67F0"/>
    <w:rsid w:val="004E7529"/>
    <w:rsid w:val="004F16A1"/>
    <w:rsid w:val="004F2DDA"/>
    <w:rsid w:val="004F352D"/>
    <w:rsid w:val="004F4CDB"/>
    <w:rsid w:val="004F568A"/>
    <w:rsid w:val="004F581C"/>
    <w:rsid w:val="004F68CE"/>
    <w:rsid w:val="004F718A"/>
    <w:rsid w:val="0050062C"/>
    <w:rsid w:val="005021E6"/>
    <w:rsid w:val="005034FC"/>
    <w:rsid w:val="00503F67"/>
    <w:rsid w:val="005044B9"/>
    <w:rsid w:val="00504F7C"/>
    <w:rsid w:val="005055E2"/>
    <w:rsid w:val="00506583"/>
    <w:rsid w:val="00507D74"/>
    <w:rsid w:val="00510644"/>
    <w:rsid w:val="005106D5"/>
    <w:rsid w:val="005112F3"/>
    <w:rsid w:val="0051190D"/>
    <w:rsid w:val="00512281"/>
    <w:rsid w:val="0051562D"/>
    <w:rsid w:val="00517BF1"/>
    <w:rsid w:val="00517FDD"/>
    <w:rsid w:val="00517FED"/>
    <w:rsid w:val="00520645"/>
    <w:rsid w:val="00520920"/>
    <w:rsid w:val="0052196C"/>
    <w:rsid w:val="0052213E"/>
    <w:rsid w:val="00522285"/>
    <w:rsid w:val="00524D6D"/>
    <w:rsid w:val="00524D76"/>
    <w:rsid w:val="00524D8B"/>
    <w:rsid w:val="005252C0"/>
    <w:rsid w:val="00525E8C"/>
    <w:rsid w:val="00527F92"/>
    <w:rsid w:val="00530CE7"/>
    <w:rsid w:val="00530D4A"/>
    <w:rsid w:val="00530DC4"/>
    <w:rsid w:val="00530E45"/>
    <w:rsid w:val="0053101C"/>
    <w:rsid w:val="005316A8"/>
    <w:rsid w:val="00531FA9"/>
    <w:rsid w:val="00533B7E"/>
    <w:rsid w:val="00534CB7"/>
    <w:rsid w:val="00535C65"/>
    <w:rsid w:val="00535ECA"/>
    <w:rsid w:val="0053682D"/>
    <w:rsid w:val="00540380"/>
    <w:rsid w:val="0054099F"/>
    <w:rsid w:val="00540FEC"/>
    <w:rsid w:val="005414D6"/>
    <w:rsid w:val="00541F83"/>
    <w:rsid w:val="005430C7"/>
    <w:rsid w:val="00543312"/>
    <w:rsid w:val="00543809"/>
    <w:rsid w:val="005439BF"/>
    <w:rsid w:val="00543CB6"/>
    <w:rsid w:val="00543D6B"/>
    <w:rsid w:val="005446B0"/>
    <w:rsid w:val="00545349"/>
    <w:rsid w:val="00546183"/>
    <w:rsid w:val="005475A9"/>
    <w:rsid w:val="005478E2"/>
    <w:rsid w:val="00547E4F"/>
    <w:rsid w:val="00551DFC"/>
    <w:rsid w:val="0055211A"/>
    <w:rsid w:val="0055216F"/>
    <w:rsid w:val="005605F8"/>
    <w:rsid w:val="0056183F"/>
    <w:rsid w:val="005622D1"/>
    <w:rsid w:val="00563224"/>
    <w:rsid w:val="005633AF"/>
    <w:rsid w:val="0056380E"/>
    <w:rsid w:val="005645A9"/>
    <w:rsid w:val="005650C2"/>
    <w:rsid w:val="00565A8C"/>
    <w:rsid w:val="00567720"/>
    <w:rsid w:val="00570301"/>
    <w:rsid w:val="005723C2"/>
    <w:rsid w:val="0057275F"/>
    <w:rsid w:val="00572F0A"/>
    <w:rsid w:val="00573012"/>
    <w:rsid w:val="00573562"/>
    <w:rsid w:val="00574068"/>
    <w:rsid w:val="00575306"/>
    <w:rsid w:val="005761C9"/>
    <w:rsid w:val="005773BE"/>
    <w:rsid w:val="00577C90"/>
    <w:rsid w:val="00580954"/>
    <w:rsid w:val="00580F4C"/>
    <w:rsid w:val="005824F8"/>
    <w:rsid w:val="00583A5C"/>
    <w:rsid w:val="00584ED2"/>
    <w:rsid w:val="00584F0B"/>
    <w:rsid w:val="005850D6"/>
    <w:rsid w:val="005854A1"/>
    <w:rsid w:val="00586357"/>
    <w:rsid w:val="0058643C"/>
    <w:rsid w:val="00586EDA"/>
    <w:rsid w:val="00586F03"/>
    <w:rsid w:val="00587114"/>
    <w:rsid w:val="00590763"/>
    <w:rsid w:val="005927CD"/>
    <w:rsid w:val="00593176"/>
    <w:rsid w:val="0059343A"/>
    <w:rsid w:val="00593CA2"/>
    <w:rsid w:val="00595B4A"/>
    <w:rsid w:val="005964EC"/>
    <w:rsid w:val="00597221"/>
    <w:rsid w:val="005977ED"/>
    <w:rsid w:val="005A0661"/>
    <w:rsid w:val="005A0BA9"/>
    <w:rsid w:val="005A0C3B"/>
    <w:rsid w:val="005A1FDF"/>
    <w:rsid w:val="005A2B40"/>
    <w:rsid w:val="005A2DB1"/>
    <w:rsid w:val="005A3025"/>
    <w:rsid w:val="005A4192"/>
    <w:rsid w:val="005A4DFA"/>
    <w:rsid w:val="005A4F1F"/>
    <w:rsid w:val="005A5A1C"/>
    <w:rsid w:val="005A5E1E"/>
    <w:rsid w:val="005A6732"/>
    <w:rsid w:val="005B1C02"/>
    <w:rsid w:val="005B1F53"/>
    <w:rsid w:val="005B33DC"/>
    <w:rsid w:val="005B4FF7"/>
    <w:rsid w:val="005B5080"/>
    <w:rsid w:val="005B5511"/>
    <w:rsid w:val="005B6269"/>
    <w:rsid w:val="005B6A2F"/>
    <w:rsid w:val="005B6E58"/>
    <w:rsid w:val="005C115C"/>
    <w:rsid w:val="005C31C8"/>
    <w:rsid w:val="005C4416"/>
    <w:rsid w:val="005C4D85"/>
    <w:rsid w:val="005C5184"/>
    <w:rsid w:val="005C6CE7"/>
    <w:rsid w:val="005D184D"/>
    <w:rsid w:val="005D1BF1"/>
    <w:rsid w:val="005D2C74"/>
    <w:rsid w:val="005D2CB5"/>
    <w:rsid w:val="005D32D1"/>
    <w:rsid w:val="005D386F"/>
    <w:rsid w:val="005D5929"/>
    <w:rsid w:val="005D6DB1"/>
    <w:rsid w:val="005D72C1"/>
    <w:rsid w:val="005D7663"/>
    <w:rsid w:val="005E31E2"/>
    <w:rsid w:val="005E3DC5"/>
    <w:rsid w:val="005E3E03"/>
    <w:rsid w:val="005E4813"/>
    <w:rsid w:val="005E4FE7"/>
    <w:rsid w:val="005E6AD9"/>
    <w:rsid w:val="005E6E82"/>
    <w:rsid w:val="005F0B61"/>
    <w:rsid w:val="005F0E56"/>
    <w:rsid w:val="005F1007"/>
    <w:rsid w:val="005F2E0C"/>
    <w:rsid w:val="005F6167"/>
    <w:rsid w:val="005F6EEF"/>
    <w:rsid w:val="006005D4"/>
    <w:rsid w:val="00600B40"/>
    <w:rsid w:val="0060178F"/>
    <w:rsid w:val="00602576"/>
    <w:rsid w:val="00602663"/>
    <w:rsid w:val="006031DC"/>
    <w:rsid w:val="00604563"/>
    <w:rsid w:val="00604A07"/>
    <w:rsid w:val="006052FC"/>
    <w:rsid w:val="0060535C"/>
    <w:rsid w:val="00607400"/>
    <w:rsid w:val="0060776A"/>
    <w:rsid w:val="00611849"/>
    <w:rsid w:val="006120D5"/>
    <w:rsid w:val="00613D71"/>
    <w:rsid w:val="00615523"/>
    <w:rsid w:val="006159BC"/>
    <w:rsid w:val="006167BD"/>
    <w:rsid w:val="0061707B"/>
    <w:rsid w:val="006173BB"/>
    <w:rsid w:val="00617D6A"/>
    <w:rsid w:val="006206B9"/>
    <w:rsid w:val="00620BD0"/>
    <w:rsid w:val="00622459"/>
    <w:rsid w:val="00623CBC"/>
    <w:rsid w:val="006243E7"/>
    <w:rsid w:val="00625C51"/>
    <w:rsid w:val="0063027F"/>
    <w:rsid w:val="00630D29"/>
    <w:rsid w:val="006313EC"/>
    <w:rsid w:val="00631AFB"/>
    <w:rsid w:val="0063261A"/>
    <w:rsid w:val="0063293A"/>
    <w:rsid w:val="0063473B"/>
    <w:rsid w:val="0063507E"/>
    <w:rsid w:val="006359D2"/>
    <w:rsid w:val="006369CC"/>
    <w:rsid w:val="006374EF"/>
    <w:rsid w:val="00640F02"/>
    <w:rsid w:val="00641153"/>
    <w:rsid w:val="00643E16"/>
    <w:rsid w:val="00645028"/>
    <w:rsid w:val="00645CFE"/>
    <w:rsid w:val="00646086"/>
    <w:rsid w:val="00646631"/>
    <w:rsid w:val="00647F26"/>
    <w:rsid w:val="00650587"/>
    <w:rsid w:val="00652372"/>
    <w:rsid w:val="00653480"/>
    <w:rsid w:val="006536D6"/>
    <w:rsid w:val="00654B00"/>
    <w:rsid w:val="0065532F"/>
    <w:rsid w:val="006560FF"/>
    <w:rsid w:val="00656196"/>
    <w:rsid w:val="00656CC4"/>
    <w:rsid w:val="00657569"/>
    <w:rsid w:val="00657C0D"/>
    <w:rsid w:val="00657C6F"/>
    <w:rsid w:val="00662875"/>
    <w:rsid w:val="00663399"/>
    <w:rsid w:val="00663AA5"/>
    <w:rsid w:val="0066466F"/>
    <w:rsid w:val="00664915"/>
    <w:rsid w:val="006656A2"/>
    <w:rsid w:val="00665738"/>
    <w:rsid w:val="006657A8"/>
    <w:rsid w:val="00666247"/>
    <w:rsid w:val="00666E5A"/>
    <w:rsid w:val="00667933"/>
    <w:rsid w:val="006679EB"/>
    <w:rsid w:val="00671E2F"/>
    <w:rsid w:val="00671F59"/>
    <w:rsid w:val="006726B9"/>
    <w:rsid w:val="006743EB"/>
    <w:rsid w:val="00674F5E"/>
    <w:rsid w:val="006763B3"/>
    <w:rsid w:val="00680049"/>
    <w:rsid w:val="00681E1D"/>
    <w:rsid w:val="00682F0F"/>
    <w:rsid w:val="00683222"/>
    <w:rsid w:val="006841FA"/>
    <w:rsid w:val="006849DD"/>
    <w:rsid w:val="00685608"/>
    <w:rsid w:val="00685CFC"/>
    <w:rsid w:val="00686774"/>
    <w:rsid w:val="00686A7A"/>
    <w:rsid w:val="00686F46"/>
    <w:rsid w:val="00687755"/>
    <w:rsid w:val="00687B51"/>
    <w:rsid w:val="006900BC"/>
    <w:rsid w:val="006907CD"/>
    <w:rsid w:val="00691002"/>
    <w:rsid w:val="00691AC6"/>
    <w:rsid w:val="0069218D"/>
    <w:rsid w:val="006924FD"/>
    <w:rsid w:val="00692DD7"/>
    <w:rsid w:val="00692DDF"/>
    <w:rsid w:val="0069376A"/>
    <w:rsid w:val="00694936"/>
    <w:rsid w:val="00694F25"/>
    <w:rsid w:val="00695074"/>
    <w:rsid w:val="00695709"/>
    <w:rsid w:val="00696321"/>
    <w:rsid w:val="00696DB6"/>
    <w:rsid w:val="00697007"/>
    <w:rsid w:val="006976BD"/>
    <w:rsid w:val="00697FCE"/>
    <w:rsid w:val="006A077D"/>
    <w:rsid w:val="006A1725"/>
    <w:rsid w:val="006A1DAF"/>
    <w:rsid w:val="006A211F"/>
    <w:rsid w:val="006A2156"/>
    <w:rsid w:val="006A5AD0"/>
    <w:rsid w:val="006A5E4F"/>
    <w:rsid w:val="006A5EAE"/>
    <w:rsid w:val="006A72B3"/>
    <w:rsid w:val="006A7652"/>
    <w:rsid w:val="006A76FE"/>
    <w:rsid w:val="006B1F2E"/>
    <w:rsid w:val="006B2E3A"/>
    <w:rsid w:val="006B34CD"/>
    <w:rsid w:val="006B46DC"/>
    <w:rsid w:val="006B666A"/>
    <w:rsid w:val="006B78F3"/>
    <w:rsid w:val="006B7F89"/>
    <w:rsid w:val="006C1199"/>
    <w:rsid w:val="006C12EC"/>
    <w:rsid w:val="006C1CDA"/>
    <w:rsid w:val="006C1DCC"/>
    <w:rsid w:val="006C3846"/>
    <w:rsid w:val="006C3BF0"/>
    <w:rsid w:val="006C4725"/>
    <w:rsid w:val="006C747E"/>
    <w:rsid w:val="006C7DEE"/>
    <w:rsid w:val="006D221B"/>
    <w:rsid w:val="006D3D69"/>
    <w:rsid w:val="006D3EE2"/>
    <w:rsid w:val="006D4845"/>
    <w:rsid w:val="006D55E9"/>
    <w:rsid w:val="006D5657"/>
    <w:rsid w:val="006D6C4A"/>
    <w:rsid w:val="006D7839"/>
    <w:rsid w:val="006E02B1"/>
    <w:rsid w:val="006E14ED"/>
    <w:rsid w:val="006E157D"/>
    <w:rsid w:val="006E19C5"/>
    <w:rsid w:val="006E3E44"/>
    <w:rsid w:val="006E4214"/>
    <w:rsid w:val="006E44E3"/>
    <w:rsid w:val="006E49E9"/>
    <w:rsid w:val="006E4EF6"/>
    <w:rsid w:val="006E6DDB"/>
    <w:rsid w:val="006E79C3"/>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564"/>
    <w:rsid w:val="007060CC"/>
    <w:rsid w:val="007064D1"/>
    <w:rsid w:val="00710C82"/>
    <w:rsid w:val="00712780"/>
    <w:rsid w:val="00713691"/>
    <w:rsid w:val="007152D0"/>
    <w:rsid w:val="0071564F"/>
    <w:rsid w:val="0071663D"/>
    <w:rsid w:val="00720431"/>
    <w:rsid w:val="00720556"/>
    <w:rsid w:val="00721ECC"/>
    <w:rsid w:val="00721FF0"/>
    <w:rsid w:val="0072273A"/>
    <w:rsid w:val="00722DD9"/>
    <w:rsid w:val="00723C5B"/>
    <w:rsid w:val="0072504E"/>
    <w:rsid w:val="0072548B"/>
    <w:rsid w:val="00725682"/>
    <w:rsid w:val="007269A4"/>
    <w:rsid w:val="00730182"/>
    <w:rsid w:val="00732018"/>
    <w:rsid w:val="007333DB"/>
    <w:rsid w:val="00733E60"/>
    <w:rsid w:val="00733EA7"/>
    <w:rsid w:val="00734BF0"/>
    <w:rsid w:val="00734E14"/>
    <w:rsid w:val="007358D4"/>
    <w:rsid w:val="00736CC9"/>
    <w:rsid w:val="00737149"/>
    <w:rsid w:val="00737A72"/>
    <w:rsid w:val="00737D3F"/>
    <w:rsid w:val="007409C3"/>
    <w:rsid w:val="00740D11"/>
    <w:rsid w:val="007418E1"/>
    <w:rsid w:val="007420CC"/>
    <w:rsid w:val="007420E8"/>
    <w:rsid w:val="00742808"/>
    <w:rsid w:val="00743C96"/>
    <w:rsid w:val="00745FC7"/>
    <w:rsid w:val="00746653"/>
    <w:rsid w:val="00746699"/>
    <w:rsid w:val="00746BCB"/>
    <w:rsid w:val="00747E14"/>
    <w:rsid w:val="007506CA"/>
    <w:rsid w:val="00753442"/>
    <w:rsid w:val="00754000"/>
    <w:rsid w:val="0075584E"/>
    <w:rsid w:val="0075697B"/>
    <w:rsid w:val="007569C0"/>
    <w:rsid w:val="00756EFF"/>
    <w:rsid w:val="00757282"/>
    <w:rsid w:val="0075758D"/>
    <w:rsid w:val="00757D7F"/>
    <w:rsid w:val="00757E2B"/>
    <w:rsid w:val="00760447"/>
    <w:rsid w:val="00760C76"/>
    <w:rsid w:val="00760FA3"/>
    <w:rsid w:val="00761DD0"/>
    <w:rsid w:val="007623A6"/>
    <w:rsid w:val="00763CB4"/>
    <w:rsid w:val="00765019"/>
    <w:rsid w:val="0076738D"/>
    <w:rsid w:val="00770F20"/>
    <w:rsid w:val="00771779"/>
    <w:rsid w:val="00771BDB"/>
    <w:rsid w:val="00776C9E"/>
    <w:rsid w:val="00780B22"/>
    <w:rsid w:val="0078114B"/>
    <w:rsid w:val="00781799"/>
    <w:rsid w:val="007830DD"/>
    <w:rsid w:val="007832B7"/>
    <w:rsid w:val="00783340"/>
    <w:rsid w:val="00784AE6"/>
    <w:rsid w:val="00784CA4"/>
    <w:rsid w:val="00784D51"/>
    <w:rsid w:val="0078521D"/>
    <w:rsid w:val="00785C40"/>
    <w:rsid w:val="00785CC6"/>
    <w:rsid w:val="00786F43"/>
    <w:rsid w:val="00787769"/>
    <w:rsid w:val="0079060C"/>
    <w:rsid w:val="00792F17"/>
    <w:rsid w:val="00794E0D"/>
    <w:rsid w:val="00795740"/>
    <w:rsid w:val="007957E4"/>
    <w:rsid w:val="00797162"/>
    <w:rsid w:val="007A0742"/>
    <w:rsid w:val="007A2DB4"/>
    <w:rsid w:val="007A2FF0"/>
    <w:rsid w:val="007A31E6"/>
    <w:rsid w:val="007A3201"/>
    <w:rsid w:val="007A4951"/>
    <w:rsid w:val="007A5EC1"/>
    <w:rsid w:val="007A5F2E"/>
    <w:rsid w:val="007A6334"/>
    <w:rsid w:val="007A64C3"/>
    <w:rsid w:val="007A69E3"/>
    <w:rsid w:val="007A78B2"/>
    <w:rsid w:val="007A7D92"/>
    <w:rsid w:val="007B1943"/>
    <w:rsid w:val="007B1D8C"/>
    <w:rsid w:val="007B2424"/>
    <w:rsid w:val="007B39B5"/>
    <w:rsid w:val="007B5CB3"/>
    <w:rsid w:val="007B76CF"/>
    <w:rsid w:val="007C0637"/>
    <w:rsid w:val="007C06DB"/>
    <w:rsid w:val="007C07F2"/>
    <w:rsid w:val="007C3581"/>
    <w:rsid w:val="007C3666"/>
    <w:rsid w:val="007C41AF"/>
    <w:rsid w:val="007C442F"/>
    <w:rsid w:val="007C4859"/>
    <w:rsid w:val="007C4873"/>
    <w:rsid w:val="007C52C9"/>
    <w:rsid w:val="007C7289"/>
    <w:rsid w:val="007C7F1C"/>
    <w:rsid w:val="007D26D0"/>
    <w:rsid w:val="007D2F6E"/>
    <w:rsid w:val="007D3256"/>
    <w:rsid w:val="007D502C"/>
    <w:rsid w:val="007D542C"/>
    <w:rsid w:val="007D55F3"/>
    <w:rsid w:val="007D6DE9"/>
    <w:rsid w:val="007D71B9"/>
    <w:rsid w:val="007E01BD"/>
    <w:rsid w:val="007E03DA"/>
    <w:rsid w:val="007E12B5"/>
    <w:rsid w:val="007E21C1"/>
    <w:rsid w:val="007E35AA"/>
    <w:rsid w:val="007E5DC0"/>
    <w:rsid w:val="007E6E61"/>
    <w:rsid w:val="007E7CC7"/>
    <w:rsid w:val="007F12B7"/>
    <w:rsid w:val="007F228D"/>
    <w:rsid w:val="007F25A9"/>
    <w:rsid w:val="007F27D7"/>
    <w:rsid w:val="007F33A7"/>
    <w:rsid w:val="007F466C"/>
    <w:rsid w:val="007F7311"/>
    <w:rsid w:val="008002E6"/>
    <w:rsid w:val="00800944"/>
    <w:rsid w:val="00801036"/>
    <w:rsid w:val="0080125B"/>
    <w:rsid w:val="00801575"/>
    <w:rsid w:val="0080358F"/>
    <w:rsid w:val="00803AE7"/>
    <w:rsid w:val="00803C35"/>
    <w:rsid w:val="00804651"/>
    <w:rsid w:val="00804F81"/>
    <w:rsid w:val="008067D7"/>
    <w:rsid w:val="00806822"/>
    <w:rsid w:val="0080764D"/>
    <w:rsid w:val="008106CA"/>
    <w:rsid w:val="008107B2"/>
    <w:rsid w:val="00810E4C"/>
    <w:rsid w:val="00811D7A"/>
    <w:rsid w:val="008132FD"/>
    <w:rsid w:val="00813D21"/>
    <w:rsid w:val="00813D5B"/>
    <w:rsid w:val="00815D71"/>
    <w:rsid w:val="008168FD"/>
    <w:rsid w:val="00816D5E"/>
    <w:rsid w:val="00816E3E"/>
    <w:rsid w:val="00817158"/>
    <w:rsid w:val="00820836"/>
    <w:rsid w:val="0082164E"/>
    <w:rsid w:val="00821E9A"/>
    <w:rsid w:val="008231BA"/>
    <w:rsid w:val="008236C3"/>
    <w:rsid w:val="00823CAB"/>
    <w:rsid w:val="008244AB"/>
    <w:rsid w:val="00824E2B"/>
    <w:rsid w:val="00826779"/>
    <w:rsid w:val="00826980"/>
    <w:rsid w:val="008302D6"/>
    <w:rsid w:val="00830674"/>
    <w:rsid w:val="008306DE"/>
    <w:rsid w:val="00830CE7"/>
    <w:rsid w:val="00830D9C"/>
    <w:rsid w:val="008313B2"/>
    <w:rsid w:val="008317AE"/>
    <w:rsid w:val="00831D28"/>
    <w:rsid w:val="00831E17"/>
    <w:rsid w:val="00831ECB"/>
    <w:rsid w:val="008321F6"/>
    <w:rsid w:val="008324C2"/>
    <w:rsid w:val="00832B98"/>
    <w:rsid w:val="00833627"/>
    <w:rsid w:val="00834FEF"/>
    <w:rsid w:val="0083592F"/>
    <w:rsid w:val="00835D47"/>
    <w:rsid w:val="00835FAC"/>
    <w:rsid w:val="008361BE"/>
    <w:rsid w:val="00837F0A"/>
    <w:rsid w:val="00840199"/>
    <w:rsid w:val="008401D7"/>
    <w:rsid w:val="008405A7"/>
    <w:rsid w:val="008406C7"/>
    <w:rsid w:val="0084130A"/>
    <w:rsid w:val="00841C1C"/>
    <w:rsid w:val="00842423"/>
    <w:rsid w:val="00842D5F"/>
    <w:rsid w:val="008477B5"/>
    <w:rsid w:val="0085224F"/>
    <w:rsid w:val="00852A75"/>
    <w:rsid w:val="00853B1B"/>
    <w:rsid w:val="00855217"/>
    <w:rsid w:val="008577D4"/>
    <w:rsid w:val="00860BCB"/>
    <w:rsid w:val="00860DDC"/>
    <w:rsid w:val="00862065"/>
    <w:rsid w:val="00863DAD"/>
    <w:rsid w:val="00863DB6"/>
    <w:rsid w:val="00863FD0"/>
    <w:rsid w:val="008651BA"/>
    <w:rsid w:val="00865A6D"/>
    <w:rsid w:val="00865FC5"/>
    <w:rsid w:val="00867539"/>
    <w:rsid w:val="00870BB3"/>
    <w:rsid w:val="00870FE9"/>
    <w:rsid w:val="00871B0F"/>
    <w:rsid w:val="008720D8"/>
    <w:rsid w:val="0087367F"/>
    <w:rsid w:val="00873A06"/>
    <w:rsid w:val="00874D70"/>
    <w:rsid w:val="00875555"/>
    <w:rsid w:val="00875F47"/>
    <w:rsid w:val="00882331"/>
    <w:rsid w:val="00883E6C"/>
    <w:rsid w:val="00883FAB"/>
    <w:rsid w:val="0088440C"/>
    <w:rsid w:val="00885810"/>
    <w:rsid w:val="008862B5"/>
    <w:rsid w:val="00886462"/>
    <w:rsid w:val="0088721E"/>
    <w:rsid w:val="0088740B"/>
    <w:rsid w:val="00887544"/>
    <w:rsid w:val="00890490"/>
    <w:rsid w:val="008908F5"/>
    <w:rsid w:val="00890A4C"/>
    <w:rsid w:val="00890DDA"/>
    <w:rsid w:val="00891914"/>
    <w:rsid w:val="00892224"/>
    <w:rsid w:val="008937DA"/>
    <w:rsid w:val="008945FD"/>
    <w:rsid w:val="008951AC"/>
    <w:rsid w:val="008961B7"/>
    <w:rsid w:val="0089637A"/>
    <w:rsid w:val="0089677E"/>
    <w:rsid w:val="00896C73"/>
    <w:rsid w:val="008974E7"/>
    <w:rsid w:val="008978CC"/>
    <w:rsid w:val="00897A5B"/>
    <w:rsid w:val="008A027A"/>
    <w:rsid w:val="008A1032"/>
    <w:rsid w:val="008A1053"/>
    <w:rsid w:val="008A2418"/>
    <w:rsid w:val="008A3408"/>
    <w:rsid w:val="008A377A"/>
    <w:rsid w:val="008A6931"/>
    <w:rsid w:val="008B01CC"/>
    <w:rsid w:val="008B1D55"/>
    <w:rsid w:val="008B351C"/>
    <w:rsid w:val="008B5987"/>
    <w:rsid w:val="008B67D7"/>
    <w:rsid w:val="008B6FE5"/>
    <w:rsid w:val="008B76D2"/>
    <w:rsid w:val="008B776F"/>
    <w:rsid w:val="008C04EC"/>
    <w:rsid w:val="008C097F"/>
    <w:rsid w:val="008C1D6B"/>
    <w:rsid w:val="008C2312"/>
    <w:rsid w:val="008C2A3C"/>
    <w:rsid w:val="008C2A46"/>
    <w:rsid w:val="008C2E65"/>
    <w:rsid w:val="008C338C"/>
    <w:rsid w:val="008C34BC"/>
    <w:rsid w:val="008C37C8"/>
    <w:rsid w:val="008C392B"/>
    <w:rsid w:val="008C4474"/>
    <w:rsid w:val="008C4EB9"/>
    <w:rsid w:val="008D0652"/>
    <w:rsid w:val="008D0BF5"/>
    <w:rsid w:val="008D114B"/>
    <w:rsid w:val="008D13CB"/>
    <w:rsid w:val="008D1720"/>
    <w:rsid w:val="008D3E50"/>
    <w:rsid w:val="008D3F22"/>
    <w:rsid w:val="008D5E04"/>
    <w:rsid w:val="008D771D"/>
    <w:rsid w:val="008D7DDB"/>
    <w:rsid w:val="008E0176"/>
    <w:rsid w:val="008E08F8"/>
    <w:rsid w:val="008E1F19"/>
    <w:rsid w:val="008F0973"/>
    <w:rsid w:val="008F11E2"/>
    <w:rsid w:val="008F2097"/>
    <w:rsid w:val="008F3660"/>
    <w:rsid w:val="008F3F09"/>
    <w:rsid w:val="008F5DC5"/>
    <w:rsid w:val="008F60F9"/>
    <w:rsid w:val="008F7B87"/>
    <w:rsid w:val="00901CCF"/>
    <w:rsid w:val="00902C55"/>
    <w:rsid w:val="00905802"/>
    <w:rsid w:val="00906098"/>
    <w:rsid w:val="009066CD"/>
    <w:rsid w:val="0090707A"/>
    <w:rsid w:val="00907206"/>
    <w:rsid w:val="0090744F"/>
    <w:rsid w:val="00907611"/>
    <w:rsid w:val="00907D5A"/>
    <w:rsid w:val="00911C69"/>
    <w:rsid w:val="009129DD"/>
    <w:rsid w:val="00912DEC"/>
    <w:rsid w:val="0091364C"/>
    <w:rsid w:val="009141DC"/>
    <w:rsid w:val="009149A9"/>
    <w:rsid w:val="00914C10"/>
    <w:rsid w:val="00914CB6"/>
    <w:rsid w:val="00915D80"/>
    <w:rsid w:val="00916308"/>
    <w:rsid w:val="00917556"/>
    <w:rsid w:val="009175E5"/>
    <w:rsid w:val="009205BD"/>
    <w:rsid w:val="009209E2"/>
    <w:rsid w:val="00920AD0"/>
    <w:rsid w:val="00920B88"/>
    <w:rsid w:val="00920F16"/>
    <w:rsid w:val="00923923"/>
    <w:rsid w:val="009258F6"/>
    <w:rsid w:val="0092595A"/>
    <w:rsid w:val="00926BBA"/>
    <w:rsid w:val="00927F3E"/>
    <w:rsid w:val="00930562"/>
    <w:rsid w:val="0093084B"/>
    <w:rsid w:val="00930A46"/>
    <w:rsid w:val="00930D8F"/>
    <w:rsid w:val="0093157A"/>
    <w:rsid w:val="009322A7"/>
    <w:rsid w:val="009322EF"/>
    <w:rsid w:val="00933FEE"/>
    <w:rsid w:val="00934A69"/>
    <w:rsid w:val="00934BC8"/>
    <w:rsid w:val="00936722"/>
    <w:rsid w:val="009376A3"/>
    <w:rsid w:val="00937836"/>
    <w:rsid w:val="00937CD1"/>
    <w:rsid w:val="009405F0"/>
    <w:rsid w:val="009410CF"/>
    <w:rsid w:val="00941243"/>
    <w:rsid w:val="0094210A"/>
    <w:rsid w:val="00942356"/>
    <w:rsid w:val="00945087"/>
    <w:rsid w:val="009451C2"/>
    <w:rsid w:val="0094536D"/>
    <w:rsid w:val="00946F8D"/>
    <w:rsid w:val="00947449"/>
    <w:rsid w:val="0095018E"/>
    <w:rsid w:val="0095073A"/>
    <w:rsid w:val="00950C28"/>
    <w:rsid w:val="0095143A"/>
    <w:rsid w:val="0095144D"/>
    <w:rsid w:val="00951A4B"/>
    <w:rsid w:val="00952605"/>
    <w:rsid w:val="009528ED"/>
    <w:rsid w:val="009548FE"/>
    <w:rsid w:val="00954B36"/>
    <w:rsid w:val="009558BD"/>
    <w:rsid w:val="009601E0"/>
    <w:rsid w:val="00961868"/>
    <w:rsid w:val="00964509"/>
    <w:rsid w:val="00965A62"/>
    <w:rsid w:val="00965A8D"/>
    <w:rsid w:val="00966C54"/>
    <w:rsid w:val="0096730B"/>
    <w:rsid w:val="009678FD"/>
    <w:rsid w:val="0097267E"/>
    <w:rsid w:val="00972CB3"/>
    <w:rsid w:val="00975828"/>
    <w:rsid w:val="00975DA4"/>
    <w:rsid w:val="0097649D"/>
    <w:rsid w:val="00976EC3"/>
    <w:rsid w:val="00977588"/>
    <w:rsid w:val="00977987"/>
    <w:rsid w:val="0098287F"/>
    <w:rsid w:val="00982A30"/>
    <w:rsid w:val="00984601"/>
    <w:rsid w:val="00984F86"/>
    <w:rsid w:val="009853EE"/>
    <w:rsid w:val="00986463"/>
    <w:rsid w:val="009866DF"/>
    <w:rsid w:val="009867FF"/>
    <w:rsid w:val="00990627"/>
    <w:rsid w:val="00990A28"/>
    <w:rsid w:val="00990D29"/>
    <w:rsid w:val="009916C7"/>
    <w:rsid w:val="00991817"/>
    <w:rsid w:val="00991914"/>
    <w:rsid w:val="00992276"/>
    <w:rsid w:val="009922CD"/>
    <w:rsid w:val="009944E0"/>
    <w:rsid w:val="009965A7"/>
    <w:rsid w:val="009A0A5F"/>
    <w:rsid w:val="009A14E1"/>
    <w:rsid w:val="009A1567"/>
    <w:rsid w:val="009A32F5"/>
    <w:rsid w:val="009A4397"/>
    <w:rsid w:val="009A4B80"/>
    <w:rsid w:val="009A4E3E"/>
    <w:rsid w:val="009A5462"/>
    <w:rsid w:val="009A58EC"/>
    <w:rsid w:val="009A5BBB"/>
    <w:rsid w:val="009A6C21"/>
    <w:rsid w:val="009A70F0"/>
    <w:rsid w:val="009A7DF7"/>
    <w:rsid w:val="009B0310"/>
    <w:rsid w:val="009B09C6"/>
    <w:rsid w:val="009B1358"/>
    <w:rsid w:val="009B13D3"/>
    <w:rsid w:val="009B1ACA"/>
    <w:rsid w:val="009B3566"/>
    <w:rsid w:val="009B4A2A"/>
    <w:rsid w:val="009B5780"/>
    <w:rsid w:val="009B6776"/>
    <w:rsid w:val="009C06D7"/>
    <w:rsid w:val="009C071C"/>
    <w:rsid w:val="009C08A0"/>
    <w:rsid w:val="009C0A02"/>
    <w:rsid w:val="009C11F4"/>
    <w:rsid w:val="009C2FC2"/>
    <w:rsid w:val="009C34FE"/>
    <w:rsid w:val="009C3782"/>
    <w:rsid w:val="009C3BD8"/>
    <w:rsid w:val="009C4B02"/>
    <w:rsid w:val="009D0B61"/>
    <w:rsid w:val="009D1313"/>
    <w:rsid w:val="009D14AA"/>
    <w:rsid w:val="009D182C"/>
    <w:rsid w:val="009D1B2E"/>
    <w:rsid w:val="009D21C8"/>
    <w:rsid w:val="009D2960"/>
    <w:rsid w:val="009D4ED5"/>
    <w:rsid w:val="009D5869"/>
    <w:rsid w:val="009D6BC0"/>
    <w:rsid w:val="009D6D9F"/>
    <w:rsid w:val="009D7CE9"/>
    <w:rsid w:val="009E031E"/>
    <w:rsid w:val="009E1DFA"/>
    <w:rsid w:val="009E40DD"/>
    <w:rsid w:val="009E56B5"/>
    <w:rsid w:val="009E585B"/>
    <w:rsid w:val="009E6B18"/>
    <w:rsid w:val="009E6BFC"/>
    <w:rsid w:val="009E74C5"/>
    <w:rsid w:val="009E776F"/>
    <w:rsid w:val="009F0482"/>
    <w:rsid w:val="009F0C2E"/>
    <w:rsid w:val="009F0DB1"/>
    <w:rsid w:val="009F185E"/>
    <w:rsid w:val="009F2104"/>
    <w:rsid w:val="009F2584"/>
    <w:rsid w:val="009F2800"/>
    <w:rsid w:val="009F29AD"/>
    <w:rsid w:val="009F31A1"/>
    <w:rsid w:val="009F32DB"/>
    <w:rsid w:val="009F378B"/>
    <w:rsid w:val="009F5983"/>
    <w:rsid w:val="009F6808"/>
    <w:rsid w:val="009F703D"/>
    <w:rsid w:val="00A00717"/>
    <w:rsid w:val="00A00951"/>
    <w:rsid w:val="00A012FF"/>
    <w:rsid w:val="00A01679"/>
    <w:rsid w:val="00A034E8"/>
    <w:rsid w:val="00A03655"/>
    <w:rsid w:val="00A03BF8"/>
    <w:rsid w:val="00A04DC3"/>
    <w:rsid w:val="00A056EE"/>
    <w:rsid w:val="00A066EA"/>
    <w:rsid w:val="00A06CEB"/>
    <w:rsid w:val="00A07920"/>
    <w:rsid w:val="00A1290A"/>
    <w:rsid w:val="00A1300D"/>
    <w:rsid w:val="00A145FC"/>
    <w:rsid w:val="00A1618F"/>
    <w:rsid w:val="00A17418"/>
    <w:rsid w:val="00A202B2"/>
    <w:rsid w:val="00A209E3"/>
    <w:rsid w:val="00A21B6A"/>
    <w:rsid w:val="00A22797"/>
    <w:rsid w:val="00A2594E"/>
    <w:rsid w:val="00A2673F"/>
    <w:rsid w:val="00A30F8F"/>
    <w:rsid w:val="00A32C0E"/>
    <w:rsid w:val="00A32EFD"/>
    <w:rsid w:val="00A3358B"/>
    <w:rsid w:val="00A35F40"/>
    <w:rsid w:val="00A36004"/>
    <w:rsid w:val="00A40524"/>
    <w:rsid w:val="00A409A4"/>
    <w:rsid w:val="00A4131F"/>
    <w:rsid w:val="00A45004"/>
    <w:rsid w:val="00A45711"/>
    <w:rsid w:val="00A46853"/>
    <w:rsid w:val="00A46AEC"/>
    <w:rsid w:val="00A46EF7"/>
    <w:rsid w:val="00A47342"/>
    <w:rsid w:val="00A5003A"/>
    <w:rsid w:val="00A517B9"/>
    <w:rsid w:val="00A5278B"/>
    <w:rsid w:val="00A529C0"/>
    <w:rsid w:val="00A52E90"/>
    <w:rsid w:val="00A53896"/>
    <w:rsid w:val="00A53900"/>
    <w:rsid w:val="00A546F2"/>
    <w:rsid w:val="00A5500C"/>
    <w:rsid w:val="00A55C44"/>
    <w:rsid w:val="00A55D15"/>
    <w:rsid w:val="00A56C27"/>
    <w:rsid w:val="00A56DA2"/>
    <w:rsid w:val="00A60D25"/>
    <w:rsid w:val="00A64632"/>
    <w:rsid w:val="00A6575E"/>
    <w:rsid w:val="00A65E12"/>
    <w:rsid w:val="00A66021"/>
    <w:rsid w:val="00A66A79"/>
    <w:rsid w:val="00A66FC6"/>
    <w:rsid w:val="00A67467"/>
    <w:rsid w:val="00A7088F"/>
    <w:rsid w:val="00A7196F"/>
    <w:rsid w:val="00A71D48"/>
    <w:rsid w:val="00A72CDF"/>
    <w:rsid w:val="00A73361"/>
    <w:rsid w:val="00A73F02"/>
    <w:rsid w:val="00A74B2E"/>
    <w:rsid w:val="00A758F4"/>
    <w:rsid w:val="00A76A82"/>
    <w:rsid w:val="00A77BB3"/>
    <w:rsid w:val="00A81F6C"/>
    <w:rsid w:val="00A8371B"/>
    <w:rsid w:val="00A83E3B"/>
    <w:rsid w:val="00A84F59"/>
    <w:rsid w:val="00A877AD"/>
    <w:rsid w:val="00A9411B"/>
    <w:rsid w:val="00A943CA"/>
    <w:rsid w:val="00A94A12"/>
    <w:rsid w:val="00A955B9"/>
    <w:rsid w:val="00A95ABA"/>
    <w:rsid w:val="00A9668B"/>
    <w:rsid w:val="00AA0E28"/>
    <w:rsid w:val="00AA118E"/>
    <w:rsid w:val="00AA1FDC"/>
    <w:rsid w:val="00AA347C"/>
    <w:rsid w:val="00AA51FF"/>
    <w:rsid w:val="00AA63E7"/>
    <w:rsid w:val="00AA66A4"/>
    <w:rsid w:val="00AA6CAA"/>
    <w:rsid w:val="00AA6DB0"/>
    <w:rsid w:val="00AA7061"/>
    <w:rsid w:val="00AB0A4C"/>
    <w:rsid w:val="00AB1AA8"/>
    <w:rsid w:val="00AB3041"/>
    <w:rsid w:val="00AB3BDD"/>
    <w:rsid w:val="00AB3D2E"/>
    <w:rsid w:val="00AB4415"/>
    <w:rsid w:val="00AB46FD"/>
    <w:rsid w:val="00AB4FB6"/>
    <w:rsid w:val="00AB54F9"/>
    <w:rsid w:val="00AB694F"/>
    <w:rsid w:val="00AB6C79"/>
    <w:rsid w:val="00AB7905"/>
    <w:rsid w:val="00AB7B74"/>
    <w:rsid w:val="00AC0346"/>
    <w:rsid w:val="00AC078F"/>
    <w:rsid w:val="00AC1068"/>
    <w:rsid w:val="00AC1D75"/>
    <w:rsid w:val="00AC298F"/>
    <w:rsid w:val="00AC2E7C"/>
    <w:rsid w:val="00AC3ADB"/>
    <w:rsid w:val="00AC4054"/>
    <w:rsid w:val="00AC6612"/>
    <w:rsid w:val="00AC777E"/>
    <w:rsid w:val="00AC7CEC"/>
    <w:rsid w:val="00AD067A"/>
    <w:rsid w:val="00AD0EAF"/>
    <w:rsid w:val="00AD1007"/>
    <w:rsid w:val="00AD3AD2"/>
    <w:rsid w:val="00AD3B27"/>
    <w:rsid w:val="00AD450B"/>
    <w:rsid w:val="00AD5870"/>
    <w:rsid w:val="00AD5C4D"/>
    <w:rsid w:val="00AD5D06"/>
    <w:rsid w:val="00AD5E53"/>
    <w:rsid w:val="00AD6DC2"/>
    <w:rsid w:val="00AD7175"/>
    <w:rsid w:val="00AD7394"/>
    <w:rsid w:val="00AD7F81"/>
    <w:rsid w:val="00AE02C3"/>
    <w:rsid w:val="00AE09B8"/>
    <w:rsid w:val="00AE35E2"/>
    <w:rsid w:val="00AE407C"/>
    <w:rsid w:val="00AE40AD"/>
    <w:rsid w:val="00AE4B00"/>
    <w:rsid w:val="00AE5259"/>
    <w:rsid w:val="00AE559B"/>
    <w:rsid w:val="00AE5BDE"/>
    <w:rsid w:val="00AE61A5"/>
    <w:rsid w:val="00AE6B15"/>
    <w:rsid w:val="00AE7150"/>
    <w:rsid w:val="00AF0B6C"/>
    <w:rsid w:val="00AF1245"/>
    <w:rsid w:val="00AF153D"/>
    <w:rsid w:val="00AF15AB"/>
    <w:rsid w:val="00AF2763"/>
    <w:rsid w:val="00AF4737"/>
    <w:rsid w:val="00AF5E03"/>
    <w:rsid w:val="00AF7161"/>
    <w:rsid w:val="00B000FF"/>
    <w:rsid w:val="00B00A87"/>
    <w:rsid w:val="00B0245D"/>
    <w:rsid w:val="00B02A63"/>
    <w:rsid w:val="00B0328B"/>
    <w:rsid w:val="00B03A54"/>
    <w:rsid w:val="00B03E26"/>
    <w:rsid w:val="00B0435F"/>
    <w:rsid w:val="00B04CE3"/>
    <w:rsid w:val="00B0583F"/>
    <w:rsid w:val="00B0669C"/>
    <w:rsid w:val="00B06B06"/>
    <w:rsid w:val="00B07121"/>
    <w:rsid w:val="00B0728F"/>
    <w:rsid w:val="00B101F6"/>
    <w:rsid w:val="00B11C68"/>
    <w:rsid w:val="00B11E69"/>
    <w:rsid w:val="00B1230F"/>
    <w:rsid w:val="00B12E1D"/>
    <w:rsid w:val="00B133A1"/>
    <w:rsid w:val="00B14565"/>
    <w:rsid w:val="00B15AE4"/>
    <w:rsid w:val="00B165E3"/>
    <w:rsid w:val="00B1664E"/>
    <w:rsid w:val="00B17419"/>
    <w:rsid w:val="00B222C9"/>
    <w:rsid w:val="00B24207"/>
    <w:rsid w:val="00B24A9B"/>
    <w:rsid w:val="00B25CD2"/>
    <w:rsid w:val="00B2695D"/>
    <w:rsid w:val="00B308A3"/>
    <w:rsid w:val="00B31078"/>
    <w:rsid w:val="00B3268E"/>
    <w:rsid w:val="00B32F20"/>
    <w:rsid w:val="00B33815"/>
    <w:rsid w:val="00B33D16"/>
    <w:rsid w:val="00B341C1"/>
    <w:rsid w:val="00B3460C"/>
    <w:rsid w:val="00B347DC"/>
    <w:rsid w:val="00B35E7F"/>
    <w:rsid w:val="00B36160"/>
    <w:rsid w:val="00B36561"/>
    <w:rsid w:val="00B400EA"/>
    <w:rsid w:val="00B40306"/>
    <w:rsid w:val="00B41904"/>
    <w:rsid w:val="00B423C8"/>
    <w:rsid w:val="00B43416"/>
    <w:rsid w:val="00B438AE"/>
    <w:rsid w:val="00B448A6"/>
    <w:rsid w:val="00B46129"/>
    <w:rsid w:val="00B46ADD"/>
    <w:rsid w:val="00B50649"/>
    <w:rsid w:val="00B50F48"/>
    <w:rsid w:val="00B52694"/>
    <w:rsid w:val="00B52B03"/>
    <w:rsid w:val="00B52E7C"/>
    <w:rsid w:val="00B535E8"/>
    <w:rsid w:val="00B5470E"/>
    <w:rsid w:val="00B57631"/>
    <w:rsid w:val="00B615CB"/>
    <w:rsid w:val="00B630CF"/>
    <w:rsid w:val="00B6328F"/>
    <w:rsid w:val="00B63F49"/>
    <w:rsid w:val="00B65358"/>
    <w:rsid w:val="00B65ACE"/>
    <w:rsid w:val="00B65C97"/>
    <w:rsid w:val="00B65EC2"/>
    <w:rsid w:val="00B6616F"/>
    <w:rsid w:val="00B66FE1"/>
    <w:rsid w:val="00B7007B"/>
    <w:rsid w:val="00B7023D"/>
    <w:rsid w:val="00B708B1"/>
    <w:rsid w:val="00B7110D"/>
    <w:rsid w:val="00B711FB"/>
    <w:rsid w:val="00B72BAD"/>
    <w:rsid w:val="00B73982"/>
    <w:rsid w:val="00B73ECE"/>
    <w:rsid w:val="00B74DFB"/>
    <w:rsid w:val="00B756C9"/>
    <w:rsid w:val="00B75D74"/>
    <w:rsid w:val="00B77029"/>
    <w:rsid w:val="00B77183"/>
    <w:rsid w:val="00B77A25"/>
    <w:rsid w:val="00B80616"/>
    <w:rsid w:val="00B815A9"/>
    <w:rsid w:val="00B817E0"/>
    <w:rsid w:val="00B818C8"/>
    <w:rsid w:val="00B82738"/>
    <w:rsid w:val="00B83416"/>
    <w:rsid w:val="00B83E47"/>
    <w:rsid w:val="00B843CD"/>
    <w:rsid w:val="00B84AE8"/>
    <w:rsid w:val="00B86B09"/>
    <w:rsid w:val="00B86B3C"/>
    <w:rsid w:val="00B86B7A"/>
    <w:rsid w:val="00B86FC6"/>
    <w:rsid w:val="00B87418"/>
    <w:rsid w:val="00B876EF"/>
    <w:rsid w:val="00B90BF3"/>
    <w:rsid w:val="00B92014"/>
    <w:rsid w:val="00B9360B"/>
    <w:rsid w:val="00B94616"/>
    <w:rsid w:val="00B951EF"/>
    <w:rsid w:val="00B96979"/>
    <w:rsid w:val="00B97946"/>
    <w:rsid w:val="00BA0E76"/>
    <w:rsid w:val="00BA19EC"/>
    <w:rsid w:val="00BA1E39"/>
    <w:rsid w:val="00BA2225"/>
    <w:rsid w:val="00BA30A1"/>
    <w:rsid w:val="00BA39C4"/>
    <w:rsid w:val="00BA3BB4"/>
    <w:rsid w:val="00BA474B"/>
    <w:rsid w:val="00BA510E"/>
    <w:rsid w:val="00BB1709"/>
    <w:rsid w:val="00BB3926"/>
    <w:rsid w:val="00BB3AEE"/>
    <w:rsid w:val="00BB6334"/>
    <w:rsid w:val="00BC2097"/>
    <w:rsid w:val="00BC2AA4"/>
    <w:rsid w:val="00BC375A"/>
    <w:rsid w:val="00BC47E4"/>
    <w:rsid w:val="00BC55A1"/>
    <w:rsid w:val="00BC618A"/>
    <w:rsid w:val="00BD25BF"/>
    <w:rsid w:val="00BD32FA"/>
    <w:rsid w:val="00BD5667"/>
    <w:rsid w:val="00BD66C1"/>
    <w:rsid w:val="00BD6D7C"/>
    <w:rsid w:val="00BD7083"/>
    <w:rsid w:val="00BE0054"/>
    <w:rsid w:val="00BE0F2C"/>
    <w:rsid w:val="00BE0F82"/>
    <w:rsid w:val="00BE11C4"/>
    <w:rsid w:val="00BE1CB8"/>
    <w:rsid w:val="00BE1DE5"/>
    <w:rsid w:val="00BE2061"/>
    <w:rsid w:val="00BE309E"/>
    <w:rsid w:val="00BE3476"/>
    <w:rsid w:val="00BE3942"/>
    <w:rsid w:val="00BE41DE"/>
    <w:rsid w:val="00BE51FD"/>
    <w:rsid w:val="00BE5796"/>
    <w:rsid w:val="00BE5D49"/>
    <w:rsid w:val="00BE79B4"/>
    <w:rsid w:val="00BF0691"/>
    <w:rsid w:val="00BF0778"/>
    <w:rsid w:val="00BF13A5"/>
    <w:rsid w:val="00BF1988"/>
    <w:rsid w:val="00BF1DA5"/>
    <w:rsid w:val="00BF243B"/>
    <w:rsid w:val="00BF2441"/>
    <w:rsid w:val="00BF2689"/>
    <w:rsid w:val="00BF283C"/>
    <w:rsid w:val="00BF2914"/>
    <w:rsid w:val="00BF294F"/>
    <w:rsid w:val="00BF3213"/>
    <w:rsid w:val="00BF35ED"/>
    <w:rsid w:val="00BF3F63"/>
    <w:rsid w:val="00BF44BF"/>
    <w:rsid w:val="00BF5896"/>
    <w:rsid w:val="00BF760E"/>
    <w:rsid w:val="00C00872"/>
    <w:rsid w:val="00C02243"/>
    <w:rsid w:val="00C03A5A"/>
    <w:rsid w:val="00C0489E"/>
    <w:rsid w:val="00C04C66"/>
    <w:rsid w:val="00C04E48"/>
    <w:rsid w:val="00C05EBE"/>
    <w:rsid w:val="00C06F93"/>
    <w:rsid w:val="00C07061"/>
    <w:rsid w:val="00C0725D"/>
    <w:rsid w:val="00C10437"/>
    <w:rsid w:val="00C107BE"/>
    <w:rsid w:val="00C10B14"/>
    <w:rsid w:val="00C116D2"/>
    <w:rsid w:val="00C11A77"/>
    <w:rsid w:val="00C126FA"/>
    <w:rsid w:val="00C12952"/>
    <w:rsid w:val="00C136F1"/>
    <w:rsid w:val="00C14230"/>
    <w:rsid w:val="00C1600D"/>
    <w:rsid w:val="00C1633A"/>
    <w:rsid w:val="00C167AC"/>
    <w:rsid w:val="00C20CD5"/>
    <w:rsid w:val="00C220E7"/>
    <w:rsid w:val="00C22229"/>
    <w:rsid w:val="00C22776"/>
    <w:rsid w:val="00C2476B"/>
    <w:rsid w:val="00C250DA"/>
    <w:rsid w:val="00C25E5D"/>
    <w:rsid w:val="00C273FF"/>
    <w:rsid w:val="00C3000A"/>
    <w:rsid w:val="00C30101"/>
    <w:rsid w:val="00C32997"/>
    <w:rsid w:val="00C32D3F"/>
    <w:rsid w:val="00C3386A"/>
    <w:rsid w:val="00C34E17"/>
    <w:rsid w:val="00C35333"/>
    <w:rsid w:val="00C374B1"/>
    <w:rsid w:val="00C40CEC"/>
    <w:rsid w:val="00C419D6"/>
    <w:rsid w:val="00C424C7"/>
    <w:rsid w:val="00C42C0F"/>
    <w:rsid w:val="00C43038"/>
    <w:rsid w:val="00C430E3"/>
    <w:rsid w:val="00C43613"/>
    <w:rsid w:val="00C45F57"/>
    <w:rsid w:val="00C46500"/>
    <w:rsid w:val="00C50250"/>
    <w:rsid w:val="00C50F3C"/>
    <w:rsid w:val="00C51EDF"/>
    <w:rsid w:val="00C5250C"/>
    <w:rsid w:val="00C559EA"/>
    <w:rsid w:val="00C55A7D"/>
    <w:rsid w:val="00C56936"/>
    <w:rsid w:val="00C60269"/>
    <w:rsid w:val="00C62C80"/>
    <w:rsid w:val="00C62CB0"/>
    <w:rsid w:val="00C635AC"/>
    <w:rsid w:val="00C63ECE"/>
    <w:rsid w:val="00C64F66"/>
    <w:rsid w:val="00C671F1"/>
    <w:rsid w:val="00C700AE"/>
    <w:rsid w:val="00C72DC4"/>
    <w:rsid w:val="00C72E1E"/>
    <w:rsid w:val="00C747F3"/>
    <w:rsid w:val="00C74B7D"/>
    <w:rsid w:val="00C7516B"/>
    <w:rsid w:val="00C75296"/>
    <w:rsid w:val="00C75E32"/>
    <w:rsid w:val="00C764DA"/>
    <w:rsid w:val="00C767EA"/>
    <w:rsid w:val="00C80AF5"/>
    <w:rsid w:val="00C80E64"/>
    <w:rsid w:val="00C8145D"/>
    <w:rsid w:val="00C81DFC"/>
    <w:rsid w:val="00C854EB"/>
    <w:rsid w:val="00C8592B"/>
    <w:rsid w:val="00C85EA8"/>
    <w:rsid w:val="00C86BD4"/>
    <w:rsid w:val="00C90C05"/>
    <w:rsid w:val="00C90E5D"/>
    <w:rsid w:val="00C94DF9"/>
    <w:rsid w:val="00C96E35"/>
    <w:rsid w:val="00CA020E"/>
    <w:rsid w:val="00CA0B79"/>
    <w:rsid w:val="00CA19A4"/>
    <w:rsid w:val="00CA200B"/>
    <w:rsid w:val="00CA279F"/>
    <w:rsid w:val="00CA2FF1"/>
    <w:rsid w:val="00CA3DA2"/>
    <w:rsid w:val="00CA652B"/>
    <w:rsid w:val="00CA6FFD"/>
    <w:rsid w:val="00CA7199"/>
    <w:rsid w:val="00CA7AE0"/>
    <w:rsid w:val="00CB001B"/>
    <w:rsid w:val="00CB1DBD"/>
    <w:rsid w:val="00CB2BAE"/>
    <w:rsid w:val="00CB303B"/>
    <w:rsid w:val="00CB481B"/>
    <w:rsid w:val="00CB6913"/>
    <w:rsid w:val="00CB6EAC"/>
    <w:rsid w:val="00CB6F73"/>
    <w:rsid w:val="00CB732D"/>
    <w:rsid w:val="00CB7F74"/>
    <w:rsid w:val="00CC14C1"/>
    <w:rsid w:val="00CC157B"/>
    <w:rsid w:val="00CC172B"/>
    <w:rsid w:val="00CC206B"/>
    <w:rsid w:val="00CC25EB"/>
    <w:rsid w:val="00CC3232"/>
    <w:rsid w:val="00CC3309"/>
    <w:rsid w:val="00CC4269"/>
    <w:rsid w:val="00CC4E3C"/>
    <w:rsid w:val="00CC4E5C"/>
    <w:rsid w:val="00CC5A84"/>
    <w:rsid w:val="00CC5EE7"/>
    <w:rsid w:val="00CC70DC"/>
    <w:rsid w:val="00CC7CE2"/>
    <w:rsid w:val="00CD1819"/>
    <w:rsid w:val="00CD2896"/>
    <w:rsid w:val="00CD2CCE"/>
    <w:rsid w:val="00CD40C4"/>
    <w:rsid w:val="00CD44D2"/>
    <w:rsid w:val="00CD55E5"/>
    <w:rsid w:val="00CD5625"/>
    <w:rsid w:val="00CD57D3"/>
    <w:rsid w:val="00CD6149"/>
    <w:rsid w:val="00CD69B2"/>
    <w:rsid w:val="00CD6FD1"/>
    <w:rsid w:val="00CD7D98"/>
    <w:rsid w:val="00CE06EC"/>
    <w:rsid w:val="00CE19AF"/>
    <w:rsid w:val="00CE1D8D"/>
    <w:rsid w:val="00CE2754"/>
    <w:rsid w:val="00CE3598"/>
    <w:rsid w:val="00CE48DD"/>
    <w:rsid w:val="00CE4A50"/>
    <w:rsid w:val="00CE64BC"/>
    <w:rsid w:val="00CE6A45"/>
    <w:rsid w:val="00CF1C30"/>
    <w:rsid w:val="00CF230E"/>
    <w:rsid w:val="00CF23E3"/>
    <w:rsid w:val="00CF328E"/>
    <w:rsid w:val="00CF380C"/>
    <w:rsid w:val="00CF3CDC"/>
    <w:rsid w:val="00CF5B85"/>
    <w:rsid w:val="00CF6310"/>
    <w:rsid w:val="00CF6CE9"/>
    <w:rsid w:val="00CF7CD6"/>
    <w:rsid w:val="00D00C66"/>
    <w:rsid w:val="00D01253"/>
    <w:rsid w:val="00D01398"/>
    <w:rsid w:val="00D03463"/>
    <w:rsid w:val="00D03688"/>
    <w:rsid w:val="00D0500C"/>
    <w:rsid w:val="00D056BF"/>
    <w:rsid w:val="00D067E5"/>
    <w:rsid w:val="00D06DA1"/>
    <w:rsid w:val="00D101B1"/>
    <w:rsid w:val="00D102B9"/>
    <w:rsid w:val="00D14E9B"/>
    <w:rsid w:val="00D1584D"/>
    <w:rsid w:val="00D15B80"/>
    <w:rsid w:val="00D16651"/>
    <w:rsid w:val="00D20263"/>
    <w:rsid w:val="00D21F09"/>
    <w:rsid w:val="00D23044"/>
    <w:rsid w:val="00D238E8"/>
    <w:rsid w:val="00D2444C"/>
    <w:rsid w:val="00D24A23"/>
    <w:rsid w:val="00D25CA2"/>
    <w:rsid w:val="00D2737B"/>
    <w:rsid w:val="00D27A78"/>
    <w:rsid w:val="00D32625"/>
    <w:rsid w:val="00D3579F"/>
    <w:rsid w:val="00D363F6"/>
    <w:rsid w:val="00D36DD6"/>
    <w:rsid w:val="00D37B8E"/>
    <w:rsid w:val="00D400B5"/>
    <w:rsid w:val="00D4118C"/>
    <w:rsid w:val="00D41FA1"/>
    <w:rsid w:val="00D42C43"/>
    <w:rsid w:val="00D42E80"/>
    <w:rsid w:val="00D43C91"/>
    <w:rsid w:val="00D44FF9"/>
    <w:rsid w:val="00D45775"/>
    <w:rsid w:val="00D46228"/>
    <w:rsid w:val="00D4654C"/>
    <w:rsid w:val="00D46AC3"/>
    <w:rsid w:val="00D46CB0"/>
    <w:rsid w:val="00D46DF1"/>
    <w:rsid w:val="00D51C9A"/>
    <w:rsid w:val="00D541DC"/>
    <w:rsid w:val="00D56733"/>
    <w:rsid w:val="00D56AFD"/>
    <w:rsid w:val="00D6227C"/>
    <w:rsid w:val="00D62402"/>
    <w:rsid w:val="00D63859"/>
    <w:rsid w:val="00D63C60"/>
    <w:rsid w:val="00D63FF1"/>
    <w:rsid w:val="00D64231"/>
    <w:rsid w:val="00D64683"/>
    <w:rsid w:val="00D651DD"/>
    <w:rsid w:val="00D66ACF"/>
    <w:rsid w:val="00D70984"/>
    <w:rsid w:val="00D70BC5"/>
    <w:rsid w:val="00D70F0D"/>
    <w:rsid w:val="00D71800"/>
    <w:rsid w:val="00D726B6"/>
    <w:rsid w:val="00D74E34"/>
    <w:rsid w:val="00D74FDA"/>
    <w:rsid w:val="00D7649C"/>
    <w:rsid w:val="00D77749"/>
    <w:rsid w:val="00D82AD9"/>
    <w:rsid w:val="00D83165"/>
    <w:rsid w:val="00D8376F"/>
    <w:rsid w:val="00D87E6F"/>
    <w:rsid w:val="00D9275B"/>
    <w:rsid w:val="00D9279B"/>
    <w:rsid w:val="00D92838"/>
    <w:rsid w:val="00D928EF"/>
    <w:rsid w:val="00D92A8A"/>
    <w:rsid w:val="00D9387B"/>
    <w:rsid w:val="00D94630"/>
    <w:rsid w:val="00D94BD4"/>
    <w:rsid w:val="00D94E6E"/>
    <w:rsid w:val="00D96227"/>
    <w:rsid w:val="00D9633C"/>
    <w:rsid w:val="00D96679"/>
    <w:rsid w:val="00D97347"/>
    <w:rsid w:val="00D97BD6"/>
    <w:rsid w:val="00DA099D"/>
    <w:rsid w:val="00DA19BC"/>
    <w:rsid w:val="00DA4A55"/>
    <w:rsid w:val="00DA4AE2"/>
    <w:rsid w:val="00DA5380"/>
    <w:rsid w:val="00DA5895"/>
    <w:rsid w:val="00DA6A25"/>
    <w:rsid w:val="00DA6ACF"/>
    <w:rsid w:val="00DA79F6"/>
    <w:rsid w:val="00DB11F4"/>
    <w:rsid w:val="00DB2FF3"/>
    <w:rsid w:val="00DB4784"/>
    <w:rsid w:val="00DB5B36"/>
    <w:rsid w:val="00DB6685"/>
    <w:rsid w:val="00DB6850"/>
    <w:rsid w:val="00DB69D4"/>
    <w:rsid w:val="00DB6C15"/>
    <w:rsid w:val="00DB74DE"/>
    <w:rsid w:val="00DC1C82"/>
    <w:rsid w:val="00DC1CA3"/>
    <w:rsid w:val="00DC224F"/>
    <w:rsid w:val="00DC25CB"/>
    <w:rsid w:val="00DC393D"/>
    <w:rsid w:val="00DC511E"/>
    <w:rsid w:val="00DC5DD9"/>
    <w:rsid w:val="00DC6149"/>
    <w:rsid w:val="00DD091C"/>
    <w:rsid w:val="00DD1D9A"/>
    <w:rsid w:val="00DD26B1"/>
    <w:rsid w:val="00DD427D"/>
    <w:rsid w:val="00DD4B99"/>
    <w:rsid w:val="00DD4C82"/>
    <w:rsid w:val="00DD4E68"/>
    <w:rsid w:val="00DD559D"/>
    <w:rsid w:val="00DD5786"/>
    <w:rsid w:val="00DD66B5"/>
    <w:rsid w:val="00DD6DC9"/>
    <w:rsid w:val="00DE3DFD"/>
    <w:rsid w:val="00DE4511"/>
    <w:rsid w:val="00DE584B"/>
    <w:rsid w:val="00DE6F54"/>
    <w:rsid w:val="00DE794D"/>
    <w:rsid w:val="00DE7C24"/>
    <w:rsid w:val="00DF02D6"/>
    <w:rsid w:val="00DF102A"/>
    <w:rsid w:val="00DF2846"/>
    <w:rsid w:val="00DF2D6D"/>
    <w:rsid w:val="00DF2E49"/>
    <w:rsid w:val="00DF4116"/>
    <w:rsid w:val="00DF5D49"/>
    <w:rsid w:val="00DF6A98"/>
    <w:rsid w:val="00E004C0"/>
    <w:rsid w:val="00E032D8"/>
    <w:rsid w:val="00E0344B"/>
    <w:rsid w:val="00E0405E"/>
    <w:rsid w:val="00E05182"/>
    <w:rsid w:val="00E0520E"/>
    <w:rsid w:val="00E054BB"/>
    <w:rsid w:val="00E05DE6"/>
    <w:rsid w:val="00E06CC8"/>
    <w:rsid w:val="00E107B3"/>
    <w:rsid w:val="00E10F19"/>
    <w:rsid w:val="00E114DC"/>
    <w:rsid w:val="00E1181B"/>
    <w:rsid w:val="00E11E49"/>
    <w:rsid w:val="00E1374D"/>
    <w:rsid w:val="00E14272"/>
    <w:rsid w:val="00E1457C"/>
    <w:rsid w:val="00E14D21"/>
    <w:rsid w:val="00E15791"/>
    <w:rsid w:val="00E15BB6"/>
    <w:rsid w:val="00E1750C"/>
    <w:rsid w:val="00E200B1"/>
    <w:rsid w:val="00E20784"/>
    <w:rsid w:val="00E20CA3"/>
    <w:rsid w:val="00E23D18"/>
    <w:rsid w:val="00E240A5"/>
    <w:rsid w:val="00E243BB"/>
    <w:rsid w:val="00E245B2"/>
    <w:rsid w:val="00E247F0"/>
    <w:rsid w:val="00E24943"/>
    <w:rsid w:val="00E24E94"/>
    <w:rsid w:val="00E25817"/>
    <w:rsid w:val="00E25A3C"/>
    <w:rsid w:val="00E25E6E"/>
    <w:rsid w:val="00E26336"/>
    <w:rsid w:val="00E266D4"/>
    <w:rsid w:val="00E307AD"/>
    <w:rsid w:val="00E308A5"/>
    <w:rsid w:val="00E3091B"/>
    <w:rsid w:val="00E3153D"/>
    <w:rsid w:val="00E3342E"/>
    <w:rsid w:val="00E33972"/>
    <w:rsid w:val="00E3482E"/>
    <w:rsid w:val="00E36492"/>
    <w:rsid w:val="00E3722F"/>
    <w:rsid w:val="00E37966"/>
    <w:rsid w:val="00E37B70"/>
    <w:rsid w:val="00E4194D"/>
    <w:rsid w:val="00E43F01"/>
    <w:rsid w:val="00E449A7"/>
    <w:rsid w:val="00E45DEC"/>
    <w:rsid w:val="00E465EC"/>
    <w:rsid w:val="00E46B33"/>
    <w:rsid w:val="00E47C11"/>
    <w:rsid w:val="00E515EB"/>
    <w:rsid w:val="00E523EB"/>
    <w:rsid w:val="00E530DB"/>
    <w:rsid w:val="00E56A92"/>
    <w:rsid w:val="00E617CE"/>
    <w:rsid w:val="00E62F3C"/>
    <w:rsid w:val="00E63478"/>
    <w:rsid w:val="00E63B87"/>
    <w:rsid w:val="00E63CFB"/>
    <w:rsid w:val="00E63EA7"/>
    <w:rsid w:val="00E644E0"/>
    <w:rsid w:val="00E65E72"/>
    <w:rsid w:val="00E6627D"/>
    <w:rsid w:val="00E665AA"/>
    <w:rsid w:val="00E6763A"/>
    <w:rsid w:val="00E679D7"/>
    <w:rsid w:val="00E701BC"/>
    <w:rsid w:val="00E70F72"/>
    <w:rsid w:val="00E72CE8"/>
    <w:rsid w:val="00E752A8"/>
    <w:rsid w:val="00E7671D"/>
    <w:rsid w:val="00E76C6F"/>
    <w:rsid w:val="00E77246"/>
    <w:rsid w:val="00E80091"/>
    <w:rsid w:val="00E80344"/>
    <w:rsid w:val="00E80B46"/>
    <w:rsid w:val="00E80CCF"/>
    <w:rsid w:val="00E818AD"/>
    <w:rsid w:val="00E81ABF"/>
    <w:rsid w:val="00E81F1F"/>
    <w:rsid w:val="00E820BA"/>
    <w:rsid w:val="00E83763"/>
    <w:rsid w:val="00E848FF"/>
    <w:rsid w:val="00E84974"/>
    <w:rsid w:val="00E84F24"/>
    <w:rsid w:val="00E85EB4"/>
    <w:rsid w:val="00E87817"/>
    <w:rsid w:val="00E8794D"/>
    <w:rsid w:val="00E87CF1"/>
    <w:rsid w:val="00E917E6"/>
    <w:rsid w:val="00E92021"/>
    <w:rsid w:val="00E92213"/>
    <w:rsid w:val="00E92980"/>
    <w:rsid w:val="00E933F2"/>
    <w:rsid w:val="00E93838"/>
    <w:rsid w:val="00E941E8"/>
    <w:rsid w:val="00E96D6B"/>
    <w:rsid w:val="00E97229"/>
    <w:rsid w:val="00EA1510"/>
    <w:rsid w:val="00EA21C9"/>
    <w:rsid w:val="00EA3FCF"/>
    <w:rsid w:val="00EA4294"/>
    <w:rsid w:val="00EA42E9"/>
    <w:rsid w:val="00EA499B"/>
    <w:rsid w:val="00EA4F20"/>
    <w:rsid w:val="00EA5ACC"/>
    <w:rsid w:val="00EA6050"/>
    <w:rsid w:val="00EA6552"/>
    <w:rsid w:val="00EA73DB"/>
    <w:rsid w:val="00EA77E5"/>
    <w:rsid w:val="00EB0C2C"/>
    <w:rsid w:val="00EB0E5E"/>
    <w:rsid w:val="00EB1EBB"/>
    <w:rsid w:val="00EB23AB"/>
    <w:rsid w:val="00EB30F1"/>
    <w:rsid w:val="00EB32EB"/>
    <w:rsid w:val="00EB3A9C"/>
    <w:rsid w:val="00EB41A2"/>
    <w:rsid w:val="00EB4D7D"/>
    <w:rsid w:val="00EB5E0E"/>
    <w:rsid w:val="00EB6BC3"/>
    <w:rsid w:val="00EB6D80"/>
    <w:rsid w:val="00EB70CD"/>
    <w:rsid w:val="00EB736F"/>
    <w:rsid w:val="00EC0FD7"/>
    <w:rsid w:val="00EC2F5A"/>
    <w:rsid w:val="00EC5B6B"/>
    <w:rsid w:val="00ED02A1"/>
    <w:rsid w:val="00ED1498"/>
    <w:rsid w:val="00ED1FF5"/>
    <w:rsid w:val="00ED3947"/>
    <w:rsid w:val="00ED4A57"/>
    <w:rsid w:val="00ED6410"/>
    <w:rsid w:val="00EE04A5"/>
    <w:rsid w:val="00EE04CD"/>
    <w:rsid w:val="00EE1863"/>
    <w:rsid w:val="00EE1F40"/>
    <w:rsid w:val="00EE28AB"/>
    <w:rsid w:val="00EE326E"/>
    <w:rsid w:val="00EE34E9"/>
    <w:rsid w:val="00EE5CB2"/>
    <w:rsid w:val="00EE61F8"/>
    <w:rsid w:val="00EE650F"/>
    <w:rsid w:val="00EF02E9"/>
    <w:rsid w:val="00EF08E2"/>
    <w:rsid w:val="00EF14CF"/>
    <w:rsid w:val="00EF16DC"/>
    <w:rsid w:val="00EF2A9D"/>
    <w:rsid w:val="00EF2EED"/>
    <w:rsid w:val="00EF3306"/>
    <w:rsid w:val="00EF36C8"/>
    <w:rsid w:val="00EF3AE1"/>
    <w:rsid w:val="00EF3F8C"/>
    <w:rsid w:val="00EF41DC"/>
    <w:rsid w:val="00EF5D3F"/>
    <w:rsid w:val="00EF712B"/>
    <w:rsid w:val="00EF77E5"/>
    <w:rsid w:val="00EF7D5A"/>
    <w:rsid w:val="00F008F3"/>
    <w:rsid w:val="00F0091F"/>
    <w:rsid w:val="00F00E6D"/>
    <w:rsid w:val="00F012F0"/>
    <w:rsid w:val="00F01F2D"/>
    <w:rsid w:val="00F020DD"/>
    <w:rsid w:val="00F033EA"/>
    <w:rsid w:val="00F03617"/>
    <w:rsid w:val="00F04EF2"/>
    <w:rsid w:val="00F05860"/>
    <w:rsid w:val="00F05FA7"/>
    <w:rsid w:val="00F06535"/>
    <w:rsid w:val="00F06DF4"/>
    <w:rsid w:val="00F06EAB"/>
    <w:rsid w:val="00F07D95"/>
    <w:rsid w:val="00F101C0"/>
    <w:rsid w:val="00F10503"/>
    <w:rsid w:val="00F112EA"/>
    <w:rsid w:val="00F127BA"/>
    <w:rsid w:val="00F13519"/>
    <w:rsid w:val="00F13EB3"/>
    <w:rsid w:val="00F16C66"/>
    <w:rsid w:val="00F176CD"/>
    <w:rsid w:val="00F17781"/>
    <w:rsid w:val="00F17B80"/>
    <w:rsid w:val="00F2325E"/>
    <w:rsid w:val="00F23E3D"/>
    <w:rsid w:val="00F23EB6"/>
    <w:rsid w:val="00F24853"/>
    <w:rsid w:val="00F25C21"/>
    <w:rsid w:val="00F25F07"/>
    <w:rsid w:val="00F26B4C"/>
    <w:rsid w:val="00F26EB0"/>
    <w:rsid w:val="00F27135"/>
    <w:rsid w:val="00F2797A"/>
    <w:rsid w:val="00F344EC"/>
    <w:rsid w:val="00F34C3E"/>
    <w:rsid w:val="00F34DA5"/>
    <w:rsid w:val="00F35EC8"/>
    <w:rsid w:val="00F36D1D"/>
    <w:rsid w:val="00F36FE1"/>
    <w:rsid w:val="00F377A4"/>
    <w:rsid w:val="00F37BF1"/>
    <w:rsid w:val="00F4091A"/>
    <w:rsid w:val="00F41368"/>
    <w:rsid w:val="00F41834"/>
    <w:rsid w:val="00F44056"/>
    <w:rsid w:val="00F44420"/>
    <w:rsid w:val="00F45CFC"/>
    <w:rsid w:val="00F469BA"/>
    <w:rsid w:val="00F47624"/>
    <w:rsid w:val="00F47C18"/>
    <w:rsid w:val="00F50437"/>
    <w:rsid w:val="00F507D9"/>
    <w:rsid w:val="00F5134A"/>
    <w:rsid w:val="00F52628"/>
    <w:rsid w:val="00F530D1"/>
    <w:rsid w:val="00F54BAD"/>
    <w:rsid w:val="00F5502C"/>
    <w:rsid w:val="00F55FA6"/>
    <w:rsid w:val="00F5774B"/>
    <w:rsid w:val="00F60480"/>
    <w:rsid w:val="00F61FE9"/>
    <w:rsid w:val="00F633AF"/>
    <w:rsid w:val="00F63964"/>
    <w:rsid w:val="00F6396E"/>
    <w:rsid w:val="00F63C90"/>
    <w:rsid w:val="00F64D99"/>
    <w:rsid w:val="00F65492"/>
    <w:rsid w:val="00F678E0"/>
    <w:rsid w:val="00F67CEC"/>
    <w:rsid w:val="00F703CA"/>
    <w:rsid w:val="00F7122C"/>
    <w:rsid w:val="00F715E6"/>
    <w:rsid w:val="00F715FD"/>
    <w:rsid w:val="00F7263B"/>
    <w:rsid w:val="00F732B5"/>
    <w:rsid w:val="00F733ED"/>
    <w:rsid w:val="00F743FE"/>
    <w:rsid w:val="00F76B51"/>
    <w:rsid w:val="00F76F9C"/>
    <w:rsid w:val="00F774B6"/>
    <w:rsid w:val="00F779CD"/>
    <w:rsid w:val="00F80A6A"/>
    <w:rsid w:val="00F8149C"/>
    <w:rsid w:val="00F82F40"/>
    <w:rsid w:val="00F831C9"/>
    <w:rsid w:val="00F837B8"/>
    <w:rsid w:val="00F84645"/>
    <w:rsid w:val="00F84D96"/>
    <w:rsid w:val="00F8690D"/>
    <w:rsid w:val="00F91422"/>
    <w:rsid w:val="00F9167A"/>
    <w:rsid w:val="00F91DBB"/>
    <w:rsid w:val="00F9293F"/>
    <w:rsid w:val="00F931F4"/>
    <w:rsid w:val="00F94944"/>
    <w:rsid w:val="00F961B9"/>
    <w:rsid w:val="00F97E5C"/>
    <w:rsid w:val="00FA01A4"/>
    <w:rsid w:val="00FA145E"/>
    <w:rsid w:val="00FA20CA"/>
    <w:rsid w:val="00FA2CF8"/>
    <w:rsid w:val="00FA3EAA"/>
    <w:rsid w:val="00FA4192"/>
    <w:rsid w:val="00FA49AE"/>
    <w:rsid w:val="00FA4B6A"/>
    <w:rsid w:val="00FA4C10"/>
    <w:rsid w:val="00FA6EF4"/>
    <w:rsid w:val="00FB094D"/>
    <w:rsid w:val="00FB16CB"/>
    <w:rsid w:val="00FB1BE3"/>
    <w:rsid w:val="00FB202B"/>
    <w:rsid w:val="00FB2256"/>
    <w:rsid w:val="00FB2595"/>
    <w:rsid w:val="00FB2B62"/>
    <w:rsid w:val="00FB3398"/>
    <w:rsid w:val="00FB38B9"/>
    <w:rsid w:val="00FB38DB"/>
    <w:rsid w:val="00FB3EF3"/>
    <w:rsid w:val="00FB497C"/>
    <w:rsid w:val="00FB4B0F"/>
    <w:rsid w:val="00FB4FC4"/>
    <w:rsid w:val="00FB50D6"/>
    <w:rsid w:val="00FB665C"/>
    <w:rsid w:val="00FB668B"/>
    <w:rsid w:val="00FB6733"/>
    <w:rsid w:val="00FC072E"/>
    <w:rsid w:val="00FC388D"/>
    <w:rsid w:val="00FC4DF9"/>
    <w:rsid w:val="00FC5AEE"/>
    <w:rsid w:val="00FC656E"/>
    <w:rsid w:val="00FC7A28"/>
    <w:rsid w:val="00FD11B0"/>
    <w:rsid w:val="00FD46D1"/>
    <w:rsid w:val="00FD54DB"/>
    <w:rsid w:val="00FD58F2"/>
    <w:rsid w:val="00FD5E24"/>
    <w:rsid w:val="00FD6B91"/>
    <w:rsid w:val="00FD71D6"/>
    <w:rsid w:val="00FE1080"/>
    <w:rsid w:val="00FE133D"/>
    <w:rsid w:val="00FE1E83"/>
    <w:rsid w:val="00FE4D17"/>
    <w:rsid w:val="00FE4E04"/>
    <w:rsid w:val="00FE5427"/>
    <w:rsid w:val="00FE63A1"/>
    <w:rsid w:val="00FE71C5"/>
    <w:rsid w:val="00FF1DF1"/>
    <w:rsid w:val="00FF23BD"/>
    <w:rsid w:val="00FF25E8"/>
    <w:rsid w:val="00FF30D2"/>
    <w:rsid w:val="00FF4CA5"/>
    <w:rsid w:val="00FF50E8"/>
    <w:rsid w:val="00FF536D"/>
    <w:rsid w:val="00FF5408"/>
    <w:rsid w:val="00FF5B07"/>
    <w:rsid w:val="00FF623A"/>
    <w:rsid w:val="00FF6240"/>
    <w:rsid w:val="00FF6644"/>
    <w:rsid w:val="00FF680E"/>
    <w:rsid w:val="00FF6975"/>
    <w:rsid w:val="00FF7685"/>
    <w:rsid w:val="01B55DF6"/>
    <w:rsid w:val="01F44C9B"/>
    <w:rsid w:val="029F0571"/>
    <w:rsid w:val="03DB63C5"/>
    <w:rsid w:val="044A1E65"/>
    <w:rsid w:val="045625A1"/>
    <w:rsid w:val="04C51201"/>
    <w:rsid w:val="05801ACC"/>
    <w:rsid w:val="05904B70"/>
    <w:rsid w:val="05972FDC"/>
    <w:rsid w:val="07F832D5"/>
    <w:rsid w:val="104208F6"/>
    <w:rsid w:val="104D2A05"/>
    <w:rsid w:val="10A41843"/>
    <w:rsid w:val="10F0334D"/>
    <w:rsid w:val="11564A16"/>
    <w:rsid w:val="11615431"/>
    <w:rsid w:val="143D057B"/>
    <w:rsid w:val="14BA0F9B"/>
    <w:rsid w:val="14BD72BF"/>
    <w:rsid w:val="16463906"/>
    <w:rsid w:val="17393C96"/>
    <w:rsid w:val="17A741CD"/>
    <w:rsid w:val="1BE36E3E"/>
    <w:rsid w:val="1BEE4D85"/>
    <w:rsid w:val="1C710001"/>
    <w:rsid w:val="1D9F63E3"/>
    <w:rsid w:val="1F021648"/>
    <w:rsid w:val="1F1225CF"/>
    <w:rsid w:val="22453E48"/>
    <w:rsid w:val="22EC3DEA"/>
    <w:rsid w:val="23133803"/>
    <w:rsid w:val="296C5733"/>
    <w:rsid w:val="2BA924ED"/>
    <w:rsid w:val="2BC674CC"/>
    <w:rsid w:val="2D1C7470"/>
    <w:rsid w:val="2D6418C1"/>
    <w:rsid w:val="2DBE1875"/>
    <w:rsid w:val="2DCA2200"/>
    <w:rsid w:val="2E1132D2"/>
    <w:rsid w:val="2EA75890"/>
    <w:rsid w:val="2EBF3A83"/>
    <w:rsid w:val="2EF54241"/>
    <w:rsid w:val="2F2B399A"/>
    <w:rsid w:val="31A50F32"/>
    <w:rsid w:val="37CD377C"/>
    <w:rsid w:val="38604A77"/>
    <w:rsid w:val="38D24F8B"/>
    <w:rsid w:val="392C0481"/>
    <w:rsid w:val="3A5D5F82"/>
    <w:rsid w:val="3A7F0CF8"/>
    <w:rsid w:val="3B9241ED"/>
    <w:rsid w:val="3E7503C3"/>
    <w:rsid w:val="43D674C5"/>
    <w:rsid w:val="45782F81"/>
    <w:rsid w:val="4921031A"/>
    <w:rsid w:val="492D05E3"/>
    <w:rsid w:val="49B53842"/>
    <w:rsid w:val="4A231D1D"/>
    <w:rsid w:val="4A55496D"/>
    <w:rsid w:val="4A937D8A"/>
    <w:rsid w:val="4C8B5357"/>
    <w:rsid w:val="4D632788"/>
    <w:rsid w:val="4D7202BF"/>
    <w:rsid w:val="4EA50F9A"/>
    <w:rsid w:val="4EAE33A3"/>
    <w:rsid w:val="54DC16D6"/>
    <w:rsid w:val="59B44408"/>
    <w:rsid w:val="5DA106AC"/>
    <w:rsid w:val="5F1F556D"/>
    <w:rsid w:val="62467BC8"/>
    <w:rsid w:val="63F55D49"/>
    <w:rsid w:val="64EC3044"/>
    <w:rsid w:val="65AC068A"/>
    <w:rsid w:val="6C2B4727"/>
    <w:rsid w:val="707E2603"/>
    <w:rsid w:val="71954725"/>
    <w:rsid w:val="73935C7E"/>
    <w:rsid w:val="79C63C7A"/>
    <w:rsid w:val="7AC92FA9"/>
    <w:rsid w:val="7B4B69B2"/>
    <w:rsid w:val="7FB163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3"/>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3"/>
    <w:basedOn w:val="1"/>
    <w:next w:val="1"/>
    <w:link w:val="24"/>
    <w:qFormat/>
    <w:uiPriority w:val="99"/>
    <w:pPr>
      <w:keepNext/>
      <w:keepLines/>
      <w:spacing w:before="260" w:after="260" w:line="416" w:lineRule="atLeast"/>
      <w:outlineLvl w:val="2"/>
    </w:pPr>
    <w:rPr>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annotation text"/>
    <w:basedOn w:val="1"/>
    <w:link w:val="69"/>
    <w:unhideWhenUsed/>
    <w:qFormat/>
    <w:locked/>
    <w:uiPriority w:val="99"/>
    <w:pPr>
      <w:jc w:val="left"/>
    </w:pPr>
  </w:style>
  <w:style w:type="paragraph" w:styleId="5">
    <w:name w:val="Body Text Indent"/>
    <w:basedOn w:val="1"/>
    <w:link w:val="25"/>
    <w:qFormat/>
    <w:uiPriority w:val="99"/>
    <w:pPr>
      <w:widowControl w:val="0"/>
      <w:snapToGrid w:val="0"/>
      <w:spacing w:before="283" w:line="560" w:lineRule="exact"/>
      <w:ind w:firstLine="510"/>
    </w:pPr>
    <w:rPr>
      <w:sz w:val="28"/>
    </w:rPr>
  </w:style>
  <w:style w:type="paragraph" w:styleId="6">
    <w:name w:val="Plain Text"/>
    <w:basedOn w:val="1"/>
    <w:link w:val="54"/>
    <w:qFormat/>
    <w:uiPriority w:val="0"/>
    <w:pPr>
      <w:widowControl w:val="0"/>
      <w:spacing w:line="240" w:lineRule="auto"/>
      <w:textAlignment w:val="auto"/>
    </w:pPr>
    <w:rPr>
      <w:rFonts w:ascii="宋体" w:hAnsi="Courier New"/>
      <w:color w:val="auto"/>
      <w:kern w:val="2"/>
    </w:rPr>
  </w:style>
  <w:style w:type="paragraph" w:styleId="7">
    <w:name w:val="Date"/>
    <w:basedOn w:val="1"/>
    <w:next w:val="1"/>
    <w:link w:val="27"/>
    <w:qFormat/>
    <w:uiPriority w:val="99"/>
    <w:pPr>
      <w:ind w:left="100" w:leftChars="2500"/>
    </w:pPr>
  </w:style>
  <w:style w:type="paragraph" w:styleId="8">
    <w:name w:val="Balloon Text"/>
    <w:basedOn w:val="1"/>
    <w:link w:val="28"/>
    <w:qFormat/>
    <w:uiPriority w:val="99"/>
    <w:pPr>
      <w:spacing w:line="240" w:lineRule="auto"/>
    </w:pPr>
    <w:rPr>
      <w:sz w:val="18"/>
      <w:szCs w:val="18"/>
    </w:rPr>
  </w:style>
  <w:style w:type="paragraph" w:styleId="9">
    <w:name w:val="footer"/>
    <w:basedOn w:val="1"/>
    <w:link w:val="29"/>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link w:val="31"/>
    <w:qFormat/>
    <w:uiPriority w:val="99"/>
    <w:pPr>
      <w:spacing w:after="120" w:line="480" w:lineRule="auto"/>
    </w:p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5">
    <w:name w:val="annotation subject"/>
    <w:basedOn w:val="4"/>
    <w:next w:val="4"/>
    <w:link w:val="70"/>
    <w:unhideWhenUsed/>
    <w:qFormat/>
    <w:locked/>
    <w:uiPriority w:val="99"/>
    <w:rPr>
      <w:b/>
      <w:bC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99"/>
    <w:rPr>
      <w:rFonts w:cs="Times New Roman"/>
      <w:b/>
    </w:rPr>
  </w:style>
  <w:style w:type="character" w:styleId="20">
    <w:name w:val="page number"/>
    <w:qFormat/>
    <w:uiPriority w:val="99"/>
    <w:rPr>
      <w:rFonts w:cs="Times New Roman"/>
    </w:rPr>
  </w:style>
  <w:style w:type="character" w:styleId="21">
    <w:name w:val="Hyperlink"/>
    <w:qFormat/>
    <w:uiPriority w:val="99"/>
    <w:rPr>
      <w:rFonts w:cs="Times New Roman"/>
      <w:color w:val="0368A8"/>
      <w:u w:val="none"/>
    </w:rPr>
  </w:style>
  <w:style w:type="character" w:styleId="22">
    <w:name w:val="annotation reference"/>
    <w:unhideWhenUsed/>
    <w:qFormat/>
    <w:locked/>
    <w:uiPriority w:val="99"/>
    <w:rPr>
      <w:sz w:val="21"/>
      <w:szCs w:val="21"/>
    </w:rPr>
  </w:style>
  <w:style w:type="character" w:customStyle="1" w:styleId="23">
    <w:name w:val="标题 1 Char"/>
    <w:link w:val="2"/>
    <w:qFormat/>
    <w:locked/>
    <w:uiPriority w:val="99"/>
    <w:rPr>
      <w:rFonts w:cs="Times New Roman"/>
      <w:b/>
      <w:bCs/>
      <w:color w:val="000000"/>
      <w:kern w:val="44"/>
      <w:sz w:val="44"/>
      <w:szCs w:val="44"/>
      <w:u w:val="none" w:color="000000"/>
    </w:rPr>
  </w:style>
  <w:style w:type="character" w:customStyle="1" w:styleId="24">
    <w:name w:val="标题 3 Char"/>
    <w:link w:val="3"/>
    <w:semiHidden/>
    <w:qFormat/>
    <w:locked/>
    <w:uiPriority w:val="99"/>
    <w:rPr>
      <w:rFonts w:cs="Times New Roman"/>
      <w:b/>
      <w:bCs/>
      <w:color w:val="000000"/>
      <w:sz w:val="32"/>
      <w:szCs w:val="32"/>
      <w:u w:val="none" w:color="000000"/>
    </w:rPr>
  </w:style>
  <w:style w:type="character" w:customStyle="1" w:styleId="25">
    <w:name w:val="正文文本缩进 Char"/>
    <w:link w:val="5"/>
    <w:semiHidden/>
    <w:qFormat/>
    <w:locked/>
    <w:uiPriority w:val="99"/>
    <w:rPr>
      <w:rFonts w:cs="Times New Roman"/>
      <w:color w:val="000000"/>
      <w:kern w:val="0"/>
      <w:sz w:val="20"/>
      <w:szCs w:val="20"/>
      <w:u w:val="none" w:color="000000"/>
    </w:rPr>
  </w:style>
  <w:style w:type="character" w:customStyle="1" w:styleId="26">
    <w:name w:val="Plain Text Char"/>
    <w:qFormat/>
    <w:locked/>
    <w:uiPriority w:val="99"/>
    <w:rPr>
      <w:rFonts w:ascii="宋体" w:hAnsi="Courier New" w:eastAsia="宋体" w:cs="Times New Roman"/>
      <w:kern w:val="2"/>
      <w:sz w:val="21"/>
      <w:lang w:val="en-US" w:eastAsia="zh-CN"/>
    </w:rPr>
  </w:style>
  <w:style w:type="character" w:customStyle="1" w:styleId="27">
    <w:name w:val="日期 Char"/>
    <w:link w:val="7"/>
    <w:qFormat/>
    <w:locked/>
    <w:uiPriority w:val="99"/>
    <w:rPr>
      <w:rFonts w:cs="Times New Roman"/>
      <w:color w:val="000000"/>
      <w:sz w:val="21"/>
      <w:u w:val="none" w:color="000000"/>
    </w:rPr>
  </w:style>
  <w:style w:type="character" w:customStyle="1" w:styleId="28">
    <w:name w:val="批注框文本 Char"/>
    <w:link w:val="8"/>
    <w:qFormat/>
    <w:locked/>
    <w:uiPriority w:val="99"/>
    <w:rPr>
      <w:rFonts w:cs="Times New Roman"/>
      <w:color w:val="000000"/>
      <w:sz w:val="18"/>
      <w:szCs w:val="18"/>
      <w:u w:val="none" w:color="000000"/>
    </w:rPr>
  </w:style>
  <w:style w:type="character" w:customStyle="1" w:styleId="29">
    <w:name w:val="页脚 Char"/>
    <w:link w:val="9"/>
    <w:semiHidden/>
    <w:qFormat/>
    <w:locked/>
    <w:uiPriority w:val="99"/>
    <w:rPr>
      <w:rFonts w:cs="Times New Roman"/>
      <w:color w:val="000000"/>
      <w:kern w:val="0"/>
      <w:sz w:val="18"/>
      <w:szCs w:val="18"/>
      <w:u w:val="none" w:color="000000"/>
    </w:rPr>
  </w:style>
  <w:style w:type="character" w:customStyle="1" w:styleId="30">
    <w:name w:val="页眉 Char"/>
    <w:link w:val="10"/>
    <w:semiHidden/>
    <w:qFormat/>
    <w:locked/>
    <w:uiPriority w:val="99"/>
    <w:rPr>
      <w:rFonts w:cs="Times New Roman"/>
      <w:color w:val="000000"/>
      <w:kern w:val="0"/>
      <w:sz w:val="18"/>
      <w:szCs w:val="18"/>
      <w:u w:val="none" w:color="000000"/>
    </w:rPr>
  </w:style>
  <w:style w:type="character" w:customStyle="1" w:styleId="31">
    <w:name w:val="正文文本 2 Char"/>
    <w:link w:val="13"/>
    <w:semiHidden/>
    <w:qFormat/>
    <w:locked/>
    <w:uiPriority w:val="99"/>
    <w:rPr>
      <w:rFonts w:cs="Times New Roman"/>
      <w:color w:val="000000"/>
      <w:kern w:val="0"/>
      <w:sz w:val="20"/>
      <w:szCs w:val="20"/>
      <w:u w:val="none" w:color="000000"/>
    </w:rPr>
  </w:style>
  <w:style w:type="paragraph" w:customStyle="1" w:styleId="32">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3">
    <w:name w:val="章标题"/>
    <w:basedOn w:val="1"/>
    <w:next w:val="34"/>
    <w:qFormat/>
    <w:uiPriority w:val="99"/>
    <w:pPr>
      <w:spacing w:before="158" w:after="153" w:line="323" w:lineRule="atLeast"/>
      <w:jc w:val="center"/>
    </w:pPr>
    <w:rPr>
      <w:rFonts w:ascii="Arial" w:eastAsia="黑体"/>
      <w:sz w:val="31"/>
    </w:rPr>
  </w:style>
  <w:style w:type="paragraph" w:customStyle="1" w:styleId="34">
    <w:name w:val="节标题"/>
    <w:basedOn w:val="1"/>
    <w:next w:val="35"/>
    <w:qFormat/>
    <w:uiPriority w:val="99"/>
    <w:pPr>
      <w:spacing w:line="289" w:lineRule="atLeast"/>
      <w:jc w:val="center"/>
    </w:pPr>
    <w:rPr>
      <w:sz w:val="28"/>
    </w:rPr>
  </w:style>
  <w:style w:type="paragraph" w:customStyle="1" w:styleId="35">
    <w:name w:val="小节标题"/>
    <w:basedOn w:val="1"/>
    <w:next w:val="1"/>
    <w:qFormat/>
    <w:uiPriority w:val="99"/>
    <w:pPr>
      <w:spacing w:before="175" w:after="102" w:line="351" w:lineRule="atLeast"/>
    </w:pPr>
    <w:rPr>
      <w:rFonts w:eastAsia="黑体"/>
    </w:rPr>
  </w:style>
  <w:style w:type="paragraph" w:customStyle="1" w:styleId="36">
    <w:name w:val="目录2"/>
    <w:basedOn w:val="1"/>
    <w:next w:val="1"/>
    <w:qFormat/>
    <w:uiPriority w:val="99"/>
    <w:pPr>
      <w:tabs>
        <w:tab w:val="left" w:leader="dot" w:pos="8503"/>
      </w:tabs>
      <w:spacing w:line="317" w:lineRule="atLeast"/>
      <w:ind w:firstLine="209"/>
    </w:pPr>
  </w:style>
  <w:style w:type="paragraph" w:customStyle="1" w:styleId="37">
    <w:name w:val="目录4"/>
    <w:basedOn w:val="1"/>
    <w:next w:val="1"/>
    <w:qFormat/>
    <w:uiPriority w:val="99"/>
    <w:pPr>
      <w:tabs>
        <w:tab w:val="left" w:leader="dot" w:pos="8503"/>
      </w:tabs>
      <w:spacing w:line="317" w:lineRule="atLeast"/>
      <w:ind w:firstLine="629"/>
    </w:pPr>
  </w:style>
  <w:style w:type="paragraph" w:customStyle="1" w:styleId="38">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9">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0">
    <w:name w:val="目录3"/>
    <w:basedOn w:val="1"/>
    <w:next w:val="1"/>
    <w:qFormat/>
    <w:uiPriority w:val="99"/>
    <w:pPr>
      <w:tabs>
        <w:tab w:val="left" w:leader="dot" w:pos="8503"/>
      </w:tabs>
      <w:spacing w:line="317" w:lineRule="atLeast"/>
      <w:ind w:firstLine="419"/>
    </w:pPr>
  </w:style>
  <w:style w:type="paragraph" w:customStyle="1" w:styleId="41">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2">
    <w:name w:val="文章总标题"/>
    <w:basedOn w:val="1"/>
    <w:next w:val="43"/>
    <w:qFormat/>
    <w:uiPriority w:val="99"/>
    <w:pPr>
      <w:spacing w:before="566" w:after="544" w:line="566" w:lineRule="atLeast"/>
      <w:jc w:val="center"/>
    </w:pPr>
    <w:rPr>
      <w:rFonts w:ascii="Arial" w:eastAsia="黑体"/>
      <w:sz w:val="54"/>
    </w:rPr>
  </w:style>
  <w:style w:type="paragraph" w:customStyle="1" w:styleId="43">
    <w:name w:val="文章附标题"/>
    <w:basedOn w:val="1"/>
    <w:next w:val="33"/>
    <w:qFormat/>
    <w:uiPriority w:val="99"/>
    <w:pPr>
      <w:spacing w:before="187" w:after="175" w:line="374" w:lineRule="atLeast"/>
      <w:jc w:val="center"/>
    </w:pPr>
    <w:rPr>
      <w:sz w:val="36"/>
    </w:rPr>
  </w:style>
  <w:style w:type="paragraph" w:customStyle="1" w:styleId="44">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6">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7">
    <w:name w:val="WPS Plain"/>
    <w:qFormat/>
    <w:uiPriority w:val="99"/>
    <w:rPr>
      <w:rFonts w:ascii="Times New Roman" w:hAnsi="Times New Roman" w:eastAsia="宋体" w:cs="Times New Roman"/>
      <w:lang w:val="en-US" w:eastAsia="zh-CN" w:bidi="ar-SA"/>
    </w:rPr>
  </w:style>
  <w:style w:type="paragraph" w:customStyle="1" w:styleId="48">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1">
    <w:name w:val="链接"/>
    <w:qFormat/>
    <w:uiPriority w:val="99"/>
    <w:rPr>
      <w:rFonts w:ascii="Times New Roman" w:eastAsia="宋体"/>
      <w:color w:val="0000FF"/>
      <w:sz w:val="21"/>
      <w:u w:val="single" w:color="0000FF"/>
      <w:lang w:val="en-US" w:eastAsia="zh-CN"/>
    </w:rPr>
  </w:style>
  <w:style w:type="character" w:customStyle="1" w:styleId="52">
    <w:name w:val="超级链接"/>
    <w:qFormat/>
    <w:uiPriority w:val="99"/>
    <w:rPr>
      <w:rFonts w:ascii="Times New Roman" w:eastAsia="宋体"/>
      <w:color w:val="0000FF"/>
      <w:sz w:val="21"/>
      <w:u w:val="single" w:color="0000FF"/>
      <w:lang w:val="en-US" w:eastAsia="zh-CN"/>
    </w:rPr>
  </w:style>
  <w:style w:type="character" w:customStyle="1" w:styleId="53">
    <w:name w:val="param_td12"/>
    <w:qFormat/>
    <w:uiPriority w:val="99"/>
    <w:rPr>
      <w:rFonts w:cs="Times New Roman"/>
    </w:rPr>
  </w:style>
  <w:style w:type="character" w:customStyle="1" w:styleId="54">
    <w:name w:val="纯文本 Char"/>
    <w:link w:val="6"/>
    <w:semiHidden/>
    <w:qFormat/>
    <w:locked/>
    <w:uiPriority w:val="99"/>
    <w:rPr>
      <w:rFonts w:ascii="宋体" w:hAnsi="Courier New" w:cs="Courier New"/>
      <w:color w:val="000000"/>
      <w:kern w:val="0"/>
      <w:sz w:val="21"/>
      <w:szCs w:val="21"/>
      <w:u w:val="none" w:color="000000"/>
    </w:rPr>
  </w:style>
  <w:style w:type="character" w:customStyle="1" w:styleId="55">
    <w:name w:val="纯文本 Char Char"/>
    <w:qFormat/>
    <w:uiPriority w:val="99"/>
    <w:rPr>
      <w:rFonts w:ascii="宋体" w:hAnsi="Courier New" w:eastAsia="宋体"/>
      <w:kern w:val="2"/>
      <w:sz w:val="21"/>
      <w:lang w:val="en-US" w:eastAsia="zh-CN"/>
    </w:rPr>
  </w:style>
  <w:style w:type="character" w:customStyle="1" w:styleId="56">
    <w:name w:val="Char Char4"/>
    <w:qFormat/>
    <w:uiPriority w:val="99"/>
    <w:rPr>
      <w:rFonts w:ascii="宋体" w:eastAsia="宋体"/>
      <w:kern w:val="2"/>
      <w:sz w:val="28"/>
    </w:rPr>
  </w:style>
  <w:style w:type="character" w:customStyle="1" w:styleId="57">
    <w:name w:val="纯文本 Char1"/>
    <w:qFormat/>
    <w:locked/>
    <w:uiPriority w:val="99"/>
    <w:rPr>
      <w:rFonts w:ascii="宋体" w:hAnsi="Courier New" w:cs="Times New Roman"/>
      <w:color w:val="000000"/>
      <w:kern w:val="0"/>
      <w:sz w:val="21"/>
      <w:u w:val="none" w:color="000000"/>
    </w:rPr>
  </w:style>
  <w:style w:type="paragraph" w:customStyle="1" w:styleId="58">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59">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0">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1">
    <w:name w:val="正文文本 (2)"/>
    <w:basedOn w:val="1"/>
    <w:link w:val="62"/>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2">
    <w:name w:val="正文文本 (2)_"/>
    <w:link w:val="61"/>
    <w:qFormat/>
    <w:uiPriority w:val="0"/>
    <w:rPr>
      <w:rFonts w:ascii="MingLiU" w:hAnsi="MingLiU" w:eastAsia="MingLiU" w:cs="MingLiU"/>
      <w:spacing w:val="30"/>
      <w:sz w:val="30"/>
      <w:szCs w:val="30"/>
      <w:u w:color="000000"/>
      <w:shd w:val="clear" w:color="auto" w:fill="FFFFFF"/>
    </w:rPr>
  </w:style>
  <w:style w:type="paragraph" w:customStyle="1" w:styleId="63">
    <w:name w:val="List Paragraph"/>
    <w:basedOn w:val="1"/>
    <w:unhideWhenUsed/>
    <w:qFormat/>
    <w:uiPriority w:val="99"/>
    <w:pPr>
      <w:ind w:firstLine="420" w:firstLineChars="200"/>
    </w:pPr>
  </w:style>
  <w:style w:type="character" w:customStyle="1" w:styleId="64">
    <w:name w:val="样式 首行缩进:  0 字符 Char"/>
    <w:link w:val="65"/>
    <w:qFormat/>
    <w:locked/>
    <w:uiPriority w:val="0"/>
    <w:rPr>
      <w:sz w:val="24"/>
    </w:rPr>
  </w:style>
  <w:style w:type="paragraph" w:customStyle="1" w:styleId="65">
    <w:name w:val="样式 首行缩进:  0 字符"/>
    <w:basedOn w:val="1"/>
    <w:link w:val="64"/>
    <w:qFormat/>
    <w:uiPriority w:val="0"/>
    <w:pPr>
      <w:widowControl w:val="0"/>
      <w:spacing w:line="360" w:lineRule="auto"/>
      <w:ind w:firstLine="200" w:firstLineChars="200"/>
      <w:textAlignment w:val="auto"/>
    </w:pPr>
    <w:rPr>
      <w:color w:val="auto"/>
      <w:sz w:val="24"/>
    </w:rPr>
  </w:style>
  <w:style w:type="character" w:customStyle="1" w:styleId="66">
    <w:name w:val="font31"/>
    <w:qFormat/>
    <w:uiPriority w:val="0"/>
    <w:rPr>
      <w:rFonts w:hint="eastAsia" w:ascii="宋体" w:hAnsi="宋体" w:eastAsia="宋体" w:cs="宋体"/>
      <w:color w:val="FF0000"/>
      <w:sz w:val="21"/>
      <w:szCs w:val="21"/>
      <w:u w:val="none"/>
    </w:rPr>
  </w:style>
  <w:style w:type="character" w:customStyle="1" w:styleId="67">
    <w:name w:val="font21"/>
    <w:qFormat/>
    <w:uiPriority w:val="0"/>
    <w:rPr>
      <w:rFonts w:hint="eastAsia" w:ascii="宋体" w:hAnsi="宋体" w:eastAsia="宋体" w:cs="宋体"/>
      <w:color w:val="000000"/>
      <w:sz w:val="21"/>
      <w:szCs w:val="21"/>
      <w:u w:val="none"/>
    </w:rPr>
  </w:style>
  <w:style w:type="character" w:customStyle="1" w:styleId="68">
    <w:name w:val="font11"/>
    <w:qFormat/>
    <w:uiPriority w:val="0"/>
    <w:rPr>
      <w:rFonts w:ascii="Calibri" w:hAnsi="Calibri" w:cs="Calibri"/>
      <w:color w:val="000000"/>
      <w:sz w:val="21"/>
      <w:szCs w:val="21"/>
      <w:u w:val="none"/>
    </w:rPr>
  </w:style>
  <w:style w:type="character" w:customStyle="1" w:styleId="69">
    <w:name w:val="批注文字 Char"/>
    <w:link w:val="4"/>
    <w:semiHidden/>
    <w:qFormat/>
    <w:uiPriority w:val="99"/>
    <w:rPr>
      <w:color w:val="000000"/>
      <w:sz w:val="21"/>
      <w:u w:color="000000"/>
    </w:rPr>
  </w:style>
  <w:style w:type="character" w:customStyle="1" w:styleId="70">
    <w:name w:val="批注主题 Char"/>
    <w:link w:val="15"/>
    <w:semiHidden/>
    <w:qFormat/>
    <w:uiPriority w:val="99"/>
    <w:rPr>
      <w:b/>
      <w:bCs/>
      <w:color w:val="000000"/>
      <w:sz w:val="21"/>
      <w:u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A5D21-0BF1-4C84-8FA8-4876F3E988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36053</Words>
  <Characters>6929</Characters>
  <Lines>57</Lines>
  <Paragraphs>85</Paragraphs>
  <TotalTime>0</TotalTime>
  <ScaleCrop>false</ScaleCrop>
  <LinksUpToDate>false</LinksUpToDate>
  <CharactersWithSpaces>42897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2023-10-26T07:09:00Z</dcterms:created>
  <dc:creator>ZM</dc:creator>
  <cp:lastModifiedBy>Administrator</cp:lastModifiedBy>
  <cp:lastPrinted>2023-10-25T02:52:00Z</cp:lastPrinted>
  <dcterms:modified xsi:type="dcterms:W3CDTF">2023-11-20T05:53:38Z</dcterms:modified>
  <dc:title>内黄县第一高级中学所需多媒体教室设备项目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B50B2767328545CA96CBD3D770A4DCCA</vt:lpwstr>
  </property>
</Properties>
</file>