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35C4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auto"/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一、原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开标时间及地点：</w:t>
      </w:r>
    </w:p>
    <w:p w14:paraId="7F556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1.时间：</w:t>
      </w:r>
      <w:r>
        <w:rPr>
          <w:rFonts w:hint="eastAsia" w:ascii="宋体" w:hAnsi="宋体" w:cs="宋体"/>
          <w:color w:val="auto"/>
          <w:sz w:val="24"/>
          <w:u w:val="single"/>
        </w:rPr>
        <w:t xml:space="preserve">  202</w:t>
      </w:r>
      <w:r>
        <w:rPr>
          <w:rFonts w:hint="eastAsia" w:ascii="宋体" w:hAnsi="宋体" w:cs="宋体"/>
          <w:color w:val="auto"/>
          <w:sz w:val="24"/>
          <w:u w:val="single"/>
          <w:lang w:val="en-US" w:eastAsia="zh-CN"/>
        </w:rPr>
        <w:t>6</w:t>
      </w:r>
      <w:r>
        <w:rPr>
          <w:rFonts w:hint="eastAsia" w:ascii="宋体" w:hAnsi="宋体" w:cs="宋体"/>
          <w:color w:val="auto"/>
          <w:sz w:val="24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</w:rPr>
        <w:t>年</w:t>
      </w:r>
      <w:r>
        <w:rPr>
          <w:rFonts w:hint="eastAsia" w:ascii="宋体" w:hAnsi="宋体" w:cs="宋体"/>
          <w:color w:val="auto"/>
          <w:sz w:val="24"/>
          <w:u w:val="single"/>
        </w:rPr>
        <w:t xml:space="preserve"> </w:t>
      </w:r>
      <w:r>
        <w:rPr>
          <w:rFonts w:hint="eastAsia" w:ascii="宋体" w:hAnsi="宋体" w:cs="宋体"/>
          <w:color w:val="auto"/>
          <w:sz w:val="24"/>
          <w:u w:val="single"/>
          <w:lang w:val="en-US" w:eastAsia="zh-CN"/>
        </w:rPr>
        <w:t xml:space="preserve"> 10 </w:t>
      </w:r>
      <w:r>
        <w:rPr>
          <w:rFonts w:hint="eastAsia" w:ascii="宋体" w:hAnsi="宋体" w:cs="宋体"/>
          <w:color w:val="auto"/>
          <w:sz w:val="24"/>
        </w:rPr>
        <w:t>月</w:t>
      </w:r>
      <w:r>
        <w:rPr>
          <w:rFonts w:hint="eastAsia" w:ascii="宋体" w:hAnsi="宋体" w:cs="宋体"/>
          <w:color w:val="auto"/>
          <w:sz w:val="24"/>
          <w:u w:val="single"/>
          <w:lang w:val="en-US" w:eastAsia="zh-CN"/>
        </w:rPr>
        <w:t xml:space="preserve"> 13 </w:t>
      </w:r>
      <w:r>
        <w:rPr>
          <w:rFonts w:hint="eastAsia" w:ascii="宋体" w:hAnsi="宋体" w:cs="宋体"/>
          <w:color w:val="auto"/>
          <w:sz w:val="24"/>
        </w:rPr>
        <w:t>日</w:t>
      </w:r>
      <w:r>
        <w:rPr>
          <w:rFonts w:hint="eastAsia" w:ascii="宋体" w:hAnsi="宋体" w:cs="宋体"/>
          <w:color w:val="auto"/>
          <w:sz w:val="24"/>
          <w:u w:val="single"/>
        </w:rPr>
        <w:t xml:space="preserve">  09  </w:t>
      </w:r>
      <w:r>
        <w:rPr>
          <w:rFonts w:hint="eastAsia" w:ascii="宋体" w:hAnsi="宋体" w:cs="宋体"/>
          <w:color w:val="auto"/>
          <w:sz w:val="24"/>
        </w:rPr>
        <w:t>时</w:t>
      </w:r>
      <w:r>
        <w:rPr>
          <w:rFonts w:hint="eastAsia" w:ascii="宋体" w:hAnsi="宋体" w:cs="宋体"/>
          <w:color w:val="auto"/>
          <w:sz w:val="24"/>
          <w:u w:val="single"/>
        </w:rPr>
        <w:t xml:space="preserve">00 </w:t>
      </w:r>
      <w:r>
        <w:rPr>
          <w:rFonts w:hint="eastAsia" w:ascii="宋体" w:hAnsi="宋体" w:cs="宋体"/>
          <w:color w:val="auto"/>
          <w:sz w:val="24"/>
        </w:rPr>
        <w:t>分(北京时间)。</w:t>
      </w:r>
    </w:p>
    <w:p w14:paraId="171620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both"/>
        <w:textAlignment w:val="auto"/>
        <w:rPr>
          <w:rFonts w:hint="default" w:ascii="宋体" w:hAnsi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4"/>
        </w:rPr>
        <w:t>2.地点：驻马店市</w:t>
      </w:r>
      <w:r>
        <w:rPr>
          <w:rFonts w:hint="eastAsia" w:ascii="宋体" w:hAnsi="宋体"/>
          <w:color w:val="auto"/>
          <w:kern w:val="0"/>
          <w:sz w:val="24"/>
        </w:rPr>
        <w:t>公共资源交易中心不见面开标</w:t>
      </w:r>
      <w:r>
        <w:rPr>
          <w:rFonts w:hint="eastAsia" w:ascii="宋体" w:hAnsi="宋体"/>
          <w:color w:val="auto"/>
          <w:sz w:val="24"/>
          <w:u w:val="single"/>
        </w:rPr>
        <w:t xml:space="preserve"> </w:t>
      </w:r>
      <w:r>
        <w:rPr>
          <w:rFonts w:hint="eastAsia" w:ascii="宋体" w:hAnsi="宋体"/>
          <w:color w:val="auto"/>
          <w:sz w:val="24"/>
          <w:u w:val="single"/>
          <w:lang w:val="en-US" w:eastAsia="zh-CN"/>
        </w:rPr>
        <w:t xml:space="preserve">二 </w:t>
      </w:r>
      <w:r>
        <w:rPr>
          <w:rFonts w:hint="eastAsia" w:ascii="宋体" w:hAnsi="宋体"/>
          <w:color w:val="auto"/>
          <w:sz w:val="24"/>
          <w:u w:val="single"/>
        </w:rPr>
        <w:t xml:space="preserve"> </w:t>
      </w:r>
      <w:r>
        <w:rPr>
          <w:rFonts w:hint="eastAsia" w:ascii="宋体" w:hAnsi="宋体"/>
          <w:color w:val="auto"/>
          <w:sz w:val="24"/>
        </w:rPr>
        <w:t>厅。</w:t>
      </w:r>
    </w:p>
    <w:p w14:paraId="0003D601">
      <w:pPr>
        <w:spacing w:line="360" w:lineRule="auto"/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现变更为：</w:t>
      </w:r>
    </w:p>
    <w:p w14:paraId="26FD8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1.时间：</w:t>
      </w:r>
      <w:r>
        <w:rPr>
          <w:rFonts w:hint="eastAsia" w:ascii="宋体" w:hAnsi="宋体" w:cs="宋体"/>
          <w:color w:val="auto"/>
          <w:sz w:val="24"/>
          <w:u w:val="single"/>
        </w:rPr>
        <w:t xml:space="preserve">  202</w:t>
      </w:r>
      <w:r>
        <w:rPr>
          <w:rFonts w:hint="eastAsia" w:ascii="宋体" w:hAnsi="宋体" w:cs="宋体"/>
          <w:color w:val="auto"/>
          <w:sz w:val="24"/>
          <w:u w:val="single"/>
          <w:lang w:val="en-US" w:eastAsia="zh-CN"/>
        </w:rPr>
        <w:t>6</w:t>
      </w:r>
      <w:r>
        <w:rPr>
          <w:rFonts w:hint="eastAsia" w:ascii="宋体" w:hAnsi="宋体" w:cs="宋体"/>
          <w:color w:val="auto"/>
          <w:sz w:val="24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</w:rPr>
        <w:t>年</w:t>
      </w:r>
      <w:r>
        <w:rPr>
          <w:rFonts w:hint="eastAsia" w:ascii="宋体" w:hAnsi="宋体" w:cs="宋体"/>
          <w:color w:val="auto"/>
          <w:sz w:val="24"/>
          <w:u w:val="single"/>
        </w:rPr>
        <w:t xml:space="preserve"> </w:t>
      </w:r>
      <w:r>
        <w:rPr>
          <w:rFonts w:hint="eastAsia" w:ascii="宋体" w:hAnsi="宋体" w:cs="宋体"/>
          <w:color w:val="auto"/>
          <w:sz w:val="24"/>
          <w:u w:val="single"/>
          <w:lang w:val="en-US" w:eastAsia="zh-CN"/>
        </w:rPr>
        <w:t xml:space="preserve"> 10 </w:t>
      </w:r>
      <w:r>
        <w:rPr>
          <w:rFonts w:hint="eastAsia" w:ascii="宋体" w:hAnsi="宋体" w:cs="宋体"/>
          <w:color w:val="auto"/>
          <w:sz w:val="24"/>
        </w:rPr>
        <w:t>月</w:t>
      </w:r>
      <w:r>
        <w:rPr>
          <w:rFonts w:hint="eastAsia" w:ascii="宋体" w:hAnsi="宋体" w:cs="宋体"/>
          <w:color w:val="auto"/>
          <w:sz w:val="24"/>
          <w:u w:val="single"/>
          <w:lang w:val="en-US" w:eastAsia="zh-CN"/>
        </w:rPr>
        <w:t xml:space="preserve"> 28 </w:t>
      </w:r>
      <w:r>
        <w:rPr>
          <w:rFonts w:hint="eastAsia" w:ascii="宋体" w:hAnsi="宋体" w:cs="宋体"/>
          <w:color w:val="auto"/>
          <w:sz w:val="24"/>
        </w:rPr>
        <w:t>日</w:t>
      </w:r>
      <w:r>
        <w:rPr>
          <w:rFonts w:hint="eastAsia" w:ascii="宋体" w:hAnsi="宋体" w:cs="宋体"/>
          <w:color w:val="auto"/>
          <w:sz w:val="24"/>
          <w:u w:val="single"/>
        </w:rPr>
        <w:t xml:space="preserve">  09  </w:t>
      </w:r>
      <w:r>
        <w:rPr>
          <w:rFonts w:hint="eastAsia" w:ascii="宋体" w:hAnsi="宋体" w:cs="宋体"/>
          <w:color w:val="auto"/>
          <w:sz w:val="24"/>
        </w:rPr>
        <w:t>时</w:t>
      </w:r>
      <w:r>
        <w:rPr>
          <w:rFonts w:hint="eastAsia" w:ascii="宋体" w:hAnsi="宋体" w:cs="宋体"/>
          <w:color w:val="auto"/>
          <w:sz w:val="24"/>
          <w:u w:val="single"/>
        </w:rPr>
        <w:t xml:space="preserve">00 </w:t>
      </w:r>
      <w:r>
        <w:rPr>
          <w:rFonts w:hint="eastAsia" w:ascii="宋体" w:hAnsi="宋体" w:cs="宋体"/>
          <w:color w:val="auto"/>
          <w:sz w:val="24"/>
        </w:rPr>
        <w:t>分(北京时间)。</w:t>
      </w:r>
    </w:p>
    <w:p w14:paraId="31C57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both"/>
        <w:textAlignment w:val="auto"/>
        <w:rPr>
          <w:rFonts w:hint="default" w:ascii="宋体" w:hAnsi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4"/>
        </w:rPr>
        <w:t>2.地点：驻马店市</w:t>
      </w:r>
      <w:r>
        <w:rPr>
          <w:rFonts w:hint="eastAsia" w:ascii="宋体" w:hAnsi="宋体"/>
          <w:color w:val="auto"/>
          <w:kern w:val="0"/>
          <w:sz w:val="24"/>
        </w:rPr>
        <w:t>公共资源交易中心不见面开标</w:t>
      </w:r>
      <w:r>
        <w:rPr>
          <w:rFonts w:hint="eastAsia" w:ascii="宋体" w:hAnsi="宋体"/>
          <w:color w:val="auto"/>
          <w:sz w:val="24"/>
          <w:u w:val="single"/>
        </w:rPr>
        <w:t xml:space="preserve"> </w:t>
      </w:r>
      <w:r>
        <w:rPr>
          <w:rFonts w:hint="eastAsia" w:ascii="宋体" w:hAnsi="宋体"/>
          <w:color w:val="auto"/>
          <w:sz w:val="24"/>
          <w:u w:val="single"/>
          <w:lang w:val="en-US" w:eastAsia="zh-CN"/>
        </w:rPr>
        <w:t>三</w:t>
      </w:r>
      <w:r>
        <w:rPr>
          <w:rFonts w:hint="eastAsia" w:ascii="宋体" w:hAnsi="宋体"/>
          <w:color w:val="auto"/>
          <w:sz w:val="24"/>
          <w:u w:val="single"/>
        </w:rPr>
        <w:t xml:space="preserve"> </w:t>
      </w:r>
      <w:r>
        <w:rPr>
          <w:rFonts w:hint="eastAsia" w:ascii="宋体" w:hAnsi="宋体"/>
          <w:color w:val="auto"/>
          <w:sz w:val="24"/>
        </w:rPr>
        <w:t>厅。</w:t>
      </w:r>
    </w:p>
    <w:p w14:paraId="5DF8D2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auto"/>
        <w:rPr>
          <w:rFonts w:hint="default" w:ascii="宋体" w:hAnsi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二、招标文件第二章采购需求中“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B包技术参数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”内容：</w:t>
      </w:r>
    </w:p>
    <w:p w14:paraId="553CC0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auto"/>
        <w:rPr>
          <w:rFonts w:hint="default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原内容：</w:t>
      </w:r>
      <w:bookmarkStart w:id="0" w:name="_GoBack"/>
      <w:bookmarkEnd w:id="0"/>
    </w:p>
    <w:p w14:paraId="3D2E6B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B包技术参数</w:t>
      </w:r>
    </w:p>
    <w:p w14:paraId="4C56691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420" w:lineRule="exact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★</w:t>
      </w:r>
      <w:r>
        <w:rPr>
          <w:rFonts w:hint="eastAsia" w:cs="宋体"/>
          <w:b/>
          <w:bCs/>
          <w:color w:val="auto"/>
          <w:sz w:val="24"/>
          <w:szCs w:val="24"/>
          <w:highlight w:val="none"/>
          <w:lang w:val="en-US" w:eastAsia="zh-CN"/>
        </w:rPr>
        <w:t>（一）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供应商所投设备需提供医疗器械注册证【含附件：产品技术要求（如有）】或医疗器械备案凭证，如未按要求提供，则投标响应无效。</w:t>
      </w:r>
    </w:p>
    <w:p w14:paraId="7A9A4A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（二）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核心设备性能参数</w:t>
      </w:r>
    </w:p>
    <w:p w14:paraId="510DCC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1. 离心泵系统</w:t>
      </w:r>
    </w:p>
    <w:p w14:paraId="498D81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 流量范围：≥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L/min（误差≤±5%）</w:t>
      </w:r>
    </w:p>
    <w:p w14:paraId="656370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 转速控制：≤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7000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RPM（误差≤±20 RPM）</w:t>
      </w:r>
    </w:p>
    <w:p w14:paraId="4330EA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 内置电池续航：≥90分钟</w:t>
      </w:r>
    </w:p>
    <w:p w14:paraId="03C502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 紧急驱动：标配手摇柄或备用马达，确保断电时维持流量。</w:t>
      </w:r>
    </w:p>
    <w:p w14:paraId="3EC364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2. 氧合器</w:t>
      </w:r>
    </w:p>
    <w:p w14:paraId="5B84C6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 膜面积：≥1.8m²，采用PMP渗透膜技术。</w:t>
      </w:r>
    </w:p>
    <w:p w14:paraId="4DCAE7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 预充量：≤450mL，降低血液稀释风险。</w:t>
      </w:r>
    </w:p>
    <w:p w14:paraId="336110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 生物涂层：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肝素化涂层涂层或磷酸胆碱涂层减少血栓风险(需提供证明材料)。</w:t>
      </w:r>
    </w:p>
    <w:p w14:paraId="3B02B9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3. 空氧混合器</w:t>
      </w:r>
    </w:p>
    <w:p w14:paraId="22264F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 氧浓度调节：21%-100%（精度±3%），适配不同氧供需求。</w:t>
      </w:r>
    </w:p>
    <w:p w14:paraId="693058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 最大流量：≥40 L/min，支持高流量场景。</w:t>
      </w:r>
    </w:p>
    <w:p w14:paraId="35FA5C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（三）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转运适配性设计</w:t>
      </w:r>
    </w:p>
    <w:p w14:paraId="466A45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1. 便携性</w:t>
      </w:r>
    </w:p>
    <w:p w14:paraId="1F6A1A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设备重量：主机≤20  kg。</w:t>
      </w:r>
    </w:p>
    <w:p w14:paraId="697524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转运车：医用不锈钢车体，集成套包固定装置、可升降输液架及储物抽屉。</w:t>
      </w:r>
    </w:p>
    <w:p w14:paraId="20E53A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模块化设计：离心泵与驱动装置可分离，便于急救车搬运。</w:t>
      </w:r>
    </w:p>
    <w:p w14:paraId="1A3E29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2. 电源与气源管理</w:t>
      </w:r>
    </w:p>
    <w:p w14:paraId="46A392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双气源接口：支持院内氧气管道与便携氧气瓶无缝切换。</w:t>
      </w:r>
    </w:p>
    <w:p w14:paraId="0AE617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（四）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安全监测与报警功能</w:t>
      </w:r>
    </w:p>
    <w:p w14:paraId="148D1C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1. 多参数监测,触摸显示屏</w:t>
      </w:r>
    </w:p>
    <w:p w14:paraId="73979B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血流动力学：实时显示流量、压力、转速。</w:t>
      </w:r>
    </w:p>
    <w:p w14:paraId="703521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具有流量、气泡、压力监测功能</w:t>
      </w:r>
    </w:p>
    <w:p w14:paraId="668CBF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2. 分级报警系统</w:t>
      </w:r>
    </w:p>
    <w:p w14:paraId="774943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高优先级报警：管路脱落、电源中断、流量中断。</w:t>
      </w:r>
    </w:p>
    <w:p w14:paraId="22E20A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中优先级报警：氧浓度偏差&gt;10%、气泡检测阳性。</w:t>
      </w:r>
    </w:p>
    <w:p w14:paraId="0DF614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低优先级报警：电池电量&lt;20%、预充液不足。</w:t>
      </w:r>
    </w:p>
    <w:p w14:paraId="0ED280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（五）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耗材兼容性与注册要求</w:t>
      </w:r>
    </w:p>
    <w:p w14:paraId="5003D7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1. 肝素涂层套包</w:t>
      </w:r>
    </w:p>
    <w:p w14:paraId="1E0DDF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适配成人（动静脉管路内径≥18Fr）及儿童（内径≤12Fr）。</w:t>
      </w:r>
    </w:p>
    <w:p w14:paraId="518807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核心部件：离心泵泵头、膜式氧合器需实现国产替代。</w:t>
      </w:r>
    </w:p>
    <w:p w14:paraId="60FCB2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2. 动静脉插管</w:t>
      </w:r>
    </w:p>
    <w:p w14:paraId="35E7FA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材质：聚氨酯或硅胶。</w:t>
      </w:r>
    </w:p>
    <w:p w14:paraId="1126ED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灭菌方式：环氧乙烷（EO）或伽马射线灭菌，提供无菌包装。</w:t>
      </w:r>
    </w:p>
    <w:p w14:paraId="385F5F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2. ECMO配套耗材要求</w:t>
      </w:r>
    </w:p>
    <w:p w14:paraId="236B08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▲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2.1连续使用时间:经过国家药监局（NMPA）批准单个套包可连续使用时间≥7天，提供证明材料。  </w:t>
      </w:r>
    </w:p>
    <w:p w14:paraId="2ACEF6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2.2离心泵头内无轴杆设计、无金属。 </w:t>
      </w:r>
    </w:p>
    <w:p w14:paraId="298FAA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▲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2.3氧合器套包、泵头、动脉插管、静脉插管及经皮穿刺套包为同一品牌，提供整套解决方案，若为多品牌组合方案，须提供多品牌间的稳定供货协议，以保障后期耗材稳定供应。</w:t>
      </w:r>
    </w:p>
    <w:p w14:paraId="14BB1C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2.4  ECMO机型需为目前上市最新机型和最高配置，并提供证明材料。</w:t>
      </w:r>
    </w:p>
    <w:p w14:paraId="018C18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2.5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需要有配套耗材，且专用耗材（含氧合器、泵头、管路）价格不超过36000元/人</w:t>
      </w:r>
    </w:p>
    <w:p w14:paraId="2E68B2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（六）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 xml:space="preserve"> 空氧混合器</w:t>
      </w:r>
    </w:p>
    <w:p w14:paraId="27ADF9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3.1 能精确调节进入氧合器的空气和氧气的百分比，进行氧气的匹配供给</w:t>
      </w:r>
    </w:p>
    <w:p w14:paraId="1BD987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3.2 带氧气和空气管道</w:t>
      </w:r>
    </w:p>
    <w:p w14:paraId="67FB4C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（七）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 xml:space="preserve"> ECMO水箱    </w:t>
      </w:r>
    </w:p>
    <w:p w14:paraId="5309BC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1. 水箱有效容积≤2L，水箱整机重量≤5kg。</w:t>
      </w:r>
    </w:p>
    <w:p w14:paraId="552F46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 循环水路：双路水循环，进出水口标准医用快插接头。</w:t>
      </w:r>
    </w:p>
    <w:p w14:paraId="644706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3. 内置静音循环水泵。</w:t>
      </w:r>
    </w:p>
    <w:p w14:paraId="630C14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4. 设定温度调节范围：33℃～39℃。控温精度：±0.1℃。</w:t>
      </w:r>
    </w:p>
    <w:p w14:paraId="2B8FE9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5. 升降温性能：具备主动制冷+加热双模式，可快速降温和加温，最大升温速率≥1.5℃/min。</w:t>
      </w:r>
    </w:p>
    <w:p w14:paraId="554F5C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6. 温度显示：数字屏幕，实时显示设定温度、实际水体温度。支持目标温度锁定，防止误触改动参数。</w:t>
      </w:r>
    </w:p>
    <w:p w14:paraId="492C58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7. 多级声光报警：</w:t>
      </w:r>
    </w:p>
    <w:p w14:paraId="224906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- 超温报警：水体＞42℃自动切断加热输出，锁止加温，声光提示；</w:t>
      </w:r>
    </w:p>
    <w:p w14:paraId="1BCE61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- 低水位报警：水位低于安全阈值触发报警，禁止加热运行；</w:t>
      </w:r>
    </w:p>
    <w:p w14:paraId="2F8F53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- 水循环故障报警：水泵停转、水路堵塞、流量过低立即停机报警；</w:t>
      </w:r>
    </w:p>
    <w:p w14:paraId="70258F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8. 过热熔断、漏电保护，符合医用设备接地安全标准。</w:t>
      </w:r>
    </w:p>
    <w:p w14:paraId="169DE1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9. 水路材质与消毒符合生物安全标准。</w:t>
      </w:r>
    </w:p>
    <w:p w14:paraId="553920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（八）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ECMO架车</w:t>
      </w:r>
    </w:p>
    <w:p w14:paraId="4752B5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5.1不锈钢车体，可方便移动</w:t>
      </w:r>
    </w:p>
    <w:p w14:paraId="66B893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5.2能安全放置离心泵、ECMO水箱等设备及其辅助配套设备</w:t>
      </w:r>
    </w:p>
    <w:p w14:paraId="6E4E70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（九）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使用年限≥8年</w:t>
      </w:r>
    </w:p>
    <w:p w14:paraId="5B5E62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（十）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体外心肺支持辅助设备(ECMO)配置清单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（包含但不限于）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：</w:t>
      </w:r>
    </w:p>
    <w:tbl>
      <w:tblPr>
        <w:tblStyle w:val="2"/>
        <w:tblW w:w="78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3791"/>
        <w:gridCol w:w="1771"/>
        <w:gridCol w:w="1397"/>
      </w:tblGrid>
      <w:tr w14:paraId="2300F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6" w:type="dxa"/>
            <w:noWrap w:val="0"/>
            <w:vAlign w:val="center"/>
          </w:tcPr>
          <w:p w14:paraId="52A2F7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3791" w:type="dxa"/>
            <w:noWrap w:val="0"/>
            <w:vAlign w:val="center"/>
          </w:tcPr>
          <w:p w14:paraId="61F1C9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产品名称</w:t>
            </w:r>
          </w:p>
        </w:tc>
        <w:tc>
          <w:tcPr>
            <w:tcW w:w="1771" w:type="dxa"/>
            <w:noWrap w:val="0"/>
            <w:vAlign w:val="center"/>
          </w:tcPr>
          <w:p w14:paraId="51F993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数量</w:t>
            </w:r>
          </w:p>
        </w:tc>
        <w:tc>
          <w:tcPr>
            <w:tcW w:w="1397" w:type="dxa"/>
            <w:noWrap w:val="0"/>
            <w:vAlign w:val="center"/>
          </w:tcPr>
          <w:p w14:paraId="3D2F65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单位</w:t>
            </w:r>
          </w:p>
        </w:tc>
      </w:tr>
      <w:tr w14:paraId="10B1F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  <w:noWrap w:val="0"/>
            <w:vAlign w:val="center"/>
          </w:tcPr>
          <w:p w14:paraId="0916AC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3791" w:type="dxa"/>
            <w:noWrap w:val="0"/>
            <w:vAlign w:val="center"/>
          </w:tcPr>
          <w:p w14:paraId="7B1724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ECMO主机</w:t>
            </w:r>
          </w:p>
        </w:tc>
        <w:tc>
          <w:tcPr>
            <w:tcW w:w="1771" w:type="dxa"/>
            <w:noWrap w:val="0"/>
            <w:vAlign w:val="center"/>
          </w:tcPr>
          <w:p w14:paraId="0C2B80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1397" w:type="dxa"/>
            <w:noWrap w:val="0"/>
            <w:vAlign w:val="center"/>
          </w:tcPr>
          <w:p w14:paraId="1B6432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台</w:t>
            </w:r>
          </w:p>
        </w:tc>
      </w:tr>
      <w:tr w14:paraId="6BFAE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  <w:noWrap w:val="0"/>
            <w:vAlign w:val="center"/>
          </w:tcPr>
          <w:p w14:paraId="44E461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</w:t>
            </w:r>
          </w:p>
        </w:tc>
        <w:tc>
          <w:tcPr>
            <w:tcW w:w="3791" w:type="dxa"/>
            <w:noWrap w:val="0"/>
            <w:vAlign w:val="center"/>
          </w:tcPr>
          <w:p w14:paraId="7256A9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气泡传感器</w:t>
            </w:r>
          </w:p>
        </w:tc>
        <w:tc>
          <w:tcPr>
            <w:tcW w:w="1771" w:type="dxa"/>
            <w:noWrap w:val="0"/>
            <w:vAlign w:val="center"/>
          </w:tcPr>
          <w:p w14:paraId="7BEBF9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1397" w:type="dxa"/>
            <w:noWrap w:val="0"/>
            <w:vAlign w:val="center"/>
          </w:tcPr>
          <w:p w14:paraId="6078B2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个</w:t>
            </w:r>
          </w:p>
        </w:tc>
      </w:tr>
      <w:tr w14:paraId="7DE6A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  <w:noWrap w:val="0"/>
            <w:vAlign w:val="center"/>
          </w:tcPr>
          <w:p w14:paraId="0A468D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3</w:t>
            </w:r>
          </w:p>
        </w:tc>
        <w:tc>
          <w:tcPr>
            <w:tcW w:w="3791" w:type="dxa"/>
            <w:noWrap w:val="0"/>
            <w:vAlign w:val="center"/>
          </w:tcPr>
          <w:p w14:paraId="4DA60B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流量传感器</w:t>
            </w:r>
          </w:p>
        </w:tc>
        <w:tc>
          <w:tcPr>
            <w:tcW w:w="1771" w:type="dxa"/>
            <w:noWrap w:val="0"/>
            <w:vAlign w:val="center"/>
          </w:tcPr>
          <w:p w14:paraId="080B5C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1397" w:type="dxa"/>
            <w:noWrap w:val="0"/>
            <w:vAlign w:val="center"/>
          </w:tcPr>
          <w:p w14:paraId="2DB65F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个</w:t>
            </w:r>
          </w:p>
        </w:tc>
      </w:tr>
      <w:tr w14:paraId="3E832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  <w:noWrap w:val="0"/>
            <w:vAlign w:val="center"/>
          </w:tcPr>
          <w:p w14:paraId="54901B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4</w:t>
            </w:r>
          </w:p>
        </w:tc>
        <w:tc>
          <w:tcPr>
            <w:tcW w:w="3791" w:type="dxa"/>
            <w:noWrap w:val="0"/>
            <w:vAlign w:val="center"/>
          </w:tcPr>
          <w:p w14:paraId="4CF962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紧急驱动器</w:t>
            </w:r>
          </w:p>
        </w:tc>
        <w:tc>
          <w:tcPr>
            <w:tcW w:w="1771" w:type="dxa"/>
            <w:noWrap w:val="0"/>
            <w:vAlign w:val="center"/>
          </w:tcPr>
          <w:p w14:paraId="4F9B07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1397" w:type="dxa"/>
            <w:noWrap w:val="0"/>
            <w:vAlign w:val="center"/>
          </w:tcPr>
          <w:p w14:paraId="66A346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个</w:t>
            </w:r>
          </w:p>
        </w:tc>
      </w:tr>
      <w:tr w14:paraId="0C29D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  <w:noWrap w:val="0"/>
            <w:vAlign w:val="center"/>
          </w:tcPr>
          <w:p w14:paraId="226DF7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5</w:t>
            </w:r>
          </w:p>
        </w:tc>
        <w:tc>
          <w:tcPr>
            <w:tcW w:w="3791" w:type="dxa"/>
            <w:noWrap w:val="0"/>
            <w:vAlign w:val="center"/>
          </w:tcPr>
          <w:p w14:paraId="15DD53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驱动器（紧凑型）</w:t>
            </w:r>
          </w:p>
        </w:tc>
        <w:tc>
          <w:tcPr>
            <w:tcW w:w="1771" w:type="dxa"/>
            <w:noWrap w:val="0"/>
            <w:vAlign w:val="center"/>
          </w:tcPr>
          <w:p w14:paraId="5483E1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1397" w:type="dxa"/>
            <w:noWrap w:val="0"/>
            <w:vAlign w:val="center"/>
          </w:tcPr>
          <w:p w14:paraId="648A7D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个</w:t>
            </w:r>
          </w:p>
        </w:tc>
      </w:tr>
      <w:tr w14:paraId="54E3B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  <w:noWrap w:val="0"/>
            <w:vAlign w:val="center"/>
          </w:tcPr>
          <w:p w14:paraId="466487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6</w:t>
            </w:r>
          </w:p>
        </w:tc>
        <w:tc>
          <w:tcPr>
            <w:tcW w:w="3791" w:type="dxa"/>
            <w:noWrap w:val="0"/>
            <w:vAlign w:val="center"/>
          </w:tcPr>
          <w:p w14:paraId="50340F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驱动器延伸固定支撑臂（固定架）</w:t>
            </w:r>
          </w:p>
        </w:tc>
        <w:tc>
          <w:tcPr>
            <w:tcW w:w="1771" w:type="dxa"/>
            <w:noWrap w:val="0"/>
            <w:vAlign w:val="center"/>
          </w:tcPr>
          <w:p w14:paraId="294E7B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1397" w:type="dxa"/>
            <w:noWrap w:val="0"/>
            <w:vAlign w:val="center"/>
          </w:tcPr>
          <w:p w14:paraId="40799F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个</w:t>
            </w:r>
          </w:p>
        </w:tc>
      </w:tr>
      <w:tr w14:paraId="5D803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  <w:noWrap w:val="0"/>
            <w:vAlign w:val="center"/>
          </w:tcPr>
          <w:p w14:paraId="4DD763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7</w:t>
            </w:r>
          </w:p>
        </w:tc>
        <w:tc>
          <w:tcPr>
            <w:tcW w:w="3791" w:type="dxa"/>
            <w:noWrap w:val="0"/>
            <w:vAlign w:val="center"/>
          </w:tcPr>
          <w:p w14:paraId="092D9D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空气氧合器</w:t>
            </w:r>
          </w:p>
        </w:tc>
        <w:tc>
          <w:tcPr>
            <w:tcW w:w="1771" w:type="dxa"/>
            <w:noWrap w:val="0"/>
            <w:vAlign w:val="center"/>
          </w:tcPr>
          <w:p w14:paraId="2D5E9B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1397" w:type="dxa"/>
            <w:noWrap w:val="0"/>
            <w:vAlign w:val="center"/>
          </w:tcPr>
          <w:p w14:paraId="7FDA25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个</w:t>
            </w:r>
          </w:p>
        </w:tc>
      </w:tr>
      <w:tr w14:paraId="1DD79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  <w:noWrap w:val="0"/>
            <w:vAlign w:val="center"/>
          </w:tcPr>
          <w:p w14:paraId="7E1543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8</w:t>
            </w:r>
          </w:p>
        </w:tc>
        <w:tc>
          <w:tcPr>
            <w:tcW w:w="3791" w:type="dxa"/>
            <w:noWrap w:val="0"/>
            <w:vAlign w:val="center"/>
          </w:tcPr>
          <w:p w14:paraId="3511A0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医用控温仪</w:t>
            </w:r>
          </w:p>
        </w:tc>
        <w:tc>
          <w:tcPr>
            <w:tcW w:w="1771" w:type="dxa"/>
            <w:noWrap w:val="0"/>
            <w:vAlign w:val="center"/>
          </w:tcPr>
          <w:p w14:paraId="65FED1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1397" w:type="dxa"/>
            <w:noWrap w:val="0"/>
            <w:vAlign w:val="center"/>
          </w:tcPr>
          <w:p w14:paraId="052079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台</w:t>
            </w:r>
          </w:p>
        </w:tc>
      </w:tr>
      <w:tr w14:paraId="38D6A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  <w:noWrap w:val="0"/>
            <w:vAlign w:val="center"/>
          </w:tcPr>
          <w:p w14:paraId="68BB46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9</w:t>
            </w:r>
          </w:p>
        </w:tc>
        <w:tc>
          <w:tcPr>
            <w:tcW w:w="3791" w:type="dxa"/>
            <w:noWrap w:val="0"/>
            <w:vAlign w:val="center"/>
          </w:tcPr>
          <w:p w14:paraId="24326B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架车</w:t>
            </w:r>
          </w:p>
        </w:tc>
        <w:tc>
          <w:tcPr>
            <w:tcW w:w="1771" w:type="dxa"/>
            <w:noWrap w:val="0"/>
            <w:vAlign w:val="center"/>
          </w:tcPr>
          <w:p w14:paraId="710DA1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1397" w:type="dxa"/>
            <w:noWrap w:val="0"/>
            <w:vAlign w:val="center"/>
          </w:tcPr>
          <w:p w14:paraId="6847BF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台</w:t>
            </w:r>
          </w:p>
        </w:tc>
      </w:tr>
    </w:tbl>
    <w:p w14:paraId="417638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</w:p>
    <w:p w14:paraId="7E1BB0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auto"/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现变更为：</w:t>
      </w:r>
    </w:p>
    <w:p w14:paraId="37BCED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B包技术参数</w:t>
      </w:r>
    </w:p>
    <w:p w14:paraId="1101EC9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420" w:lineRule="exact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★</w:t>
      </w:r>
      <w:r>
        <w:rPr>
          <w:rFonts w:hint="eastAsia" w:cs="宋体"/>
          <w:b/>
          <w:bCs/>
          <w:color w:val="auto"/>
          <w:sz w:val="24"/>
          <w:szCs w:val="24"/>
          <w:highlight w:val="none"/>
          <w:lang w:val="en-US" w:eastAsia="zh-CN"/>
        </w:rPr>
        <w:t>（一）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供应商所投设备需提供医疗器械注册证【含附件：产品技术要求（如有）】或医疗器械备案凭证，如未按要求提供，则投标响应无效。</w:t>
      </w:r>
    </w:p>
    <w:p w14:paraId="0A7940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（二）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核心设备性能参数</w:t>
      </w:r>
    </w:p>
    <w:p w14:paraId="12C050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1. 离心泵系统</w:t>
      </w:r>
    </w:p>
    <w:p w14:paraId="3555F7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 流量范围：≥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L/min（误差≤±5%）</w:t>
      </w:r>
    </w:p>
    <w:p w14:paraId="380FC5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 转速控制：≤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7000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RPM（误差≤±20 RPM）</w:t>
      </w:r>
    </w:p>
    <w:p w14:paraId="38861A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 内置电池续航：≥90分钟</w:t>
      </w:r>
    </w:p>
    <w:p w14:paraId="79F56C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 紧急驱动：标配手摇柄或备用马达，确保断电时维持流量。</w:t>
      </w:r>
    </w:p>
    <w:p w14:paraId="6DD1D6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2. 氧合器</w:t>
      </w:r>
    </w:p>
    <w:p w14:paraId="3FAEB1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 膜面积：≥1.8m²，采用PMP渗透膜技术。</w:t>
      </w:r>
    </w:p>
    <w:p w14:paraId="3D2819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 预充量：≤450mL，降低血液稀释风险。</w:t>
      </w:r>
    </w:p>
    <w:p w14:paraId="111C9B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 生物涂层：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肝素化涂层涂层或磷酸胆碱涂层减少血栓风险(需提供证明材料)。</w:t>
      </w:r>
    </w:p>
    <w:p w14:paraId="130885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3. 空氧混合器</w:t>
      </w:r>
    </w:p>
    <w:p w14:paraId="396E58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 氧浓度调节：21%-100%（精度±3%），适配不同氧供需求。</w:t>
      </w:r>
    </w:p>
    <w:p w14:paraId="2B5BD6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 最大流量：≥40 L/min，支持高流量场景。</w:t>
      </w:r>
    </w:p>
    <w:p w14:paraId="7D3915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（三）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转运适配性设计</w:t>
      </w:r>
    </w:p>
    <w:p w14:paraId="46DE0E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1. 便携性</w:t>
      </w:r>
    </w:p>
    <w:p w14:paraId="16446E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设备重量：主机≤20  kg。</w:t>
      </w:r>
    </w:p>
    <w:p w14:paraId="593F34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转运车：医用不锈钢车体，集成套包固定装置、可升降输液架及储物抽屉。</w:t>
      </w:r>
    </w:p>
    <w:p w14:paraId="2D6A72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模块化设计：离心泵与驱动装置可分离，便于急救车搬运。</w:t>
      </w:r>
    </w:p>
    <w:p w14:paraId="495859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2. 电源与气源管理</w:t>
      </w:r>
    </w:p>
    <w:p w14:paraId="7D518E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双气源接口：支持院内氧气管道与便携氧气瓶无缝切换。</w:t>
      </w:r>
    </w:p>
    <w:p w14:paraId="2CF8B3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（四）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安全监测与报警功能</w:t>
      </w:r>
    </w:p>
    <w:p w14:paraId="5BA877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1. 多参数监测,触摸显示屏</w:t>
      </w:r>
    </w:p>
    <w:p w14:paraId="1E5CFF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血流动力学：实时显示流量、压力、转速。</w:t>
      </w:r>
    </w:p>
    <w:p w14:paraId="3705A8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具有流量、气泡、压力监测功能</w:t>
      </w:r>
    </w:p>
    <w:p w14:paraId="5D8EEC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2. 分级报警系统</w:t>
      </w:r>
    </w:p>
    <w:p w14:paraId="56F6A8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高优先级报警：管路脱落、电源中断、流量中断。</w:t>
      </w:r>
    </w:p>
    <w:p w14:paraId="145FAB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中优先级报警：氧浓度偏差&gt;10%、气泡检测阳性。</w:t>
      </w:r>
    </w:p>
    <w:p w14:paraId="0D8F5A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低优先级报警：电池电量&lt;20%、预充液不足。</w:t>
      </w:r>
    </w:p>
    <w:p w14:paraId="77A068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（五）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耗材兼容性与注册要求</w:t>
      </w:r>
    </w:p>
    <w:p w14:paraId="04F5BF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1.核心部件：离心泵泵头、膜式氧合器需实现国产替代。</w:t>
      </w:r>
    </w:p>
    <w:p w14:paraId="3C48A4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2. 动静脉插管</w:t>
      </w:r>
    </w:p>
    <w:p w14:paraId="7C02AC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材质：聚氨酯或硅胶。</w:t>
      </w:r>
    </w:p>
    <w:p w14:paraId="25DE02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灭菌方式：环氧乙烷（EO）或伽马射线灭菌，提供无菌包装。</w:t>
      </w:r>
    </w:p>
    <w:p w14:paraId="7A8CE1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2. ECMO配套耗材要求</w:t>
      </w:r>
    </w:p>
    <w:p w14:paraId="517235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▲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2.1连续使用时间:经过国家药监局（NMPA）批准单个套包可连续使用时间≥7天，提供证明材料。  </w:t>
      </w:r>
    </w:p>
    <w:p w14:paraId="03E72D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2.2离心泵头内无轴杆设计、无金属。 </w:t>
      </w:r>
    </w:p>
    <w:p w14:paraId="0F1EA9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▲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2.3氧合器套包、泵头、动脉插管、静脉插管及经皮穿刺套包为同一品牌，提供整套解决方案，若为多品牌组合方案，须提供多品牌间的稳定供货协议，以保障后期耗材稳定供应。</w:t>
      </w:r>
    </w:p>
    <w:p w14:paraId="579512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2.4  ECMO机型需为目前上市最新机型和最高配置，并提供证明材料。</w:t>
      </w:r>
    </w:p>
    <w:p w14:paraId="355C80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2.5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需要有配套耗材，且专用耗材（含氧合器、泵头、管路）价格不超过36000元/人</w:t>
      </w:r>
    </w:p>
    <w:p w14:paraId="3CE494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（六）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 xml:space="preserve"> ECMO水箱    </w:t>
      </w:r>
    </w:p>
    <w:p w14:paraId="6A53AF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1. 水箱有效容积≤2L。</w:t>
      </w:r>
    </w:p>
    <w:p w14:paraId="7D2109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 循环水路：双路水循环，进出水口标准医用快插接头。</w:t>
      </w:r>
    </w:p>
    <w:p w14:paraId="5EF53E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3. 内置静音循环水泵。</w:t>
      </w:r>
    </w:p>
    <w:p w14:paraId="1B01C0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4. 设定温度调节范围：33℃～39℃。控温精度：±0.1℃。</w:t>
      </w:r>
    </w:p>
    <w:p w14:paraId="2F48EE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5. 升降温性能：具备主动制冷+加热双模式，可快速降温和加温，最大升温速率≥1.5℃/min。</w:t>
      </w:r>
    </w:p>
    <w:p w14:paraId="5BDBD5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6. 温度显示：数字屏幕，实时显示设定温度、实际水体温度。支持目标温度锁定，防止误触改动参数。</w:t>
      </w:r>
    </w:p>
    <w:p w14:paraId="472F29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7. 多级声光报警：</w:t>
      </w:r>
    </w:p>
    <w:p w14:paraId="7EF88B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- 超温报警：水体＞42℃自动切断加热输出，锁止加温，声光提示；</w:t>
      </w:r>
    </w:p>
    <w:p w14:paraId="3CE548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- 低水位报警：水位低于安全阈值触发报警，禁止加热运行；</w:t>
      </w:r>
    </w:p>
    <w:p w14:paraId="099ADA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- 水循环故障报警：水泵停转、水路堵塞、流量过低立即停机报警；</w:t>
      </w:r>
    </w:p>
    <w:p w14:paraId="03328E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8. 过热熔断、漏电保护，符合医用设备接地安全标准。</w:t>
      </w:r>
    </w:p>
    <w:p w14:paraId="6E2F75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9. 水路材质与消毒符合生物安全标准。</w:t>
      </w:r>
    </w:p>
    <w:p w14:paraId="04E7C4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（七）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ECMO架车</w:t>
      </w:r>
    </w:p>
    <w:p w14:paraId="47B6FD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5.1不锈钢车体，可方便移动</w:t>
      </w:r>
    </w:p>
    <w:p w14:paraId="021EEF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5.2能安全放置离心泵、ECMO水箱等设备及其辅助配套设备</w:t>
      </w:r>
    </w:p>
    <w:p w14:paraId="308822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（八）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使用年限≥8年</w:t>
      </w:r>
    </w:p>
    <w:p w14:paraId="132824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（九）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体外心肺支持辅助设备(ECMO)配置清单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（包含但不限于）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：</w:t>
      </w:r>
    </w:p>
    <w:tbl>
      <w:tblPr>
        <w:tblStyle w:val="2"/>
        <w:tblW w:w="78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3791"/>
        <w:gridCol w:w="1771"/>
        <w:gridCol w:w="1397"/>
      </w:tblGrid>
      <w:tr w14:paraId="3D99E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  <w:noWrap w:val="0"/>
            <w:vAlign w:val="center"/>
          </w:tcPr>
          <w:p w14:paraId="2FEA96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3791" w:type="dxa"/>
            <w:noWrap w:val="0"/>
            <w:vAlign w:val="center"/>
          </w:tcPr>
          <w:p w14:paraId="4BB4F9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产品名称</w:t>
            </w:r>
          </w:p>
        </w:tc>
        <w:tc>
          <w:tcPr>
            <w:tcW w:w="1771" w:type="dxa"/>
            <w:noWrap w:val="0"/>
            <w:vAlign w:val="center"/>
          </w:tcPr>
          <w:p w14:paraId="53CC62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数量</w:t>
            </w:r>
          </w:p>
        </w:tc>
        <w:tc>
          <w:tcPr>
            <w:tcW w:w="1397" w:type="dxa"/>
            <w:noWrap w:val="0"/>
            <w:vAlign w:val="center"/>
          </w:tcPr>
          <w:p w14:paraId="733D12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单位</w:t>
            </w:r>
          </w:p>
        </w:tc>
      </w:tr>
      <w:tr w14:paraId="02BA5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  <w:noWrap w:val="0"/>
            <w:vAlign w:val="center"/>
          </w:tcPr>
          <w:p w14:paraId="56C5F5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3791" w:type="dxa"/>
            <w:noWrap w:val="0"/>
            <w:vAlign w:val="center"/>
          </w:tcPr>
          <w:p w14:paraId="13841C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ECMO主机</w:t>
            </w:r>
          </w:p>
        </w:tc>
        <w:tc>
          <w:tcPr>
            <w:tcW w:w="1771" w:type="dxa"/>
            <w:noWrap w:val="0"/>
            <w:vAlign w:val="center"/>
          </w:tcPr>
          <w:p w14:paraId="589B57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1397" w:type="dxa"/>
            <w:noWrap w:val="0"/>
            <w:vAlign w:val="center"/>
          </w:tcPr>
          <w:p w14:paraId="46DE4B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台</w:t>
            </w:r>
          </w:p>
        </w:tc>
      </w:tr>
      <w:tr w14:paraId="45DAB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  <w:noWrap w:val="0"/>
            <w:vAlign w:val="center"/>
          </w:tcPr>
          <w:p w14:paraId="002167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</w:t>
            </w:r>
          </w:p>
        </w:tc>
        <w:tc>
          <w:tcPr>
            <w:tcW w:w="3791" w:type="dxa"/>
            <w:noWrap w:val="0"/>
            <w:vAlign w:val="center"/>
          </w:tcPr>
          <w:p w14:paraId="7C2A06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气泡传感器</w:t>
            </w:r>
          </w:p>
        </w:tc>
        <w:tc>
          <w:tcPr>
            <w:tcW w:w="1771" w:type="dxa"/>
            <w:noWrap w:val="0"/>
            <w:vAlign w:val="center"/>
          </w:tcPr>
          <w:p w14:paraId="32727F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1397" w:type="dxa"/>
            <w:noWrap w:val="0"/>
            <w:vAlign w:val="center"/>
          </w:tcPr>
          <w:p w14:paraId="221E15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个</w:t>
            </w:r>
          </w:p>
        </w:tc>
      </w:tr>
      <w:tr w14:paraId="2AA4F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  <w:noWrap w:val="0"/>
            <w:vAlign w:val="center"/>
          </w:tcPr>
          <w:p w14:paraId="603C1D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3</w:t>
            </w:r>
          </w:p>
        </w:tc>
        <w:tc>
          <w:tcPr>
            <w:tcW w:w="3791" w:type="dxa"/>
            <w:noWrap w:val="0"/>
            <w:vAlign w:val="center"/>
          </w:tcPr>
          <w:p w14:paraId="2D585A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流量传感器</w:t>
            </w:r>
          </w:p>
        </w:tc>
        <w:tc>
          <w:tcPr>
            <w:tcW w:w="1771" w:type="dxa"/>
            <w:noWrap w:val="0"/>
            <w:vAlign w:val="center"/>
          </w:tcPr>
          <w:p w14:paraId="0B6A9D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1397" w:type="dxa"/>
            <w:noWrap w:val="0"/>
            <w:vAlign w:val="center"/>
          </w:tcPr>
          <w:p w14:paraId="79016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个</w:t>
            </w:r>
          </w:p>
        </w:tc>
      </w:tr>
      <w:tr w14:paraId="48E90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  <w:noWrap w:val="0"/>
            <w:vAlign w:val="center"/>
          </w:tcPr>
          <w:p w14:paraId="60B00D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4</w:t>
            </w:r>
          </w:p>
        </w:tc>
        <w:tc>
          <w:tcPr>
            <w:tcW w:w="3791" w:type="dxa"/>
            <w:noWrap w:val="0"/>
            <w:vAlign w:val="center"/>
          </w:tcPr>
          <w:p w14:paraId="2A68C8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紧急驱动器</w:t>
            </w:r>
          </w:p>
        </w:tc>
        <w:tc>
          <w:tcPr>
            <w:tcW w:w="1771" w:type="dxa"/>
            <w:noWrap w:val="0"/>
            <w:vAlign w:val="center"/>
          </w:tcPr>
          <w:p w14:paraId="77D6FE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1397" w:type="dxa"/>
            <w:noWrap w:val="0"/>
            <w:vAlign w:val="center"/>
          </w:tcPr>
          <w:p w14:paraId="25CE2A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个</w:t>
            </w:r>
          </w:p>
        </w:tc>
      </w:tr>
      <w:tr w14:paraId="2D064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  <w:noWrap w:val="0"/>
            <w:vAlign w:val="center"/>
          </w:tcPr>
          <w:p w14:paraId="61ACFF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5</w:t>
            </w:r>
          </w:p>
        </w:tc>
        <w:tc>
          <w:tcPr>
            <w:tcW w:w="3791" w:type="dxa"/>
            <w:noWrap w:val="0"/>
            <w:vAlign w:val="center"/>
          </w:tcPr>
          <w:p w14:paraId="3CEFFD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驱动器（紧凑型）</w:t>
            </w:r>
          </w:p>
        </w:tc>
        <w:tc>
          <w:tcPr>
            <w:tcW w:w="1771" w:type="dxa"/>
            <w:noWrap w:val="0"/>
            <w:vAlign w:val="center"/>
          </w:tcPr>
          <w:p w14:paraId="275425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1397" w:type="dxa"/>
            <w:noWrap w:val="0"/>
            <w:vAlign w:val="center"/>
          </w:tcPr>
          <w:p w14:paraId="7673AF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个</w:t>
            </w:r>
          </w:p>
        </w:tc>
      </w:tr>
      <w:tr w14:paraId="047E5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  <w:noWrap w:val="0"/>
            <w:vAlign w:val="center"/>
          </w:tcPr>
          <w:p w14:paraId="42360F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6</w:t>
            </w:r>
          </w:p>
        </w:tc>
        <w:tc>
          <w:tcPr>
            <w:tcW w:w="3791" w:type="dxa"/>
            <w:noWrap w:val="0"/>
            <w:vAlign w:val="center"/>
          </w:tcPr>
          <w:p w14:paraId="253BD6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驱动器延伸固定支撑臂（固定架）</w:t>
            </w:r>
          </w:p>
        </w:tc>
        <w:tc>
          <w:tcPr>
            <w:tcW w:w="1771" w:type="dxa"/>
            <w:noWrap w:val="0"/>
            <w:vAlign w:val="center"/>
          </w:tcPr>
          <w:p w14:paraId="796F08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1397" w:type="dxa"/>
            <w:noWrap w:val="0"/>
            <w:vAlign w:val="center"/>
          </w:tcPr>
          <w:p w14:paraId="544159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个</w:t>
            </w:r>
          </w:p>
        </w:tc>
      </w:tr>
      <w:tr w14:paraId="1A25B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  <w:noWrap w:val="0"/>
            <w:vAlign w:val="center"/>
          </w:tcPr>
          <w:p w14:paraId="5AE884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7</w:t>
            </w:r>
          </w:p>
        </w:tc>
        <w:tc>
          <w:tcPr>
            <w:tcW w:w="3791" w:type="dxa"/>
            <w:noWrap w:val="0"/>
            <w:vAlign w:val="center"/>
          </w:tcPr>
          <w:p w14:paraId="1B0ED8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空气氧合器</w:t>
            </w:r>
          </w:p>
        </w:tc>
        <w:tc>
          <w:tcPr>
            <w:tcW w:w="1771" w:type="dxa"/>
            <w:noWrap w:val="0"/>
            <w:vAlign w:val="center"/>
          </w:tcPr>
          <w:p w14:paraId="533F84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1397" w:type="dxa"/>
            <w:noWrap w:val="0"/>
            <w:vAlign w:val="center"/>
          </w:tcPr>
          <w:p w14:paraId="2A35C0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个</w:t>
            </w:r>
          </w:p>
        </w:tc>
      </w:tr>
      <w:tr w14:paraId="043C1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  <w:noWrap w:val="0"/>
            <w:vAlign w:val="center"/>
          </w:tcPr>
          <w:p w14:paraId="4FE2FB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8</w:t>
            </w:r>
          </w:p>
        </w:tc>
        <w:tc>
          <w:tcPr>
            <w:tcW w:w="3791" w:type="dxa"/>
            <w:noWrap w:val="0"/>
            <w:vAlign w:val="center"/>
          </w:tcPr>
          <w:p w14:paraId="24B51A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医用控温仪</w:t>
            </w:r>
          </w:p>
        </w:tc>
        <w:tc>
          <w:tcPr>
            <w:tcW w:w="1771" w:type="dxa"/>
            <w:noWrap w:val="0"/>
            <w:vAlign w:val="center"/>
          </w:tcPr>
          <w:p w14:paraId="665EE4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1397" w:type="dxa"/>
            <w:noWrap w:val="0"/>
            <w:vAlign w:val="center"/>
          </w:tcPr>
          <w:p w14:paraId="19E3D3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台</w:t>
            </w:r>
          </w:p>
        </w:tc>
      </w:tr>
      <w:tr w14:paraId="5E02E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  <w:noWrap w:val="0"/>
            <w:vAlign w:val="center"/>
          </w:tcPr>
          <w:p w14:paraId="596B2B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9</w:t>
            </w:r>
          </w:p>
        </w:tc>
        <w:tc>
          <w:tcPr>
            <w:tcW w:w="3791" w:type="dxa"/>
            <w:noWrap w:val="0"/>
            <w:vAlign w:val="center"/>
          </w:tcPr>
          <w:p w14:paraId="20159E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架车</w:t>
            </w:r>
          </w:p>
        </w:tc>
        <w:tc>
          <w:tcPr>
            <w:tcW w:w="1771" w:type="dxa"/>
            <w:noWrap w:val="0"/>
            <w:vAlign w:val="center"/>
          </w:tcPr>
          <w:p w14:paraId="1C8C91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1397" w:type="dxa"/>
            <w:noWrap w:val="0"/>
            <w:vAlign w:val="center"/>
          </w:tcPr>
          <w:p w14:paraId="781D5E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台</w:t>
            </w:r>
          </w:p>
        </w:tc>
      </w:tr>
    </w:tbl>
    <w:p w14:paraId="716585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auto"/>
        <w:rPr>
          <w:rFonts w:hint="default" w:ascii="宋体" w:hAnsi="宋体" w:cs="宋体"/>
          <w:b/>
          <w:bCs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8F6834"/>
    <w:rsid w:val="0AE53B72"/>
    <w:rsid w:val="10616A49"/>
    <w:rsid w:val="194F4FD8"/>
    <w:rsid w:val="24B93C4E"/>
    <w:rsid w:val="2B406E77"/>
    <w:rsid w:val="2E3B2BB9"/>
    <w:rsid w:val="3A483652"/>
    <w:rsid w:val="438F6834"/>
    <w:rsid w:val="4646138E"/>
    <w:rsid w:val="49D92519"/>
    <w:rsid w:val="59B461B6"/>
    <w:rsid w:val="67FC1454"/>
    <w:rsid w:val="6962178B"/>
    <w:rsid w:val="69D501AF"/>
    <w:rsid w:val="747B7BA5"/>
    <w:rsid w:val="7AE55D78"/>
    <w:rsid w:val="7CBB7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2026-10-12T01:28:00Z</dcterms:created>
  <dc:creator>NTKO</dc:creator>
  <cp:lastModifiedBy>NTKO</cp:lastModifiedBy>
  <cp:lastPrinted>2026-10-12T01:48:36Z</cp:lastPrinted>
  <dcterms:modified xsi:type="dcterms:W3CDTF">2026-10-12T01:53:12Z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61621280AB89428498244B62F4815CD1_11</vt:lpwstr>
  </property>
  <property fmtid="{D5CDD505-2E9C-101B-9397-08002B2CF9AE}" pid="4" name="KSOTemplateDocerSaveRecord">
    <vt:lpwstr>eyJoZGlkIjoiNzg5NjMwN2YxOGQyMmE4ZjU5ZjI5MWZjYWQ2Mzg5MWUiLCJ1c2VySWQiOiI2MDY5MjMwMTMifQ==</vt:lpwstr>
  </property>
</Properties>
</file>